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5.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6.xml" ContentType="application/vnd.openxmlformats-officedocument.wordprocessingml.footer+xml"/>
  <Override PartName="/word/footer7.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31171" w14:textId="77777777" w:rsidR="005E6F1B" w:rsidRPr="005E6F1B" w:rsidRDefault="00F36015" w:rsidP="000F4E51">
      <w:pPr>
        <w:tabs>
          <w:tab w:val="left" w:pos="1134"/>
        </w:tabs>
        <w:spacing w:after="0" w:line="240" w:lineRule="auto"/>
        <w:ind w:firstLine="567"/>
        <w:jc w:val="center"/>
        <w:rPr>
          <w:rStyle w:val="apple-style-span"/>
          <w:rFonts w:ascii="Times New Roman" w:eastAsiaTheme="majorEastAsia" w:hAnsi="Times New Roman" w:cs="Times New Roman"/>
          <w:b/>
          <w:bCs/>
          <w:sz w:val="28"/>
          <w:szCs w:val="28"/>
        </w:rPr>
      </w:pPr>
      <w:r w:rsidRPr="005E6F1B">
        <w:rPr>
          <w:rStyle w:val="apple-style-span"/>
          <w:rFonts w:ascii="Times New Roman" w:eastAsiaTheme="majorEastAsia" w:hAnsi="Times New Roman" w:cs="Times New Roman"/>
          <w:b/>
          <w:bCs/>
          <w:sz w:val="28"/>
          <w:szCs w:val="28"/>
        </w:rPr>
        <w:t>НАО «Казахский Национальный Медицинский университет</w:t>
      </w:r>
      <w:r w:rsidR="005E6F1B" w:rsidRPr="005E6F1B">
        <w:rPr>
          <w:rStyle w:val="apple-style-span"/>
          <w:rFonts w:ascii="Times New Roman" w:eastAsiaTheme="majorEastAsia" w:hAnsi="Times New Roman" w:cs="Times New Roman"/>
          <w:b/>
          <w:bCs/>
          <w:sz w:val="28"/>
          <w:szCs w:val="28"/>
        </w:rPr>
        <w:t xml:space="preserve"> </w:t>
      </w:r>
    </w:p>
    <w:p w14:paraId="2167587C" w14:textId="0ABBEDFB" w:rsidR="00F36015" w:rsidRDefault="005E6F1B" w:rsidP="000F4E51">
      <w:pPr>
        <w:tabs>
          <w:tab w:val="left" w:pos="1134"/>
        </w:tabs>
        <w:spacing w:after="0" w:line="240" w:lineRule="auto"/>
        <w:ind w:firstLine="567"/>
        <w:jc w:val="center"/>
        <w:rPr>
          <w:rStyle w:val="apple-style-span"/>
          <w:rFonts w:ascii="Times New Roman" w:eastAsiaTheme="majorEastAsia" w:hAnsi="Times New Roman" w:cs="Times New Roman"/>
          <w:b/>
          <w:bCs/>
          <w:sz w:val="28"/>
          <w:szCs w:val="28"/>
        </w:rPr>
      </w:pPr>
      <w:r w:rsidRPr="005E6F1B">
        <w:rPr>
          <w:rStyle w:val="apple-style-span"/>
          <w:rFonts w:ascii="Times New Roman" w:eastAsiaTheme="majorEastAsia" w:hAnsi="Times New Roman" w:cs="Times New Roman"/>
          <w:b/>
          <w:bCs/>
          <w:sz w:val="28"/>
          <w:szCs w:val="28"/>
        </w:rPr>
        <w:t>имени С.Д. Асфендиярова</w:t>
      </w:r>
      <w:r w:rsidR="00F36015" w:rsidRPr="005E6F1B">
        <w:rPr>
          <w:rStyle w:val="apple-style-span"/>
          <w:rFonts w:ascii="Times New Roman" w:eastAsiaTheme="majorEastAsia" w:hAnsi="Times New Roman" w:cs="Times New Roman"/>
          <w:b/>
          <w:bCs/>
          <w:sz w:val="28"/>
          <w:szCs w:val="28"/>
        </w:rPr>
        <w:t>»</w:t>
      </w:r>
    </w:p>
    <w:p w14:paraId="66A56F80" w14:textId="77777777" w:rsidR="005E6F1B" w:rsidRPr="005E6F1B" w:rsidRDefault="005E6F1B" w:rsidP="000F4E51">
      <w:pPr>
        <w:tabs>
          <w:tab w:val="left" w:pos="1134"/>
        </w:tabs>
        <w:spacing w:after="0" w:line="240" w:lineRule="auto"/>
        <w:ind w:firstLine="567"/>
        <w:jc w:val="center"/>
        <w:rPr>
          <w:rStyle w:val="apple-style-span"/>
          <w:rFonts w:ascii="Times New Roman" w:eastAsiaTheme="majorEastAsia" w:hAnsi="Times New Roman" w:cs="Times New Roman"/>
          <w:b/>
          <w:bCs/>
          <w:sz w:val="28"/>
          <w:szCs w:val="28"/>
        </w:rPr>
      </w:pPr>
    </w:p>
    <w:p w14:paraId="14BA5CEC" w14:textId="77777777" w:rsidR="00F36015" w:rsidRPr="009F51FB" w:rsidRDefault="00F36015" w:rsidP="000F4E51">
      <w:pPr>
        <w:tabs>
          <w:tab w:val="left" w:pos="1134"/>
        </w:tabs>
        <w:spacing w:after="0" w:line="240" w:lineRule="auto"/>
        <w:ind w:firstLine="567"/>
        <w:jc w:val="both"/>
        <w:rPr>
          <w:rStyle w:val="apple-style-span"/>
          <w:rFonts w:ascii="Times New Roman" w:eastAsiaTheme="majorEastAsia" w:hAnsi="Times New Roman" w:cs="Times New Roman"/>
          <w:sz w:val="28"/>
          <w:szCs w:val="28"/>
        </w:rPr>
      </w:pPr>
    </w:p>
    <w:p w14:paraId="1CC19634" w14:textId="09EB71A1" w:rsidR="00F36015" w:rsidRPr="00317136" w:rsidRDefault="00317136" w:rsidP="000F4E51">
      <w:pPr>
        <w:tabs>
          <w:tab w:val="left" w:pos="1134"/>
        </w:tabs>
        <w:spacing w:after="0" w:line="240" w:lineRule="auto"/>
        <w:ind w:firstLine="567"/>
        <w:rPr>
          <w:rFonts w:ascii="Times New Roman" w:hAnsi="Times New Roman" w:cs="Times New Roman"/>
          <w:bCs/>
          <w:sz w:val="28"/>
          <w:szCs w:val="28"/>
          <w:lang w:val="kk-KZ"/>
        </w:rPr>
      </w:pPr>
      <w:r>
        <w:rPr>
          <w:rFonts w:ascii="Times New Roman" w:hAnsi="Times New Roman" w:cs="Times New Roman"/>
          <w:bCs/>
          <w:sz w:val="28"/>
          <w:szCs w:val="28"/>
          <w:lang w:val="kk-KZ"/>
        </w:rPr>
        <w:t>УДК</w:t>
      </w:r>
      <w:r w:rsidR="008C1D12" w:rsidRPr="008C1D12">
        <w:rPr>
          <w:rFonts w:ascii="Times New Roman" w:hAnsi="Times New Roman" w:cs="Times New Roman"/>
          <w:bCs/>
          <w:sz w:val="28"/>
          <w:szCs w:val="28"/>
        </w:rPr>
        <w:t>: 616.831-005-082</w:t>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t>На правах рукописи</w:t>
      </w:r>
    </w:p>
    <w:p w14:paraId="791A18E2" w14:textId="77777777" w:rsidR="00DB2324" w:rsidRDefault="00DB2324" w:rsidP="000F4E51">
      <w:pPr>
        <w:tabs>
          <w:tab w:val="left" w:pos="1134"/>
        </w:tabs>
        <w:spacing w:after="0" w:line="240" w:lineRule="auto"/>
        <w:ind w:firstLine="567"/>
        <w:jc w:val="center"/>
        <w:rPr>
          <w:rFonts w:ascii="Times New Roman" w:hAnsi="Times New Roman" w:cs="Times New Roman"/>
          <w:b/>
          <w:sz w:val="28"/>
          <w:szCs w:val="28"/>
          <w:lang w:val="kk-KZ"/>
        </w:rPr>
      </w:pPr>
    </w:p>
    <w:p w14:paraId="2F25D8A8" w14:textId="77777777" w:rsidR="00DB2324" w:rsidRDefault="00DB2324" w:rsidP="000F4E51">
      <w:pPr>
        <w:tabs>
          <w:tab w:val="left" w:pos="1134"/>
        </w:tabs>
        <w:spacing w:after="0" w:line="240" w:lineRule="auto"/>
        <w:ind w:firstLine="567"/>
        <w:jc w:val="center"/>
        <w:rPr>
          <w:rFonts w:ascii="Times New Roman" w:hAnsi="Times New Roman" w:cs="Times New Roman"/>
          <w:b/>
          <w:sz w:val="28"/>
          <w:szCs w:val="28"/>
          <w:lang w:val="kk-KZ"/>
        </w:rPr>
      </w:pPr>
    </w:p>
    <w:p w14:paraId="37A9DE5C" w14:textId="77777777" w:rsidR="00DB2324" w:rsidRDefault="00DB2324" w:rsidP="000F4E51">
      <w:pPr>
        <w:tabs>
          <w:tab w:val="left" w:pos="1134"/>
        </w:tabs>
        <w:spacing w:after="0" w:line="240" w:lineRule="auto"/>
        <w:ind w:firstLine="567"/>
        <w:jc w:val="center"/>
        <w:rPr>
          <w:rFonts w:ascii="Times New Roman" w:hAnsi="Times New Roman" w:cs="Times New Roman"/>
          <w:b/>
          <w:sz w:val="28"/>
          <w:szCs w:val="28"/>
          <w:lang w:val="kk-KZ"/>
        </w:rPr>
      </w:pPr>
    </w:p>
    <w:p w14:paraId="2718E291" w14:textId="77777777" w:rsidR="00DB2324" w:rsidRPr="00DB2324" w:rsidRDefault="00DB2324" w:rsidP="000F4E51">
      <w:pPr>
        <w:tabs>
          <w:tab w:val="left" w:pos="1134"/>
        </w:tabs>
        <w:spacing w:after="0" w:line="240" w:lineRule="auto"/>
        <w:ind w:firstLine="567"/>
        <w:jc w:val="center"/>
        <w:rPr>
          <w:rFonts w:ascii="Times New Roman" w:hAnsi="Times New Roman" w:cs="Times New Roman"/>
          <w:b/>
          <w:sz w:val="28"/>
          <w:szCs w:val="28"/>
          <w:lang w:val="kk-KZ"/>
        </w:rPr>
      </w:pPr>
    </w:p>
    <w:p w14:paraId="43D4BD7F" w14:textId="346F1739" w:rsidR="00612F35" w:rsidRPr="00317136" w:rsidRDefault="005E6F1B" w:rsidP="000F4E51">
      <w:pPr>
        <w:tabs>
          <w:tab w:val="left" w:pos="1134"/>
        </w:tabs>
        <w:spacing w:after="0" w:line="240" w:lineRule="auto"/>
        <w:ind w:firstLine="567"/>
        <w:jc w:val="center"/>
        <w:rPr>
          <w:rFonts w:ascii="Times New Roman" w:hAnsi="Times New Roman" w:cs="Times New Roman"/>
          <w:b/>
          <w:sz w:val="28"/>
          <w:szCs w:val="28"/>
        </w:rPr>
      </w:pPr>
      <w:bookmarkStart w:id="0" w:name="_GoBack"/>
      <w:r>
        <w:rPr>
          <w:rFonts w:ascii="Times New Roman" w:hAnsi="Times New Roman" w:cs="Times New Roman"/>
          <w:b/>
          <w:sz w:val="28"/>
          <w:szCs w:val="28"/>
          <w:lang w:val="kk-KZ"/>
        </w:rPr>
        <w:t>Қ</w:t>
      </w:r>
      <w:r w:rsidRPr="009F51FB">
        <w:rPr>
          <w:rFonts w:ascii="Times New Roman" w:hAnsi="Times New Roman" w:cs="Times New Roman"/>
          <w:b/>
          <w:sz w:val="28"/>
          <w:szCs w:val="28"/>
        </w:rPr>
        <w:t>АСТЕЙ</w:t>
      </w:r>
      <w:bookmarkEnd w:id="0"/>
      <w:r w:rsidRPr="009F51FB">
        <w:rPr>
          <w:rFonts w:ascii="Times New Roman" w:hAnsi="Times New Roman" w:cs="Times New Roman"/>
          <w:b/>
          <w:sz w:val="28"/>
          <w:szCs w:val="28"/>
        </w:rPr>
        <w:t xml:space="preserve"> Р</w:t>
      </w:r>
      <w:r>
        <w:rPr>
          <w:rFonts w:ascii="Times New Roman" w:hAnsi="Times New Roman" w:cs="Times New Roman"/>
          <w:b/>
          <w:sz w:val="28"/>
          <w:szCs w:val="28"/>
        </w:rPr>
        <w:t xml:space="preserve">АУАН </w:t>
      </w:r>
      <w:r w:rsidRPr="009F51FB">
        <w:rPr>
          <w:rFonts w:ascii="Times New Roman" w:hAnsi="Times New Roman" w:cs="Times New Roman"/>
          <w:b/>
          <w:sz w:val="28"/>
          <w:szCs w:val="28"/>
        </w:rPr>
        <w:t>М</w:t>
      </w:r>
      <w:r>
        <w:rPr>
          <w:rFonts w:ascii="Times New Roman" w:hAnsi="Times New Roman" w:cs="Times New Roman"/>
          <w:b/>
          <w:sz w:val="28"/>
          <w:szCs w:val="28"/>
        </w:rPr>
        <w:t>ЕЙРАМ</w:t>
      </w:r>
      <w:r>
        <w:rPr>
          <w:rFonts w:ascii="Times New Roman" w:hAnsi="Times New Roman" w:cs="Times New Roman"/>
          <w:b/>
          <w:sz w:val="28"/>
          <w:szCs w:val="28"/>
          <w:lang w:val="kk-KZ"/>
        </w:rPr>
        <w:t>ҰЛЫ</w:t>
      </w:r>
    </w:p>
    <w:p w14:paraId="53767E76" w14:textId="77777777" w:rsidR="00612F35" w:rsidRPr="009F51FB" w:rsidRDefault="00612F35" w:rsidP="000F4E51">
      <w:pPr>
        <w:tabs>
          <w:tab w:val="left" w:pos="1134"/>
        </w:tabs>
        <w:spacing w:after="0" w:line="240" w:lineRule="auto"/>
        <w:ind w:firstLine="567"/>
        <w:jc w:val="center"/>
        <w:rPr>
          <w:rFonts w:ascii="Times New Roman" w:hAnsi="Times New Roman" w:cs="Times New Roman"/>
          <w:b/>
          <w:sz w:val="28"/>
          <w:szCs w:val="28"/>
        </w:rPr>
      </w:pPr>
    </w:p>
    <w:p w14:paraId="03DE6018" w14:textId="2454A775" w:rsidR="00612F35" w:rsidRPr="009F51FB" w:rsidRDefault="005E6F1B" w:rsidP="000F4E51">
      <w:pPr>
        <w:tabs>
          <w:tab w:val="left" w:pos="1134"/>
        </w:tabs>
        <w:spacing w:after="0" w:line="240" w:lineRule="auto"/>
        <w:ind w:firstLine="567"/>
        <w:jc w:val="center"/>
        <w:rPr>
          <w:rFonts w:ascii="Times New Roman" w:hAnsi="Times New Roman" w:cs="Times New Roman"/>
          <w:b/>
          <w:sz w:val="28"/>
          <w:szCs w:val="28"/>
        </w:rPr>
      </w:pPr>
      <w:r w:rsidRPr="002D4B8F">
        <w:rPr>
          <w:rFonts w:ascii="Times New Roman" w:hAnsi="Times New Roman" w:cs="Times New Roman"/>
          <w:b/>
          <w:sz w:val="28"/>
          <w:szCs w:val="28"/>
        </w:rPr>
        <w:t>Пути совершенствования специализированной помощи больным с острыми нарушениями мозгового кровообращения</w:t>
      </w:r>
    </w:p>
    <w:p w14:paraId="0519296D" w14:textId="77777777" w:rsidR="00612F35" w:rsidRPr="009F51FB" w:rsidRDefault="00612F35" w:rsidP="000F4E51">
      <w:pPr>
        <w:tabs>
          <w:tab w:val="left" w:pos="1134"/>
        </w:tabs>
        <w:spacing w:after="0" w:line="240" w:lineRule="auto"/>
        <w:ind w:firstLine="567"/>
        <w:jc w:val="center"/>
        <w:rPr>
          <w:rFonts w:ascii="Times New Roman" w:hAnsi="Times New Roman" w:cs="Times New Roman"/>
          <w:b/>
          <w:sz w:val="28"/>
          <w:szCs w:val="28"/>
        </w:rPr>
      </w:pPr>
    </w:p>
    <w:p w14:paraId="3156F09F" w14:textId="2FEC7E31" w:rsidR="00612F35" w:rsidRPr="009F51FB" w:rsidRDefault="00612F35" w:rsidP="000F4E51">
      <w:pPr>
        <w:tabs>
          <w:tab w:val="left" w:pos="1134"/>
        </w:tabs>
        <w:spacing w:after="0" w:line="240" w:lineRule="auto"/>
        <w:ind w:firstLine="567"/>
        <w:jc w:val="center"/>
        <w:rPr>
          <w:rFonts w:ascii="Times New Roman" w:hAnsi="Times New Roman" w:cs="Times New Roman"/>
          <w:sz w:val="28"/>
          <w:szCs w:val="28"/>
        </w:rPr>
      </w:pPr>
      <w:r w:rsidRPr="009F51FB">
        <w:rPr>
          <w:rFonts w:ascii="Times New Roman" w:hAnsi="Times New Roman" w:cs="Times New Roman"/>
          <w:sz w:val="28"/>
          <w:szCs w:val="28"/>
        </w:rPr>
        <w:t>6</w:t>
      </w:r>
      <w:r w:rsidRPr="009F51FB">
        <w:rPr>
          <w:rFonts w:ascii="Times New Roman" w:hAnsi="Times New Roman" w:cs="Times New Roman"/>
          <w:sz w:val="28"/>
          <w:szCs w:val="28"/>
          <w:lang w:val="en-US"/>
        </w:rPr>
        <w:t>D</w:t>
      </w:r>
      <w:r w:rsidRPr="009F51FB">
        <w:rPr>
          <w:rFonts w:ascii="Times New Roman" w:hAnsi="Times New Roman" w:cs="Times New Roman"/>
          <w:sz w:val="28"/>
          <w:szCs w:val="28"/>
        </w:rPr>
        <w:t>110200 – «Общественное здравоохранение»</w:t>
      </w:r>
    </w:p>
    <w:p w14:paraId="6F59DC2D" w14:textId="77777777" w:rsidR="00612F35" w:rsidRPr="009F51FB" w:rsidRDefault="00612F35" w:rsidP="000F4E51">
      <w:pPr>
        <w:shd w:val="clear" w:color="auto" w:fill="FFFFFF"/>
        <w:tabs>
          <w:tab w:val="left" w:pos="1134"/>
        </w:tabs>
        <w:spacing w:after="0" w:line="240" w:lineRule="auto"/>
        <w:ind w:firstLine="567"/>
        <w:jc w:val="center"/>
        <w:rPr>
          <w:rFonts w:ascii="Times New Roman" w:eastAsia="Times New Roman" w:hAnsi="Times New Roman" w:cs="Times New Roman"/>
          <w:sz w:val="28"/>
          <w:szCs w:val="28"/>
        </w:rPr>
      </w:pPr>
    </w:p>
    <w:p w14:paraId="65609113" w14:textId="77777777" w:rsidR="00612F35" w:rsidRPr="009F51FB" w:rsidRDefault="00612F35" w:rsidP="000F4E51">
      <w:pPr>
        <w:shd w:val="clear" w:color="auto" w:fill="FFFFFF"/>
        <w:tabs>
          <w:tab w:val="left" w:pos="1134"/>
        </w:tabs>
        <w:spacing w:after="0" w:line="240" w:lineRule="auto"/>
        <w:ind w:firstLine="567"/>
        <w:jc w:val="center"/>
        <w:rPr>
          <w:rFonts w:ascii="Times New Roman" w:hAnsi="Times New Roman" w:cs="Times New Roman"/>
          <w:sz w:val="28"/>
          <w:szCs w:val="28"/>
        </w:rPr>
      </w:pPr>
    </w:p>
    <w:p w14:paraId="44AA60F1" w14:textId="0E6D74AE" w:rsidR="00612F35" w:rsidRDefault="00317136" w:rsidP="000F4E51">
      <w:pPr>
        <w:tabs>
          <w:tab w:val="left" w:pos="1134"/>
        </w:tabs>
        <w:spacing w:after="0" w:line="240" w:lineRule="auto"/>
        <w:ind w:firstLine="567"/>
        <w:jc w:val="center"/>
        <w:rPr>
          <w:rStyle w:val="apple-style-span"/>
          <w:rFonts w:ascii="Times New Roman" w:eastAsiaTheme="majorEastAsia" w:hAnsi="Times New Roman" w:cs="Times New Roman"/>
          <w:sz w:val="28"/>
          <w:szCs w:val="28"/>
        </w:rPr>
      </w:pPr>
      <w:r>
        <w:rPr>
          <w:rStyle w:val="apple-style-span"/>
          <w:rFonts w:ascii="Times New Roman" w:eastAsiaTheme="majorEastAsia" w:hAnsi="Times New Roman" w:cs="Times New Roman"/>
          <w:sz w:val="28"/>
          <w:szCs w:val="28"/>
        </w:rPr>
        <w:t>Диссертация на соискание</w:t>
      </w:r>
      <w:r w:rsidR="005E6F1B">
        <w:rPr>
          <w:rStyle w:val="apple-style-span"/>
          <w:rFonts w:ascii="Times New Roman" w:eastAsiaTheme="majorEastAsia" w:hAnsi="Times New Roman" w:cs="Times New Roman"/>
          <w:sz w:val="28"/>
          <w:szCs w:val="28"/>
        </w:rPr>
        <w:t xml:space="preserve"> степени</w:t>
      </w:r>
    </w:p>
    <w:p w14:paraId="62F955C5" w14:textId="255836E6" w:rsidR="00317136" w:rsidRPr="008C1D12" w:rsidRDefault="00317136" w:rsidP="000F4E51">
      <w:pPr>
        <w:tabs>
          <w:tab w:val="left" w:pos="1134"/>
        </w:tabs>
        <w:spacing w:after="0" w:line="240" w:lineRule="auto"/>
        <w:ind w:firstLine="567"/>
        <w:jc w:val="center"/>
        <w:rPr>
          <w:rStyle w:val="apple-style-span"/>
          <w:rFonts w:ascii="Times New Roman" w:eastAsiaTheme="majorEastAsia" w:hAnsi="Times New Roman" w:cs="Times New Roman"/>
          <w:sz w:val="28"/>
          <w:szCs w:val="28"/>
        </w:rPr>
      </w:pPr>
      <w:r>
        <w:rPr>
          <w:rStyle w:val="apple-style-span"/>
          <w:rFonts w:ascii="Times New Roman" w:eastAsiaTheme="majorEastAsia" w:hAnsi="Times New Roman" w:cs="Times New Roman"/>
          <w:sz w:val="28"/>
          <w:szCs w:val="28"/>
        </w:rPr>
        <w:t xml:space="preserve">доктора философии </w:t>
      </w:r>
      <w:r w:rsidRPr="008C1D12">
        <w:rPr>
          <w:rStyle w:val="apple-style-span"/>
          <w:rFonts w:ascii="Times New Roman" w:eastAsiaTheme="majorEastAsia" w:hAnsi="Times New Roman" w:cs="Times New Roman"/>
          <w:sz w:val="28"/>
          <w:szCs w:val="28"/>
        </w:rPr>
        <w:t>(</w:t>
      </w:r>
      <w:r>
        <w:rPr>
          <w:rStyle w:val="apple-style-span"/>
          <w:rFonts w:ascii="Times New Roman" w:eastAsiaTheme="majorEastAsia" w:hAnsi="Times New Roman" w:cs="Times New Roman"/>
          <w:sz w:val="28"/>
          <w:szCs w:val="28"/>
          <w:lang w:val="en-US"/>
        </w:rPr>
        <w:t>PhD</w:t>
      </w:r>
      <w:r w:rsidRPr="008C1D12">
        <w:rPr>
          <w:rStyle w:val="apple-style-span"/>
          <w:rFonts w:ascii="Times New Roman" w:eastAsiaTheme="majorEastAsia" w:hAnsi="Times New Roman" w:cs="Times New Roman"/>
          <w:sz w:val="28"/>
          <w:szCs w:val="28"/>
        </w:rPr>
        <w:t>)</w:t>
      </w:r>
    </w:p>
    <w:p w14:paraId="5755CBA0" w14:textId="77777777" w:rsidR="00612F35" w:rsidRPr="009F51FB" w:rsidRDefault="00612F35" w:rsidP="000F4E51">
      <w:pPr>
        <w:tabs>
          <w:tab w:val="left" w:pos="1134"/>
        </w:tabs>
        <w:spacing w:after="0" w:line="240" w:lineRule="auto"/>
        <w:ind w:firstLine="567"/>
        <w:jc w:val="center"/>
        <w:rPr>
          <w:rStyle w:val="apple-style-span"/>
          <w:rFonts w:ascii="Times New Roman" w:eastAsiaTheme="majorEastAsia" w:hAnsi="Times New Roman" w:cs="Times New Roman"/>
          <w:sz w:val="28"/>
          <w:szCs w:val="28"/>
        </w:rPr>
      </w:pPr>
    </w:p>
    <w:p w14:paraId="11719D4F" w14:textId="77777777" w:rsidR="00612F35" w:rsidRPr="009F51FB" w:rsidRDefault="00612F35" w:rsidP="000F4E51">
      <w:pPr>
        <w:tabs>
          <w:tab w:val="left" w:pos="1134"/>
        </w:tabs>
        <w:spacing w:after="0" w:line="240" w:lineRule="auto"/>
        <w:ind w:firstLine="567"/>
        <w:jc w:val="center"/>
        <w:rPr>
          <w:rStyle w:val="apple-style-span"/>
          <w:rFonts w:ascii="Times New Roman" w:eastAsiaTheme="majorEastAsia" w:hAnsi="Times New Roman" w:cs="Times New Roman"/>
          <w:sz w:val="28"/>
          <w:szCs w:val="28"/>
        </w:rPr>
      </w:pPr>
    </w:p>
    <w:p w14:paraId="4EAC8D8E" w14:textId="77777777" w:rsidR="00612F35" w:rsidRPr="009F51FB" w:rsidRDefault="00612F35" w:rsidP="000F4E51">
      <w:pPr>
        <w:tabs>
          <w:tab w:val="left" w:pos="1134"/>
        </w:tabs>
        <w:spacing w:after="0" w:line="240" w:lineRule="auto"/>
        <w:ind w:firstLine="567"/>
        <w:jc w:val="right"/>
        <w:rPr>
          <w:rStyle w:val="apple-style-span"/>
          <w:rFonts w:ascii="Times New Roman" w:eastAsiaTheme="majorEastAsia" w:hAnsi="Times New Roman" w:cs="Times New Roman"/>
          <w:b/>
          <w:sz w:val="28"/>
          <w:szCs w:val="28"/>
        </w:rPr>
      </w:pPr>
    </w:p>
    <w:p w14:paraId="4CBF60B8" w14:textId="77777777" w:rsidR="00612F35" w:rsidRPr="009F51FB" w:rsidRDefault="00612F35" w:rsidP="000F4E51">
      <w:pPr>
        <w:tabs>
          <w:tab w:val="left" w:pos="1134"/>
        </w:tabs>
        <w:spacing w:after="0" w:line="240" w:lineRule="auto"/>
        <w:ind w:firstLine="567"/>
        <w:jc w:val="right"/>
        <w:rPr>
          <w:rStyle w:val="apple-style-span"/>
          <w:rFonts w:ascii="Times New Roman" w:eastAsiaTheme="majorEastAsia" w:hAnsi="Times New Roman" w:cs="Times New Roman"/>
          <w:b/>
          <w:sz w:val="28"/>
          <w:szCs w:val="28"/>
        </w:rPr>
      </w:pPr>
    </w:p>
    <w:p w14:paraId="64EE4E67" w14:textId="77777777" w:rsidR="00612F35" w:rsidRPr="009F51FB" w:rsidRDefault="00612F35" w:rsidP="000F4E51">
      <w:pPr>
        <w:tabs>
          <w:tab w:val="left" w:pos="1134"/>
        </w:tabs>
        <w:spacing w:after="0" w:line="240" w:lineRule="auto"/>
        <w:ind w:firstLine="567"/>
        <w:jc w:val="right"/>
        <w:rPr>
          <w:rStyle w:val="apple-style-span"/>
          <w:rFonts w:ascii="Times New Roman" w:eastAsiaTheme="majorEastAsia" w:hAnsi="Times New Roman" w:cs="Times New Roman"/>
          <w:b/>
          <w:sz w:val="28"/>
          <w:szCs w:val="28"/>
        </w:rPr>
      </w:pPr>
    </w:p>
    <w:p w14:paraId="2542C446" w14:textId="77777777" w:rsidR="00612F35" w:rsidRPr="009F51FB" w:rsidRDefault="00612F35" w:rsidP="000F4E51">
      <w:pPr>
        <w:tabs>
          <w:tab w:val="left" w:pos="1134"/>
        </w:tabs>
        <w:spacing w:after="0" w:line="240" w:lineRule="auto"/>
        <w:ind w:firstLine="567"/>
        <w:jc w:val="right"/>
        <w:rPr>
          <w:rStyle w:val="apple-style-span"/>
          <w:rFonts w:ascii="Times New Roman" w:eastAsiaTheme="majorEastAsia" w:hAnsi="Times New Roman" w:cs="Times New Roman"/>
          <w:b/>
          <w:sz w:val="28"/>
          <w:szCs w:val="28"/>
        </w:rPr>
      </w:pPr>
    </w:p>
    <w:p w14:paraId="0D7078C4" w14:textId="77777777" w:rsidR="00612F35" w:rsidRPr="009F51FB" w:rsidRDefault="00612F35" w:rsidP="000F4E51">
      <w:pPr>
        <w:tabs>
          <w:tab w:val="left" w:pos="1134"/>
        </w:tabs>
        <w:spacing w:after="0" w:line="240" w:lineRule="auto"/>
        <w:ind w:firstLine="567"/>
        <w:jc w:val="right"/>
        <w:rPr>
          <w:rStyle w:val="apple-style-span"/>
          <w:rFonts w:ascii="Times New Roman" w:eastAsiaTheme="majorEastAsia" w:hAnsi="Times New Roman" w:cs="Times New Roman"/>
          <w:b/>
          <w:sz w:val="28"/>
          <w:szCs w:val="28"/>
        </w:rPr>
      </w:pPr>
    </w:p>
    <w:p w14:paraId="2ED5A7AF" w14:textId="77777777" w:rsidR="00612F35" w:rsidRPr="009F51FB" w:rsidRDefault="00612F35" w:rsidP="000F4E51">
      <w:pPr>
        <w:tabs>
          <w:tab w:val="left" w:pos="1134"/>
        </w:tabs>
        <w:spacing w:after="0" w:line="240" w:lineRule="auto"/>
        <w:ind w:firstLine="567"/>
        <w:jc w:val="right"/>
        <w:rPr>
          <w:rStyle w:val="apple-style-span"/>
          <w:rFonts w:ascii="Times New Roman" w:eastAsiaTheme="majorEastAsia" w:hAnsi="Times New Roman" w:cs="Times New Roman"/>
          <w:b/>
          <w:sz w:val="28"/>
          <w:szCs w:val="28"/>
        </w:rPr>
      </w:pPr>
    </w:p>
    <w:p w14:paraId="558EAC0E" w14:textId="76E95247" w:rsidR="00612F35" w:rsidRPr="005E6F1B" w:rsidRDefault="005E6F1B" w:rsidP="005E6F1B">
      <w:pPr>
        <w:tabs>
          <w:tab w:val="left" w:pos="1134"/>
        </w:tabs>
        <w:spacing w:after="0" w:line="240" w:lineRule="auto"/>
        <w:ind w:firstLine="567"/>
        <w:rPr>
          <w:rStyle w:val="apple-style-span"/>
          <w:rFonts w:ascii="Times New Roman" w:eastAsiaTheme="majorEastAsia" w:hAnsi="Times New Roman" w:cs="Times New Roman"/>
          <w:sz w:val="28"/>
          <w:szCs w:val="28"/>
        </w:rPr>
      </w:pPr>
      <w:r>
        <w:rPr>
          <w:rStyle w:val="apple-style-span"/>
          <w:rFonts w:ascii="Times New Roman" w:eastAsiaTheme="majorEastAsia" w:hAnsi="Times New Roman" w:cs="Times New Roman"/>
          <w:sz w:val="28"/>
          <w:szCs w:val="28"/>
        </w:rPr>
        <w:tab/>
      </w:r>
      <w:r>
        <w:rPr>
          <w:rStyle w:val="apple-style-span"/>
          <w:rFonts w:ascii="Times New Roman" w:eastAsiaTheme="majorEastAsia" w:hAnsi="Times New Roman" w:cs="Times New Roman"/>
          <w:sz w:val="28"/>
          <w:szCs w:val="28"/>
        </w:rPr>
        <w:tab/>
      </w:r>
      <w:r>
        <w:rPr>
          <w:rStyle w:val="apple-style-span"/>
          <w:rFonts w:ascii="Times New Roman" w:eastAsiaTheme="majorEastAsia" w:hAnsi="Times New Roman" w:cs="Times New Roman"/>
          <w:sz w:val="28"/>
          <w:szCs w:val="28"/>
        </w:rPr>
        <w:tab/>
      </w:r>
      <w:r>
        <w:rPr>
          <w:rStyle w:val="apple-style-span"/>
          <w:rFonts w:ascii="Times New Roman" w:eastAsiaTheme="majorEastAsia" w:hAnsi="Times New Roman" w:cs="Times New Roman"/>
          <w:sz w:val="28"/>
          <w:szCs w:val="28"/>
        </w:rPr>
        <w:tab/>
      </w:r>
      <w:r>
        <w:rPr>
          <w:rStyle w:val="apple-style-span"/>
          <w:rFonts w:ascii="Times New Roman" w:eastAsiaTheme="majorEastAsia" w:hAnsi="Times New Roman" w:cs="Times New Roman"/>
          <w:sz w:val="28"/>
          <w:szCs w:val="28"/>
        </w:rPr>
        <w:tab/>
      </w:r>
      <w:r>
        <w:rPr>
          <w:rStyle w:val="apple-style-span"/>
          <w:rFonts w:ascii="Times New Roman" w:eastAsiaTheme="majorEastAsia" w:hAnsi="Times New Roman" w:cs="Times New Roman"/>
          <w:sz w:val="28"/>
          <w:szCs w:val="28"/>
        </w:rPr>
        <w:tab/>
      </w:r>
      <w:r>
        <w:rPr>
          <w:rStyle w:val="apple-style-span"/>
          <w:rFonts w:ascii="Times New Roman" w:eastAsiaTheme="majorEastAsia" w:hAnsi="Times New Roman" w:cs="Times New Roman"/>
          <w:sz w:val="28"/>
          <w:szCs w:val="28"/>
        </w:rPr>
        <w:tab/>
        <w:t>Научный</w:t>
      </w:r>
      <w:r w:rsidR="00612F35" w:rsidRPr="005E6F1B">
        <w:rPr>
          <w:rStyle w:val="apple-style-span"/>
          <w:rFonts w:ascii="Times New Roman" w:eastAsiaTheme="majorEastAsia" w:hAnsi="Times New Roman" w:cs="Times New Roman"/>
          <w:sz w:val="28"/>
          <w:szCs w:val="28"/>
        </w:rPr>
        <w:t xml:space="preserve"> </w:t>
      </w:r>
      <w:r w:rsidRPr="005E6F1B">
        <w:rPr>
          <w:rStyle w:val="apple-style-span"/>
          <w:rFonts w:ascii="Times New Roman" w:eastAsiaTheme="majorEastAsia" w:hAnsi="Times New Roman" w:cs="Times New Roman"/>
          <w:sz w:val="28"/>
          <w:szCs w:val="28"/>
        </w:rPr>
        <w:t>консульт</w:t>
      </w:r>
      <w:r>
        <w:rPr>
          <w:rStyle w:val="apple-style-span"/>
          <w:rFonts w:ascii="Times New Roman" w:eastAsiaTheme="majorEastAsia" w:hAnsi="Times New Roman" w:cs="Times New Roman"/>
          <w:sz w:val="28"/>
          <w:szCs w:val="28"/>
        </w:rPr>
        <w:t>ант</w:t>
      </w:r>
      <w:r w:rsidR="00612F35" w:rsidRPr="005E6F1B">
        <w:rPr>
          <w:rStyle w:val="apple-style-span"/>
          <w:rFonts w:ascii="Times New Roman" w:eastAsiaTheme="majorEastAsia" w:hAnsi="Times New Roman" w:cs="Times New Roman"/>
          <w:sz w:val="28"/>
          <w:szCs w:val="28"/>
        </w:rPr>
        <w:t>:</w:t>
      </w:r>
    </w:p>
    <w:p w14:paraId="5D6B79DD" w14:textId="7F7405D5" w:rsidR="00612F35" w:rsidRDefault="005E6F1B" w:rsidP="005E6F1B">
      <w:pPr>
        <w:tabs>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12F35" w:rsidRPr="009F51FB">
        <w:rPr>
          <w:rFonts w:ascii="Times New Roman" w:hAnsi="Times New Roman" w:cs="Times New Roman"/>
          <w:sz w:val="28"/>
          <w:szCs w:val="28"/>
        </w:rPr>
        <w:t xml:space="preserve">д.м.н. Дюсембеков Е.К. </w:t>
      </w:r>
    </w:p>
    <w:p w14:paraId="2110AC83" w14:textId="45C7206B" w:rsidR="005E6F1B" w:rsidRDefault="005E6F1B" w:rsidP="005E6F1B">
      <w:pPr>
        <w:tabs>
          <w:tab w:val="left" w:pos="1134"/>
        </w:tabs>
        <w:spacing w:after="0" w:line="240" w:lineRule="auto"/>
        <w:ind w:firstLine="567"/>
        <w:rPr>
          <w:rFonts w:ascii="Times New Roman" w:hAnsi="Times New Roman" w:cs="Times New Roman"/>
          <w:sz w:val="28"/>
          <w:szCs w:val="28"/>
        </w:rPr>
      </w:pPr>
    </w:p>
    <w:p w14:paraId="0333808B" w14:textId="173242D3" w:rsidR="005E6F1B" w:rsidRPr="009F51FB" w:rsidRDefault="005E6F1B" w:rsidP="005E6F1B">
      <w:pPr>
        <w:tabs>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Зарубежный консультант:</w:t>
      </w:r>
    </w:p>
    <w:p w14:paraId="7F2EF8E2" w14:textId="7B1BD0CC" w:rsidR="00612F35" w:rsidRPr="009F51FB" w:rsidRDefault="005E6F1B" w:rsidP="005E6F1B">
      <w:pPr>
        <w:tabs>
          <w:tab w:val="left" w:pos="1134"/>
        </w:tabs>
        <w:spacing w:after="0" w:line="240" w:lineRule="auto"/>
        <w:ind w:firstLine="567"/>
        <w:rPr>
          <w:rFonts w:ascii="Times New Roman" w:eastAsia="Times New Roman" w:hAnsi="Times New Roman" w:cs="Times New Roman"/>
          <w:sz w:val="28"/>
          <w:szCs w:val="28"/>
        </w:rPr>
      </w:pPr>
      <w:r w:rsidRPr="005E6F1B">
        <w:rPr>
          <w:rFonts w:ascii="Times New Roman" w:hAnsi="Times New Roman" w:cs="Times New Roman"/>
          <w:sz w:val="28"/>
          <w:szCs w:val="28"/>
        </w:rPr>
        <w:tab/>
      </w:r>
      <w:r w:rsidRPr="005E6F1B">
        <w:rPr>
          <w:rFonts w:ascii="Times New Roman" w:hAnsi="Times New Roman" w:cs="Times New Roman"/>
          <w:sz w:val="28"/>
          <w:szCs w:val="28"/>
        </w:rPr>
        <w:tab/>
      </w:r>
      <w:r w:rsidRPr="005E6F1B">
        <w:rPr>
          <w:rFonts w:ascii="Times New Roman" w:hAnsi="Times New Roman" w:cs="Times New Roman"/>
          <w:sz w:val="28"/>
          <w:szCs w:val="28"/>
        </w:rPr>
        <w:tab/>
      </w:r>
      <w:r w:rsidRPr="005E6F1B">
        <w:rPr>
          <w:rFonts w:ascii="Times New Roman" w:hAnsi="Times New Roman" w:cs="Times New Roman"/>
          <w:sz w:val="28"/>
          <w:szCs w:val="28"/>
        </w:rPr>
        <w:tab/>
      </w:r>
      <w:r w:rsidRPr="005E6F1B">
        <w:rPr>
          <w:rFonts w:ascii="Times New Roman" w:hAnsi="Times New Roman" w:cs="Times New Roman"/>
          <w:sz w:val="28"/>
          <w:szCs w:val="28"/>
        </w:rPr>
        <w:tab/>
      </w:r>
      <w:r w:rsidRPr="005E6F1B">
        <w:rPr>
          <w:rFonts w:ascii="Times New Roman" w:hAnsi="Times New Roman" w:cs="Times New Roman"/>
          <w:sz w:val="28"/>
          <w:szCs w:val="28"/>
        </w:rPr>
        <w:tab/>
      </w:r>
      <w:r w:rsidRPr="005E6F1B">
        <w:rPr>
          <w:rFonts w:ascii="Times New Roman" w:hAnsi="Times New Roman" w:cs="Times New Roman"/>
          <w:sz w:val="28"/>
          <w:szCs w:val="28"/>
        </w:rPr>
        <w:tab/>
      </w:r>
      <w:r w:rsidR="00612F35" w:rsidRPr="009F51FB">
        <w:rPr>
          <w:rFonts w:ascii="Times New Roman" w:hAnsi="Times New Roman" w:cs="Times New Roman"/>
          <w:sz w:val="28"/>
          <w:szCs w:val="28"/>
          <w:lang w:val="en-US"/>
        </w:rPr>
        <w:t>PhD</w:t>
      </w:r>
      <w:r w:rsidR="00612F35" w:rsidRPr="009F51FB">
        <w:rPr>
          <w:rFonts w:ascii="Times New Roman" w:hAnsi="Times New Roman" w:cs="Times New Roman"/>
          <w:sz w:val="28"/>
          <w:szCs w:val="28"/>
        </w:rPr>
        <w:t>, профессор Аримантас Т.</w:t>
      </w:r>
    </w:p>
    <w:p w14:paraId="480F01FE" w14:textId="77777777" w:rsidR="00612F35" w:rsidRPr="009F51FB" w:rsidRDefault="00612F35" w:rsidP="005E6F1B">
      <w:pPr>
        <w:tabs>
          <w:tab w:val="left" w:pos="1134"/>
        </w:tabs>
        <w:spacing w:after="0" w:line="240" w:lineRule="auto"/>
        <w:ind w:firstLine="567"/>
        <w:rPr>
          <w:rFonts w:ascii="Times New Roman" w:hAnsi="Times New Roman" w:cs="Times New Roman"/>
          <w:b/>
          <w:sz w:val="28"/>
          <w:szCs w:val="28"/>
        </w:rPr>
      </w:pPr>
    </w:p>
    <w:p w14:paraId="02CC4BE9" w14:textId="77777777" w:rsidR="00612F35" w:rsidRPr="009F51FB" w:rsidRDefault="00612F35" w:rsidP="000F4E51">
      <w:pPr>
        <w:tabs>
          <w:tab w:val="left" w:pos="1134"/>
        </w:tabs>
        <w:spacing w:after="0" w:line="240" w:lineRule="auto"/>
        <w:ind w:firstLine="567"/>
        <w:jc w:val="both"/>
        <w:rPr>
          <w:rFonts w:ascii="Times New Roman" w:hAnsi="Times New Roman" w:cs="Times New Roman"/>
          <w:sz w:val="28"/>
          <w:szCs w:val="28"/>
        </w:rPr>
      </w:pPr>
    </w:p>
    <w:p w14:paraId="7288ECED" w14:textId="77777777" w:rsidR="00612F35" w:rsidRPr="009F51FB" w:rsidRDefault="00612F35" w:rsidP="000F4E51">
      <w:pPr>
        <w:tabs>
          <w:tab w:val="left" w:pos="1134"/>
        </w:tabs>
        <w:spacing w:after="0" w:line="240" w:lineRule="auto"/>
        <w:ind w:firstLine="567"/>
        <w:jc w:val="center"/>
        <w:rPr>
          <w:rFonts w:ascii="Times New Roman" w:hAnsi="Times New Roman" w:cs="Times New Roman"/>
          <w:sz w:val="28"/>
          <w:szCs w:val="28"/>
        </w:rPr>
      </w:pPr>
    </w:p>
    <w:p w14:paraId="09F644A7" w14:textId="77777777" w:rsidR="00612F35" w:rsidRPr="009F51FB" w:rsidRDefault="00612F35" w:rsidP="000F4E51">
      <w:pPr>
        <w:tabs>
          <w:tab w:val="left" w:pos="1134"/>
        </w:tabs>
        <w:spacing w:after="0" w:line="240" w:lineRule="auto"/>
        <w:ind w:firstLine="567"/>
        <w:rPr>
          <w:rFonts w:ascii="Times New Roman" w:hAnsi="Times New Roman" w:cs="Times New Roman"/>
          <w:b/>
          <w:sz w:val="28"/>
          <w:szCs w:val="28"/>
        </w:rPr>
      </w:pPr>
    </w:p>
    <w:p w14:paraId="47B46B25" w14:textId="77777777" w:rsidR="00612F35" w:rsidRPr="009F51FB" w:rsidRDefault="00612F35" w:rsidP="000F4E51">
      <w:pPr>
        <w:tabs>
          <w:tab w:val="left" w:pos="1134"/>
        </w:tabs>
        <w:spacing w:after="0" w:line="240" w:lineRule="auto"/>
        <w:ind w:firstLine="567"/>
        <w:rPr>
          <w:rFonts w:ascii="Times New Roman" w:hAnsi="Times New Roman" w:cs="Times New Roman"/>
          <w:b/>
          <w:sz w:val="28"/>
          <w:szCs w:val="28"/>
        </w:rPr>
      </w:pPr>
    </w:p>
    <w:p w14:paraId="6F7F5849" w14:textId="77777777" w:rsidR="00612F35" w:rsidRPr="009F51FB" w:rsidRDefault="00612F35" w:rsidP="000F4E51">
      <w:pPr>
        <w:tabs>
          <w:tab w:val="left" w:pos="1134"/>
        </w:tabs>
        <w:spacing w:after="0" w:line="240" w:lineRule="auto"/>
        <w:ind w:firstLine="567"/>
        <w:rPr>
          <w:rFonts w:ascii="Times New Roman" w:hAnsi="Times New Roman" w:cs="Times New Roman"/>
          <w:b/>
          <w:sz w:val="28"/>
          <w:szCs w:val="28"/>
        </w:rPr>
      </w:pPr>
    </w:p>
    <w:p w14:paraId="37E60DB7" w14:textId="4BF0B8B0" w:rsidR="00F36015" w:rsidRDefault="00F36015" w:rsidP="000F4E51">
      <w:pPr>
        <w:tabs>
          <w:tab w:val="left" w:pos="1134"/>
        </w:tabs>
        <w:spacing w:after="0" w:line="240" w:lineRule="auto"/>
        <w:ind w:firstLine="567"/>
        <w:jc w:val="center"/>
        <w:rPr>
          <w:rFonts w:ascii="Times New Roman" w:hAnsi="Times New Roman" w:cs="Times New Roman"/>
          <w:b/>
          <w:sz w:val="28"/>
          <w:szCs w:val="28"/>
        </w:rPr>
      </w:pPr>
    </w:p>
    <w:p w14:paraId="622F54C2" w14:textId="79FCC200" w:rsidR="00F36015" w:rsidRPr="005E6F1B" w:rsidRDefault="005E6F1B" w:rsidP="005E6F1B">
      <w:pPr>
        <w:tabs>
          <w:tab w:val="left" w:pos="1134"/>
        </w:tabs>
        <w:spacing w:after="0" w:line="240" w:lineRule="auto"/>
        <w:ind w:firstLine="567"/>
        <w:contextualSpacing/>
        <w:jc w:val="center"/>
        <w:rPr>
          <w:rFonts w:ascii="Times New Roman" w:hAnsi="Times New Roman" w:cs="Times New Roman"/>
          <w:sz w:val="28"/>
          <w:szCs w:val="28"/>
        </w:rPr>
      </w:pPr>
      <w:r w:rsidRPr="005E6F1B">
        <w:rPr>
          <w:rFonts w:ascii="Times New Roman" w:hAnsi="Times New Roman" w:cs="Times New Roman"/>
          <w:sz w:val="28"/>
          <w:szCs w:val="28"/>
        </w:rPr>
        <w:t>Республика Казахстан</w:t>
      </w:r>
    </w:p>
    <w:p w14:paraId="1C65D752" w14:textId="4BD213F1" w:rsidR="00F36015" w:rsidRPr="005E6F1B" w:rsidRDefault="00F36015" w:rsidP="000F4E51">
      <w:pPr>
        <w:tabs>
          <w:tab w:val="left" w:pos="1134"/>
        </w:tabs>
        <w:spacing w:after="0" w:line="240" w:lineRule="auto"/>
        <w:ind w:firstLine="567"/>
        <w:contextualSpacing/>
        <w:jc w:val="center"/>
        <w:rPr>
          <w:rFonts w:ascii="Times New Roman" w:hAnsi="Times New Roman" w:cs="Times New Roman"/>
          <w:sz w:val="28"/>
          <w:szCs w:val="28"/>
        </w:rPr>
        <w:sectPr w:rsidR="00F36015" w:rsidRPr="005E6F1B" w:rsidSect="00160FCA">
          <w:footerReference w:type="default" r:id="rId7"/>
          <w:pgSz w:w="11906" w:h="16838" w:code="9"/>
          <w:pgMar w:top="1134" w:right="567" w:bottom="1134" w:left="1701" w:header="709" w:footer="709" w:gutter="0"/>
          <w:cols w:space="708"/>
          <w:titlePg/>
          <w:docGrid w:linePitch="360"/>
        </w:sectPr>
      </w:pPr>
      <w:r w:rsidRPr="005E6F1B">
        <w:rPr>
          <w:rFonts w:ascii="Times New Roman" w:hAnsi="Times New Roman" w:cs="Times New Roman"/>
          <w:sz w:val="28"/>
          <w:szCs w:val="28"/>
        </w:rPr>
        <w:t>Алматы</w:t>
      </w:r>
      <w:r w:rsidR="005E6F1B">
        <w:rPr>
          <w:rFonts w:ascii="Times New Roman" w:hAnsi="Times New Roman" w:cs="Times New Roman"/>
          <w:sz w:val="28"/>
          <w:szCs w:val="28"/>
        </w:rPr>
        <w:t>,</w:t>
      </w:r>
      <w:r w:rsidRPr="005E6F1B">
        <w:rPr>
          <w:rFonts w:ascii="Times New Roman" w:hAnsi="Times New Roman" w:cs="Times New Roman"/>
          <w:sz w:val="28"/>
          <w:szCs w:val="28"/>
        </w:rPr>
        <w:t xml:space="preserve"> 202</w:t>
      </w:r>
      <w:r w:rsidR="00317136" w:rsidRPr="005E6F1B">
        <w:rPr>
          <w:rFonts w:ascii="Times New Roman" w:hAnsi="Times New Roman" w:cs="Times New Roman"/>
          <w:sz w:val="28"/>
          <w:szCs w:val="28"/>
        </w:rPr>
        <w:t>6</w:t>
      </w:r>
    </w:p>
    <w:p w14:paraId="08F45705" w14:textId="01D7B1B4" w:rsidR="00612F35" w:rsidRPr="009F51FB" w:rsidRDefault="005E6F1B" w:rsidP="000F4E51">
      <w:pPr>
        <w:tabs>
          <w:tab w:val="left" w:pos="1134"/>
        </w:tabs>
        <w:spacing w:after="0" w:line="240" w:lineRule="auto"/>
        <w:ind w:firstLine="567"/>
        <w:jc w:val="center"/>
        <w:rPr>
          <w:rStyle w:val="apple-style-span"/>
          <w:rFonts w:ascii="Times New Roman" w:eastAsiaTheme="majorEastAsia" w:hAnsi="Times New Roman" w:cs="Times New Roman"/>
          <w:b/>
          <w:sz w:val="28"/>
          <w:szCs w:val="28"/>
        </w:rPr>
      </w:pPr>
      <w:r w:rsidRPr="009F51FB">
        <w:rPr>
          <w:rStyle w:val="apple-style-span"/>
          <w:rFonts w:ascii="Times New Roman" w:eastAsiaTheme="majorEastAsia" w:hAnsi="Times New Roman" w:cs="Times New Roman"/>
          <w:b/>
          <w:sz w:val="28"/>
          <w:szCs w:val="28"/>
        </w:rPr>
        <w:lastRenderedPageBreak/>
        <w:t>СОДЕРЖАНИЕ</w:t>
      </w:r>
    </w:p>
    <w:p w14:paraId="20BB0EE5" w14:textId="77777777" w:rsidR="00612F35" w:rsidRPr="009F51FB" w:rsidRDefault="00612F35" w:rsidP="000F4E51">
      <w:pPr>
        <w:tabs>
          <w:tab w:val="left" w:pos="1134"/>
        </w:tabs>
        <w:spacing w:after="0" w:line="240" w:lineRule="auto"/>
        <w:ind w:firstLine="567"/>
        <w:jc w:val="both"/>
        <w:rPr>
          <w:rStyle w:val="apple-style-span"/>
          <w:rFonts w:ascii="Times New Roman" w:eastAsiaTheme="majorEastAsia" w:hAnsi="Times New Roman" w:cs="Times New Roman"/>
          <w:sz w:val="28"/>
          <w:szCs w:val="28"/>
        </w:rPr>
      </w:pPr>
    </w:p>
    <w:tbl>
      <w:tblPr>
        <w:tblStyle w:val="ae"/>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9"/>
        <w:gridCol w:w="659"/>
      </w:tblGrid>
      <w:tr w:rsidR="00161244" w:rsidRPr="00643205" w14:paraId="3C550F3F" w14:textId="77777777" w:rsidTr="002B29EC">
        <w:tc>
          <w:tcPr>
            <w:tcW w:w="9072" w:type="dxa"/>
          </w:tcPr>
          <w:p w14:paraId="0ED9E72E" w14:textId="15E6E1DC" w:rsidR="00161244" w:rsidRPr="00317136" w:rsidRDefault="00161244" w:rsidP="000F4E51">
            <w:pPr>
              <w:pStyle w:val="1"/>
              <w:spacing w:before="0"/>
              <w:ind w:right="75" w:firstLine="23"/>
              <w:jc w:val="both"/>
              <w:outlineLvl w:val="0"/>
              <w:rPr>
                <w:rFonts w:ascii="Times New Roman" w:hAnsi="Times New Roman" w:cs="Times New Roman"/>
                <w:b/>
                <w:bCs/>
                <w:color w:val="auto"/>
                <w:sz w:val="28"/>
                <w:szCs w:val="28"/>
              </w:rPr>
            </w:pPr>
            <w:r w:rsidRPr="00317136">
              <w:rPr>
                <w:rFonts w:ascii="Times New Roman" w:hAnsi="Times New Roman" w:cs="Times New Roman"/>
                <w:b/>
                <w:bCs/>
                <w:color w:val="auto"/>
                <w:sz w:val="28"/>
                <w:szCs w:val="28"/>
              </w:rPr>
              <w:t>НОРМАТИВНЫЕ ССЫЛКИ……</w:t>
            </w:r>
            <w:r w:rsidR="00643205" w:rsidRPr="00317136">
              <w:rPr>
                <w:rFonts w:ascii="Times New Roman" w:hAnsi="Times New Roman" w:cs="Times New Roman"/>
                <w:b/>
                <w:bCs/>
                <w:color w:val="auto"/>
                <w:sz w:val="28"/>
                <w:szCs w:val="28"/>
              </w:rPr>
              <w:t>……………………</w:t>
            </w:r>
            <w:r w:rsidRPr="00317136">
              <w:rPr>
                <w:rFonts w:ascii="Times New Roman" w:hAnsi="Times New Roman" w:cs="Times New Roman"/>
                <w:b/>
                <w:bCs/>
                <w:color w:val="auto"/>
                <w:sz w:val="28"/>
                <w:szCs w:val="28"/>
                <w:lang w:val="en-US"/>
              </w:rPr>
              <w:t>………</w:t>
            </w:r>
            <w:r w:rsidRPr="00317136">
              <w:rPr>
                <w:rFonts w:ascii="Times New Roman" w:hAnsi="Times New Roman" w:cs="Times New Roman"/>
                <w:b/>
                <w:bCs/>
                <w:color w:val="auto"/>
                <w:sz w:val="28"/>
                <w:szCs w:val="28"/>
              </w:rPr>
              <w:t>……</w:t>
            </w:r>
            <w:r w:rsidR="007B60F0">
              <w:rPr>
                <w:rFonts w:ascii="Times New Roman" w:hAnsi="Times New Roman" w:cs="Times New Roman"/>
                <w:b/>
                <w:bCs/>
                <w:color w:val="auto"/>
                <w:sz w:val="28"/>
                <w:szCs w:val="28"/>
              </w:rPr>
              <w:t>…..</w:t>
            </w:r>
          </w:p>
        </w:tc>
        <w:tc>
          <w:tcPr>
            <w:tcW w:w="426" w:type="dxa"/>
          </w:tcPr>
          <w:p w14:paraId="5886897B" w14:textId="77777777" w:rsidR="00161244" w:rsidRPr="00643205" w:rsidRDefault="00161244" w:rsidP="000F4E51">
            <w:pPr>
              <w:ind w:firstLine="23"/>
              <w:jc w:val="center"/>
              <w:rPr>
                <w:rFonts w:ascii="Times New Roman" w:hAnsi="Times New Roman" w:cs="Times New Roman"/>
                <w:sz w:val="28"/>
                <w:szCs w:val="28"/>
              </w:rPr>
            </w:pPr>
            <w:r w:rsidRPr="00643205">
              <w:rPr>
                <w:rFonts w:ascii="Times New Roman" w:hAnsi="Times New Roman" w:cs="Times New Roman"/>
                <w:sz w:val="28"/>
                <w:szCs w:val="28"/>
              </w:rPr>
              <w:t>3</w:t>
            </w:r>
          </w:p>
        </w:tc>
      </w:tr>
      <w:tr w:rsidR="00161244" w:rsidRPr="00643205" w14:paraId="2FB463E2" w14:textId="77777777" w:rsidTr="002B29EC">
        <w:tc>
          <w:tcPr>
            <w:tcW w:w="9072" w:type="dxa"/>
          </w:tcPr>
          <w:p w14:paraId="2636BC61" w14:textId="2A0C3765" w:rsidR="00161244" w:rsidRPr="007B60F0" w:rsidRDefault="00161244" w:rsidP="000F4E51">
            <w:pPr>
              <w:pStyle w:val="1"/>
              <w:spacing w:before="0"/>
              <w:ind w:right="75" w:firstLine="23"/>
              <w:jc w:val="both"/>
              <w:outlineLvl w:val="0"/>
              <w:rPr>
                <w:rFonts w:ascii="Times New Roman" w:hAnsi="Times New Roman" w:cs="Times New Roman"/>
                <w:b/>
                <w:bCs/>
                <w:color w:val="auto"/>
                <w:sz w:val="28"/>
                <w:szCs w:val="28"/>
              </w:rPr>
            </w:pPr>
            <w:r w:rsidRPr="00317136">
              <w:rPr>
                <w:rFonts w:ascii="Times New Roman" w:hAnsi="Times New Roman" w:cs="Times New Roman"/>
                <w:b/>
                <w:bCs/>
                <w:color w:val="auto"/>
                <w:sz w:val="28"/>
                <w:szCs w:val="28"/>
              </w:rPr>
              <w:t>ОПРЕДЕЛЕНИЯ……………………………………</w:t>
            </w:r>
            <w:r w:rsidRPr="00317136">
              <w:rPr>
                <w:rFonts w:ascii="Times New Roman" w:hAnsi="Times New Roman" w:cs="Times New Roman"/>
                <w:b/>
                <w:bCs/>
                <w:color w:val="auto"/>
                <w:sz w:val="28"/>
                <w:szCs w:val="28"/>
                <w:lang w:val="en-US"/>
              </w:rPr>
              <w:t>…...………………</w:t>
            </w:r>
          </w:p>
        </w:tc>
        <w:tc>
          <w:tcPr>
            <w:tcW w:w="426" w:type="dxa"/>
          </w:tcPr>
          <w:p w14:paraId="1CE59C93" w14:textId="77777777" w:rsidR="00161244" w:rsidRPr="00643205" w:rsidRDefault="00161244" w:rsidP="000F4E51">
            <w:pPr>
              <w:ind w:firstLine="23"/>
              <w:jc w:val="center"/>
              <w:rPr>
                <w:rFonts w:ascii="Times New Roman" w:hAnsi="Times New Roman" w:cs="Times New Roman"/>
                <w:sz w:val="28"/>
                <w:szCs w:val="28"/>
              </w:rPr>
            </w:pPr>
            <w:r w:rsidRPr="00643205">
              <w:rPr>
                <w:rFonts w:ascii="Times New Roman" w:hAnsi="Times New Roman" w:cs="Times New Roman"/>
                <w:sz w:val="28"/>
                <w:szCs w:val="28"/>
              </w:rPr>
              <w:t>4</w:t>
            </w:r>
          </w:p>
        </w:tc>
      </w:tr>
      <w:tr w:rsidR="00161244" w:rsidRPr="00643205" w14:paraId="08997DE3" w14:textId="77777777" w:rsidTr="002B29EC">
        <w:tc>
          <w:tcPr>
            <w:tcW w:w="9072" w:type="dxa"/>
          </w:tcPr>
          <w:p w14:paraId="36689C96" w14:textId="496293B0" w:rsidR="00161244" w:rsidRPr="00317136" w:rsidRDefault="00161244" w:rsidP="000F4E51">
            <w:pPr>
              <w:pStyle w:val="1"/>
              <w:spacing w:before="0"/>
              <w:ind w:right="75" w:firstLine="23"/>
              <w:jc w:val="both"/>
              <w:outlineLvl w:val="0"/>
              <w:rPr>
                <w:rFonts w:ascii="Times New Roman" w:hAnsi="Times New Roman" w:cs="Times New Roman"/>
                <w:b/>
                <w:bCs/>
                <w:color w:val="auto"/>
                <w:sz w:val="28"/>
                <w:szCs w:val="28"/>
              </w:rPr>
            </w:pPr>
            <w:r w:rsidRPr="00317136">
              <w:rPr>
                <w:rFonts w:ascii="Times New Roman" w:hAnsi="Times New Roman" w:cs="Times New Roman"/>
                <w:b/>
                <w:bCs/>
                <w:color w:val="auto"/>
                <w:sz w:val="28"/>
                <w:szCs w:val="28"/>
              </w:rPr>
              <w:t>ОБОЗНАЧЕНИЯ И СОКРАЩЕНИЯ…………</w:t>
            </w:r>
            <w:r w:rsidR="007B60F0">
              <w:rPr>
                <w:rFonts w:ascii="Times New Roman" w:hAnsi="Times New Roman" w:cs="Times New Roman"/>
                <w:b/>
                <w:bCs/>
                <w:color w:val="auto"/>
                <w:sz w:val="28"/>
                <w:szCs w:val="28"/>
              </w:rPr>
              <w:t>………………………</w:t>
            </w:r>
          </w:p>
        </w:tc>
        <w:tc>
          <w:tcPr>
            <w:tcW w:w="426" w:type="dxa"/>
          </w:tcPr>
          <w:p w14:paraId="664BE4E8" w14:textId="77777777" w:rsidR="00161244" w:rsidRPr="00643205" w:rsidRDefault="00161244" w:rsidP="000F4E51">
            <w:pPr>
              <w:ind w:firstLine="23"/>
              <w:jc w:val="center"/>
              <w:rPr>
                <w:rFonts w:ascii="Times New Roman" w:hAnsi="Times New Roman" w:cs="Times New Roman"/>
                <w:sz w:val="28"/>
                <w:szCs w:val="28"/>
              </w:rPr>
            </w:pPr>
            <w:r w:rsidRPr="00643205">
              <w:rPr>
                <w:rFonts w:ascii="Times New Roman" w:hAnsi="Times New Roman" w:cs="Times New Roman"/>
                <w:sz w:val="28"/>
                <w:szCs w:val="28"/>
              </w:rPr>
              <w:t>5</w:t>
            </w:r>
          </w:p>
        </w:tc>
      </w:tr>
      <w:tr w:rsidR="00161244" w:rsidRPr="00643205" w14:paraId="6BAEDE0A" w14:textId="77777777" w:rsidTr="002B29EC">
        <w:tc>
          <w:tcPr>
            <w:tcW w:w="9072" w:type="dxa"/>
          </w:tcPr>
          <w:p w14:paraId="037F2CA2" w14:textId="4BA1FB00" w:rsidR="00161244" w:rsidRPr="00317136" w:rsidRDefault="00161244" w:rsidP="000F4E51">
            <w:pPr>
              <w:pStyle w:val="1"/>
              <w:spacing w:before="0"/>
              <w:ind w:right="75" w:firstLine="23"/>
              <w:jc w:val="both"/>
              <w:outlineLvl w:val="0"/>
              <w:rPr>
                <w:rFonts w:ascii="Times New Roman" w:hAnsi="Times New Roman" w:cs="Times New Roman"/>
                <w:b/>
                <w:bCs/>
                <w:color w:val="auto"/>
                <w:sz w:val="28"/>
                <w:szCs w:val="28"/>
              </w:rPr>
            </w:pPr>
            <w:r w:rsidRPr="00317136">
              <w:rPr>
                <w:rFonts w:ascii="Times New Roman" w:hAnsi="Times New Roman" w:cs="Times New Roman"/>
                <w:b/>
                <w:bCs/>
                <w:color w:val="auto"/>
                <w:sz w:val="28"/>
                <w:szCs w:val="28"/>
              </w:rPr>
              <w:t>ВВЕДЕНИЕ…………………………………</w:t>
            </w:r>
            <w:r w:rsidRPr="00317136">
              <w:rPr>
                <w:rFonts w:ascii="Times New Roman" w:hAnsi="Times New Roman" w:cs="Times New Roman"/>
                <w:b/>
                <w:bCs/>
                <w:color w:val="auto"/>
                <w:sz w:val="28"/>
                <w:szCs w:val="28"/>
                <w:lang w:val="en-US"/>
              </w:rPr>
              <w:t>…………………...……….</w:t>
            </w:r>
          </w:p>
        </w:tc>
        <w:tc>
          <w:tcPr>
            <w:tcW w:w="426" w:type="dxa"/>
          </w:tcPr>
          <w:p w14:paraId="40DFFB0C" w14:textId="77777777" w:rsidR="00161244" w:rsidRPr="00643205" w:rsidRDefault="00161244" w:rsidP="000F4E51">
            <w:pPr>
              <w:ind w:firstLine="23"/>
              <w:jc w:val="center"/>
              <w:rPr>
                <w:rFonts w:ascii="Times New Roman" w:hAnsi="Times New Roman" w:cs="Times New Roman"/>
                <w:sz w:val="28"/>
                <w:szCs w:val="28"/>
              </w:rPr>
            </w:pPr>
            <w:r w:rsidRPr="00643205">
              <w:rPr>
                <w:rFonts w:ascii="Times New Roman" w:hAnsi="Times New Roman" w:cs="Times New Roman"/>
                <w:sz w:val="28"/>
                <w:szCs w:val="28"/>
              </w:rPr>
              <w:t>6</w:t>
            </w:r>
          </w:p>
        </w:tc>
      </w:tr>
      <w:tr w:rsidR="00161244" w:rsidRPr="00643205" w14:paraId="295D3586" w14:textId="77777777" w:rsidTr="002B29EC">
        <w:tc>
          <w:tcPr>
            <w:tcW w:w="9072" w:type="dxa"/>
          </w:tcPr>
          <w:p w14:paraId="2E8907F1" w14:textId="003FB333" w:rsidR="00161244" w:rsidRPr="00643205" w:rsidRDefault="00161244">
            <w:pPr>
              <w:pStyle w:val="a6"/>
              <w:numPr>
                <w:ilvl w:val="0"/>
                <w:numId w:val="15"/>
              </w:numPr>
              <w:ind w:left="0" w:right="75" w:firstLine="37"/>
              <w:jc w:val="both"/>
              <w:rPr>
                <w:sz w:val="28"/>
                <w:szCs w:val="28"/>
              </w:rPr>
            </w:pPr>
            <w:r w:rsidRPr="00E11A4F">
              <w:rPr>
                <w:b/>
                <w:bCs/>
                <w:sz w:val="28"/>
                <w:szCs w:val="28"/>
              </w:rPr>
              <w:t>СОВРЕМЕННЫЕ АСПЕКТЫ ОКАЗАНИЯ МЕДИЦИНСКОЙ ПОМОЩИ БОЛЬНЫМ С ОСТРЫМИ НАРУШЕНИЯМИ МОЗГОВОГО КРОВООБРАЩЕНИЯ</w:t>
            </w:r>
            <w:r w:rsidRPr="00E11A4F">
              <w:rPr>
                <w:b/>
                <w:bCs/>
                <w:i/>
                <w:iCs/>
                <w:sz w:val="28"/>
                <w:szCs w:val="28"/>
              </w:rPr>
              <w:t xml:space="preserve"> </w:t>
            </w:r>
            <w:r w:rsidR="000838DD" w:rsidRPr="00E11A4F">
              <w:rPr>
                <w:b/>
                <w:bCs/>
                <w:i/>
                <w:iCs/>
                <w:sz w:val="28"/>
                <w:szCs w:val="28"/>
              </w:rPr>
              <w:t>(обзор литературы</w:t>
            </w:r>
            <w:r w:rsidR="007B60F0">
              <w:rPr>
                <w:i/>
                <w:iCs/>
                <w:sz w:val="28"/>
                <w:szCs w:val="28"/>
              </w:rPr>
              <w:t>)</w:t>
            </w:r>
            <w:r w:rsidR="00E11A4F">
              <w:rPr>
                <w:i/>
                <w:iCs/>
                <w:sz w:val="28"/>
                <w:szCs w:val="28"/>
              </w:rPr>
              <w:t>………………………………………………………………………</w:t>
            </w:r>
          </w:p>
        </w:tc>
        <w:tc>
          <w:tcPr>
            <w:tcW w:w="426" w:type="dxa"/>
          </w:tcPr>
          <w:p w14:paraId="5A026804" w14:textId="77777777" w:rsidR="00161244" w:rsidRPr="00643205" w:rsidRDefault="00161244" w:rsidP="000F4E51">
            <w:pPr>
              <w:ind w:firstLine="23"/>
              <w:jc w:val="center"/>
              <w:rPr>
                <w:rFonts w:ascii="Times New Roman" w:hAnsi="Times New Roman" w:cs="Times New Roman"/>
                <w:sz w:val="28"/>
                <w:szCs w:val="28"/>
                <w:lang w:val="kk-KZ"/>
              </w:rPr>
            </w:pPr>
            <w:r w:rsidRPr="00643205">
              <w:rPr>
                <w:rFonts w:ascii="Times New Roman" w:hAnsi="Times New Roman" w:cs="Times New Roman"/>
                <w:sz w:val="28"/>
                <w:szCs w:val="28"/>
                <w:lang w:val="kk-KZ"/>
              </w:rPr>
              <w:t>12</w:t>
            </w:r>
          </w:p>
        </w:tc>
      </w:tr>
      <w:tr w:rsidR="00161244" w:rsidRPr="00643205" w14:paraId="00CC1C85" w14:textId="77777777" w:rsidTr="002B29EC">
        <w:tc>
          <w:tcPr>
            <w:tcW w:w="9072" w:type="dxa"/>
          </w:tcPr>
          <w:p w14:paraId="2D95A02E" w14:textId="4CAB09E4" w:rsidR="00161244" w:rsidRPr="00643205" w:rsidRDefault="00161244">
            <w:pPr>
              <w:pStyle w:val="a6"/>
              <w:numPr>
                <w:ilvl w:val="1"/>
                <w:numId w:val="15"/>
              </w:numPr>
              <w:ind w:left="0" w:right="75" w:firstLine="37"/>
              <w:jc w:val="both"/>
              <w:rPr>
                <w:sz w:val="28"/>
                <w:szCs w:val="28"/>
              </w:rPr>
            </w:pPr>
            <w:r w:rsidRPr="00643205">
              <w:rPr>
                <w:sz w:val="28"/>
                <w:szCs w:val="28"/>
              </w:rPr>
              <w:t>Эпидемиология острых нарушений мозгового кровообращения…</w:t>
            </w:r>
            <w:r w:rsidR="007B60F0">
              <w:rPr>
                <w:sz w:val="28"/>
                <w:szCs w:val="28"/>
              </w:rPr>
              <w:t>………………………………………………………..</w:t>
            </w:r>
          </w:p>
        </w:tc>
        <w:tc>
          <w:tcPr>
            <w:tcW w:w="426" w:type="dxa"/>
          </w:tcPr>
          <w:p w14:paraId="602EDC73" w14:textId="77777777" w:rsidR="00161244" w:rsidRPr="00643205" w:rsidRDefault="00161244" w:rsidP="000F4E51">
            <w:pPr>
              <w:ind w:firstLine="23"/>
              <w:jc w:val="center"/>
              <w:rPr>
                <w:rFonts w:ascii="Times New Roman" w:hAnsi="Times New Roman" w:cs="Times New Roman"/>
                <w:sz w:val="28"/>
                <w:szCs w:val="28"/>
                <w:lang w:val="kk-KZ"/>
              </w:rPr>
            </w:pPr>
            <w:r w:rsidRPr="00643205">
              <w:rPr>
                <w:rFonts w:ascii="Times New Roman" w:hAnsi="Times New Roman" w:cs="Times New Roman"/>
                <w:sz w:val="28"/>
                <w:szCs w:val="28"/>
                <w:lang w:val="kk-KZ"/>
              </w:rPr>
              <w:t>12</w:t>
            </w:r>
          </w:p>
        </w:tc>
      </w:tr>
      <w:tr w:rsidR="00161244" w:rsidRPr="00643205" w14:paraId="18AB37FC" w14:textId="77777777" w:rsidTr="002B29EC">
        <w:tc>
          <w:tcPr>
            <w:tcW w:w="9072" w:type="dxa"/>
          </w:tcPr>
          <w:p w14:paraId="316ECDA5" w14:textId="0C30444A" w:rsidR="00161244" w:rsidRPr="00643205" w:rsidRDefault="00161244">
            <w:pPr>
              <w:pStyle w:val="a6"/>
              <w:numPr>
                <w:ilvl w:val="1"/>
                <w:numId w:val="15"/>
              </w:numPr>
              <w:ind w:left="0" w:right="75" w:firstLine="37"/>
              <w:jc w:val="both"/>
              <w:rPr>
                <w:sz w:val="28"/>
                <w:szCs w:val="28"/>
              </w:rPr>
            </w:pPr>
            <w:r w:rsidRPr="00643205">
              <w:rPr>
                <w:sz w:val="28"/>
                <w:szCs w:val="28"/>
              </w:rPr>
              <w:t xml:space="preserve">Факторы риска развития острых нарушений мозгового кровообращения </w:t>
            </w:r>
            <w:r w:rsidR="00643205" w:rsidRPr="00643205">
              <w:rPr>
                <w:sz w:val="28"/>
                <w:szCs w:val="28"/>
              </w:rPr>
              <w:t>……………</w:t>
            </w:r>
            <w:r w:rsidR="007B60F0">
              <w:rPr>
                <w:sz w:val="28"/>
                <w:szCs w:val="28"/>
              </w:rPr>
              <w:t>……………………………………………..</w:t>
            </w:r>
          </w:p>
        </w:tc>
        <w:tc>
          <w:tcPr>
            <w:tcW w:w="426" w:type="dxa"/>
          </w:tcPr>
          <w:p w14:paraId="02D3F6AF" w14:textId="77777777" w:rsidR="00161244" w:rsidRPr="00643205" w:rsidRDefault="00161244" w:rsidP="000F4E51">
            <w:pPr>
              <w:ind w:firstLine="23"/>
              <w:jc w:val="center"/>
              <w:rPr>
                <w:rFonts w:ascii="Times New Roman" w:hAnsi="Times New Roman" w:cs="Times New Roman"/>
                <w:sz w:val="28"/>
                <w:szCs w:val="28"/>
                <w:lang w:val="kk-KZ"/>
              </w:rPr>
            </w:pPr>
            <w:r w:rsidRPr="00643205">
              <w:rPr>
                <w:rFonts w:ascii="Times New Roman" w:hAnsi="Times New Roman" w:cs="Times New Roman"/>
                <w:sz w:val="28"/>
                <w:szCs w:val="28"/>
                <w:lang w:val="kk-KZ"/>
              </w:rPr>
              <w:t>16</w:t>
            </w:r>
          </w:p>
        </w:tc>
      </w:tr>
      <w:tr w:rsidR="00161244" w:rsidRPr="00643205" w14:paraId="17F39796" w14:textId="77777777" w:rsidTr="002B29EC">
        <w:tc>
          <w:tcPr>
            <w:tcW w:w="9072" w:type="dxa"/>
          </w:tcPr>
          <w:p w14:paraId="7B8F744F" w14:textId="7D04A046" w:rsidR="00161244" w:rsidRPr="00643205" w:rsidRDefault="00161244">
            <w:pPr>
              <w:pStyle w:val="a6"/>
              <w:numPr>
                <w:ilvl w:val="1"/>
                <w:numId w:val="15"/>
              </w:numPr>
              <w:ind w:left="0" w:right="75" w:firstLine="37"/>
              <w:jc w:val="both"/>
              <w:rPr>
                <w:sz w:val="28"/>
                <w:szCs w:val="28"/>
              </w:rPr>
            </w:pPr>
            <w:r w:rsidRPr="00643205">
              <w:rPr>
                <w:sz w:val="28"/>
                <w:szCs w:val="28"/>
              </w:rPr>
              <w:t>Организационные аспекты оказания медицинской помощи при острых нарушениях мозгового кровообращения</w:t>
            </w:r>
            <w:r w:rsidR="00643205" w:rsidRPr="00643205">
              <w:rPr>
                <w:sz w:val="28"/>
                <w:szCs w:val="28"/>
              </w:rPr>
              <w:t>………………</w:t>
            </w:r>
            <w:r w:rsidR="007B60F0">
              <w:rPr>
                <w:sz w:val="28"/>
                <w:szCs w:val="28"/>
              </w:rPr>
              <w:t>………..</w:t>
            </w:r>
          </w:p>
        </w:tc>
        <w:tc>
          <w:tcPr>
            <w:tcW w:w="426" w:type="dxa"/>
          </w:tcPr>
          <w:p w14:paraId="496DE4E9" w14:textId="77777777" w:rsidR="00161244" w:rsidRPr="00643205" w:rsidRDefault="00161244" w:rsidP="000F4E51">
            <w:pPr>
              <w:ind w:firstLine="23"/>
              <w:jc w:val="center"/>
              <w:rPr>
                <w:rFonts w:ascii="Times New Roman" w:hAnsi="Times New Roman" w:cs="Times New Roman"/>
                <w:sz w:val="28"/>
                <w:szCs w:val="28"/>
                <w:lang w:val="kk-KZ"/>
              </w:rPr>
            </w:pPr>
            <w:r w:rsidRPr="00643205">
              <w:rPr>
                <w:rFonts w:ascii="Times New Roman" w:hAnsi="Times New Roman" w:cs="Times New Roman"/>
                <w:sz w:val="28"/>
                <w:szCs w:val="28"/>
                <w:lang w:val="kk-KZ"/>
              </w:rPr>
              <w:t>21</w:t>
            </w:r>
          </w:p>
        </w:tc>
      </w:tr>
      <w:tr w:rsidR="00161244" w:rsidRPr="00643205" w14:paraId="73B053A9" w14:textId="77777777" w:rsidTr="002B29EC">
        <w:tc>
          <w:tcPr>
            <w:tcW w:w="9072" w:type="dxa"/>
          </w:tcPr>
          <w:p w14:paraId="770B2045" w14:textId="18D2CEAB" w:rsidR="00161244" w:rsidRPr="00643205" w:rsidRDefault="00161244">
            <w:pPr>
              <w:pStyle w:val="a6"/>
              <w:numPr>
                <w:ilvl w:val="1"/>
                <w:numId w:val="15"/>
              </w:numPr>
              <w:ind w:left="0" w:right="75" w:firstLine="37"/>
              <w:jc w:val="both"/>
              <w:rPr>
                <w:sz w:val="28"/>
                <w:szCs w:val="28"/>
              </w:rPr>
            </w:pPr>
            <w:r w:rsidRPr="00643205">
              <w:rPr>
                <w:sz w:val="28"/>
                <w:szCs w:val="28"/>
              </w:rPr>
              <w:t>Организация и совершенствование инсультной службы в Республике Казахстан</w:t>
            </w:r>
            <w:r w:rsidR="00643205" w:rsidRPr="00643205">
              <w:rPr>
                <w:sz w:val="28"/>
                <w:szCs w:val="28"/>
              </w:rPr>
              <w:t>……………………………………</w:t>
            </w:r>
            <w:r w:rsidR="007B60F0">
              <w:rPr>
                <w:sz w:val="28"/>
                <w:szCs w:val="28"/>
              </w:rPr>
              <w:t>……………….</w:t>
            </w:r>
          </w:p>
        </w:tc>
        <w:tc>
          <w:tcPr>
            <w:tcW w:w="426" w:type="dxa"/>
          </w:tcPr>
          <w:p w14:paraId="00E1DB8D" w14:textId="77777777" w:rsidR="00161244" w:rsidRPr="00643205" w:rsidRDefault="00161244" w:rsidP="000F4E51">
            <w:pPr>
              <w:ind w:firstLine="23"/>
              <w:jc w:val="center"/>
              <w:rPr>
                <w:rFonts w:ascii="Times New Roman" w:hAnsi="Times New Roman" w:cs="Times New Roman"/>
                <w:sz w:val="28"/>
                <w:szCs w:val="28"/>
                <w:lang w:val="kk-KZ"/>
              </w:rPr>
            </w:pPr>
            <w:r w:rsidRPr="00643205">
              <w:rPr>
                <w:rFonts w:ascii="Times New Roman" w:hAnsi="Times New Roman" w:cs="Times New Roman"/>
                <w:sz w:val="28"/>
                <w:szCs w:val="28"/>
                <w:lang w:val="kk-KZ"/>
              </w:rPr>
              <w:t>28</w:t>
            </w:r>
          </w:p>
        </w:tc>
      </w:tr>
      <w:tr w:rsidR="00161244" w:rsidRPr="00643205" w14:paraId="36FBA6CA" w14:textId="77777777" w:rsidTr="002B29EC">
        <w:tc>
          <w:tcPr>
            <w:tcW w:w="9072" w:type="dxa"/>
          </w:tcPr>
          <w:p w14:paraId="4E867760" w14:textId="20B2617E" w:rsidR="00161244" w:rsidRPr="007B60F0" w:rsidRDefault="00161244" w:rsidP="000F4E51">
            <w:pPr>
              <w:pStyle w:val="1"/>
              <w:spacing w:before="0"/>
              <w:ind w:right="75" w:firstLine="37"/>
              <w:jc w:val="both"/>
              <w:outlineLvl w:val="0"/>
              <w:rPr>
                <w:rFonts w:ascii="Times New Roman" w:hAnsi="Times New Roman" w:cs="Times New Roman"/>
                <w:color w:val="auto"/>
                <w:sz w:val="28"/>
                <w:szCs w:val="28"/>
              </w:rPr>
            </w:pPr>
            <w:r w:rsidRPr="005E6F1B">
              <w:rPr>
                <w:rFonts w:ascii="Times New Roman" w:hAnsi="Times New Roman" w:cs="Times New Roman"/>
                <w:b/>
                <w:color w:val="auto"/>
                <w:sz w:val="28"/>
                <w:szCs w:val="28"/>
              </w:rPr>
              <w:t>2.</w:t>
            </w:r>
            <w:r w:rsidRPr="00643205">
              <w:rPr>
                <w:rFonts w:ascii="Times New Roman" w:hAnsi="Times New Roman" w:cs="Times New Roman"/>
                <w:color w:val="auto"/>
                <w:sz w:val="28"/>
                <w:szCs w:val="28"/>
              </w:rPr>
              <w:t xml:space="preserve"> </w:t>
            </w:r>
            <w:r w:rsidRPr="00317136">
              <w:rPr>
                <w:rFonts w:ascii="Times New Roman" w:hAnsi="Times New Roman" w:cs="Times New Roman"/>
                <w:b/>
                <w:bCs/>
                <w:color w:val="auto"/>
                <w:sz w:val="28"/>
                <w:szCs w:val="28"/>
              </w:rPr>
              <w:t>МАТЕРИАЛЫ И МЕТОДЫ ИССЛЕДОВАНИЯ</w:t>
            </w:r>
            <w:r w:rsidRPr="00643205">
              <w:rPr>
                <w:rFonts w:ascii="Times New Roman" w:hAnsi="Times New Roman" w:cs="Times New Roman"/>
                <w:color w:val="auto"/>
                <w:sz w:val="28"/>
                <w:szCs w:val="28"/>
              </w:rPr>
              <w:t>………</w:t>
            </w:r>
            <w:r w:rsidRPr="00643205">
              <w:rPr>
                <w:rFonts w:ascii="Times New Roman" w:hAnsi="Times New Roman" w:cs="Times New Roman"/>
                <w:color w:val="auto"/>
                <w:sz w:val="28"/>
                <w:szCs w:val="28"/>
                <w:lang w:val="en-US"/>
              </w:rPr>
              <w:t>……...</w:t>
            </w:r>
            <w:r w:rsidR="007B60F0">
              <w:rPr>
                <w:rFonts w:ascii="Times New Roman" w:hAnsi="Times New Roman" w:cs="Times New Roman"/>
                <w:color w:val="auto"/>
                <w:sz w:val="28"/>
                <w:szCs w:val="28"/>
              </w:rPr>
              <w:t>....</w:t>
            </w:r>
          </w:p>
        </w:tc>
        <w:tc>
          <w:tcPr>
            <w:tcW w:w="426" w:type="dxa"/>
          </w:tcPr>
          <w:p w14:paraId="179E825B" w14:textId="77777777" w:rsidR="00161244" w:rsidRPr="00643205" w:rsidRDefault="00161244" w:rsidP="000F4E51">
            <w:pPr>
              <w:ind w:firstLine="23"/>
              <w:jc w:val="center"/>
              <w:rPr>
                <w:rFonts w:ascii="Times New Roman" w:hAnsi="Times New Roman" w:cs="Times New Roman"/>
                <w:sz w:val="28"/>
                <w:szCs w:val="28"/>
              </w:rPr>
            </w:pPr>
            <w:r w:rsidRPr="00643205">
              <w:rPr>
                <w:rFonts w:ascii="Times New Roman" w:hAnsi="Times New Roman" w:cs="Times New Roman"/>
                <w:sz w:val="28"/>
                <w:szCs w:val="28"/>
              </w:rPr>
              <w:t>31</w:t>
            </w:r>
          </w:p>
        </w:tc>
      </w:tr>
      <w:tr w:rsidR="00161244" w:rsidRPr="00643205" w14:paraId="527622A6" w14:textId="77777777" w:rsidTr="002B29EC">
        <w:tc>
          <w:tcPr>
            <w:tcW w:w="9072" w:type="dxa"/>
          </w:tcPr>
          <w:p w14:paraId="6F3A6307" w14:textId="0E6BC453" w:rsidR="00161244" w:rsidRPr="00643205" w:rsidRDefault="00161244" w:rsidP="000F4E51">
            <w:pPr>
              <w:pStyle w:val="a6"/>
              <w:tabs>
                <w:tab w:val="left" w:pos="0"/>
              </w:tabs>
              <w:ind w:left="0" w:right="75" w:firstLine="37"/>
              <w:jc w:val="both"/>
              <w:rPr>
                <w:sz w:val="28"/>
                <w:szCs w:val="28"/>
              </w:rPr>
            </w:pPr>
            <w:r w:rsidRPr="005E6F1B">
              <w:rPr>
                <w:b/>
                <w:sz w:val="28"/>
                <w:szCs w:val="28"/>
              </w:rPr>
              <w:t>3.</w:t>
            </w:r>
            <w:r w:rsidRPr="00643205">
              <w:rPr>
                <w:sz w:val="28"/>
                <w:szCs w:val="28"/>
              </w:rPr>
              <w:t xml:space="preserve"> </w:t>
            </w:r>
            <w:r w:rsidRPr="002B29EC">
              <w:rPr>
                <w:b/>
                <w:bCs/>
                <w:sz w:val="28"/>
                <w:szCs w:val="28"/>
              </w:rPr>
              <w:t>ТЕНДЕНЦИИ ЗАБОЛЕВАЕМОСТИ И СМЕРТНОСТИ ОТ БОЛЕЗНЕЙ СИСТЕМЫ КРОВООБРАЩЕНИЯ И ИХ ЭКОНОМИЧЕСКОЕ ЗНАЧЕНИЕ В г. АЛМАТЫ</w:t>
            </w:r>
            <w:r w:rsidR="00643205" w:rsidRPr="00643205">
              <w:rPr>
                <w:sz w:val="28"/>
                <w:szCs w:val="28"/>
              </w:rPr>
              <w:t>…</w:t>
            </w:r>
            <w:r w:rsidR="007B60F0">
              <w:rPr>
                <w:sz w:val="28"/>
                <w:szCs w:val="28"/>
              </w:rPr>
              <w:t>……</w:t>
            </w:r>
          </w:p>
        </w:tc>
        <w:tc>
          <w:tcPr>
            <w:tcW w:w="426" w:type="dxa"/>
          </w:tcPr>
          <w:p w14:paraId="2DF606F8" w14:textId="77777777" w:rsidR="00161244" w:rsidRPr="00643205" w:rsidRDefault="00161244" w:rsidP="000F4E51">
            <w:pPr>
              <w:ind w:firstLine="23"/>
              <w:jc w:val="center"/>
              <w:rPr>
                <w:rFonts w:ascii="Times New Roman" w:hAnsi="Times New Roman" w:cs="Times New Roman"/>
                <w:sz w:val="28"/>
                <w:szCs w:val="28"/>
                <w:lang w:val="kk-KZ"/>
              </w:rPr>
            </w:pPr>
            <w:r w:rsidRPr="00643205">
              <w:rPr>
                <w:rFonts w:ascii="Times New Roman" w:hAnsi="Times New Roman" w:cs="Times New Roman"/>
                <w:sz w:val="28"/>
                <w:szCs w:val="28"/>
                <w:lang w:val="kk-KZ"/>
              </w:rPr>
              <w:t>46</w:t>
            </w:r>
          </w:p>
        </w:tc>
      </w:tr>
      <w:tr w:rsidR="00161244" w:rsidRPr="00643205" w14:paraId="04AC03E8" w14:textId="77777777" w:rsidTr="002B29EC">
        <w:tc>
          <w:tcPr>
            <w:tcW w:w="9072" w:type="dxa"/>
          </w:tcPr>
          <w:p w14:paraId="191C09E2" w14:textId="0BB6BF20" w:rsidR="00161244" w:rsidRPr="00643205" w:rsidRDefault="00161244" w:rsidP="000F4E51">
            <w:pPr>
              <w:pStyle w:val="a6"/>
              <w:tabs>
                <w:tab w:val="left" w:pos="0"/>
              </w:tabs>
              <w:ind w:left="0" w:right="75" w:firstLine="37"/>
              <w:jc w:val="both"/>
              <w:rPr>
                <w:sz w:val="28"/>
                <w:szCs w:val="28"/>
              </w:rPr>
            </w:pPr>
            <w:r w:rsidRPr="00643205">
              <w:rPr>
                <w:sz w:val="28"/>
                <w:szCs w:val="28"/>
              </w:rPr>
              <w:t>3.1. Тенденции заболеваемости и смертности от болезней системы кровообращения в Алматы (2012–2024 гг.)</w:t>
            </w:r>
            <w:r w:rsidR="00643205" w:rsidRPr="00643205">
              <w:rPr>
                <w:sz w:val="28"/>
                <w:szCs w:val="28"/>
              </w:rPr>
              <w:t>………</w:t>
            </w:r>
            <w:r w:rsidR="007B60F0">
              <w:rPr>
                <w:sz w:val="28"/>
                <w:szCs w:val="28"/>
              </w:rPr>
              <w:t>……………………..</w:t>
            </w:r>
          </w:p>
        </w:tc>
        <w:tc>
          <w:tcPr>
            <w:tcW w:w="426" w:type="dxa"/>
          </w:tcPr>
          <w:p w14:paraId="63B3D2D4" w14:textId="77777777" w:rsidR="00161244" w:rsidRPr="00643205" w:rsidRDefault="00161244" w:rsidP="000F4E51">
            <w:pPr>
              <w:ind w:firstLine="23"/>
              <w:jc w:val="center"/>
              <w:rPr>
                <w:rFonts w:ascii="Times New Roman" w:hAnsi="Times New Roman" w:cs="Times New Roman"/>
                <w:sz w:val="28"/>
                <w:szCs w:val="28"/>
                <w:lang w:val="kk-KZ"/>
              </w:rPr>
            </w:pPr>
            <w:r w:rsidRPr="00643205">
              <w:rPr>
                <w:rFonts w:ascii="Times New Roman" w:hAnsi="Times New Roman" w:cs="Times New Roman"/>
                <w:sz w:val="28"/>
                <w:szCs w:val="28"/>
                <w:lang w:val="kk-KZ"/>
              </w:rPr>
              <w:t>46</w:t>
            </w:r>
          </w:p>
        </w:tc>
      </w:tr>
      <w:tr w:rsidR="00161244" w:rsidRPr="00643205" w14:paraId="050D3AC7" w14:textId="77777777" w:rsidTr="002B29EC">
        <w:tc>
          <w:tcPr>
            <w:tcW w:w="9072" w:type="dxa"/>
          </w:tcPr>
          <w:p w14:paraId="6F68625A" w14:textId="60A6A47C" w:rsidR="00161244" w:rsidRPr="00643205" w:rsidRDefault="00161244" w:rsidP="000F4E51">
            <w:pPr>
              <w:ind w:right="75" w:firstLine="37"/>
              <w:jc w:val="both"/>
              <w:rPr>
                <w:rFonts w:ascii="Times New Roman" w:hAnsi="Times New Roman" w:cs="Times New Roman"/>
                <w:sz w:val="28"/>
                <w:szCs w:val="28"/>
              </w:rPr>
            </w:pPr>
            <w:r w:rsidRPr="00643205">
              <w:rPr>
                <w:rFonts w:ascii="Times New Roman" w:hAnsi="Times New Roman" w:cs="Times New Roman"/>
                <w:sz w:val="28"/>
                <w:szCs w:val="28"/>
              </w:rPr>
              <w:t>3.2. Предотвратимая смертность от болезни системы кровообращения и ее экономическое значение в г. Алматы</w:t>
            </w:r>
            <w:r w:rsidR="00643205" w:rsidRPr="00643205">
              <w:rPr>
                <w:rFonts w:ascii="Times New Roman" w:hAnsi="Times New Roman" w:cs="Times New Roman"/>
                <w:sz w:val="28"/>
                <w:szCs w:val="28"/>
              </w:rPr>
              <w:t>………</w:t>
            </w:r>
            <w:r w:rsidR="007B60F0">
              <w:rPr>
                <w:rFonts w:ascii="Times New Roman" w:hAnsi="Times New Roman" w:cs="Times New Roman"/>
                <w:sz w:val="28"/>
                <w:szCs w:val="28"/>
              </w:rPr>
              <w:t>………………………..</w:t>
            </w:r>
          </w:p>
        </w:tc>
        <w:tc>
          <w:tcPr>
            <w:tcW w:w="426" w:type="dxa"/>
          </w:tcPr>
          <w:p w14:paraId="1291F914" w14:textId="77777777" w:rsidR="00161244" w:rsidRPr="00643205" w:rsidRDefault="00161244" w:rsidP="000F4E51">
            <w:pPr>
              <w:ind w:firstLine="23"/>
              <w:jc w:val="center"/>
              <w:rPr>
                <w:rFonts w:ascii="Times New Roman" w:hAnsi="Times New Roman" w:cs="Times New Roman"/>
                <w:sz w:val="28"/>
                <w:szCs w:val="28"/>
                <w:lang w:val="kk-KZ"/>
              </w:rPr>
            </w:pPr>
            <w:r w:rsidRPr="00643205">
              <w:rPr>
                <w:rFonts w:ascii="Times New Roman" w:hAnsi="Times New Roman" w:cs="Times New Roman"/>
                <w:sz w:val="28"/>
                <w:szCs w:val="28"/>
                <w:lang w:val="kk-KZ"/>
              </w:rPr>
              <w:t>48</w:t>
            </w:r>
          </w:p>
        </w:tc>
      </w:tr>
      <w:tr w:rsidR="00161244" w:rsidRPr="00643205" w14:paraId="4564E28A" w14:textId="77777777" w:rsidTr="002B29EC">
        <w:tc>
          <w:tcPr>
            <w:tcW w:w="9072" w:type="dxa"/>
          </w:tcPr>
          <w:p w14:paraId="4A1F1748" w14:textId="2FFB4CED" w:rsidR="00161244" w:rsidRPr="00643205" w:rsidRDefault="00161244" w:rsidP="000F4E51">
            <w:pPr>
              <w:ind w:right="75" w:firstLine="37"/>
              <w:jc w:val="both"/>
              <w:rPr>
                <w:rFonts w:ascii="Times New Roman" w:hAnsi="Times New Roman" w:cs="Times New Roman"/>
                <w:sz w:val="28"/>
                <w:szCs w:val="28"/>
              </w:rPr>
            </w:pPr>
            <w:r w:rsidRPr="00643205">
              <w:rPr>
                <w:rFonts w:ascii="Times New Roman" w:hAnsi="Times New Roman" w:cs="Times New Roman"/>
                <w:sz w:val="28"/>
                <w:szCs w:val="28"/>
              </w:rPr>
              <w:t>3.3. Изучение госпитализированных случаев, связанных с острыми нарушениями мозгового кровообращения</w:t>
            </w:r>
            <w:r w:rsidR="00643205" w:rsidRPr="00643205">
              <w:rPr>
                <w:rFonts w:ascii="Times New Roman" w:hAnsi="Times New Roman" w:cs="Times New Roman"/>
                <w:sz w:val="28"/>
                <w:szCs w:val="28"/>
              </w:rPr>
              <w:t>………………………………</w:t>
            </w:r>
          </w:p>
        </w:tc>
        <w:tc>
          <w:tcPr>
            <w:tcW w:w="426" w:type="dxa"/>
          </w:tcPr>
          <w:p w14:paraId="25CD05D1" w14:textId="77777777" w:rsidR="00161244" w:rsidRPr="00643205" w:rsidRDefault="00161244" w:rsidP="000F4E51">
            <w:pPr>
              <w:ind w:firstLine="23"/>
              <w:jc w:val="center"/>
              <w:rPr>
                <w:rFonts w:ascii="Times New Roman" w:hAnsi="Times New Roman" w:cs="Times New Roman"/>
                <w:sz w:val="28"/>
                <w:szCs w:val="28"/>
                <w:lang w:val="kk-KZ"/>
              </w:rPr>
            </w:pPr>
            <w:r w:rsidRPr="00643205">
              <w:rPr>
                <w:rFonts w:ascii="Times New Roman" w:hAnsi="Times New Roman" w:cs="Times New Roman"/>
                <w:sz w:val="28"/>
                <w:szCs w:val="28"/>
                <w:lang w:val="kk-KZ"/>
              </w:rPr>
              <w:t>54</w:t>
            </w:r>
          </w:p>
        </w:tc>
      </w:tr>
      <w:tr w:rsidR="00161244" w:rsidRPr="00643205" w14:paraId="34131391" w14:textId="77777777" w:rsidTr="002B29EC">
        <w:tc>
          <w:tcPr>
            <w:tcW w:w="9072" w:type="dxa"/>
          </w:tcPr>
          <w:p w14:paraId="06B2F109" w14:textId="1F8D7C08" w:rsidR="00161244" w:rsidRPr="002B29EC" w:rsidRDefault="00161244" w:rsidP="000F4E51">
            <w:pPr>
              <w:ind w:right="75" w:firstLine="23"/>
              <w:jc w:val="both"/>
              <w:rPr>
                <w:rFonts w:ascii="Times New Roman" w:hAnsi="Times New Roman" w:cs="Times New Roman"/>
                <w:b/>
                <w:bCs/>
                <w:sz w:val="28"/>
                <w:szCs w:val="28"/>
              </w:rPr>
            </w:pPr>
            <w:r w:rsidRPr="002B29EC">
              <w:rPr>
                <w:rFonts w:ascii="Times New Roman" w:hAnsi="Times New Roman" w:cs="Times New Roman"/>
                <w:b/>
                <w:bCs/>
                <w:sz w:val="28"/>
                <w:szCs w:val="28"/>
              </w:rPr>
              <w:t>4. БАРЬЕРЫ И ПЕРСПЕКТИВЫ ОКАЗАНИЯ ПОМОЩИ ПРИ ОСТРЫХ НАРУШЕНИЯХ МОЗГОВОГО КРОВООБРАЩЕНИЯ: МНЕНИЕ СПЕЦИАЛИСТОВ И ПАЦИЕНТОВ</w:t>
            </w:r>
            <w:r w:rsidR="007B60F0" w:rsidRPr="002B29EC">
              <w:rPr>
                <w:rFonts w:ascii="Times New Roman" w:hAnsi="Times New Roman" w:cs="Times New Roman"/>
                <w:b/>
                <w:bCs/>
                <w:sz w:val="28"/>
                <w:szCs w:val="28"/>
              </w:rPr>
              <w:t>.</w:t>
            </w:r>
          </w:p>
        </w:tc>
        <w:tc>
          <w:tcPr>
            <w:tcW w:w="426" w:type="dxa"/>
          </w:tcPr>
          <w:p w14:paraId="19D5A476" w14:textId="77777777" w:rsidR="00161244" w:rsidRPr="00643205" w:rsidRDefault="00161244" w:rsidP="000F4E51">
            <w:pPr>
              <w:ind w:firstLine="23"/>
              <w:jc w:val="center"/>
              <w:rPr>
                <w:rFonts w:ascii="Times New Roman" w:hAnsi="Times New Roman" w:cs="Times New Roman"/>
                <w:sz w:val="28"/>
                <w:szCs w:val="28"/>
                <w:lang w:val="kk-KZ"/>
              </w:rPr>
            </w:pPr>
            <w:r w:rsidRPr="00643205">
              <w:rPr>
                <w:rFonts w:ascii="Times New Roman" w:hAnsi="Times New Roman" w:cs="Times New Roman"/>
                <w:sz w:val="28"/>
                <w:szCs w:val="28"/>
                <w:lang w:val="kk-KZ"/>
              </w:rPr>
              <w:t>60</w:t>
            </w:r>
          </w:p>
        </w:tc>
      </w:tr>
      <w:tr w:rsidR="00161244" w:rsidRPr="00643205" w14:paraId="14F4EE74" w14:textId="77777777" w:rsidTr="002B29EC">
        <w:tc>
          <w:tcPr>
            <w:tcW w:w="9072" w:type="dxa"/>
          </w:tcPr>
          <w:p w14:paraId="3B844154" w14:textId="30A09827" w:rsidR="00161244" w:rsidRPr="00643205" w:rsidRDefault="00161244" w:rsidP="000F4E51">
            <w:pPr>
              <w:ind w:right="75" w:firstLine="23"/>
              <w:jc w:val="both"/>
              <w:rPr>
                <w:rFonts w:ascii="Times New Roman" w:hAnsi="Times New Roman" w:cs="Times New Roman"/>
                <w:sz w:val="28"/>
                <w:szCs w:val="28"/>
              </w:rPr>
            </w:pPr>
            <w:r w:rsidRPr="00643205">
              <w:rPr>
                <w:rFonts w:ascii="Times New Roman" w:hAnsi="Times New Roman" w:cs="Times New Roman"/>
                <w:sz w:val="28"/>
                <w:szCs w:val="28"/>
              </w:rPr>
              <w:t>4.1. Готовность к оказанию помощи при острых нарушениях мозгового кровообращения среди специалистов разных медицинских профилей</w:t>
            </w:r>
            <w:r w:rsidR="007B60F0">
              <w:rPr>
                <w:rFonts w:ascii="Times New Roman" w:hAnsi="Times New Roman" w:cs="Times New Roman"/>
                <w:sz w:val="28"/>
                <w:szCs w:val="28"/>
              </w:rPr>
              <w:t>…………………………………………………………………...</w:t>
            </w:r>
          </w:p>
        </w:tc>
        <w:tc>
          <w:tcPr>
            <w:tcW w:w="426" w:type="dxa"/>
          </w:tcPr>
          <w:p w14:paraId="5BCAFA65" w14:textId="77777777" w:rsidR="00161244" w:rsidRPr="00643205" w:rsidRDefault="00161244" w:rsidP="000F4E51">
            <w:pPr>
              <w:ind w:firstLine="23"/>
              <w:jc w:val="center"/>
              <w:rPr>
                <w:rFonts w:ascii="Times New Roman" w:hAnsi="Times New Roman" w:cs="Times New Roman"/>
                <w:sz w:val="28"/>
                <w:szCs w:val="28"/>
                <w:lang w:val="kk-KZ"/>
              </w:rPr>
            </w:pPr>
            <w:r w:rsidRPr="00643205">
              <w:rPr>
                <w:rFonts w:ascii="Times New Roman" w:hAnsi="Times New Roman" w:cs="Times New Roman"/>
                <w:sz w:val="28"/>
                <w:szCs w:val="28"/>
                <w:lang w:val="kk-KZ"/>
              </w:rPr>
              <w:t>60</w:t>
            </w:r>
          </w:p>
        </w:tc>
      </w:tr>
      <w:tr w:rsidR="00161244" w:rsidRPr="00643205" w14:paraId="17F006ED" w14:textId="77777777" w:rsidTr="002B29EC">
        <w:tc>
          <w:tcPr>
            <w:tcW w:w="9072" w:type="dxa"/>
          </w:tcPr>
          <w:p w14:paraId="47295314" w14:textId="0A86D199" w:rsidR="00161244" w:rsidRPr="00643205" w:rsidRDefault="00161244" w:rsidP="000F4E51">
            <w:pPr>
              <w:ind w:right="75" w:firstLine="23"/>
              <w:jc w:val="both"/>
              <w:rPr>
                <w:rFonts w:ascii="Times New Roman" w:hAnsi="Times New Roman" w:cs="Times New Roman"/>
                <w:sz w:val="28"/>
                <w:szCs w:val="28"/>
              </w:rPr>
            </w:pPr>
            <w:r w:rsidRPr="00643205">
              <w:rPr>
                <w:rFonts w:ascii="Times New Roman" w:hAnsi="Times New Roman" w:cs="Times New Roman"/>
                <w:sz w:val="28"/>
                <w:szCs w:val="28"/>
              </w:rPr>
              <w:t>4.2. Изучение барьеров в оказании помощи при инсульте и рекомендации по улучшению на основе отзывов пациентов, перенёсших ОНМК</w:t>
            </w:r>
            <w:r w:rsidR="00643205" w:rsidRPr="00643205">
              <w:rPr>
                <w:rFonts w:ascii="Times New Roman" w:hAnsi="Times New Roman" w:cs="Times New Roman"/>
                <w:sz w:val="28"/>
                <w:szCs w:val="28"/>
              </w:rPr>
              <w:t>…………………</w:t>
            </w:r>
            <w:r w:rsidR="007B60F0">
              <w:rPr>
                <w:rFonts w:ascii="Times New Roman" w:hAnsi="Times New Roman" w:cs="Times New Roman"/>
                <w:sz w:val="28"/>
                <w:szCs w:val="28"/>
              </w:rPr>
              <w:t>……………………………………..</w:t>
            </w:r>
          </w:p>
        </w:tc>
        <w:tc>
          <w:tcPr>
            <w:tcW w:w="426" w:type="dxa"/>
          </w:tcPr>
          <w:p w14:paraId="1764FAA3" w14:textId="77777777" w:rsidR="00161244" w:rsidRPr="00643205" w:rsidRDefault="00161244" w:rsidP="000F4E51">
            <w:pPr>
              <w:ind w:firstLine="23"/>
              <w:jc w:val="center"/>
              <w:rPr>
                <w:rFonts w:ascii="Times New Roman" w:hAnsi="Times New Roman" w:cs="Times New Roman"/>
                <w:sz w:val="28"/>
                <w:szCs w:val="28"/>
                <w:lang w:val="kk-KZ"/>
              </w:rPr>
            </w:pPr>
            <w:r w:rsidRPr="00643205">
              <w:rPr>
                <w:rFonts w:ascii="Times New Roman" w:hAnsi="Times New Roman" w:cs="Times New Roman"/>
                <w:sz w:val="28"/>
                <w:szCs w:val="28"/>
                <w:lang w:val="kk-KZ"/>
              </w:rPr>
              <w:t>66</w:t>
            </w:r>
          </w:p>
        </w:tc>
      </w:tr>
      <w:tr w:rsidR="00161244" w:rsidRPr="00643205" w14:paraId="11D6D7E2" w14:textId="77777777" w:rsidTr="002B29EC">
        <w:tc>
          <w:tcPr>
            <w:tcW w:w="9072" w:type="dxa"/>
          </w:tcPr>
          <w:p w14:paraId="6E465F0D" w14:textId="636B1EE7" w:rsidR="00161244" w:rsidRPr="00643205" w:rsidRDefault="00161244">
            <w:pPr>
              <w:pStyle w:val="a6"/>
              <w:numPr>
                <w:ilvl w:val="0"/>
                <w:numId w:val="6"/>
              </w:numPr>
              <w:ind w:left="0" w:right="75" w:firstLine="23"/>
              <w:jc w:val="both"/>
              <w:rPr>
                <w:sz w:val="28"/>
                <w:szCs w:val="28"/>
              </w:rPr>
            </w:pPr>
            <w:r w:rsidRPr="002B29EC">
              <w:rPr>
                <w:b/>
                <w:bCs/>
                <w:sz w:val="28"/>
                <w:szCs w:val="28"/>
              </w:rPr>
              <w:t xml:space="preserve">ЭКОНОМИЧЕСКИЙ АНАЛИЗ ЭФФЕКТИВНОСТИ ПРИМЕНЕНИЯ ТЕХНОЛОГИЙ </w:t>
            </w:r>
            <w:r w:rsidRPr="002B29EC">
              <w:rPr>
                <w:b/>
                <w:bCs/>
                <w:sz w:val="28"/>
                <w:szCs w:val="28"/>
                <w:lang w:val="en-US"/>
              </w:rPr>
              <w:t>MOBILE</w:t>
            </w:r>
            <w:r w:rsidRPr="002B29EC">
              <w:rPr>
                <w:b/>
                <w:bCs/>
                <w:sz w:val="28"/>
                <w:szCs w:val="28"/>
              </w:rPr>
              <w:t xml:space="preserve"> </w:t>
            </w:r>
            <w:r w:rsidRPr="002B29EC">
              <w:rPr>
                <w:b/>
                <w:bCs/>
                <w:sz w:val="28"/>
                <w:szCs w:val="28"/>
                <w:lang w:val="en-US"/>
              </w:rPr>
              <w:t>STROKE</w:t>
            </w:r>
            <w:r w:rsidRPr="002B29EC">
              <w:rPr>
                <w:b/>
                <w:bCs/>
                <w:sz w:val="28"/>
                <w:szCs w:val="28"/>
              </w:rPr>
              <w:t xml:space="preserve"> </w:t>
            </w:r>
            <w:r w:rsidRPr="002B29EC">
              <w:rPr>
                <w:b/>
                <w:bCs/>
                <w:sz w:val="28"/>
                <w:szCs w:val="28"/>
                <w:lang w:val="en-US"/>
              </w:rPr>
              <w:t>UNIT</w:t>
            </w:r>
            <w:r w:rsidR="007B60F0">
              <w:rPr>
                <w:sz w:val="28"/>
                <w:szCs w:val="28"/>
              </w:rPr>
              <w:t>…</w:t>
            </w:r>
          </w:p>
        </w:tc>
        <w:tc>
          <w:tcPr>
            <w:tcW w:w="426" w:type="dxa"/>
          </w:tcPr>
          <w:p w14:paraId="1CB97554" w14:textId="77777777" w:rsidR="00161244" w:rsidRPr="00643205" w:rsidRDefault="00161244" w:rsidP="000F4E51">
            <w:pPr>
              <w:ind w:firstLine="23"/>
              <w:jc w:val="center"/>
              <w:rPr>
                <w:rFonts w:ascii="Times New Roman" w:hAnsi="Times New Roman" w:cs="Times New Roman"/>
                <w:sz w:val="28"/>
                <w:szCs w:val="28"/>
                <w:lang w:val="kk-KZ"/>
              </w:rPr>
            </w:pPr>
            <w:r w:rsidRPr="00643205">
              <w:rPr>
                <w:rFonts w:ascii="Times New Roman" w:hAnsi="Times New Roman" w:cs="Times New Roman"/>
                <w:sz w:val="28"/>
                <w:szCs w:val="28"/>
                <w:lang w:val="kk-KZ"/>
              </w:rPr>
              <w:t>80</w:t>
            </w:r>
          </w:p>
        </w:tc>
      </w:tr>
      <w:tr w:rsidR="00161244" w:rsidRPr="00643205" w14:paraId="6C958582" w14:textId="77777777" w:rsidTr="002B29EC">
        <w:tc>
          <w:tcPr>
            <w:tcW w:w="9072" w:type="dxa"/>
          </w:tcPr>
          <w:p w14:paraId="7A24ADB3" w14:textId="33B716B7" w:rsidR="00161244" w:rsidRPr="00317136" w:rsidRDefault="00161244" w:rsidP="000F4E51">
            <w:pPr>
              <w:ind w:right="75" w:firstLine="23"/>
              <w:jc w:val="both"/>
              <w:rPr>
                <w:rFonts w:ascii="Times New Roman" w:hAnsi="Times New Roman" w:cs="Times New Roman"/>
                <w:b/>
                <w:bCs/>
                <w:sz w:val="28"/>
                <w:szCs w:val="28"/>
              </w:rPr>
            </w:pPr>
            <w:r w:rsidRPr="00317136">
              <w:rPr>
                <w:rFonts w:ascii="Times New Roman" w:hAnsi="Times New Roman" w:cs="Times New Roman"/>
                <w:b/>
                <w:bCs/>
                <w:sz w:val="28"/>
                <w:szCs w:val="28"/>
              </w:rPr>
              <w:t>ЗАКЛЮЧЕНИЕ…………</w:t>
            </w:r>
            <w:r w:rsidRPr="00317136">
              <w:rPr>
                <w:rFonts w:ascii="Times New Roman" w:hAnsi="Times New Roman" w:cs="Times New Roman"/>
                <w:b/>
                <w:bCs/>
                <w:sz w:val="28"/>
                <w:szCs w:val="28"/>
                <w:lang w:val="en-US"/>
              </w:rPr>
              <w:t>………………………………………………</w:t>
            </w:r>
            <w:r w:rsidR="007B60F0">
              <w:rPr>
                <w:rFonts w:ascii="Times New Roman" w:hAnsi="Times New Roman" w:cs="Times New Roman"/>
                <w:b/>
                <w:bCs/>
                <w:sz w:val="28"/>
                <w:szCs w:val="28"/>
              </w:rPr>
              <w:t>.</w:t>
            </w:r>
          </w:p>
        </w:tc>
        <w:tc>
          <w:tcPr>
            <w:tcW w:w="426" w:type="dxa"/>
          </w:tcPr>
          <w:p w14:paraId="6C28997F" w14:textId="77777777" w:rsidR="00161244" w:rsidRPr="00643205" w:rsidRDefault="00161244" w:rsidP="000F4E51">
            <w:pPr>
              <w:ind w:firstLine="23"/>
              <w:jc w:val="center"/>
              <w:rPr>
                <w:rFonts w:ascii="Times New Roman" w:hAnsi="Times New Roman" w:cs="Times New Roman"/>
                <w:sz w:val="28"/>
                <w:szCs w:val="28"/>
              </w:rPr>
            </w:pPr>
            <w:r w:rsidRPr="00643205">
              <w:rPr>
                <w:rFonts w:ascii="Times New Roman" w:hAnsi="Times New Roman" w:cs="Times New Roman"/>
                <w:sz w:val="28"/>
                <w:szCs w:val="28"/>
              </w:rPr>
              <w:t>92</w:t>
            </w:r>
          </w:p>
        </w:tc>
      </w:tr>
      <w:tr w:rsidR="00161244" w:rsidRPr="00643205" w14:paraId="7037EF94" w14:textId="77777777" w:rsidTr="002B29EC">
        <w:tc>
          <w:tcPr>
            <w:tcW w:w="9072" w:type="dxa"/>
          </w:tcPr>
          <w:p w14:paraId="3F2FCD7A" w14:textId="5B829B73" w:rsidR="00161244" w:rsidRPr="00317136" w:rsidRDefault="00161244" w:rsidP="000F4E51">
            <w:pPr>
              <w:tabs>
                <w:tab w:val="left" w:pos="142"/>
              </w:tabs>
              <w:ind w:right="75" w:firstLine="23"/>
              <w:jc w:val="both"/>
              <w:rPr>
                <w:rFonts w:ascii="Times New Roman" w:hAnsi="Times New Roman" w:cs="Times New Roman"/>
                <w:b/>
                <w:bCs/>
                <w:sz w:val="28"/>
                <w:szCs w:val="28"/>
              </w:rPr>
            </w:pPr>
            <w:r w:rsidRPr="00317136">
              <w:rPr>
                <w:rFonts w:ascii="Times New Roman" w:hAnsi="Times New Roman" w:cs="Times New Roman"/>
                <w:b/>
                <w:bCs/>
                <w:sz w:val="28"/>
                <w:szCs w:val="28"/>
              </w:rPr>
              <w:t>СПИСОК ИСПОЛЬЗОВАННЫХ ИСТОЧНИКОВ……</w:t>
            </w:r>
            <w:r w:rsidR="007B60F0">
              <w:rPr>
                <w:rFonts w:ascii="Times New Roman" w:hAnsi="Times New Roman" w:cs="Times New Roman"/>
                <w:b/>
                <w:bCs/>
                <w:sz w:val="28"/>
                <w:szCs w:val="28"/>
              </w:rPr>
              <w:t>……………</w:t>
            </w:r>
          </w:p>
        </w:tc>
        <w:tc>
          <w:tcPr>
            <w:tcW w:w="426" w:type="dxa"/>
          </w:tcPr>
          <w:p w14:paraId="27EAA7E6" w14:textId="77777777" w:rsidR="00161244" w:rsidRPr="00643205" w:rsidRDefault="00161244" w:rsidP="000F4E51">
            <w:pPr>
              <w:ind w:firstLine="23"/>
              <w:jc w:val="center"/>
              <w:rPr>
                <w:rFonts w:ascii="Times New Roman" w:hAnsi="Times New Roman" w:cs="Times New Roman"/>
                <w:sz w:val="28"/>
                <w:szCs w:val="28"/>
              </w:rPr>
            </w:pPr>
            <w:r w:rsidRPr="00643205">
              <w:rPr>
                <w:rFonts w:ascii="Times New Roman" w:hAnsi="Times New Roman" w:cs="Times New Roman"/>
                <w:sz w:val="28"/>
                <w:szCs w:val="28"/>
              </w:rPr>
              <w:t>97</w:t>
            </w:r>
          </w:p>
        </w:tc>
      </w:tr>
      <w:tr w:rsidR="00161244" w:rsidRPr="00C36C61" w14:paraId="53BC5EC5" w14:textId="77777777" w:rsidTr="002B29EC">
        <w:tc>
          <w:tcPr>
            <w:tcW w:w="9072" w:type="dxa"/>
          </w:tcPr>
          <w:p w14:paraId="2CEEF67B" w14:textId="7E80D86A" w:rsidR="00161244" w:rsidRPr="00643205" w:rsidRDefault="00161244" w:rsidP="000F4E51">
            <w:pPr>
              <w:ind w:right="75" w:firstLine="23"/>
              <w:jc w:val="both"/>
              <w:rPr>
                <w:rFonts w:ascii="Times New Roman" w:hAnsi="Times New Roman" w:cs="Times New Roman"/>
                <w:sz w:val="28"/>
                <w:szCs w:val="28"/>
                <w:lang w:val="kk-KZ"/>
              </w:rPr>
            </w:pPr>
            <w:r w:rsidRPr="005E6F1B">
              <w:rPr>
                <w:rFonts w:ascii="Times New Roman" w:hAnsi="Times New Roman" w:cs="Times New Roman"/>
                <w:b/>
                <w:sz w:val="28"/>
                <w:szCs w:val="28"/>
              </w:rPr>
              <w:t>ПРИЛОЖЕНИЕ</w:t>
            </w:r>
            <w:r w:rsidRPr="00643205">
              <w:rPr>
                <w:rFonts w:ascii="Times New Roman" w:hAnsi="Times New Roman" w:cs="Times New Roman"/>
                <w:sz w:val="28"/>
                <w:szCs w:val="28"/>
              </w:rPr>
              <w:t xml:space="preserve"> </w:t>
            </w:r>
            <w:r w:rsidR="007B60F0">
              <w:rPr>
                <w:rFonts w:ascii="Times New Roman" w:hAnsi="Times New Roman" w:cs="Times New Roman"/>
                <w:sz w:val="28"/>
                <w:szCs w:val="28"/>
              </w:rPr>
              <w:t>…………………………………………………………..</w:t>
            </w:r>
          </w:p>
        </w:tc>
        <w:tc>
          <w:tcPr>
            <w:tcW w:w="426" w:type="dxa"/>
          </w:tcPr>
          <w:p w14:paraId="66728DF2" w14:textId="77777777" w:rsidR="00161244" w:rsidRPr="00643205" w:rsidRDefault="00161244" w:rsidP="000F4E51">
            <w:pPr>
              <w:ind w:firstLine="23"/>
              <w:jc w:val="center"/>
              <w:rPr>
                <w:rFonts w:ascii="Times New Roman" w:hAnsi="Times New Roman" w:cs="Times New Roman"/>
                <w:sz w:val="28"/>
                <w:szCs w:val="28"/>
              </w:rPr>
            </w:pPr>
            <w:r w:rsidRPr="00643205">
              <w:rPr>
                <w:rFonts w:ascii="Times New Roman" w:hAnsi="Times New Roman" w:cs="Times New Roman"/>
                <w:sz w:val="28"/>
                <w:szCs w:val="28"/>
              </w:rPr>
              <w:t>103</w:t>
            </w:r>
          </w:p>
        </w:tc>
      </w:tr>
    </w:tbl>
    <w:p w14:paraId="66735F19" w14:textId="77777777" w:rsidR="00161244" w:rsidRDefault="00161244" w:rsidP="000F4E51">
      <w:pPr>
        <w:tabs>
          <w:tab w:val="left" w:pos="1134"/>
        </w:tabs>
        <w:spacing w:after="0" w:line="240" w:lineRule="auto"/>
        <w:ind w:firstLine="567"/>
        <w:jc w:val="center"/>
        <w:rPr>
          <w:rFonts w:ascii="Times New Roman" w:hAnsi="Times New Roman" w:cs="Times New Roman"/>
          <w:b/>
          <w:sz w:val="28"/>
          <w:szCs w:val="28"/>
        </w:rPr>
      </w:pPr>
    </w:p>
    <w:p w14:paraId="6EBBEA25" w14:textId="77777777" w:rsidR="00161244" w:rsidRPr="009F51FB" w:rsidRDefault="00161244" w:rsidP="000F4E51">
      <w:pPr>
        <w:tabs>
          <w:tab w:val="left" w:pos="1134"/>
        </w:tabs>
        <w:spacing w:after="0" w:line="240" w:lineRule="auto"/>
        <w:ind w:firstLine="567"/>
        <w:jc w:val="center"/>
        <w:rPr>
          <w:rFonts w:ascii="Times New Roman" w:hAnsi="Times New Roman" w:cs="Times New Roman"/>
          <w:b/>
          <w:sz w:val="28"/>
          <w:szCs w:val="28"/>
        </w:rPr>
        <w:sectPr w:rsidR="00161244" w:rsidRPr="009F51FB">
          <w:footerReference w:type="default" r:id="rId8"/>
          <w:pgSz w:w="11906" w:h="16838"/>
          <w:pgMar w:top="1134" w:right="850" w:bottom="1134" w:left="1701" w:header="708" w:footer="708" w:gutter="0"/>
          <w:cols w:space="708"/>
          <w:docGrid w:linePitch="360"/>
        </w:sectPr>
      </w:pPr>
    </w:p>
    <w:p w14:paraId="61D7D188" w14:textId="1459E48E" w:rsidR="000E609B" w:rsidRDefault="000E609B" w:rsidP="005E6F1B">
      <w:pPr>
        <w:pStyle w:val="1"/>
        <w:spacing w:before="0" w:after="0" w:line="240" w:lineRule="auto"/>
        <w:contextualSpacing/>
        <w:jc w:val="center"/>
        <w:rPr>
          <w:rFonts w:ascii="Times New Roman" w:hAnsi="Times New Roman" w:cs="Times New Roman"/>
          <w:b/>
          <w:bCs/>
          <w:color w:val="auto"/>
          <w:sz w:val="28"/>
          <w:szCs w:val="28"/>
        </w:rPr>
      </w:pPr>
      <w:bookmarkStart w:id="1" w:name="_Toc171887723"/>
      <w:r w:rsidRPr="00E86341">
        <w:rPr>
          <w:rFonts w:ascii="Times New Roman" w:hAnsi="Times New Roman" w:cs="Times New Roman"/>
          <w:b/>
          <w:bCs/>
          <w:color w:val="auto"/>
          <w:sz w:val="28"/>
          <w:szCs w:val="28"/>
        </w:rPr>
        <w:lastRenderedPageBreak/>
        <w:t>НОРМАТИВНЫЕ ССЫЛКИ</w:t>
      </w:r>
    </w:p>
    <w:p w14:paraId="57A1C518" w14:textId="77777777" w:rsidR="005E6F1B" w:rsidRPr="005E6F1B" w:rsidRDefault="005E6F1B" w:rsidP="005E6F1B">
      <w:pPr>
        <w:spacing w:after="0" w:line="240" w:lineRule="auto"/>
        <w:contextualSpacing/>
      </w:pPr>
    </w:p>
    <w:p w14:paraId="55FC6EAB" w14:textId="4353FF61" w:rsidR="007921D0" w:rsidRDefault="007921D0" w:rsidP="005E6F1B">
      <w:pPr>
        <w:tabs>
          <w:tab w:val="left" w:pos="0"/>
        </w:tabs>
        <w:spacing w:after="0" w:line="240" w:lineRule="auto"/>
        <w:ind w:firstLine="567"/>
        <w:contextualSpacing/>
        <w:jc w:val="both"/>
        <w:rPr>
          <w:rFonts w:ascii="Times New Roman" w:hAnsi="Times New Roman" w:cs="Times New Roman"/>
          <w:sz w:val="28"/>
          <w:szCs w:val="28"/>
        </w:rPr>
      </w:pPr>
      <w:r w:rsidRPr="007921D0">
        <w:rPr>
          <w:rFonts w:ascii="Times New Roman" w:hAnsi="Times New Roman" w:cs="Times New Roman"/>
          <w:sz w:val="28"/>
          <w:szCs w:val="28"/>
        </w:rPr>
        <w:t>В настоящей диссертации использованы ссылки на следующие стандарты:</w:t>
      </w:r>
    </w:p>
    <w:p w14:paraId="0879069B" w14:textId="77777777" w:rsidR="005E6F1B" w:rsidRPr="007921D0" w:rsidRDefault="005E6F1B" w:rsidP="005E6F1B">
      <w:pPr>
        <w:tabs>
          <w:tab w:val="left" w:pos="0"/>
        </w:tabs>
        <w:spacing w:after="0" w:line="240" w:lineRule="auto"/>
        <w:ind w:firstLine="567"/>
        <w:contextualSpacing/>
        <w:jc w:val="both"/>
        <w:rPr>
          <w:rFonts w:ascii="Times New Roman" w:hAnsi="Times New Roman" w:cs="Times New Roman"/>
          <w:b/>
          <w:bCs/>
          <w:sz w:val="28"/>
          <w:szCs w:val="28"/>
        </w:rPr>
      </w:pPr>
    </w:p>
    <w:p w14:paraId="502E8983" w14:textId="77777777" w:rsidR="007921D0" w:rsidRPr="007921D0" w:rsidRDefault="007921D0" w:rsidP="005E6F1B">
      <w:pPr>
        <w:tabs>
          <w:tab w:val="left" w:pos="0"/>
        </w:tabs>
        <w:spacing w:after="0" w:line="240" w:lineRule="auto"/>
        <w:ind w:firstLine="567"/>
        <w:contextualSpacing/>
        <w:jc w:val="both"/>
        <w:rPr>
          <w:rFonts w:ascii="Times New Roman" w:hAnsi="Times New Roman" w:cs="Times New Roman"/>
          <w:sz w:val="28"/>
          <w:szCs w:val="28"/>
        </w:rPr>
      </w:pPr>
      <w:r w:rsidRPr="007921D0">
        <w:rPr>
          <w:rFonts w:ascii="Times New Roman" w:hAnsi="Times New Roman" w:cs="Times New Roman"/>
          <w:sz w:val="28"/>
          <w:szCs w:val="28"/>
        </w:rPr>
        <w:t>Конституция Республики Казахстан: принята на республиканском референдуме 30 августа 1995 года.</w:t>
      </w:r>
    </w:p>
    <w:p w14:paraId="245E35F1" w14:textId="77777777" w:rsidR="007921D0" w:rsidRPr="007921D0" w:rsidRDefault="007921D0" w:rsidP="005E6F1B">
      <w:pPr>
        <w:tabs>
          <w:tab w:val="left" w:pos="0"/>
        </w:tabs>
        <w:spacing w:after="0" w:line="240" w:lineRule="auto"/>
        <w:ind w:firstLine="567"/>
        <w:contextualSpacing/>
        <w:jc w:val="both"/>
        <w:rPr>
          <w:rFonts w:ascii="Times New Roman" w:hAnsi="Times New Roman" w:cs="Times New Roman"/>
          <w:sz w:val="28"/>
          <w:szCs w:val="28"/>
        </w:rPr>
      </w:pPr>
      <w:r w:rsidRPr="007921D0">
        <w:rPr>
          <w:rFonts w:ascii="Times New Roman" w:hAnsi="Times New Roman" w:cs="Times New Roman"/>
          <w:bCs/>
          <w:sz w:val="28"/>
          <w:szCs w:val="28"/>
        </w:rPr>
        <w:t>Кодекс Республики Казахстан. О здоровье народа и системе здравоохранения: принят</w:t>
      </w:r>
      <w:r w:rsidRPr="007921D0">
        <w:rPr>
          <w:rFonts w:ascii="Times New Roman" w:hAnsi="Times New Roman" w:cs="Times New Roman"/>
          <w:sz w:val="28"/>
          <w:szCs w:val="28"/>
        </w:rPr>
        <w:t xml:space="preserve"> 7 июля 2020 года, №360.</w:t>
      </w:r>
    </w:p>
    <w:p w14:paraId="67BE373D" w14:textId="05DDBA28" w:rsidR="00466A79" w:rsidRDefault="00466A79" w:rsidP="005E6F1B">
      <w:pPr>
        <w:tabs>
          <w:tab w:val="left" w:pos="0"/>
        </w:tabs>
        <w:spacing w:after="0" w:line="240" w:lineRule="auto"/>
        <w:ind w:right="-284" w:firstLine="567"/>
        <w:contextualSpacing/>
        <w:jc w:val="both"/>
        <w:rPr>
          <w:rFonts w:ascii="Times New Roman" w:hAnsi="Times New Roman" w:cs="Times New Roman"/>
          <w:sz w:val="28"/>
          <w:szCs w:val="28"/>
        </w:rPr>
      </w:pPr>
      <w:r w:rsidRPr="00466A79">
        <w:rPr>
          <w:rFonts w:ascii="Times New Roman" w:hAnsi="Times New Roman" w:cs="Times New Roman"/>
          <w:sz w:val="28"/>
          <w:szCs w:val="28"/>
        </w:rPr>
        <w:t>Постановление Правительства Республики Казахстан от 24 ноября 2022 года № 945</w:t>
      </w:r>
      <w:r>
        <w:rPr>
          <w:rFonts w:ascii="Times New Roman" w:hAnsi="Times New Roman" w:cs="Times New Roman"/>
          <w:sz w:val="28"/>
          <w:szCs w:val="28"/>
        </w:rPr>
        <w:t xml:space="preserve"> «</w:t>
      </w:r>
      <w:r w:rsidRPr="00466A79">
        <w:rPr>
          <w:rFonts w:ascii="Times New Roman" w:hAnsi="Times New Roman" w:cs="Times New Roman"/>
          <w:sz w:val="28"/>
          <w:szCs w:val="28"/>
        </w:rPr>
        <w:t>Об утверждении Концепции развития здравоохранения Республики Казахстан до 2026 года</w:t>
      </w:r>
      <w:r>
        <w:rPr>
          <w:rFonts w:ascii="Times New Roman" w:hAnsi="Times New Roman" w:cs="Times New Roman"/>
          <w:sz w:val="28"/>
          <w:szCs w:val="28"/>
        </w:rPr>
        <w:t>»</w:t>
      </w:r>
    </w:p>
    <w:p w14:paraId="022DF87F" w14:textId="5E5E6E66" w:rsidR="007921D0" w:rsidRPr="007921D0" w:rsidRDefault="007921D0" w:rsidP="005E6F1B">
      <w:pPr>
        <w:tabs>
          <w:tab w:val="left" w:pos="0"/>
        </w:tabs>
        <w:spacing w:after="0" w:line="240" w:lineRule="auto"/>
        <w:ind w:right="-284" w:firstLine="567"/>
        <w:contextualSpacing/>
        <w:jc w:val="both"/>
        <w:rPr>
          <w:rFonts w:ascii="Times New Roman" w:hAnsi="Times New Roman" w:cs="Times New Roman"/>
          <w:sz w:val="28"/>
          <w:szCs w:val="28"/>
        </w:rPr>
      </w:pPr>
      <w:r w:rsidRPr="007921D0">
        <w:rPr>
          <w:rFonts w:ascii="Times New Roman" w:hAnsi="Times New Roman" w:cs="Times New Roman"/>
          <w:sz w:val="28"/>
          <w:szCs w:val="28"/>
        </w:rPr>
        <w:t>Приказ Министра здравоохранения Республики Казахстан О внесении изменений в приказ исполняющего обязанности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 и в приказ Министра здравоохранения Республики Казахстан от 15 декабря 2020 года № ҚР ДСМ-264/2020 "Об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от 5 июля 2022 года № ҚР ДСМ- 65. Зарегистрирован в Министерстве юстиции Республики Казахстан 8 июля 2022 года № 28747</w:t>
      </w:r>
    </w:p>
    <w:p w14:paraId="2348915D" w14:textId="2BDE173B" w:rsidR="007921D0" w:rsidRPr="00317136" w:rsidRDefault="007921D0" w:rsidP="005E6F1B">
      <w:pPr>
        <w:tabs>
          <w:tab w:val="left" w:pos="0"/>
        </w:tabs>
        <w:spacing w:after="0" w:line="240" w:lineRule="auto"/>
        <w:ind w:right="-284" w:firstLine="567"/>
        <w:contextualSpacing/>
        <w:jc w:val="both"/>
        <w:rPr>
          <w:rFonts w:ascii="Times New Roman" w:hAnsi="Times New Roman" w:cs="Times New Roman"/>
          <w:noProof/>
          <w:color w:val="000000"/>
          <w:sz w:val="28"/>
          <w:szCs w:val="28"/>
        </w:rPr>
      </w:pPr>
      <w:r w:rsidRPr="007921D0">
        <w:rPr>
          <w:rFonts w:ascii="Times New Roman" w:hAnsi="Times New Roman" w:cs="Times New Roman"/>
          <w:noProof/>
          <w:color w:val="000000"/>
          <w:sz w:val="28"/>
          <w:szCs w:val="28"/>
        </w:rPr>
        <w:t>Об утверждении Правил назначения и выплаты специального государственного пособия. Приказ Министра труда и социальной защиты населения Республики Казахстан от 31 мая 2023 г. № 192. Зарегистрирован в Министерстве юстиции Республики Казахстан 1 июня 2023 г. № 32659.</w:t>
      </w:r>
    </w:p>
    <w:p w14:paraId="74FC3D37" w14:textId="21C3DF8E" w:rsidR="00EF60E5" w:rsidRPr="005501AF" w:rsidRDefault="00EF60E5" w:rsidP="005E6F1B">
      <w:pPr>
        <w:tabs>
          <w:tab w:val="left" w:pos="0"/>
        </w:tabs>
        <w:spacing w:after="0" w:line="240" w:lineRule="auto"/>
        <w:ind w:right="-284" w:firstLine="567"/>
        <w:contextualSpacing/>
        <w:jc w:val="both"/>
        <w:rPr>
          <w:rFonts w:ascii="Times New Roman" w:hAnsi="Times New Roman" w:cs="Times New Roman"/>
          <w:sz w:val="28"/>
          <w:szCs w:val="28"/>
        </w:rPr>
      </w:pPr>
      <w:r w:rsidRPr="005501AF">
        <w:rPr>
          <w:rFonts w:ascii="Times New Roman" w:hAnsi="Times New Roman" w:cs="Times New Roman"/>
          <w:sz w:val="28"/>
          <w:szCs w:val="28"/>
        </w:rPr>
        <w:t>Приказ Первого Вице-министра здравоохранения Республики Казахстан 11 марта 2022 года № 178 Об утверждении Дорожных карт по совершенствованию оказания медицинской помощи при болезнях системы кровообращения, при инсульте, при травмах в Республике Казахстан на 2022-2023 годы</w:t>
      </w:r>
    </w:p>
    <w:p w14:paraId="0BC55A99" w14:textId="77777777" w:rsidR="00EF60E5" w:rsidRPr="00EF60E5" w:rsidRDefault="00EF60E5" w:rsidP="005E6F1B">
      <w:pPr>
        <w:tabs>
          <w:tab w:val="left" w:pos="0"/>
        </w:tabs>
        <w:spacing w:after="0" w:line="240" w:lineRule="auto"/>
        <w:ind w:right="-284" w:firstLine="567"/>
        <w:contextualSpacing/>
        <w:jc w:val="both"/>
        <w:rPr>
          <w:rFonts w:ascii="Times New Roman" w:hAnsi="Times New Roman" w:cs="Times New Roman"/>
          <w:sz w:val="28"/>
          <w:szCs w:val="28"/>
        </w:rPr>
      </w:pPr>
      <w:r w:rsidRPr="00EF60E5">
        <w:rPr>
          <w:rFonts w:ascii="Times New Roman" w:hAnsi="Times New Roman" w:cs="Times New Roman"/>
          <w:sz w:val="28"/>
          <w:szCs w:val="28"/>
        </w:rPr>
        <w:t>Приказ Министра здравоохранения Республики Казахстан от 31 января 2019 года № 30 «Об утверждении Дорожных карт»</w:t>
      </w:r>
    </w:p>
    <w:p w14:paraId="50E8366D" w14:textId="77777777" w:rsidR="005501AF" w:rsidRDefault="00EF60E5" w:rsidP="005E6F1B">
      <w:pPr>
        <w:tabs>
          <w:tab w:val="left" w:pos="0"/>
        </w:tabs>
        <w:spacing w:after="0" w:line="240" w:lineRule="auto"/>
        <w:ind w:right="-284" w:firstLine="567"/>
        <w:contextualSpacing/>
        <w:jc w:val="both"/>
        <w:rPr>
          <w:rFonts w:ascii="Times New Roman" w:hAnsi="Times New Roman" w:cs="Times New Roman"/>
          <w:sz w:val="28"/>
          <w:szCs w:val="28"/>
        </w:rPr>
      </w:pPr>
      <w:r w:rsidRPr="00EF60E5">
        <w:rPr>
          <w:rFonts w:ascii="Times New Roman" w:hAnsi="Times New Roman" w:cs="Times New Roman"/>
          <w:sz w:val="28"/>
          <w:szCs w:val="28"/>
        </w:rPr>
        <w:t>Постановление Правительства Республики Казахстан от 29 февраля 2024 года № 141 «О внесении изменений в постановление Правительства Республики Казахстан от 24 ноября 2022 года № 945 “Об утверждении Концепции развития здравоохранения Республики Казахстан до 2026 года”»</w:t>
      </w:r>
    </w:p>
    <w:p w14:paraId="41D1A558" w14:textId="0A356F9D" w:rsidR="000E609B" w:rsidRPr="005501AF" w:rsidRDefault="005501AF" w:rsidP="005E6F1B">
      <w:pPr>
        <w:tabs>
          <w:tab w:val="left" w:pos="0"/>
        </w:tabs>
        <w:spacing w:after="0" w:line="240" w:lineRule="auto"/>
        <w:ind w:right="-284" w:firstLine="567"/>
        <w:contextualSpacing/>
        <w:jc w:val="both"/>
        <w:rPr>
          <w:rFonts w:ascii="Times New Roman" w:hAnsi="Times New Roman" w:cs="Times New Roman"/>
          <w:sz w:val="28"/>
          <w:szCs w:val="28"/>
        </w:rPr>
      </w:pPr>
      <w:r w:rsidRPr="005501AF">
        <w:rPr>
          <w:rFonts w:ascii="Times New Roman" w:hAnsi="Times New Roman" w:cs="Times New Roman"/>
          <w:sz w:val="28"/>
          <w:szCs w:val="28"/>
        </w:rPr>
        <w:t>Приказ Министра здравоохранения Республики Казахстан от 30 октября 2020 года № ҚР ДСМ-174/2020</w:t>
      </w:r>
      <w:r>
        <w:rPr>
          <w:rFonts w:ascii="Times New Roman" w:hAnsi="Times New Roman" w:cs="Times New Roman"/>
          <w:sz w:val="28"/>
          <w:szCs w:val="28"/>
        </w:rPr>
        <w:t xml:space="preserve"> </w:t>
      </w:r>
      <w:r w:rsidRPr="005501AF">
        <w:rPr>
          <w:rFonts w:ascii="Times New Roman" w:hAnsi="Times New Roman" w:cs="Times New Roman"/>
          <w:sz w:val="28"/>
          <w:szCs w:val="28"/>
        </w:rPr>
        <w:t>«Об утверждении целевых групп лиц, подлежащих скрининговым исследованиям, а также правил, объёма и периодичности проведения данных исследований»</w:t>
      </w:r>
      <w:r>
        <w:rPr>
          <w:rFonts w:ascii="Times New Roman" w:hAnsi="Times New Roman" w:cs="Times New Roman"/>
          <w:sz w:val="28"/>
          <w:szCs w:val="28"/>
        </w:rPr>
        <w:t xml:space="preserve"> </w:t>
      </w:r>
      <w:r w:rsidRPr="005501AF">
        <w:rPr>
          <w:rFonts w:ascii="Times New Roman" w:hAnsi="Times New Roman" w:cs="Times New Roman"/>
          <w:sz w:val="28"/>
          <w:szCs w:val="28"/>
        </w:rPr>
        <w:t>Зарегистрирован в Министерстве юстиции Республики Казахстан 2 ноября 2020 года № 21572.</w:t>
      </w:r>
    </w:p>
    <w:p w14:paraId="54F03A1B" w14:textId="4223505F" w:rsidR="000E609B" w:rsidRPr="005501AF" w:rsidRDefault="000E609B" w:rsidP="000F4E51">
      <w:pPr>
        <w:spacing w:line="240" w:lineRule="auto"/>
        <w:sectPr w:rsidR="000E609B" w:rsidRPr="005501AF">
          <w:pgSz w:w="11906" w:h="16838"/>
          <w:pgMar w:top="1134" w:right="850" w:bottom="1134" w:left="1701" w:header="708" w:footer="708" w:gutter="0"/>
          <w:cols w:space="708"/>
          <w:docGrid w:linePitch="360"/>
        </w:sectPr>
      </w:pPr>
    </w:p>
    <w:p w14:paraId="17096EB7" w14:textId="657FAA32" w:rsidR="000E609B" w:rsidRDefault="000E609B" w:rsidP="005E6F1B">
      <w:pPr>
        <w:pStyle w:val="1"/>
        <w:spacing w:before="0" w:after="0" w:line="240" w:lineRule="auto"/>
        <w:contextualSpacing/>
        <w:jc w:val="center"/>
        <w:rPr>
          <w:rFonts w:ascii="Times New Roman" w:hAnsi="Times New Roman" w:cs="Times New Roman"/>
          <w:b/>
          <w:bCs/>
          <w:color w:val="auto"/>
          <w:sz w:val="28"/>
          <w:szCs w:val="28"/>
        </w:rPr>
      </w:pPr>
      <w:r w:rsidRPr="00E86341">
        <w:rPr>
          <w:rFonts w:ascii="Times New Roman" w:hAnsi="Times New Roman" w:cs="Times New Roman"/>
          <w:b/>
          <w:bCs/>
          <w:color w:val="auto"/>
          <w:sz w:val="28"/>
          <w:szCs w:val="28"/>
        </w:rPr>
        <w:lastRenderedPageBreak/>
        <w:t>ОПРЕДЕЛЕНИЯ</w:t>
      </w:r>
    </w:p>
    <w:p w14:paraId="6DB1302E" w14:textId="77777777" w:rsidR="005E6F1B" w:rsidRPr="005E6F1B" w:rsidRDefault="005E6F1B" w:rsidP="005E6F1B">
      <w:pPr>
        <w:spacing w:after="0" w:line="240" w:lineRule="auto"/>
        <w:contextualSpacing/>
      </w:pPr>
    </w:p>
    <w:p w14:paraId="2B8B386B" w14:textId="77777777" w:rsidR="00B737A1" w:rsidRPr="005E2B96" w:rsidRDefault="00B737A1" w:rsidP="005E6F1B">
      <w:pPr>
        <w:spacing w:after="0" w:line="240" w:lineRule="auto"/>
        <w:ind w:right="-284" w:firstLine="567"/>
        <w:contextualSpacing/>
        <w:jc w:val="both"/>
        <w:rPr>
          <w:rFonts w:ascii="Times New Roman" w:hAnsi="Times New Roman" w:cs="Times New Roman"/>
          <w:sz w:val="28"/>
          <w:szCs w:val="28"/>
        </w:rPr>
      </w:pPr>
      <w:r w:rsidRPr="005E2B96">
        <w:rPr>
          <w:rFonts w:ascii="Times New Roman" w:hAnsi="Times New Roman" w:cs="Times New Roman"/>
          <w:sz w:val="28"/>
          <w:szCs w:val="28"/>
        </w:rPr>
        <w:t>В настоящей диссертации применяются следующие термины с соответствующими определениями:</w:t>
      </w:r>
    </w:p>
    <w:p w14:paraId="170028CE" w14:textId="77777777" w:rsidR="00B737A1" w:rsidRPr="005E2B96" w:rsidRDefault="00B737A1" w:rsidP="005E6F1B">
      <w:pPr>
        <w:spacing w:after="0" w:line="240" w:lineRule="auto"/>
        <w:ind w:right="-284" w:firstLine="567"/>
        <w:contextualSpacing/>
        <w:jc w:val="both"/>
        <w:rPr>
          <w:rFonts w:ascii="Times New Roman" w:hAnsi="Times New Roman" w:cs="Times New Roman"/>
          <w:sz w:val="28"/>
          <w:szCs w:val="28"/>
        </w:rPr>
      </w:pPr>
      <w:r w:rsidRPr="005E2B96">
        <w:rPr>
          <w:rFonts w:ascii="Times New Roman" w:hAnsi="Times New Roman" w:cs="Times New Roman"/>
          <w:b/>
          <w:sz w:val="28"/>
          <w:szCs w:val="28"/>
          <w:lang w:val="kk-KZ"/>
        </w:rPr>
        <w:t>З</w:t>
      </w:r>
      <w:r w:rsidRPr="005E2B96">
        <w:rPr>
          <w:rFonts w:ascii="Times New Roman" w:hAnsi="Times New Roman" w:cs="Times New Roman"/>
          <w:b/>
          <w:sz w:val="28"/>
          <w:szCs w:val="28"/>
        </w:rPr>
        <w:t>доровье</w:t>
      </w:r>
      <w:r w:rsidRPr="005E2B96">
        <w:rPr>
          <w:rFonts w:ascii="Times New Roman" w:hAnsi="Times New Roman" w:cs="Times New Roman"/>
          <w:sz w:val="28"/>
          <w:szCs w:val="28"/>
        </w:rPr>
        <w:t xml:space="preserve"> – состояние полного физического, духовного (психического) и социального благополучия, а не только отсутствие болезней и физических дефектов.</w:t>
      </w:r>
    </w:p>
    <w:p w14:paraId="7C2A28B2" w14:textId="77777777" w:rsidR="00B737A1" w:rsidRPr="005E2B96" w:rsidRDefault="00B737A1" w:rsidP="005E6F1B">
      <w:pPr>
        <w:spacing w:after="0" w:line="240" w:lineRule="auto"/>
        <w:ind w:right="-284" w:firstLine="567"/>
        <w:contextualSpacing/>
        <w:jc w:val="both"/>
        <w:rPr>
          <w:rFonts w:ascii="Times New Roman" w:hAnsi="Times New Roman" w:cs="Times New Roman"/>
          <w:sz w:val="28"/>
          <w:szCs w:val="28"/>
        </w:rPr>
      </w:pPr>
      <w:bookmarkStart w:id="2" w:name="z83"/>
      <w:r w:rsidRPr="005E2B96">
        <w:rPr>
          <w:rFonts w:ascii="Times New Roman" w:hAnsi="Times New Roman" w:cs="Times New Roman"/>
          <w:b/>
          <w:sz w:val="28"/>
          <w:szCs w:val="28"/>
          <w:lang w:val="kk-KZ"/>
        </w:rPr>
        <w:t>З</w:t>
      </w:r>
      <w:r w:rsidRPr="005E2B96">
        <w:rPr>
          <w:rFonts w:ascii="Times New Roman" w:hAnsi="Times New Roman" w:cs="Times New Roman"/>
          <w:b/>
          <w:sz w:val="28"/>
          <w:szCs w:val="28"/>
        </w:rPr>
        <w:t>дравоохранение</w:t>
      </w:r>
      <w:r w:rsidRPr="005E2B96">
        <w:rPr>
          <w:rFonts w:ascii="Times New Roman" w:hAnsi="Times New Roman" w:cs="Times New Roman"/>
          <w:sz w:val="28"/>
          <w:szCs w:val="28"/>
        </w:rPr>
        <w:t xml:space="preserve">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предоставление ему медицинской помощи в случае утраты здоровья.</w:t>
      </w:r>
    </w:p>
    <w:bookmarkEnd w:id="2"/>
    <w:p w14:paraId="786827E7" w14:textId="77777777" w:rsidR="00B737A1" w:rsidRPr="005E2B96" w:rsidRDefault="00B737A1" w:rsidP="005E6F1B">
      <w:pPr>
        <w:spacing w:after="0" w:line="240" w:lineRule="auto"/>
        <w:ind w:right="-284" w:firstLine="567"/>
        <w:contextualSpacing/>
        <w:jc w:val="both"/>
        <w:rPr>
          <w:rFonts w:ascii="Times New Roman" w:hAnsi="Times New Roman" w:cs="Times New Roman"/>
          <w:sz w:val="28"/>
          <w:szCs w:val="28"/>
        </w:rPr>
      </w:pPr>
      <w:r w:rsidRPr="005E2B96">
        <w:rPr>
          <w:rFonts w:ascii="Times New Roman" w:hAnsi="Times New Roman" w:cs="Times New Roman"/>
          <w:b/>
          <w:sz w:val="28"/>
          <w:szCs w:val="28"/>
        </w:rPr>
        <w:t>Качество медицинской помощи</w:t>
      </w:r>
      <w:r w:rsidRPr="005E2B96">
        <w:rPr>
          <w:rFonts w:ascii="Times New Roman" w:hAnsi="Times New Roman" w:cs="Times New Roman"/>
          <w:sz w:val="28"/>
          <w:szCs w:val="28"/>
        </w:rPr>
        <w:t xml:space="preserve"> – степень соответствия предоставляемой помощи установленным стандартам.</w:t>
      </w:r>
    </w:p>
    <w:p w14:paraId="4ECFB0D8" w14:textId="77777777" w:rsidR="00B737A1" w:rsidRPr="005E2B96" w:rsidRDefault="00B737A1" w:rsidP="005E6F1B">
      <w:pPr>
        <w:spacing w:after="0" w:line="240" w:lineRule="auto"/>
        <w:ind w:right="-284" w:firstLine="567"/>
        <w:contextualSpacing/>
        <w:jc w:val="both"/>
        <w:rPr>
          <w:rFonts w:ascii="Times New Roman" w:hAnsi="Times New Roman" w:cs="Times New Roman"/>
          <w:sz w:val="28"/>
          <w:szCs w:val="28"/>
        </w:rPr>
      </w:pPr>
      <w:r w:rsidRPr="005E2B96">
        <w:rPr>
          <w:rFonts w:ascii="Times New Roman" w:hAnsi="Times New Roman" w:cs="Times New Roman"/>
          <w:b/>
          <w:sz w:val="28"/>
          <w:szCs w:val="28"/>
        </w:rPr>
        <w:t>Менеджер в области здравоохранения</w:t>
      </w:r>
      <w:r w:rsidRPr="005E2B96">
        <w:rPr>
          <w:rFonts w:ascii="Times New Roman" w:hAnsi="Times New Roman" w:cs="Times New Roman"/>
          <w:sz w:val="28"/>
          <w:szCs w:val="28"/>
        </w:rPr>
        <w:t xml:space="preserve"> – первый руководитель, осуществляющий управление государственной медицинской организацией.</w:t>
      </w:r>
    </w:p>
    <w:p w14:paraId="10C025EA" w14:textId="77777777" w:rsidR="00B737A1" w:rsidRPr="005E2B96" w:rsidRDefault="00B737A1" w:rsidP="005E6F1B">
      <w:pPr>
        <w:spacing w:after="0" w:line="240" w:lineRule="auto"/>
        <w:ind w:right="-284" w:firstLine="567"/>
        <w:contextualSpacing/>
        <w:jc w:val="both"/>
        <w:rPr>
          <w:rFonts w:ascii="Times New Roman" w:hAnsi="Times New Roman" w:cs="Times New Roman"/>
          <w:sz w:val="28"/>
          <w:szCs w:val="28"/>
        </w:rPr>
      </w:pPr>
      <w:r w:rsidRPr="005E2B96">
        <w:rPr>
          <w:rFonts w:ascii="Times New Roman" w:hAnsi="Times New Roman" w:cs="Times New Roman"/>
          <w:b/>
          <w:sz w:val="28"/>
          <w:szCs w:val="28"/>
        </w:rPr>
        <w:t>Организация здравоохранения</w:t>
      </w:r>
      <w:r w:rsidRPr="005E2B96">
        <w:rPr>
          <w:rFonts w:ascii="Times New Roman" w:hAnsi="Times New Roman" w:cs="Times New Roman"/>
          <w:sz w:val="28"/>
          <w:szCs w:val="28"/>
        </w:rPr>
        <w:t xml:space="preserve"> – юридическое лицо, осуществляющее деятельность в области здравоохранения.</w:t>
      </w:r>
    </w:p>
    <w:p w14:paraId="367B3483" w14:textId="77777777" w:rsidR="00B737A1" w:rsidRPr="005E2B96" w:rsidRDefault="00B737A1" w:rsidP="005E6F1B">
      <w:pPr>
        <w:spacing w:after="0" w:line="240" w:lineRule="auto"/>
        <w:ind w:right="-284" w:firstLine="567"/>
        <w:contextualSpacing/>
        <w:jc w:val="both"/>
        <w:rPr>
          <w:rFonts w:ascii="Times New Roman" w:hAnsi="Times New Roman" w:cs="Times New Roman"/>
          <w:sz w:val="28"/>
          <w:szCs w:val="28"/>
        </w:rPr>
      </w:pPr>
      <w:r w:rsidRPr="005E2B96">
        <w:rPr>
          <w:rFonts w:ascii="Times New Roman" w:hAnsi="Times New Roman" w:cs="Times New Roman"/>
          <w:b/>
          <w:sz w:val="28"/>
          <w:szCs w:val="28"/>
          <w:lang w:val="kk-KZ"/>
        </w:rPr>
        <w:t>С</w:t>
      </w:r>
      <w:r w:rsidRPr="005E2B96">
        <w:rPr>
          <w:rFonts w:ascii="Times New Roman" w:hAnsi="Times New Roman" w:cs="Times New Roman"/>
          <w:b/>
          <w:sz w:val="28"/>
          <w:szCs w:val="28"/>
        </w:rPr>
        <w:t>истема здравоохранения</w:t>
      </w:r>
      <w:r w:rsidRPr="005E2B96">
        <w:rPr>
          <w:rFonts w:ascii="Times New Roman" w:hAnsi="Times New Roman" w:cs="Times New Roman"/>
          <w:sz w:val="28"/>
          <w:szCs w:val="28"/>
        </w:rPr>
        <w:t xml:space="preserve"> – совокупность государственных органов и субъектов здравоохранения, деятельность которых направлена на обеспечение прав граждан Республики Казахстан на охрану здоровья;</w:t>
      </w:r>
    </w:p>
    <w:p w14:paraId="2F9A4967" w14:textId="77777777" w:rsidR="00B737A1" w:rsidRDefault="00B737A1" w:rsidP="005E6F1B">
      <w:pPr>
        <w:spacing w:after="0" w:line="240" w:lineRule="auto"/>
        <w:ind w:right="-284" w:firstLine="567"/>
        <w:contextualSpacing/>
        <w:jc w:val="both"/>
        <w:rPr>
          <w:rFonts w:ascii="Times New Roman" w:hAnsi="Times New Roman" w:cs="Times New Roman"/>
          <w:sz w:val="28"/>
          <w:szCs w:val="28"/>
        </w:rPr>
      </w:pPr>
      <w:r w:rsidRPr="005E2B96">
        <w:rPr>
          <w:rFonts w:ascii="Times New Roman" w:hAnsi="Times New Roman" w:cs="Times New Roman"/>
          <w:b/>
          <w:sz w:val="28"/>
          <w:szCs w:val="28"/>
          <w:lang w:val="kk-KZ"/>
        </w:rPr>
        <w:t>Ф</w:t>
      </w:r>
      <w:r w:rsidRPr="005E2B96">
        <w:rPr>
          <w:rFonts w:ascii="Times New Roman" w:hAnsi="Times New Roman" w:cs="Times New Roman"/>
          <w:b/>
          <w:sz w:val="28"/>
          <w:szCs w:val="28"/>
        </w:rPr>
        <w:t>онд социального медицинского страхования</w:t>
      </w:r>
      <w:r w:rsidRPr="005E2B96">
        <w:rPr>
          <w:rFonts w:ascii="Times New Roman" w:hAnsi="Times New Roman" w:cs="Times New Roman"/>
          <w:sz w:val="28"/>
          <w:szCs w:val="28"/>
        </w:rPr>
        <w:t xml:space="preserve">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p w14:paraId="4CFEB6A7" w14:textId="77777777" w:rsidR="00B737A1" w:rsidRPr="005E2B96" w:rsidRDefault="00B737A1" w:rsidP="005E6F1B">
      <w:pPr>
        <w:spacing w:after="0" w:line="240" w:lineRule="auto"/>
        <w:ind w:right="-284" w:firstLine="567"/>
        <w:contextualSpacing/>
        <w:jc w:val="both"/>
        <w:rPr>
          <w:rFonts w:ascii="Times New Roman" w:hAnsi="Times New Roman" w:cs="Times New Roman"/>
          <w:sz w:val="28"/>
          <w:szCs w:val="28"/>
        </w:rPr>
      </w:pPr>
      <w:r w:rsidRPr="005E2B96">
        <w:rPr>
          <w:rFonts w:ascii="Times New Roman" w:hAnsi="Times New Roman" w:cs="Times New Roman"/>
          <w:b/>
          <w:bCs/>
          <w:sz w:val="28"/>
          <w:szCs w:val="28"/>
        </w:rPr>
        <w:t>Value of a Statistical Life</w:t>
      </w:r>
      <w:r>
        <w:rPr>
          <w:rFonts w:ascii="Times New Roman" w:hAnsi="Times New Roman" w:cs="Times New Roman"/>
          <w:b/>
          <w:bCs/>
          <w:sz w:val="28"/>
          <w:szCs w:val="28"/>
        </w:rPr>
        <w:t xml:space="preserve"> - </w:t>
      </w:r>
      <w:r w:rsidRPr="005E2B96">
        <w:rPr>
          <w:rFonts w:ascii="Times New Roman" w:hAnsi="Times New Roman" w:cs="Times New Roman"/>
          <w:sz w:val="28"/>
          <w:szCs w:val="28"/>
        </w:rPr>
        <w:t>стоимость статистической жизни или стоимость человеческой жизни.</w:t>
      </w:r>
      <w:r>
        <w:rPr>
          <w:rFonts w:ascii="Times New Roman" w:hAnsi="Times New Roman" w:cs="Times New Roman"/>
          <w:sz w:val="28"/>
          <w:szCs w:val="28"/>
        </w:rPr>
        <w:t xml:space="preserve"> </w:t>
      </w:r>
      <w:r w:rsidRPr="005E2B96">
        <w:rPr>
          <w:rFonts w:ascii="Times New Roman" w:hAnsi="Times New Roman" w:cs="Times New Roman"/>
          <w:sz w:val="28"/>
          <w:szCs w:val="28"/>
        </w:rPr>
        <w:t>Это условная экономическая величина, которая используется для оценки того, сколько общество готово заплатить за снижение риска смерти, например, через внедрение мер безопасности или улучшение здоровья населения.</w:t>
      </w:r>
    </w:p>
    <w:p w14:paraId="0BB7E4C0" w14:textId="77777777" w:rsidR="000E609B" w:rsidRDefault="000E609B" w:rsidP="005E6F1B">
      <w:pPr>
        <w:spacing w:after="0" w:line="240" w:lineRule="auto"/>
        <w:contextualSpacing/>
      </w:pPr>
    </w:p>
    <w:p w14:paraId="357BE89A" w14:textId="77777777" w:rsidR="000E609B" w:rsidRDefault="000E609B" w:rsidP="005E6F1B">
      <w:pPr>
        <w:spacing w:after="0" w:line="240" w:lineRule="auto"/>
        <w:contextualSpacing/>
      </w:pPr>
    </w:p>
    <w:p w14:paraId="22C0F5DD" w14:textId="5AD42C42" w:rsidR="000E609B" w:rsidRPr="000E609B" w:rsidRDefault="000E609B" w:rsidP="000F4E51">
      <w:pPr>
        <w:spacing w:line="240" w:lineRule="auto"/>
        <w:sectPr w:rsidR="000E609B" w:rsidRPr="000E609B">
          <w:pgSz w:w="11906" w:h="16838"/>
          <w:pgMar w:top="1134" w:right="850" w:bottom="1134" w:left="1701" w:header="708" w:footer="708" w:gutter="0"/>
          <w:cols w:space="708"/>
          <w:docGrid w:linePitch="360"/>
        </w:sectPr>
      </w:pPr>
    </w:p>
    <w:p w14:paraId="01085EDF" w14:textId="4756AE6C" w:rsidR="00A05BCD" w:rsidRDefault="00A05BCD" w:rsidP="000F4E51">
      <w:pPr>
        <w:pStyle w:val="1"/>
        <w:spacing w:line="240" w:lineRule="auto"/>
        <w:jc w:val="center"/>
        <w:rPr>
          <w:rFonts w:ascii="Times New Roman" w:hAnsi="Times New Roman" w:cs="Times New Roman"/>
          <w:b/>
          <w:color w:val="auto"/>
          <w:sz w:val="28"/>
          <w:szCs w:val="28"/>
        </w:rPr>
      </w:pPr>
      <w:r w:rsidRPr="00C36C61">
        <w:rPr>
          <w:rFonts w:ascii="Times New Roman" w:hAnsi="Times New Roman" w:cs="Times New Roman"/>
          <w:b/>
          <w:color w:val="auto"/>
          <w:sz w:val="28"/>
          <w:szCs w:val="28"/>
        </w:rPr>
        <w:lastRenderedPageBreak/>
        <w:t>ОБОЗНАЧЕНИЯ И СОКРАЩЕНИЯ</w:t>
      </w:r>
      <w:bookmarkEnd w:id="1"/>
    </w:p>
    <w:p w14:paraId="636E3E06" w14:textId="77777777" w:rsidR="005E6F1B" w:rsidRPr="005E6F1B" w:rsidRDefault="005E6F1B" w:rsidP="005E6F1B"/>
    <w:tbl>
      <w:tblPr>
        <w:tblStyle w:val="ae"/>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5"/>
        <w:gridCol w:w="8149"/>
      </w:tblGrid>
      <w:tr w:rsidR="008E020B" w:rsidRPr="008E020B" w14:paraId="7C49731E" w14:textId="77777777" w:rsidTr="000B546E">
        <w:trPr>
          <w:trHeight w:val="66"/>
        </w:trPr>
        <w:tc>
          <w:tcPr>
            <w:tcW w:w="1485" w:type="dxa"/>
            <w:vAlign w:val="center"/>
          </w:tcPr>
          <w:p w14:paraId="392C435D"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DALY</w:t>
            </w:r>
          </w:p>
        </w:tc>
        <w:tc>
          <w:tcPr>
            <w:tcW w:w="8149" w:type="dxa"/>
            <w:vAlign w:val="center"/>
          </w:tcPr>
          <w:p w14:paraId="72212305" w14:textId="6F72704B" w:rsidR="00A05BCD" w:rsidRPr="008E020B" w:rsidRDefault="00A05BCD">
            <w:pPr>
              <w:pStyle w:val="af0"/>
              <w:numPr>
                <w:ilvl w:val="0"/>
                <w:numId w:val="14"/>
              </w:numPr>
              <w:tabs>
                <w:tab w:val="left" w:pos="209"/>
                <w:tab w:val="left" w:pos="567"/>
              </w:tabs>
              <w:ind w:left="0" w:hanging="288"/>
              <w:rPr>
                <w:rFonts w:cs="Times New Roman"/>
                <w:sz w:val="28"/>
                <w:szCs w:val="28"/>
                <w:shd w:val="clear" w:color="auto" w:fill="FFFFFF"/>
              </w:rPr>
            </w:pPr>
            <w:r w:rsidRPr="008E020B">
              <w:rPr>
                <w:rFonts w:ascii="Times New Roman" w:eastAsiaTheme="majorEastAsia" w:hAnsi="Times New Roman" w:cs="Times New Roman"/>
                <w:sz w:val="28"/>
                <w:szCs w:val="28"/>
              </w:rPr>
              <w:t xml:space="preserve">утраченные годы жизни с поправкой на инвалидность </w:t>
            </w:r>
          </w:p>
        </w:tc>
      </w:tr>
      <w:tr w:rsidR="008E020B" w:rsidRPr="008E020B" w14:paraId="201CC9FB" w14:textId="77777777" w:rsidTr="000B546E">
        <w:trPr>
          <w:trHeight w:val="66"/>
        </w:trPr>
        <w:tc>
          <w:tcPr>
            <w:tcW w:w="1485" w:type="dxa"/>
            <w:vAlign w:val="center"/>
          </w:tcPr>
          <w:p w14:paraId="1B3877B0" w14:textId="77777777" w:rsidR="00A05BCD" w:rsidRPr="008E020B" w:rsidRDefault="00A05BCD" w:rsidP="000F4E51">
            <w:pPr>
              <w:ind w:firstLine="164"/>
              <w:rPr>
                <w:sz w:val="28"/>
                <w:szCs w:val="28"/>
              </w:rPr>
            </w:pPr>
            <w:r w:rsidRPr="008E020B">
              <w:rPr>
                <w:rFonts w:ascii="Times New Roman" w:eastAsiaTheme="majorEastAsia" w:hAnsi="Times New Roman" w:cs="Times New Roman"/>
                <w:sz w:val="28"/>
                <w:szCs w:val="28"/>
              </w:rPr>
              <w:t>MSU</w:t>
            </w:r>
          </w:p>
        </w:tc>
        <w:tc>
          <w:tcPr>
            <w:tcW w:w="8149" w:type="dxa"/>
            <w:vAlign w:val="center"/>
          </w:tcPr>
          <w:p w14:paraId="60546112" w14:textId="77777777" w:rsidR="00A05BCD" w:rsidRPr="008E020B" w:rsidRDefault="00A05BCD">
            <w:pPr>
              <w:pStyle w:val="af0"/>
              <w:numPr>
                <w:ilvl w:val="0"/>
                <w:numId w:val="14"/>
              </w:numPr>
              <w:tabs>
                <w:tab w:val="left" w:pos="209"/>
                <w:tab w:val="left" w:pos="567"/>
              </w:tabs>
              <w:ind w:left="0" w:hanging="288"/>
              <w:rPr>
                <w:sz w:val="28"/>
                <w:szCs w:val="28"/>
              </w:rPr>
            </w:pPr>
            <w:r w:rsidRPr="008E020B">
              <w:rPr>
                <w:rFonts w:ascii="Times New Roman" w:eastAsiaTheme="majorEastAsia" w:hAnsi="Times New Roman" w:cs="Times New Roman"/>
                <w:sz w:val="28"/>
                <w:szCs w:val="28"/>
              </w:rPr>
              <w:t>Mobile Stroke Units (мобильные инсультные бригады)</w:t>
            </w:r>
          </w:p>
        </w:tc>
      </w:tr>
      <w:tr w:rsidR="008E020B" w:rsidRPr="008E020B" w14:paraId="1566741F" w14:textId="77777777" w:rsidTr="000B546E">
        <w:trPr>
          <w:trHeight w:val="66"/>
        </w:trPr>
        <w:tc>
          <w:tcPr>
            <w:tcW w:w="1485" w:type="dxa"/>
            <w:vAlign w:val="center"/>
          </w:tcPr>
          <w:p w14:paraId="0B7D5EE1" w14:textId="77777777" w:rsidR="00A05BCD" w:rsidRPr="008E020B" w:rsidRDefault="00A05BCD" w:rsidP="000F4E51">
            <w:pPr>
              <w:ind w:firstLine="164"/>
              <w:rPr>
                <w:sz w:val="28"/>
                <w:szCs w:val="28"/>
              </w:rPr>
            </w:pPr>
            <w:r w:rsidRPr="008E020B">
              <w:rPr>
                <w:rFonts w:ascii="Times New Roman" w:eastAsiaTheme="majorEastAsia" w:hAnsi="Times New Roman" w:cs="Times New Roman"/>
                <w:sz w:val="28"/>
                <w:szCs w:val="28"/>
              </w:rPr>
              <w:t>QALY</w:t>
            </w:r>
          </w:p>
        </w:tc>
        <w:tc>
          <w:tcPr>
            <w:tcW w:w="8149" w:type="dxa"/>
            <w:vAlign w:val="center"/>
          </w:tcPr>
          <w:p w14:paraId="63AD9628" w14:textId="77777777" w:rsidR="00A05BCD" w:rsidRPr="008E020B" w:rsidRDefault="00A05BCD">
            <w:pPr>
              <w:pStyle w:val="af0"/>
              <w:numPr>
                <w:ilvl w:val="0"/>
                <w:numId w:val="14"/>
              </w:numPr>
              <w:tabs>
                <w:tab w:val="left" w:pos="209"/>
                <w:tab w:val="left" w:pos="567"/>
              </w:tabs>
              <w:ind w:left="0" w:hanging="288"/>
              <w:rPr>
                <w:sz w:val="28"/>
                <w:szCs w:val="28"/>
              </w:rPr>
            </w:pPr>
            <w:r w:rsidRPr="008E020B">
              <w:rPr>
                <w:rFonts w:ascii="Times New Roman" w:eastAsiaTheme="majorEastAsia" w:hAnsi="Times New Roman" w:cs="Times New Roman"/>
                <w:sz w:val="28"/>
                <w:szCs w:val="28"/>
              </w:rPr>
              <w:t>годы жизни с поправкой на качество (</w:t>
            </w:r>
            <w:r w:rsidRPr="008E020B">
              <w:rPr>
                <w:rFonts w:ascii="Times New Roman" w:eastAsiaTheme="majorEastAsia" w:hAnsi="Times New Roman" w:cs="Times New Roman"/>
                <w:i/>
                <w:iCs/>
                <w:sz w:val="28"/>
                <w:szCs w:val="28"/>
              </w:rPr>
              <w:t>Quality-Adjusted Life Years</w:t>
            </w:r>
            <w:r w:rsidRPr="008E020B">
              <w:rPr>
                <w:rFonts w:ascii="Times New Roman" w:eastAsiaTheme="majorEastAsia" w:hAnsi="Times New Roman" w:cs="Times New Roman"/>
                <w:sz w:val="28"/>
                <w:szCs w:val="28"/>
              </w:rPr>
              <w:t>)</w:t>
            </w:r>
          </w:p>
        </w:tc>
      </w:tr>
      <w:tr w:rsidR="008E020B" w:rsidRPr="008E020B" w14:paraId="764C83F3" w14:textId="77777777" w:rsidTr="000B546E">
        <w:trPr>
          <w:trHeight w:val="66"/>
        </w:trPr>
        <w:tc>
          <w:tcPr>
            <w:tcW w:w="1485" w:type="dxa"/>
            <w:vAlign w:val="center"/>
          </w:tcPr>
          <w:p w14:paraId="168178D8"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VSL</w:t>
            </w:r>
          </w:p>
        </w:tc>
        <w:tc>
          <w:tcPr>
            <w:tcW w:w="8149" w:type="dxa"/>
            <w:vAlign w:val="center"/>
          </w:tcPr>
          <w:p w14:paraId="0005B710" w14:textId="77777777" w:rsidR="00A05BCD" w:rsidRPr="008E020B" w:rsidRDefault="00A05BCD">
            <w:pPr>
              <w:pStyle w:val="af0"/>
              <w:numPr>
                <w:ilvl w:val="0"/>
                <w:numId w:val="14"/>
              </w:numPr>
              <w:tabs>
                <w:tab w:val="left" w:pos="209"/>
                <w:tab w:val="left" w:pos="567"/>
              </w:tabs>
              <w:ind w:left="0" w:hanging="288"/>
              <w:rPr>
                <w:sz w:val="28"/>
                <w:szCs w:val="28"/>
              </w:rPr>
            </w:pPr>
            <w:r w:rsidRPr="008E020B">
              <w:rPr>
                <w:rFonts w:ascii="Times New Roman" w:eastAsiaTheme="majorEastAsia" w:hAnsi="Times New Roman" w:cs="Times New Roman"/>
                <w:sz w:val="28"/>
                <w:szCs w:val="28"/>
              </w:rPr>
              <w:t>показатель статистической продолжительности жизни (</w:t>
            </w:r>
            <w:r w:rsidRPr="008E020B">
              <w:rPr>
                <w:rFonts w:ascii="Times New Roman" w:eastAsiaTheme="majorEastAsia" w:hAnsi="Times New Roman" w:cs="Times New Roman"/>
                <w:i/>
                <w:iCs/>
                <w:sz w:val="28"/>
                <w:szCs w:val="28"/>
              </w:rPr>
              <w:t>Value of a Statistical Life</w:t>
            </w:r>
            <w:r w:rsidRPr="008E020B">
              <w:rPr>
                <w:rFonts w:ascii="Times New Roman" w:eastAsiaTheme="majorEastAsia" w:hAnsi="Times New Roman" w:cs="Times New Roman"/>
                <w:sz w:val="28"/>
                <w:szCs w:val="28"/>
              </w:rPr>
              <w:t>)</w:t>
            </w:r>
          </w:p>
        </w:tc>
      </w:tr>
      <w:tr w:rsidR="008E020B" w:rsidRPr="008E020B" w14:paraId="5D9E4CDC" w14:textId="77777777" w:rsidTr="000B546E">
        <w:trPr>
          <w:trHeight w:val="66"/>
        </w:trPr>
        <w:tc>
          <w:tcPr>
            <w:tcW w:w="1485" w:type="dxa"/>
            <w:vAlign w:val="center"/>
          </w:tcPr>
          <w:p w14:paraId="706F08BF" w14:textId="77777777" w:rsidR="00A05BCD" w:rsidRPr="008E020B" w:rsidRDefault="00A05BCD" w:rsidP="000F4E51">
            <w:pPr>
              <w:ind w:firstLine="164"/>
              <w:rPr>
                <w:sz w:val="28"/>
                <w:szCs w:val="28"/>
              </w:rPr>
            </w:pPr>
            <w:r w:rsidRPr="008E020B">
              <w:rPr>
                <w:rFonts w:ascii="Times New Roman" w:eastAsiaTheme="majorEastAsia" w:hAnsi="Times New Roman" w:cs="Times New Roman"/>
                <w:sz w:val="28"/>
                <w:szCs w:val="28"/>
              </w:rPr>
              <w:t>АД</w:t>
            </w:r>
          </w:p>
        </w:tc>
        <w:tc>
          <w:tcPr>
            <w:tcW w:w="8149" w:type="dxa"/>
            <w:vAlign w:val="center"/>
          </w:tcPr>
          <w:p w14:paraId="6EAF7EBF" w14:textId="77777777" w:rsidR="00A05BCD" w:rsidRPr="008E020B" w:rsidRDefault="00A05BCD">
            <w:pPr>
              <w:pStyle w:val="af0"/>
              <w:numPr>
                <w:ilvl w:val="0"/>
                <w:numId w:val="14"/>
              </w:numPr>
              <w:tabs>
                <w:tab w:val="left" w:pos="209"/>
                <w:tab w:val="left" w:pos="567"/>
              </w:tabs>
              <w:ind w:left="0" w:hanging="288"/>
              <w:rPr>
                <w:sz w:val="28"/>
                <w:szCs w:val="28"/>
                <w:lang w:val="en-US"/>
              </w:rPr>
            </w:pPr>
            <w:r w:rsidRPr="008E020B">
              <w:rPr>
                <w:rFonts w:ascii="Times New Roman" w:eastAsiaTheme="majorEastAsia" w:hAnsi="Times New Roman" w:cs="Times New Roman"/>
                <w:sz w:val="28"/>
                <w:szCs w:val="28"/>
              </w:rPr>
              <w:t>артериальное давление</w:t>
            </w:r>
          </w:p>
        </w:tc>
      </w:tr>
      <w:tr w:rsidR="008E020B" w:rsidRPr="008E020B" w14:paraId="66FF3686" w14:textId="77777777" w:rsidTr="000B546E">
        <w:trPr>
          <w:trHeight w:val="66"/>
        </w:trPr>
        <w:tc>
          <w:tcPr>
            <w:tcW w:w="1485" w:type="dxa"/>
            <w:vAlign w:val="center"/>
          </w:tcPr>
          <w:p w14:paraId="1CF78E48" w14:textId="77777777" w:rsidR="00A05BCD" w:rsidRPr="008E020B" w:rsidRDefault="00A05BCD" w:rsidP="000F4E51">
            <w:pPr>
              <w:ind w:firstLine="164"/>
              <w:rPr>
                <w:sz w:val="28"/>
                <w:szCs w:val="28"/>
              </w:rPr>
            </w:pPr>
            <w:r w:rsidRPr="008E020B">
              <w:rPr>
                <w:rFonts w:ascii="Times New Roman" w:eastAsiaTheme="majorEastAsia" w:hAnsi="Times New Roman" w:cs="Times New Roman"/>
                <w:sz w:val="28"/>
                <w:szCs w:val="28"/>
              </w:rPr>
              <w:t>БСК</w:t>
            </w:r>
          </w:p>
        </w:tc>
        <w:tc>
          <w:tcPr>
            <w:tcW w:w="8149" w:type="dxa"/>
            <w:vAlign w:val="center"/>
          </w:tcPr>
          <w:p w14:paraId="601A2B62" w14:textId="77777777" w:rsidR="00A05BCD" w:rsidRPr="008E020B" w:rsidRDefault="00A05BCD">
            <w:pPr>
              <w:pStyle w:val="af0"/>
              <w:numPr>
                <w:ilvl w:val="0"/>
                <w:numId w:val="14"/>
              </w:numPr>
              <w:tabs>
                <w:tab w:val="left" w:pos="209"/>
                <w:tab w:val="left" w:pos="567"/>
              </w:tabs>
              <w:ind w:left="0" w:hanging="288"/>
              <w:rPr>
                <w:sz w:val="28"/>
                <w:szCs w:val="28"/>
                <w:lang w:val="en-US"/>
              </w:rPr>
            </w:pPr>
            <w:r w:rsidRPr="008E020B">
              <w:rPr>
                <w:rFonts w:ascii="Times New Roman" w:eastAsiaTheme="majorEastAsia" w:hAnsi="Times New Roman" w:cs="Times New Roman"/>
                <w:sz w:val="28"/>
                <w:szCs w:val="28"/>
              </w:rPr>
              <w:t>болезни системы кровообращения</w:t>
            </w:r>
          </w:p>
        </w:tc>
      </w:tr>
      <w:tr w:rsidR="008E020B" w:rsidRPr="008E020B" w14:paraId="3DEF33ED" w14:textId="77777777" w:rsidTr="000B546E">
        <w:trPr>
          <w:trHeight w:val="66"/>
        </w:trPr>
        <w:tc>
          <w:tcPr>
            <w:tcW w:w="1485" w:type="dxa"/>
            <w:vAlign w:val="center"/>
          </w:tcPr>
          <w:p w14:paraId="67DBB068"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ВВП</w:t>
            </w:r>
          </w:p>
        </w:tc>
        <w:tc>
          <w:tcPr>
            <w:tcW w:w="8149" w:type="dxa"/>
            <w:vAlign w:val="center"/>
          </w:tcPr>
          <w:p w14:paraId="720B7E0A" w14:textId="77777777" w:rsidR="00A05BCD" w:rsidRPr="008E020B" w:rsidRDefault="00A05BCD">
            <w:pPr>
              <w:pStyle w:val="af0"/>
              <w:numPr>
                <w:ilvl w:val="0"/>
                <w:numId w:val="14"/>
              </w:numPr>
              <w:tabs>
                <w:tab w:val="left" w:pos="209"/>
                <w:tab w:val="left" w:pos="567"/>
              </w:tabs>
              <w:ind w:left="0" w:hanging="288"/>
              <w:rPr>
                <w:rFonts w:cs="Times New Roman"/>
                <w:sz w:val="28"/>
                <w:szCs w:val="28"/>
              </w:rPr>
            </w:pPr>
            <w:r w:rsidRPr="008E020B">
              <w:rPr>
                <w:rFonts w:ascii="Times New Roman" w:eastAsiaTheme="majorEastAsia" w:hAnsi="Times New Roman" w:cs="Times New Roman"/>
                <w:sz w:val="28"/>
                <w:szCs w:val="28"/>
              </w:rPr>
              <w:t>валовой внутренний продукт</w:t>
            </w:r>
          </w:p>
        </w:tc>
      </w:tr>
      <w:tr w:rsidR="008E020B" w:rsidRPr="008E020B" w14:paraId="7D8BE851" w14:textId="77777777" w:rsidTr="000B546E">
        <w:trPr>
          <w:trHeight w:val="66"/>
        </w:trPr>
        <w:tc>
          <w:tcPr>
            <w:tcW w:w="1485" w:type="dxa"/>
            <w:vAlign w:val="center"/>
          </w:tcPr>
          <w:p w14:paraId="1CA7F353" w14:textId="77777777" w:rsidR="00A05BCD" w:rsidRPr="008E020B" w:rsidRDefault="00A05BCD" w:rsidP="000F4E51">
            <w:pPr>
              <w:ind w:firstLine="164"/>
              <w:rPr>
                <w:sz w:val="28"/>
                <w:szCs w:val="28"/>
              </w:rPr>
            </w:pPr>
            <w:r w:rsidRPr="008E020B">
              <w:rPr>
                <w:rFonts w:ascii="Times New Roman" w:eastAsiaTheme="majorEastAsia" w:hAnsi="Times New Roman" w:cs="Times New Roman"/>
                <w:sz w:val="28"/>
                <w:szCs w:val="28"/>
              </w:rPr>
              <w:t>ВМК</w:t>
            </w:r>
          </w:p>
        </w:tc>
        <w:tc>
          <w:tcPr>
            <w:tcW w:w="8149" w:type="dxa"/>
            <w:vAlign w:val="center"/>
          </w:tcPr>
          <w:p w14:paraId="722E8407" w14:textId="77777777" w:rsidR="00A05BCD" w:rsidRPr="008E020B" w:rsidRDefault="00A05BCD">
            <w:pPr>
              <w:pStyle w:val="af0"/>
              <w:numPr>
                <w:ilvl w:val="0"/>
                <w:numId w:val="14"/>
              </w:numPr>
              <w:tabs>
                <w:tab w:val="left" w:pos="209"/>
                <w:tab w:val="left" w:pos="567"/>
              </w:tabs>
              <w:ind w:left="0" w:hanging="288"/>
              <w:rPr>
                <w:rFonts w:cs="Times New Roman"/>
                <w:sz w:val="28"/>
                <w:szCs w:val="28"/>
              </w:rPr>
            </w:pPr>
            <w:r w:rsidRPr="008E020B">
              <w:rPr>
                <w:rFonts w:ascii="Times New Roman" w:eastAsiaTheme="majorEastAsia" w:hAnsi="Times New Roman" w:cs="Times New Roman"/>
                <w:sz w:val="28"/>
                <w:szCs w:val="28"/>
              </w:rPr>
              <w:t>внутримозговые кровоизлияния</w:t>
            </w:r>
          </w:p>
        </w:tc>
      </w:tr>
      <w:tr w:rsidR="008E020B" w:rsidRPr="008E020B" w14:paraId="77069F10" w14:textId="77777777" w:rsidTr="000B546E">
        <w:trPr>
          <w:trHeight w:val="66"/>
        </w:trPr>
        <w:tc>
          <w:tcPr>
            <w:tcW w:w="1485" w:type="dxa"/>
            <w:vAlign w:val="center"/>
            <w:hideMark/>
          </w:tcPr>
          <w:p w14:paraId="7B5C5B4A"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ВОЗ</w:t>
            </w:r>
          </w:p>
        </w:tc>
        <w:tc>
          <w:tcPr>
            <w:tcW w:w="8149" w:type="dxa"/>
            <w:vAlign w:val="center"/>
            <w:hideMark/>
          </w:tcPr>
          <w:p w14:paraId="21272D6E"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Всемирная организация здравоохранения</w:t>
            </w:r>
          </w:p>
        </w:tc>
      </w:tr>
      <w:tr w:rsidR="008E020B" w:rsidRPr="008E020B" w14:paraId="5C3C0306" w14:textId="77777777" w:rsidTr="000B546E">
        <w:tc>
          <w:tcPr>
            <w:tcW w:w="1485" w:type="dxa"/>
            <w:vAlign w:val="center"/>
            <w:hideMark/>
          </w:tcPr>
          <w:p w14:paraId="54111B4D"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ВОУЗ</w:t>
            </w:r>
          </w:p>
        </w:tc>
        <w:tc>
          <w:tcPr>
            <w:tcW w:w="8149" w:type="dxa"/>
            <w:vAlign w:val="center"/>
            <w:hideMark/>
          </w:tcPr>
          <w:p w14:paraId="2F5147CB"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всеобщий охват услугами здравоохранения</w:t>
            </w:r>
          </w:p>
        </w:tc>
      </w:tr>
      <w:tr w:rsidR="008E020B" w:rsidRPr="008E020B" w14:paraId="6EFC09D4" w14:textId="77777777" w:rsidTr="000B546E">
        <w:tc>
          <w:tcPr>
            <w:tcW w:w="1485" w:type="dxa"/>
            <w:vAlign w:val="center"/>
          </w:tcPr>
          <w:p w14:paraId="054CD393"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ГПП-1</w:t>
            </w:r>
          </w:p>
        </w:tc>
        <w:tc>
          <w:tcPr>
            <w:tcW w:w="8149" w:type="dxa"/>
            <w:vAlign w:val="center"/>
          </w:tcPr>
          <w:p w14:paraId="6F5D726F"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глюкагоноподобный пептид-1</w:t>
            </w:r>
          </w:p>
        </w:tc>
      </w:tr>
      <w:tr w:rsidR="008E020B" w:rsidRPr="008E020B" w14:paraId="09B5F4B4" w14:textId="77777777" w:rsidTr="000B546E">
        <w:tc>
          <w:tcPr>
            <w:tcW w:w="1485" w:type="dxa"/>
            <w:vAlign w:val="center"/>
          </w:tcPr>
          <w:p w14:paraId="5611ED72"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ЛПНП</w:t>
            </w:r>
          </w:p>
        </w:tc>
        <w:tc>
          <w:tcPr>
            <w:tcW w:w="8149" w:type="dxa"/>
            <w:vAlign w:val="center"/>
          </w:tcPr>
          <w:p w14:paraId="08CF09C1"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липопротеины низкой плотности</w:t>
            </w:r>
          </w:p>
        </w:tc>
      </w:tr>
      <w:tr w:rsidR="008E020B" w:rsidRPr="008E020B" w14:paraId="62DD0624" w14:textId="77777777" w:rsidTr="000B546E">
        <w:tc>
          <w:tcPr>
            <w:tcW w:w="1485" w:type="dxa"/>
            <w:vAlign w:val="center"/>
            <w:hideMark/>
          </w:tcPr>
          <w:p w14:paraId="24794AB9"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МЗ</w:t>
            </w:r>
          </w:p>
        </w:tc>
        <w:tc>
          <w:tcPr>
            <w:tcW w:w="8149" w:type="dxa"/>
            <w:vAlign w:val="center"/>
            <w:hideMark/>
          </w:tcPr>
          <w:p w14:paraId="5C3470EC"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Министерство здравоохранения</w:t>
            </w:r>
          </w:p>
        </w:tc>
      </w:tr>
      <w:tr w:rsidR="008E020B" w:rsidRPr="008E020B" w14:paraId="5D316C33" w14:textId="77777777" w:rsidTr="000B546E">
        <w:tc>
          <w:tcPr>
            <w:tcW w:w="1485" w:type="dxa"/>
            <w:vAlign w:val="center"/>
          </w:tcPr>
          <w:p w14:paraId="54418F4F"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МКБ-10</w:t>
            </w:r>
          </w:p>
        </w:tc>
        <w:tc>
          <w:tcPr>
            <w:tcW w:w="8149" w:type="dxa"/>
            <w:vAlign w:val="center"/>
          </w:tcPr>
          <w:p w14:paraId="7223A9AE"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Международная классификация болезней 10-го пересмотра</w:t>
            </w:r>
          </w:p>
        </w:tc>
      </w:tr>
      <w:tr w:rsidR="008E020B" w:rsidRPr="008E020B" w14:paraId="6BFE549E" w14:textId="77777777" w:rsidTr="000B546E">
        <w:tc>
          <w:tcPr>
            <w:tcW w:w="1485" w:type="dxa"/>
            <w:vAlign w:val="center"/>
          </w:tcPr>
          <w:p w14:paraId="4C10C142"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МРТ</w:t>
            </w:r>
          </w:p>
        </w:tc>
        <w:tc>
          <w:tcPr>
            <w:tcW w:w="8149" w:type="dxa"/>
            <w:vAlign w:val="center"/>
          </w:tcPr>
          <w:p w14:paraId="39D2EDEC"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магнитно-резонансная томография</w:t>
            </w:r>
          </w:p>
        </w:tc>
      </w:tr>
      <w:tr w:rsidR="008E020B" w:rsidRPr="008E020B" w14:paraId="2059916C" w14:textId="77777777" w:rsidTr="000B546E">
        <w:tc>
          <w:tcPr>
            <w:tcW w:w="1485" w:type="dxa"/>
            <w:vAlign w:val="center"/>
          </w:tcPr>
          <w:p w14:paraId="17012218"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НГКТ-2</w:t>
            </w:r>
          </w:p>
        </w:tc>
        <w:tc>
          <w:tcPr>
            <w:tcW w:w="8149" w:type="dxa"/>
            <w:vAlign w:val="center"/>
          </w:tcPr>
          <w:p w14:paraId="2185AD64"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натрий-глюкозный котранспортёр 2-го типа</w:t>
            </w:r>
          </w:p>
        </w:tc>
      </w:tr>
      <w:tr w:rsidR="008E020B" w:rsidRPr="008E020B" w14:paraId="4FDFDEF1" w14:textId="77777777" w:rsidTr="000B546E">
        <w:tc>
          <w:tcPr>
            <w:tcW w:w="1485" w:type="dxa"/>
            <w:vAlign w:val="center"/>
          </w:tcPr>
          <w:p w14:paraId="272CA9A3"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ННЦРЗ</w:t>
            </w:r>
          </w:p>
        </w:tc>
        <w:tc>
          <w:tcPr>
            <w:tcW w:w="8149" w:type="dxa"/>
            <w:vAlign w:val="center"/>
          </w:tcPr>
          <w:p w14:paraId="77749E0A"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Национальный научный центр развития здравоохранения им. С. Зекеновой</w:t>
            </w:r>
          </w:p>
        </w:tc>
      </w:tr>
      <w:tr w:rsidR="008E020B" w:rsidRPr="008E020B" w14:paraId="07578005" w14:textId="77777777" w:rsidTr="000B546E">
        <w:tc>
          <w:tcPr>
            <w:tcW w:w="1485" w:type="dxa"/>
            <w:vAlign w:val="center"/>
          </w:tcPr>
          <w:p w14:paraId="5A78A063"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ОИИ</w:t>
            </w:r>
          </w:p>
        </w:tc>
        <w:tc>
          <w:tcPr>
            <w:tcW w:w="8149" w:type="dxa"/>
            <w:vAlign w:val="center"/>
          </w:tcPr>
          <w:p w14:paraId="60ADD1D3"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острый ишемический инсульт</w:t>
            </w:r>
          </w:p>
        </w:tc>
      </w:tr>
      <w:tr w:rsidR="008E020B" w:rsidRPr="008E020B" w14:paraId="608D8ED7" w14:textId="77777777" w:rsidTr="000B546E">
        <w:tc>
          <w:tcPr>
            <w:tcW w:w="1485" w:type="dxa"/>
            <w:vAlign w:val="center"/>
          </w:tcPr>
          <w:p w14:paraId="42D6F6AA" w14:textId="77777777" w:rsidR="00A05BCD" w:rsidRPr="008E020B" w:rsidRDefault="00A05BCD" w:rsidP="000F4E51">
            <w:pPr>
              <w:ind w:firstLine="164"/>
              <w:rPr>
                <w:sz w:val="28"/>
                <w:szCs w:val="28"/>
              </w:rPr>
            </w:pPr>
            <w:r w:rsidRPr="008E020B">
              <w:rPr>
                <w:rFonts w:ascii="Times New Roman" w:eastAsiaTheme="majorEastAsia" w:hAnsi="Times New Roman" w:cs="Times New Roman"/>
                <w:sz w:val="28"/>
                <w:szCs w:val="28"/>
              </w:rPr>
              <w:t>ОНМК</w:t>
            </w:r>
          </w:p>
        </w:tc>
        <w:tc>
          <w:tcPr>
            <w:tcW w:w="8149" w:type="dxa"/>
            <w:vAlign w:val="center"/>
          </w:tcPr>
          <w:p w14:paraId="4BC1B019"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острые нарушения мозгового кровообращения</w:t>
            </w:r>
          </w:p>
        </w:tc>
      </w:tr>
      <w:tr w:rsidR="008E020B" w:rsidRPr="008E020B" w14:paraId="3AFA083B" w14:textId="77777777" w:rsidTr="000B546E">
        <w:tc>
          <w:tcPr>
            <w:tcW w:w="1485" w:type="dxa"/>
            <w:vAlign w:val="center"/>
          </w:tcPr>
          <w:p w14:paraId="31ADAD31"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ОСМС</w:t>
            </w:r>
          </w:p>
        </w:tc>
        <w:tc>
          <w:tcPr>
            <w:tcW w:w="8149" w:type="dxa"/>
            <w:vAlign w:val="center"/>
          </w:tcPr>
          <w:p w14:paraId="6ED9F788"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обязательное социальное медицинское страхование</w:t>
            </w:r>
          </w:p>
        </w:tc>
      </w:tr>
      <w:tr w:rsidR="008E020B" w:rsidRPr="008E020B" w14:paraId="352EDD63" w14:textId="77777777" w:rsidTr="000B546E">
        <w:tc>
          <w:tcPr>
            <w:tcW w:w="1485" w:type="dxa"/>
            <w:vAlign w:val="center"/>
          </w:tcPr>
          <w:p w14:paraId="251A8199"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ОР</w:t>
            </w:r>
          </w:p>
        </w:tc>
        <w:tc>
          <w:tcPr>
            <w:tcW w:w="8149" w:type="dxa"/>
            <w:vAlign w:val="center"/>
          </w:tcPr>
          <w:p w14:paraId="04EA8CF9"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отношение рисков</w:t>
            </w:r>
          </w:p>
        </w:tc>
      </w:tr>
      <w:tr w:rsidR="008E020B" w:rsidRPr="008E020B" w14:paraId="54E4AC60" w14:textId="77777777" w:rsidTr="000B546E">
        <w:tc>
          <w:tcPr>
            <w:tcW w:w="1485" w:type="dxa"/>
            <w:vAlign w:val="center"/>
          </w:tcPr>
          <w:p w14:paraId="61EFE9E4"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ОЭСР</w:t>
            </w:r>
          </w:p>
        </w:tc>
        <w:tc>
          <w:tcPr>
            <w:tcW w:w="8149" w:type="dxa"/>
            <w:vAlign w:val="center"/>
          </w:tcPr>
          <w:p w14:paraId="4BECC23E"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Организация экономического сотрудничества и развития</w:t>
            </w:r>
          </w:p>
        </w:tc>
      </w:tr>
      <w:tr w:rsidR="008E020B" w:rsidRPr="008E020B" w14:paraId="65C29155" w14:textId="77777777" w:rsidTr="000B546E">
        <w:tc>
          <w:tcPr>
            <w:tcW w:w="1485" w:type="dxa"/>
            <w:vAlign w:val="center"/>
          </w:tcPr>
          <w:p w14:paraId="63B5AF45"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ППС</w:t>
            </w:r>
          </w:p>
        </w:tc>
        <w:tc>
          <w:tcPr>
            <w:tcW w:w="8149" w:type="dxa"/>
            <w:vAlign w:val="center"/>
          </w:tcPr>
          <w:p w14:paraId="4C11E672"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паритет покупательной способности</w:t>
            </w:r>
          </w:p>
        </w:tc>
      </w:tr>
      <w:tr w:rsidR="008E020B" w:rsidRPr="008E020B" w14:paraId="014B6C4A" w14:textId="77777777" w:rsidTr="000B546E">
        <w:tc>
          <w:tcPr>
            <w:tcW w:w="1485" w:type="dxa"/>
            <w:vAlign w:val="center"/>
            <w:hideMark/>
          </w:tcPr>
          <w:p w14:paraId="744E559F"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РК</w:t>
            </w:r>
          </w:p>
        </w:tc>
        <w:tc>
          <w:tcPr>
            <w:tcW w:w="8149" w:type="dxa"/>
            <w:vAlign w:val="center"/>
            <w:hideMark/>
          </w:tcPr>
          <w:p w14:paraId="7C37BC9A"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Республика Казахстан</w:t>
            </w:r>
          </w:p>
        </w:tc>
      </w:tr>
      <w:tr w:rsidR="008E020B" w:rsidRPr="008E020B" w14:paraId="4BA7028B" w14:textId="77777777" w:rsidTr="000B546E">
        <w:tc>
          <w:tcPr>
            <w:tcW w:w="1485" w:type="dxa"/>
            <w:vAlign w:val="center"/>
          </w:tcPr>
          <w:p w14:paraId="45860E9A"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РКЦПИ</w:t>
            </w:r>
          </w:p>
        </w:tc>
        <w:tc>
          <w:tcPr>
            <w:tcW w:w="8149" w:type="dxa"/>
            <w:vAlign w:val="center"/>
          </w:tcPr>
          <w:p w14:paraId="42EAFADF"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Республиканский координационный центр по проблемам инсульта</w:t>
            </w:r>
          </w:p>
        </w:tc>
      </w:tr>
      <w:tr w:rsidR="008E020B" w:rsidRPr="008E020B" w14:paraId="6A3016E8" w14:textId="77777777" w:rsidTr="000B546E">
        <w:tc>
          <w:tcPr>
            <w:tcW w:w="1485" w:type="dxa"/>
            <w:vAlign w:val="center"/>
          </w:tcPr>
          <w:p w14:paraId="61197DEA" w14:textId="77777777" w:rsidR="00A05BCD" w:rsidRPr="008E020B" w:rsidRDefault="00A05BCD" w:rsidP="000F4E51">
            <w:pPr>
              <w:ind w:firstLine="164"/>
              <w:rPr>
                <w:rFonts w:eastAsia="Calibri"/>
                <w:sz w:val="28"/>
                <w:szCs w:val="28"/>
              </w:rPr>
            </w:pPr>
            <w:r w:rsidRPr="008E020B">
              <w:rPr>
                <w:rFonts w:ascii="Times New Roman" w:eastAsiaTheme="majorEastAsia" w:hAnsi="Times New Roman" w:cs="Times New Roman"/>
                <w:sz w:val="28"/>
                <w:szCs w:val="28"/>
              </w:rPr>
              <w:t>СМП</w:t>
            </w:r>
          </w:p>
        </w:tc>
        <w:tc>
          <w:tcPr>
            <w:tcW w:w="8149" w:type="dxa"/>
            <w:vAlign w:val="center"/>
          </w:tcPr>
          <w:p w14:paraId="2A0057AB" w14:textId="77777777" w:rsidR="00A05BCD" w:rsidRPr="008E020B" w:rsidRDefault="00A05BCD">
            <w:pPr>
              <w:pStyle w:val="a6"/>
              <w:numPr>
                <w:ilvl w:val="0"/>
                <w:numId w:val="14"/>
              </w:numPr>
              <w:tabs>
                <w:tab w:val="left" w:pos="209"/>
                <w:tab w:val="left" w:pos="567"/>
              </w:tabs>
              <w:ind w:left="0" w:hanging="288"/>
              <w:rPr>
                <w:rFonts w:eastAsia="Calibri"/>
                <w:sz w:val="28"/>
                <w:szCs w:val="28"/>
              </w:rPr>
            </w:pPr>
            <w:r w:rsidRPr="008E020B">
              <w:rPr>
                <w:rFonts w:eastAsiaTheme="majorEastAsia"/>
                <w:sz w:val="28"/>
                <w:szCs w:val="28"/>
              </w:rPr>
              <w:t>скорая медицинская помощь</w:t>
            </w:r>
          </w:p>
        </w:tc>
      </w:tr>
      <w:tr w:rsidR="008E020B" w:rsidRPr="008E020B" w14:paraId="1DFFF9AE" w14:textId="77777777" w:rsidTr="000B546E">
        <w:tc>
          <w:tcPr>
            <w:tcW w:w="1485" w:type="dxa"/>
            <w:vAlign w:val="center"/>
          </w:tcPr>
          <w:p w14:paraId="51EBAFAD" w14:textId="77777777" w:rsidR="00A05BCD" w:rsidRPr="008E020B" w:rsidRDefault="00A05BCD" w:rsidP="000F4E51">
            <w:pPr>
              <w:ind w:firstLine="164"/>
              <w:rPr>
                <w:rFonts w:eastAsia="Calibri"/>
                <w:sz w:val="28"/>
                <w:szCs w:val="28"/>
              </w:rPr>
            </w:pPr>
            <w:r w:rsidRPr="008E020B">
              <w:rPr>
                <w:rFonts w:ascii="Times New Roman" w:eastAsiaTheme="majorEastAsia" w:hAnsi="Times New Roman" w:cs="Times New Roman"/>
                <w:sz w:val="28"/>
                <w:szCs w:val="28"/>
              </w:rPr>
              <w:t>СПИ</w:t>
            </w:r>
          </w:p>
        </w:tc>
        <w:tc>
          <w:tcPr>
            <w:tcW w:w="8149" w:type="dxa"/>
            <w:vAlign w:val="center"/>
          </w:tcPr>
          <w:p w14:paraId="59BF612E" w14:textId="77777777" w:rsidR="00A05BCD" w:rsidRPr="008E020B" w:rsidRDefault="00A05BCD">
            <w:pPr>
              <w:pStyle w:val="a6"/>
              <w:numPr>
                <w:ilvl w:val="0"/>
                <w:numId w:val="14"/>
              </w:numPr>
              <w:tabs>
                <w:tab w:val="left" w:pos="209"/>
                <w:tab w:val="left" w:pos="567"/>
              </w:tabs>
              <w:ind w:left="0" w:hanging="288"/>
              <w:rPr>
                <w:rFonts w:eastAsia="Calibri"/>
                <w:sz w:val="28"/>
                <w:szCs w:val="28"/>
              </w:rPr>
            </w:pPr>
            <w:r w:rsidRPr="008E020B">
              <w:rPr>
                <w:rFonts w:eastAsiaTheme="majorEastAsia"/>
                <w:sz w:val="28"/>
                <w:szCs w:val="28"/>
              </w:rPr>
              <w:t>среднегодовое процентное изменение</w:t>
            </w:r>
          </w:p>
        </w:tc>
      </w:tr>
      <w:tr w:rsidR="008E020B" w:rsidRPr="008E020B" w14:paraId="0776784A" w14:textId="77777777" w:rsidTr="000B546E">
        <w:tc>
          <w:tcPr>
            <w:tcW w:w="1485" w:type="dxa"/>
            <w:vAlign w:val="center"/>
          </w:tcPr>
          <w:p w14:paraId="001A4522"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ССЗ</w:t>
            </w:r>
          </w:p>
        </w:tc>
        <w:tc>
          <w:tcPr>
            <w:tcW w:w="8149" w:type="dxa"/>
            <w:vAlign w:val="center"/>
          </w:tcPr>
          <w:p w14:paraId="0ADAD051"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сердечно-сосудистые заболевания</w:t>
            </w:r>
          </w:p>
        </w:tc>
      </w:tr>
      <w:tr w:rsidR="008E020B" w:rsidRPr="008E020B" w14:paraId="447602EF" w14:textId="77777777" w:rsidTr="000B546E">
        <w:tc>
          <w:tcPr>
            <w:tcW w:w="1485" w:type="dxa"/>
            <w:vAlign w:val="center"/>
            <w:hideMark/>
          </w:tcPr>
          <w:p w14:paraId="66F16DF6"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СНСД</w:t>
            </w:r>
          </w:p>
        </w:tc>
        <w:tc>
          <w:tcPr>
            <w:tcW w:w="8149" w:type="dxa"/>
            <w:vAlign w:val="center"/>
            <w:hideMark/>
          </w:tcPr>
          <w:p w14:paraId="57146510"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страны с низким и средним уровнем дохода</w:t>
            </w:r>
          </w:p>
        </w:tc>
      </w:tr>
      <w:tr w:rsidR="008E020B" w:rsidRPr="008E020B" w14:paraId="22DED86A" w14:textId="77777777" w:rsidTr="000B546E">
        <w:tc>
          <w:tcPr>
            <w:tcW w:w="1485" w:type="dxa"/>
            <w:vAlign w:val="center"/>
          </w:tcPr>
          <w:p w14:paraId="7E5B68C8"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САК</w:t>
            </w:r>
          </w:p>
        </w:tc>
        <w:tc>
          <w:tcPr>
            <w:tcW w:w="8149" w:type="dxa"/>
            <w:vAlign w:val="center"/>
          </w:tcPr>
          <w:p w14:paraId="13CFB852"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субарахноидальные кровоизлияния</w:t>
            </w:r>
          </w:p>
        </w:tc>
      </w:tr>
      <w:tr w:rsidR="008E020B" w:rsidRPr="008E020B" w14:paraId="1CB5AE72" w14:textId="77777777" w:rsidTr="000B546E">
        <w:trPr>
          <w:trHeight w:val="66"/>
        </w:trPr>
        <w:tc>
          <w:tcPr>
            <w:tcW w:w="1485" w:type="dxa"/>
            <w:vAlign w:val="center"/>
            <w:hideMark/>
          </w:tcPr>
          <w:p w14:paraId="5A211DF1"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США</w:t>
            </w:r>
          </w:p>
        </w:tc>
        <w:tc>
          <w:tcPr>
            <w:tcW w:w="8149" w:type="dxa"/>
            <w:vAlign w:val="center"/>
            <w:hideMark/>
          </w:tcPr>
          <w:p w14:paraId="438692AC"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Соединённые Штаты Америки</w:t>
            </w:r>
          </w:p>
        </w:tc>
      </w:tr>
      <w:tr w:rsidR="008E020B" w:rsidRPr="008E020B" w14:paraId="4E98A260" w14:textId="77777777" w:rsidTr="000B546E">
        <w:trPr>
          <w:trHeight w:val="66"/>
        </w:trPr>
        <w:tc>
          <w:tcPr>
            <w:tcW w:w="1485" w:type="dxa"/>
            <w:vAlign w:val="center"/>
          </w:tcPr>
          <w:p w14:paraId="00F21CB7"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ТИА</w:t>
            </w:r>
          </w:p>
        </w:tc>
        <w:tc>
          <w:tcPr>
            <w:tcW w:w="8149" w:type="dxa"/>
            <w:vAlign w:val="center"/>
          </w:tcPr>
          <w:p w14:paraId="63444F07"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транзиторная ишемическая атака</w:t>
            </w:r>
          </w:p>
        </w:tc>
      </w:tr>
      <w:tr w:rsidR="008E020B" w:rsidRPr="008E020B" w14:paraId="0E9DAC1F" w14:textId="77777777" w:rsidTr="000B546E">
        <w:trPr>
          <w:trHeight w:val="66"/>
        </w:trPr>
        <w:tc>
          <w:tcPr>
            <w:tcW w:w="1485" w:type="dxa"/>
            <w:vAlign w:val="center"/>
          </w:tcPr>
          <w:p w14:paraId="509A1238" w14:textId="77777777" w:rsidR="00A05BCD" w:rsidRPr="008E020B" w:rsidRDefault="00A05BCD" w:rsidP="000F4E51">
            <w:pPr>
              <w:ind w:firstLine="164"/>
              <w:rPr>
                <w:sz w:val="28"/>
                <w:szCs w:val="28"/>
              </w:rPr>
            </w:pPr>
            <w:r w:rsidRPr="008E020B">
              <w:rPr>
                <w:rFonts w:ascii="Times New Roman" w:eastAsiaTheme="majorEastAsia" w:hAnsi="Times New Roman" w:cs="Times New Roman"/>
                <w:sz w:val="28"/>
                <w:szCs w:val="28"/>
              </w:rPr>
              <w:t>ХБП</w:t>
            </w:r>
          </w:p>
        </w:tc>
        <w:tc>
          <w:tcPr>
            <w:tcW w:w="8149" w:type="dxa"/>
            <w:vAlign w:val="center"/>
          </w:tcPr>
          <w:p w14:paraId="41B9C3E9"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хроническая болезнь почек</w:t>
            </w:r>
          </w:p>
        </w:tc>
      </w:tr>
      <w:tr w:rsidR="008E020B" w:rsidRPr="008E020B" w14:paraId="141BB20A" w14:textId="77777777" w:rsidTr="000B546E">
        <w:trPr>
          <w:trHeight w:val="66"/>
        </w:trPr>
        <w:tc>
          <w:tcPr>
            <w:tcW w:w="1485" w:type="dxa"/>
            <w:vAlign w:val="center"/>
          </w:tcPr>
          <w:p w14:paraId="51E0D902" w14:textId="77777777" w:rsidR="00A05BCD" w:rsidRPr="008E020B" w:rsidRDefault="00A05BCD" w:rsidP="000F4E51">
            <w:pPr>
              <w:ind w:firstLine="164"/>
              <w:rPr>
                <w:sz w:val="28"/>
                <w:szCs w:val="28"/>
              </w:rPr>
            </w:pPr>
            <w:r w:rsidRPr="008E020B">
              <w:rPr>
                <w:rFonts w:ascii="Times New Roman" w:eastAsiaTheme="majorEastAsia" w:hAnsi="Times New Roman" w:cs="Times New Roman"/>
                <w:sz w:val="28"/>
                <w:szCs w:val="28"/>
              </w:rPr>
              <w:t>ФП</w:t>
            </w:r>
          </w:p>
        </w:tc>
        <w:tc>
          <w:tcPr>
            <w:tcW w:w="8149" w:type="dxa"/>
            <w:vAlign w:val="center"/>
          </w:tcPr>
          <w:p w14:paraId="39F200F6"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фибрилляция предсердий</w:t>
            </w:r>
          </w:p>
        </w:tc>
      </w:tr>
      <w:tr w:rsidR="008E020B" w:rsidRPr="008E020B" w14:paraId="7AF699A4" w14:textId="77777777" w:rsidTr="000B546E">
        <w:trPr>
          <w:trHeight w:val="66"/>
        </w:trPr>
        <w:tc>
          <w:tcPr>
            <w:tcW w:w="1485" w:type="dxa"/>
            <w:vAlign w:val="center"/>
          </w:tcPr>
          <w:p w14:paraId="0589E6DA" w14:textId="77777777" w:rsidR="00A05BCD" w:rsidRPr="008E020B" w:rsidRDefault="00A05BCD" w:rsidP="000F4E51">
            <w:pPr>
              <w:ind w:firstLine="164"/>
              <w:rPr>
                <w:sz w:val="28"/>
                <w:szCs w:val="28"/>
              </w:rPr>
            </w:pPr>
            <w:r w:rsidRPr="008E020B">
              <w:rPr>
                <w:rFonts w:ascii="Times New Roman" w:eastAsiaTheme="majorEastAsia" w:hAnsi="Times New Roman" w:cs="Times New Roman"/>
                <w:sz w:val="28"/>
                <w:szCs w:val="28"/>
              </w:rPr>
              <w:t>ЦВЗ</w:t>
            </w:r>
          </w:p>
        </w:tc>
        <w:tc>
          <w:tcPr>
            <w:tcW w:w="8149" w:type="dxa"/>
            <w:vAlign w:val="center"/>
          </w:tcPr>
          <w:p w14:paraId="1669FC09"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цереброваскулярные заболевания</w:t>
            </w:r>
          </w:p>
        </w:tc>
      </w:tr>
      <w:tr w:rsidR="008E020B" w:rsidRPr="008E020B" w14:paraId="6559F181" w14:textId="77777777" w:rsidTr="000B546E">
        <w:trPr>
          <w:trHeight w:val="425"/>
        </w:trPr>
        <w:tc>
          <w:tcPr>
            <w:tcW w:w="1485" w:type="dxa"/>
            <w:vAlign w:val="center"/>
            <w:hideMark/>
          </w:tcPr>
          <w:p w14:paraId="61712781" w14:textId="77777777" w:rsidR="00A05BCD" w:rsidRPr="008E020B" w:rsidRDefault="00A05BCD" w:rsidP="000F4E51">
            <w:pPr>
              <w:ind w:firstLine="164"/>
              <w:rPr>
                <w:rFonts w:ascii="Times New Roman" w:hAnsi="Times New Roman" w:cs="Times New Roman"/>
                <w:sz w:val="28"/>
                <w:szCs w:val="28"/>
              </w:rPr>
            </w:pPr>
            <w:r w:rsidRPr="008E020B">
              <w:rPr>
                <w:rFonts w:ascii="Times New Roman" w:eastAsiaTheme="majorEastAsia" w:hAnsi="Times New Roman" w:cs="Times New Roman"/>
                <w:sz w:val="28"/>
                <w:szCs w:val="28"/>
              </w:rPr>
              <w:t>ЦУР</w:t>
            </w:r>
          </w:p>
        </w:tc>
        <w:tc>
          <w:tcPr>
            <w:tcW w:w="8149" w:type="dxa"/>
            <w:vAlign w:val="center"/>
            <w:hideMark/>
          </w:tcPr>
          <w:p w14:paraId="4D0574AD" w14:textId="77777777" w:rsidR="00A05BCD" w:rsidRPr="008E020B" w:rsidRDefault="00A05BCD">
            <w:pPr>
              <w:pStyle w:val="a6"/>
              <w:numPr>
                <w:ilvl w:val="0"/>
                <w:numId w:val="14"/>
              </w:numPr>
              <w:tabs>
                <w:tab w:val="left" w:pos="209"/>
                <w:tab w:val="left" w:pos="567"/>
              </w:tabs>
              <w:ind w:left="0" w:hanging="288"/>
              <w:rPr>
                <w:sz w:val="28"/>
                <w:szCs w:val="28"/>
              </w:rPr>
            </w:pPr>
            <w:r w:rsidRPr="008E020B">
              <w:rPr>
                <w:rFonts w:eastAsiaTheme="majorEastAsia"/>
                <w:sz w:val="28"/>
                <w:szCs w:val="28"/>
              </w:rPr>
              <w:t>Цели устойчивого развития</w:t>
            </w:r>
          </w:p>
        </w:tc>
      </w:tr>
    </w:tbl>
    <w:p w14:paraId="728DA7A2" w14:textId="77777777" w:rsidR="00612F35" w:rsidRPr="009F51FB" w:rsidRDefault="00612F35" w:rsidP="000F4E51">
      <w:pPr>
        <w:tabs>
          <w:tab w:val="left" w:pos="1134"/>
        </w:tabs>
        <w:spacing w:after="0" w:line="240" w:lineRule="auto"/>
        <w:ind w:firstLine="567"/>
        <w:jc w:val="both"/>
        <w:rPr>
          <w:rStyle w:val="apple-style-span"/>
          <w:rFonts w:ascii="Times New Roman" w:eastAsiaTheme="majorEastAsia" w:hAnsi="Times New Roman" w:cs="Times New Roman"/>
          <w:sz w:val="28"/>
          <w:szCs w:val="28"/>
        </w:rPr>
      </w:pPr>
    </w:p>
    <w:p w14:paraId="5938383E" w14:textId="77777777" w:rsidR="00612F35" w:rsidRPr="005E6F1B" w:rsidRDefault="00612F35" w:rsidP="005E6F1B">
      <w:pPr>
        <w:spacing w:after="0" w:line="240" w:lineRule="auto"/>
        <w:ind w:firstLine="567"/>
        <w:jc w:val="center"/>
        <w:rPr>
          <w:rStyle w:val="apple-style-span"/>
          <w:rFonts w:ascii="Times New Roman" w:eastAsiaTheme="majorEastAsia" w:hAnsi="Times New Roman" w:cs="Times New Roman"/>
          <w:sz w:val="28"/>
          <w:szCs w:val="28"/>
        </w:rPr>
      </w:pPr>
    </w:p>
    <w:p w14:paraId="112A8D0B" w14:textId="77777777" w:rsidR="00F36015" w:rsidRPr="005E6F1B" w:rsidRDefault="00F36015" w:rsidP="005E6F1B">
      <w:pPr>
        <w:pStyle w:val="a6"/>
        <w:tabs>
          <w:tab w:val="left" w:pos="993"/>
        </w:tabs>
        <w:ind w:left="0" w:firstLine="567"/>
        <w:jc w:val="both"/>
        <w:rPr>
          <w:b/>
          <w:sz w:val="28"/>
          <w:szCs w:val="28"/>
        </w:rPr>
        <w:sectPr w:rsidR="00F36015" w:rsidRPr="005E6F1B">
          <w:pgSz w:w="11906" w:h="16838"/>
          <w:pgMar w:top="1134" w:right="850" w:bottom="1134" w:left="1701" w:header="708" w:footer="708" w:gutter="0"/>
          <w:cols w:space="708"/>
          <w:docGrid w:linePitch="360"/>
        </w:sectPr>
      </w:pPr>
    </w:p>
    <w:p w14:paraId="2BBB5884" w14:textId="50C562ED" w:rsidR="00612F35" w:rsidRPr="005E6F1B" w:rsidRDefault="005E6F1B" w:rsidP="00803D47">
      <w:pPr>
        <w:spacing w:after="0" w:line="240" w:lineRule="auto"/>
        <w:ind w:firstLine="567"/>
        <w:jc w:val="center"/>
        <w:rPr>
          <w:rFonts w:ascii="Times New Roman" w:hAnsi="Times New Roman" w:cs="Times New Roman"/>
          <w:b/>
          <w:sz w:val="28"/>
          <w:szCs w:val="28"/>
        </w:rPr>
      </w:pPr>
      <w:r w:rsidRPr="005E6F1B">
        <w:rPr>
          <w:rFonts w:ascii="Times New Roman" w:hAnsi="Times New Roman" w:cs="Times New Roman"/>
          <w:b/>
          <w:sz w:val="28"/>
          <w:szCs w:val="28"/>
        </w:rPr>
        <w:lastRenderedPageBreak/>
        <w:t>ВВЕДЕНИЕ</w:t>
      </w:r>
      <w:r w:rsidR="00612F35" w:rsidRPr="005E6F1B">
        <w:rPr>
          <w:rFonts w:ascii="Times New Roman" w:hAnsi="Times New Roman" w:cs="Times New Roman"/>
          <w:b/>
          <w:sz w:val="28"/>
          <w:szCs w:val="28"/>
        </w:rPr>
        <w:t>.</w:t>
      </w:r>
    </w:p>
    <w:p w14:paraId="1DF2BA3A" w14:textId="51130997" w:rsidR="008E7CF7" w:rsidRDefault="008E7CF7" w:rsidP="00803D47">
      <w:pPr>
        <w:tabs>
          <w:tab w:val="left" w:pos="6555"/>
        </w:tabs>
        <w:spacing w:after="0" w:line="240" w:lineRule="auto"/>
        <w:ind w:firstLine="567"/>
        <w:jc w:val="both"/>
        <w:rPr>
          <w:rFonts w:ascii="Times New Roman" w:eastAsia="Times New Roman" w:hAnsi="Times New Roman" w:cs="Times New Roman"/>
          <w:iCs/>
          <w:sz w:val="28"/>
          <w:szCs w:val="28"/>
        </w:rPr>
      </w:pPr>
    </w:p>
    <w:p w14:paraId="6263B8A6" w14:textId="40FA7952" w:rsidR="005E6F1B" w:rsidRPr="005E6F1B" w:rsidRDefault="005E6F1B" w:rsidP="00803D47">
      <w:pPr>
        <w:tabs>
          <w:tab w:val="left" w:pos="6555"/>
        </w:tabs>
        <w:spacing w:after="0" w:line="240" w:lineRule="auto"/>
        <w:ind w:firstLine="567"/>
        <w:jc w:val="both"/>
        <w:rPr>
          <w:rFonts w:ascii="Times New Roman" w:eastAsia="Times New Roman" w:hAnsi="Times New Roman" w:cs="Times New Roman"/>
          <w:b/>
          <w:iCs/>
          <w:sz w:val="28"/>
          <w:szCs w:val="28"/>
        </w:rPr>
      </w:pPr>
      <w:r w:rsidRPr="005E6F1B">
        <w:rPr>
          <w:rFonts w:ascii="Times New Roman" w:eastAsia="Times New Roman" w:hAnsi="Times New Roman" w:cs="Times New Roman"/>
          <w:b/>
          <w:iCs/>
          <w:sz w:val="28"/>
          <w:szCs w:val="28"/>
        </w:rPr>
        <w:t>Актуальность исследования</w:t>
      </w:r>
    </w:p>
    <w:p w14:paraId="57169A5A" w14:textId="61DAB230" w:rsidR="00F36015" w:rsidRPr="005E6F1B" w:rsidRDefault="00F36015" w:rsidP="00803D47">
      <w:pPr>
        <w:tabs>
          <w:tab w:val="left" w:pos="6555"/>
        </w:tabs>
        <w:spacing w:after="0" w:line="240" w:lineRule="auto"/>
        <w:ind w:firstLine="567"/>
        <w:jc w:val="both"/>
        <w:rPr>
          <w:rFonts w:ascii="Times New Roman" w:eastAsia="Times New Roman" w:hAnsi="Times New Roman" w:cs="Times New Roman"/>
          <w:iCs/>
          <w:sz w:val="28"/>
          <w:szCs w:val="28"/>
        </w:rPr>
      </w:pPr>
      <w:r w:rsidRPr="005E6F1B">
        <w:rPr>
          <w:rFonts w:ascii="Times New Roman" w:eastAsia="Times New Roman" w:hAnsi="Times New Roman" w:cs="Times New Roman"/>
          <w:iCs/>
          <w:sz w:val="28"/>
          <w:szCs w:val="28"/>
        </w:rPr>
        <w:t>Сердечно-сосудистые заболевания (ССЗ) остаются ведущей причиной смертности в мире и представляют серьёзную медико-социальную проблему. По данным ВОЗ, в 2022 году от ССЗ умерло 19,8 млн человек, из которых 85% приходилось на инфаркты и инсульты. Более 75% этих смертей зарегистрировано в странах с низким и средним уровнем дохода, где доступ к медицинской помощи и профилактике ограничен [1-3]. Инсульт — одно из наиболее тяжёлых проявлений ССЗ, являющееся главной причиной смертности и инвалидизации взрослого населения. Он представляет собой острое нарушение мозгового кровообращения, вызывающее повреждение ткани мозга вследствие ишемии или кровоизлияния. Согласно определению ВОЗ, инсульт — это неврологический дефицит сосудистого происхождения, сохраняющийся более 24 часов или приводящий к смерти в этот период. Принято выделять два основных типа инсульта: ишемический (около 85% случаев) и геморрагический (около 15%) [4].</w:t>
      </w:r>
    </w:p>
    <w:p w14:paraId="192C4E02" w14:textId="77777777" w:rsidR="00F36015" w:rsidRPr="005E6F1B" w:rsidRDefault="00F36015" w:rsidP="00803D47">
      <w:pPr>
        <w:tabs>
          <w:tab w:val="left" w:pos="6555"/>
        </w:tabs>
        <w:spacing w:after="0" w:line="240" w:lineRule="auto"/>
        <w:ind w:firstLine="567"/>
        <w:jc w:val="both"/>
        <w:rPr>
          <w:rFonts w:ascii="Times New Roman" w:eastAsia="Times New Roman" w:hAnsi="Times New Roman" w:cs="Times New Roman"/>
          <w:iCs/>
          <w:sz w:val="28"/>
          <w:szCs w:val="28"/>
        </w:rPr>
      </w:pPr>
      <w:r w:rsidRPr="005E6F1B">
        <w:rPr>
          <w:rFonts w:ascii="Times New Roman" w:eastAsia="Times New Roman" w:hAnsi="Times New Roman" w:cs="Times New Roman"/>
          <w:iCs/>
          <w:sz w:val="28"/>
          <w:szCs w:val="28"/>
        </w:rPr>
        <w:t xml:space="preserve">С 1990 по 2021 год мировая заболеваемость инсультом увеличилась на 70%, а смертность — на 44%, достигнув 7,25 млн случаев в год [5]. Согласно прогнозам, к 2050 году число смертей может возрасти до 9,7 млн, при этом до 89% из них ожидается в странах с низким и средним уровнем дохода. Старение населения — один из ключевых факторов роста заболеваемости, однако в НСУД всё чаще фиксируются случаи инсульта у лиц молодого возраста. </w:t>
      </w:r>
    </w:p>
    <w:p w14:paraId="53B95800" w14:textId="77777777" w:rsidR="00F36015" w:rsidRPr="005E6F1B" w:rsidRDefault="00F36015" w:rsidP="00803D47">
      <w:pPr>
        <w:tabs>
          <w:tab w:val="left" w:pos="6555"/>
        </w:tabs>
        <w:spacing w:after="0" w:line="240" w:lineRule="auto"/>
        <w:ind w:firstLine="567"/>
        <w:jc w:val="both"/>
        <w:rPr>
          <w:rFonts w:ascii="Times New Roman" w:eastAsia="Times New Roman" w:hAnsi="Times New Roman" w:cs="Times New Roman"/>
          <w:iCs/>
          <w:sz w:val="28"/>
          <w:szCs w:val="28"/>
        </w:rPr>
      </w:pPr>
      <w:r w:rsidRPr="005E6F1B">
        <w:rPr>
          <w:rFonts w:ascii="Times New Roman" w:eastAsia="Times New Roman" w:hAnsi="Times New Roman" w:cs="Times New Roman"/>
          <w:iCs/>
          <w:sz w:val="28"/>
          <w:szCs w:val="28"/>
        </w:rPr>
        <w:t>У молодых взрослых прогноз после инсульта обычно благоприятнее, чем у пожилых, однако в последние десятилетия отмечается рост заболеваемости в этой группе — с 17 до 28 случаев на 100 000 человек (1993–2015 гг.). Это связано с увеличением распространённости модифицируемых факторов риска: артериальной гипертензии, ожирения, сахарного диабета, гиперлипидемии и употребления психоактивных веществ [6,7]. Инсульт в молодом возрасте приводит к выраженным физическим, когнитивным и социально-экономическим последствиям, особенно среди уязвимых групп, таких как молодые афроамериканцы. Несмотря на то что 72–81% пациентов 18–50 лет достигают функциональной независимости, сохраняется высокий риск инвалидизации, постинсультной эпилепсии и экономических потерь [8].</w:t>
      </w:r>
    </w:p>
    <w:p w14:paraId="0871D776" w14:textId="77777777" w:rsidR="00F36015" w:rsidRPr="005E6F1B" w:rsidRDefault="00F36015" w:rsidP="00803D47">
      <w:pPr>
        <w:tabs>
          <w:tab w:val="left" w:pos="6555"/>
        </w:tabs>
        <w:spacing w:after="0" w:line="240" w:lineRule="auto"/>
        <w:ind w:firstLine="567"/>
        <w:jc w:val="both"/>
        <w:rPr>
          <w:rFonts w:ascii="Times New Roman" w:eastAsia="Times New Roman" w:hAnsi="Times New Roman" w:cs="Times New Roman"/>
          <w:iCs/>
          <w:sz w:val="28"/>
          <w:szCs w:val="28"/>
        </w:rPr>
      </w:pPr>
      <w:r w:rsidRPr="005E6F1B">
        <w:rPr>
          <w:rFonts w:ascii="Times New Roman" w:eastAsia="Times New Roman" w:hAnsi="Times New Roman" w:cs="Times New Roman"/>
          <w:iCs/>
          <w:sz w:val="28"/>
          <w:szCs w:val="28"/>
        </w:rPr>
        <w:t xml:space="preserve">Предикторами неблагоприятного исхода являются высокий балл NIHSS, гипергликемия, фибрилляция предсердий и почечная дисфункция, тогда как своевременное лечение и высокий уровень ЛПВП способствуют лучшему восстановлению [8,9]. В развивающихся странах инсульт у молодых чаще протекает тяжелее и сопровождается более высокой трёхмесячной летальностью. Долгосрочные наблюдения показывают, что смертность после инсульта в молодом возрасте превышает среднепопуляционную в 5 раз. Частота рецидива эмболического инсульта составляет около 2 случаев на 100 пациенто-лет, а осложнения после кровоизлияния (пневмония, отёк мозга, сердечная </w:t>
      </w:r>
      <w:r w:rsidRPr="005E6F1B">
        <w:rPr>
          <w:rFonts w:ascii="Times New Roman" w:eastAsia="Times New Roman" w:hAnsi="Times New Roman" w:cs="Times New Roman"/>
          <w:iCs/>
          <w:sz w:val="28"/>
          <w:szCs w:val="28"/>
        </w:rPr>
        <w:lastRenderedPageBreak/>
        <w:t>недостаточность) встречаются у 40% пациентов. Глобальные экономические потери от инсульта превышают 890 млрд долларов в год [5,10].</w:t>
      </w:r>
    </w:p>
    <w:p w14:paraId="12638D15" w14:textId="77777777" w:rsidR="00F36015" w:rsidRPr="005E6F1B" w:rsidRDefault="00F36015" w:rsidP="00803D47">
      <w:pPr>
        <w:tabs>
          <w:tab w:val="left" w:pos="6555"/>
        </w:tabs>
        <w:spacing w:after="0" w:line="240" w:lineRule="auto"/>
        <w:ind w:firstLine="567"/>
        <w:jc w:val="both"/>
        <w:rPr>
          <w:rFonts w:ascii="Times New Roman" w:eastAsia="Times New Roman" w:hAnsi="Times New Roman" w:cs="Times New Roman"/>
          <w:iCs/>
          <w:sz w:val="28"/>
          <w:szCs w:val="28"/>
        </w:rPr>
      </w:pPr>
      <w:r w:rsidRPr="005E6F1B">
        <w:rPr>
          <w:rFonts w:ascii="Times New Roman" w:eastAsia="Times New Roman" w:hAnsi="Times New Roman" w:cs="Times New Roman"/>
          <w:iCs/>
          <w:sz w:val="28"/>
          <w:szCs w:val="28"/>
        </w:rPr>
        <w:t>Своевременность оказания помощи при инсульте имеет решающее значение для снижения смертности и инвалидизации. Принцип «время — это мозг» подчёркивает необходимость быстрой диагностики и начала лечения, поскольку каждая минута промедления ведёт к необратимой гибели нейронов. Эффективная организация догоспитального этапа является ключевым элементом системы ведения пациентов с острыми нарушениями мозгового кровообращения (ОНМК).</w:t>
      </w:r>
    </w:p>
    <w:p w14:paraId="10280F7C" w14:textId="77777777" w:rsidR="00F36015" w:rsidRPr="005E6F1B" w:rsidRDefault="00F36015" w:rsidP="00803D47">
      <w:pPr>
        <w:tabs>
          <w:tab w:val="left" w:pos="6555"/>
        </w:tabs>
        <w:spacing w:after="0" w:line="240" w:lineRule="auto"/>
        <w:ind w:firstLine="567"/>
        <w:jc w:val="both"/>
        <w:rPr>
          <w:rFonts w:ascii="Times New Roman" w:eastAsia="Times New Roman" w:hAnsi="Times New Roman" w:cs="Times New Roman"/>
          <w:iCs/>
          <w:sz w:val="28"/>
          <w:szCs w:val="28"/>
        </w:rPr>
      </w:pPr>
      <w:r w:rsidRPr="005E6F1B">
        <w:rPr>
          <w:rFonts w:ascii="Times New Roman" w:eastAsia="Times New Roman" w:hAnsi="Times New Roman" w:cs="Times New Roman"/>
          <w:iCs/>
          <w:sz w:val="28"/>
          <w:szCs w:val="28"/>
        </w:rPr>
        <w:t>Догоспитальная задержка (ДЗИ) зависит от множества факторов: дольше всего обращаются женщины, пожилые и одинокие люди, жители сельской местности и лица с низким уровнем образования. Ранняя активация службы скорой помощи и внедрение «кода инсульта» существенно сокращают время до госпитализации. Важнейшим аспектом остаётся осведомлённость населения о симптомах инсульта и необходимости немедленного вызова скорой помощи [11].</w:t>
      </w:r>
    </w:p>
    <w:p w14:paraId="6BE6CC01" w14:textId="7E5A840A" w:rsidR="00F36015" w:rsidRPr="005E6F1B" w:rsidRDefault="00F36015" w:rsidP="00803D47">
      <w:pPr>
        <w:tabs>
          <w:tab w:val="left" w:pos="6555"/>
        </w:tabs>
        <w:spacing w:after="0" w:line="240" w:lineRule="auto"/>
        <w:ind w:firstLine="567"/>
        <w:jc w:val="both"/>
        <w:rPr>
          <w:rFonts w:ascii="Times New Roman" w:eastAsia="Times New Roman" w:hAnsi="Times New Roman" w:cs="Times New Roman"/>
          <w:iCs/>
          <w:sz w:val="28"/>
          <w:szCs w:val="28"/>
        </w:rPr>
      </w:pPr>
      <w:r w:rsidRPr="005E6F1B">
        <w:rPr>
          <w:rFonts w:ascii="Times New Roman" w:eastAsia="Times New Roman" w:hAnsi="Times New Roman" w:cs="Times New Roman"/>
          <w:iCs/>
          <w:sz w:val="28"/>
          <w:szCs w:val="28"/>
        </w:rPr>
        <w:t>Медицинские сёстры играют центральную роль в организации догоспитальной помощи, реализуя принципы «8D инсультной помощи» — от распознавания симптомов до госпитализации. Современные подходы включают внедрение мобильных инсультных бригад (Mobile Stroke Units, MSU), оснащённых КТ-сканером, лабораторией и телемедицинской связью, что позволяет начать тромболизис ещё до прибытия в больницу [12</w:t>
      </w:r>
      <w:r w:rsidR="00DB2324" w:rsidRPr="005E6F1B">
        <w:rPr>
          <w:rFonts w:ascii="Times New Roman" w:eastAsia="Times New Roman" w:hAnsi="Times New Roman" w:cs="Times New Roman"/>
          <w:iCs/>
          <w:sz w:val="28"/>
          <w:szCs w:val="28"/>
        </w:rPr>
        <w:t>,13</w:t>
      </w:r>
      <w:r w:rsidRPr="005E6F1B">
        <w:rPr>
          <w:rFonts w:ascii="Times New Roman" w:eastAsia="Times New Roman" w:hAnsi="Times New Roman" w:cs="Times New Roman"/>
          <w:iCs/>
          <w:sz w:val="28"/>
          <w:szCs w:val="28"/>
        </w:rPr>
        <w:t xml:space="preserve">]. </w:t>
      </w:r>
    </w:p>
    <w:p w14:paraId="102D38E7" w14:textId="45BB8B0F" w:rsidR="00F36015" w:rsidRPr="005E6F1B" w:rsidRDefault="00F36015" w:rsidP="00803D47">
      <w:pPr>
        <w:tabs>
          <w:tab w:val="left" w:pos="6555"/>
        </w:tabs>
        <w:spacing w:after="0" w:line="240" w:lineRule="auto"/>
        <w:ind w:firstLine="567"/>
        <w:jc w:val="both"/>
        <w:rPr>
          <w:rFonts w:ascii="Times New Roman" w:eastAsia="Times New Roman" w:hAnsi="Times New Roman" w:cs="Times New Roman"/>
          <w:iCs/>
          <w:sz w:val="28"/>
          <w:szCs w:val="28"/>
        </w:rPr>
      </w:pPr>
      <w:r w:rsidRPr="005E6F1B">
        <w:rPr>
          <w:rFonts w:ascii="Times New Roman" w:eastAsia="Times New Roman" w:hAnsi="Times New Roman" w:cs="Times New Roman"/>
          <w:iCs/>
          <w:sz w:val="28"/>
          <w:szCs w:val="28"/>
        </w:rPr>
        <w:t>В 2014–2019 годах в Казахстане отмечались выраженные региональные различия в заболеваемости и смертности от инсульта: наиболее высокие показатели регистрировались в центральных, северных и восточных регионах, что обусловлено старением населения, распространённостью сопутствующих заболеваний и ограниченным доступом к медицинской помощи [1</w:t>
      </w:r>
      <w:r w:rsidR="00DB2324" w:rsidRPr="005E6F1B">
        <w:rPr>
          <w:rFonts w:ascii="Times New Roman" w:eastAsia="Times New Roman" w:hAnsi="Times New Roman" w:cs="Times New Roman"/>
          <w:iCs/>
          <w:sz w:val="28"/>
          <w:szCs w:val="28"/>
        </w:rPr>
        <w:t>4</w:t>
      </w:r>
      <w:r w:rsidRPr="005E6F1B">
        <w:rPr>
          <w:rFonts w:ascii="Times New Roman" w:eastAsia="Times New Roman" w:hAnsi="Times New Roman" w:cs="Times New Roman"/>
          <w:iCs/>
          <w:sz w:val="28"/>
          <w:szCs w:val="28"/>
        </w:rPr>
        <w:t>]. По данным исследований, с 2011 по 2020 год заболеваемость инсультом выросла в 2,3 раза — с 189 до 433,7 случаев на 100 000 населения, при этом максимальные показатели отмечены в Восточно-Казахстанской области (625 на 100 000), а минимальные — в Атырауской, Актюбинской и Алматинской областях. Несмотря на рост заболеваемости, смертность снизилась на 15% — с 92,36 до 78,49 на 100 000 населения [1</w:t>
      </w:r>
      <w:r w:rsidR="00DB2324" w:rsidRPr="005E6F1B">
        <w:rPr>
          <w:rFonts w:ascii="Times New Roman" w:eastAsia="Times New Roman" w:hAnsi="Times New Roman" w:cs="Times New Roman"/>
          <w:iCs/>
          <w:sz w:val="28"/>
          <w:szCs w:val="28"/>
        </w:rPr>
        <w:t>5</w:t>
      </w:r>
      <w:r w:rsidRPr="005E6F1B">
        <w:rPr>
          <w:rFonts w:ascii="Times New Roman" w:eastAsia="Times New Roman" w:hAnsi="Times New Roman" w:cs="Times New Roman"/>
          <w:iCs/>
          <w:sz w:val="28"/>
          <w:szCs w:val="28"/>
        </w:rPr>
        <w:t>]. Анализ данных из 79 инсультных центров выявил значительные догоспитальные задержки (120–180 минут) и увеличенные интервалы «door-to-needle» [1</w:t>
      </w:r>
      <w:r w:rsidR="00DB2324" w:rsidRPr="005E6F1B">
        <w:rPr>
          <w:rFonts w:ascii="Times New Roman" w:eastAsia="Times New Roman" w:hAnsi="Times New Roman" w:cs="Times New Roman"/>
          <w:iCs/>
          <w:sz w:val="28"/>
          <w:szCs w:val="28"/>
        </w:rPr>
        <w:t>6</w:t>
      </w:r>
      <w:r w:rsidRPr="005E6F1B">
        <w:rPr>
          <w:rFonts w:ascii="Times New Roman" w:eastAsia="Times New Roman" w:hAnsi="Times New Roman" w:cs="Times New Roman"/>
          <w:iCs/>
          <w:sz w:val="28"/>
          <w:szCs w:val="28"/>
        </w:rPr>
        <w:t>], что указывает на необходимость совершенствования системы догоспитальной помощи и внедрения современных технологий для оптимизации помощи пациентам с острыми нарушениями мозгового кровообращения.</w:t>
      </w:r>
    </w:p>
    <w:p w14:paraId="1D2AEB40" w14:textId="77777777" w:rsidR="005E6F1B" w:rsidRDefault="001C45E4" w:rsidP="00803D47">
      <w:pPr>
        <w:pStyle w:val="a6"/>
        <w:tabs>
          <w:tab w:val="left" w:pos="6555"/>
        </w:tabs>
        <w:ind w:left="0" w:firstLine="567"/>
        <w:jc w:val="both"/>
        <w:rPr>
          <w:i/>
          <w:sz w:val="28"/>
          <w:szCs w:val="28"/>
        </w:rPr>
      </w:pPr>
      <w:r w:rsidRPr="005E6F1B">
        <w:rPr>
          <w:b/>
          <w:sz w:val="28"/>
          <w:szCs w:val="28"/>
        </w:rPr>
        <w:t>Цель исследования</w:t>
      </w:r>
      <w:r w:rsidR="005E6F1B" w:rsidRPr="005E6F1B">
        <w:rPr>
          <w:b/>
          <w:sz w:val="28"/>
          <w:szCs w:val="28"/>
        </w:rPr>
        <w:t>:</w:t>
      </w:r>
      <w:r w:rsidRPr="005E6F1B">
        <w:rPr>
          <w:i/>
          <w:sz w:val="28"/>
          <w:szCs w:val="28"/>
        </w:rPr>
        <w:t xml:space="preserve"> </w:t>
      </w:r>
    </w:p>
    <w:p w14:paraId="0F049AB1" w14:textId="50064FA9" w:rsidR="000B546E" w:rsidRPr="005E6F1B" w:rsidRDefault="000B546E" w:rsidP="00803D47">
      <w:pPr>
        <w:pStyle w:val="a6"/>
        <w:tabs>
          <w:tab w:val="left" w:pos="6555"/>
        </w:tabs>
        <w:ind w:left="0" w:firstLine="567"/>
        <w:jc w:val="both"/>
        <w:rPr>
          <w:iCs/>
          <w:sz w:val="28"/>
          <w:szCs w:val="28"/>
        </w:rPr>
      </w:pPr>
      <w:r w:rsidRPr="005E6F1B">
        <w:rPr>
          <w:iCs/>
          <w:sz w:val="28"/>
          <w:szCs w:val="28"/>
        </w:rPr>
        <w:t xml:space="preserve">Разработка и научное обоснование путей совершенствования организации догоспитальной и специализированной медицинской помощи </w:t>
      </w:r>
      <w:r w:rsidR="00C2629F" w:rsidRPr="005E6F1B">
        <w:rPr>
          <w:iCs/>
          <w:sz w:val="28"/>
          <w:szCs w:val="28"/>
        </w:rPr>
        <w:t xml:space="preserve">больным с ОНМК </w:t>
      </w:r>
      <w:r w:rsidRPr="005E6F1B">
        <w:rPr>
          <w:iCs/>
          <w:sz w:val="28"/>
          <w:szCs w:val="28"/>
        </w:rPr>
        <w:t>в г. Алматы.</w:t>
      </w:r>
    </w:p>
    <w:p w14:paraId="0601E301" w14:textId="77777777" w:rsidR="00533899" w:rsidRDefault="00533899" w:rsidP="00803D47">
      <w:pPr>
        <w:pStyle w:val="a6"/>
        <w:tabs>
          <w:tab w:val="left" w:pos="6555"/>
        </w:tabs>
        <w:ind w:left="0" w:firstLine="567"/>
        <w:jc w:val="both"/>
        <w:rPr>
          <w:b/>
          <w:sz w:val="28"/>
          <w:szCs w:val="28"/>
        </w:rPr>
      </w:pPr>
    </w:p>
    <w:p w14:paraId="120D0C1A" w14:textId="77777777" w:rsidR="00533899" w:rsidRDefault="00533899" w:rsidP="00803D47">
      <w:pPr>
        <w:pStyle w:val="a6"/>
        <w:tabs>
          <w:tab w:val="left" w:pos="6555"/>
        </w:tabs>
        <w:ind w:left="0" w:firstLine="567"/>
        <w:jc w:val="both"/>
        <w:rPr>
          <w:b/>
          <w:sz w:val="28"/>
          <w:szCs w:val="28"/>
        </w:rPr>
      </w:pPr>
    </w:p>
    <w:p w14:paraId="6AADEA41" w14:textId="77777777" w:rsidR="00533899" w:rsidRDefault="00533899" w:rsidP="00803D47">
      <w:pPr>
        <w:pStyle w:val="a6"/>
        <w:tabs>
          <w:tab w:val="left" w:pos="6555"/>
        </w:tabs>
        <w:ind w:left="0" w:firstLine="567"/>
        <w:jc w:val="both"/>
        <w:rPr>
          <w:b/>
          <w:sz w:val="28"/>
          <w:szCs w:val="28"/>
        </w:rPr>
      </w:pPr>
    </w:p>
    <w:p w14:paraId="097C3B03" w14:textId="4EA352D7" w:rsidR="001C45E4" w:rsidRPr="005E6F1B" w:rsidRDefault="005E6F1B" w:rsidP="00803D47">
      <w:pPr>
        <w:pStyle w:val="a6"/>
        <w:tabs>
          <w:tab w:val="left" w:pos="6555"/>
        </w:tabs>
        <w:ind w:left="0" w:firstLine="567"/>
        <w:jc w:val="both"/>
        <w:rPr>
          <w:b/>
          <w:bCs/>
          <w:sz w:val="28"/>
          <w:szCs w:val="28"/>
        </w:rPr>
      </w:pPr>
      <w:r w:rsidRPr="005E6F1B">
        <w:rPr>
          <w:b/>
          <w:sz w:val="28"/>
          <w:szCs w:val="28"/>
        </w:rPr>
        <w:lastRenderedPageBreak/>
        <w:t>Задачи исследования:</w:t>
      </w:r>
    </w:p>
    <w:p w14:paraId="7DF0A0CD" w14:textId="7B6ABFE2" w:rsidR="001C45E4" w:rsidRPr="005E6F1B" w:rsidRDefault="001C45E4" w:rsidP="00803D47">
      <w:pPr>
        <w:pStyle w:val="a6"/>
        <w:numPr>
          <w:ilvl w:val="0"/>
          <w:numId w:val="1"/>
        </w:numPr>
        <w:tabs>
          <w:tab w:val="left" w:pos="851"/>
        </w:tabs>
        <w:ind w:left="0" w:firstLine="567"/>
        <w:jc w:val="both"/>
        <w:rPr>
          <w:bCs/>
          <w:iCs/>
          <w:sz w:val="28"/>
          <w:szCs w:val="28"/>
        </w:rPr>
      </w:pPr>
      <w:r w:rsidRPr="005E6F1B">
        <w:rPr>
          <w:bCs/>
          <w:iCs/>
          <w:sz w:val="28"/>
          <w:szCs w:val="28"/>
        </w:rPr>
        <w:t xml:space="preserve">Проанализировать научные данные и нормативно-правовые акты, регламентирующие организацию оказания медицинской помощи </w:t>
      </w:r>
      <w:r w:rsidR="00C2629F" w:rsidRPr="005E6F1B">
        <w:rPr>
          <w:bCs/>
          <w:iCs/>
          <w:sz w:val="28"/>
          <w:szCs w:val="28"/>
        </w:rPr>
        <w:t>больным с ОНМК</w:t>
      </w:r>
      <w:r w:rsidRPr="005E6F1B">
        <w:rPr>
          <w:bCs/>
          <w:iCs/>
          <w:sz w:val="28"/>
          <w:szCs w:val="28"/>
        </w:rPr>
        <w:t xml:space="preserve">. </w:t>
      </w:r>
    </w:p>
    <w:p w14:paraId="1355D9F4" w14:textId="77777777" w:rsidR="001C45E4" w:rsidRPr="005E6F1B" w:rsidRDefault="001C45E4" w:rsidP="00803D47">
      <w:pPr>
        <w:pStyle w:val="a6"/>
        <w:numPr>
          <w:ilvl w:val="0"/>
          <w:numId w:val="1"/>
        </w:numPr>
        <w:tabs>
          <w:tab w:val="left" w:pos="567"/>
          <w:tab w:val="left" w:pos="851"/>
        </w:tabs>
        <w:ind w:left="0" w:firstLine="567"/>
        <w:jc w:val="both"/>
        <w:rPr>
          <w:bCs/>
          <w:iCs/>
          <w:sz w:val="28"/>
          <w:szCs w:val="28"/>
        </w:rPr>
      </w:pPr>
      <w:r w:rsidRPr="005E6F1B">
        <w:rPr>
          <w:bCs/>
          <w:iCs/>
          <w:sz w:val="28"/>
          <w:szCs w:val="28"/>
        </w:rPr>
        <w:t xml:space="preserve">Изучить динамику и экономическое значение болезней системы кровообращения в городе Алматы в 2012-2024гг. </w:t>
      </w:r>
    </w:p>
    <w:p w14:paraId="5F971452" w14:textId="22C38B7E" w:rsidR="001C45E4" w:rsidRPr="005E6F1B" w:rsidRDefault="001C45E4" w:rsidP="00803D47">
      <w:pPr>
        <w:pStyle w:val="a6"/>
        <w:numPr>
          <w:ilvl w:val="0"/>
          <w:numId w:val="1"/>
        </w:numPr>
        <w:tabs>
          <w:tab w:val="left" w:pos="567"/>
          <w:tab w:val="left" w:pos="851"/>
        </w:tabs>
        <w:ind w:left="0" w:firstLine="567"/>
        <w:jc w:val="both"/>
        <w:rPr>
          <w:bCs/>
          <w:iCs/>
          <w:sz w:val="28"/>
          <w:szCs w:val="28"/>
        </w:rPr>
      </w:pPr>
      <w:r w:rsidRPr="005E6F1B">
        <w:rPr>
          <w:bCs/>
          <w:iCs/>
          <w:sz w:val="28"/>
          <w:szCs w:val="28"/>
        </w:rPr>
        <w:t xml:space="preserve">Изучить уровень готовности медицинских специалистов различных профилей (скорой медицинской помощи, неврологов, реаниматологов, реабилитологов и нейрохирургов) к оказанию помощи </w:t>
      </w:r>
      <w:r w:rsidR="00C2629F" w:rsidRPr="005E6F1B">
        <w:rPr>
          <w:bCs/>
          <w:iCs/>
          <w:sz w:val="28"/>
          <w:szCs w:val="28"/>
        </w:rPr>
        <w:t>больным с ОНМК</w:t>
      </w:r>
      <w:r w:rsidRPr="005E6F1B">
        <w:rPr>
          <w:bCs/>
          <w:iCs/>
          <w:sz w:val="28"/>
          <w:szCs w:val="28"/>
        </w:rPr>
        <w:t xml:space="preserve"> в гАлматы.</w:t>
      </w:r>
    </w:p>
    <w:p w14:paraId="41F36DD9" w14:textId="77777777" w:rsidR="001C45E4" w:rsidRPr="005E6F1B" w:rsidRDefault="001C45E4" w:rsidP="00803D47">
      <w:pPr>
        <w:pStyle w:val="a6"/>
        <w:numPr>
          <w:ilvl w:val="0"/>
          <w:numId w:val="1"/>
        </w:numPr>
        <w:tabs>
          <w:tab w:val="left" w:pos="567"/>
          <w:tab w:val="left" w:pos="851"/>
        </w:tabs>
        <w:ind w:left="0" w:firstLine="567"/>
        <w:jc w:val="both"/>
        <w:rPr>
          <w:bCs/>
          <w:iCs/>
          <w:sz w:val="28"/>
          <w:szCs w:val="28"/>
        </w:rPr>
      </w:pPr>
      <w:r w:rsidRPr="005E6F1B">
        <w:rPr>
          <w:bCs/>
          <w:iCs/>
          <w:sz w:val="28"/>
          <w:szCs w:val="28"/>
        </w:rPr>
        <w:t>Выявить ключевые барьеры оказания помощи при инсульте на догоспитальном и стационарном этапах на основе отзывов пациентов.</w:t>
      </w:r>
    </w:p>
    <w:p w14:paraId="32C9F26D" w14:textId="785367D4" w:rsidR="001C45E4" w:rsidRPr="005E6F1B" w:rsidRDefault="001C45E4" w:rsidP="00803D47">
      <w:pPr>
        <w:pStyle w:val="a6"/>
        <w:numPr>
          <w:ilvl w:val="0"/>
          <w:numId w:val="1"/>
        </w:numPr>
        <w:tabs>
          <w:tab w:val="left" w:pos="567"/>
          <w:tab w:val="left" w:pos="851"/>
        </w:tabs>
        <w:ind w:left="0" w:firstLine="567"/>
        <w:jc w:val="both"/>
        <w:rPr>
          <w:bCs/>
          <w:iCs/>
          <w:sz w:val="28"/>
          <w:szCs w:val="28"/>
        </w:rPr>
      </w:pPr>
      <w:r w:rsidRPr="005E6F1B">
        <w:rPr>
          <w:bCs/>
          <w:iCs/>
          <w:sz w:val="28"/>
          <w:szCs w:val="28"/>
        </w:rPr>
        <w:t xml:space="preserve">Разработать проект модели оптимизации помощи </w:t>
      </w:r>
      <w:r w:rsidR="00CB5EE1" w:rsidRPr="005E6F1B">
        <w:rPr>
          <w:bCs/>
          <w:iCs/>
          <w:sz w:val="28"/>
          <w:szCs w:val="28"/>
        </w:rPr>
        <w:t>больным с ОНМК</w:t>
      </w:r>
      <w:r w:rsidRPr="005E6F1B">
        <w:rPr>
          <w:bCs/>
          <w:iCs/>
          <w:sz w:val="28"/>
          <w:szCs w:val="28"/>
        </w:rPr>
        <w:t xml:space="preserve"> с применением современных технологий (мобильные инсультные бригады).</w:t>
      </w:r>
    </w:p>
    <w:p w14:paraId="631E65A9" w14:textId="3F87EDA1" w:rsidR="004F3DDF" w:rsidRPr="004F3DDF" w:rsidRDefault="004F3DDF" w:rsidP="00803D47">
      <w:pPr>
        <w:pStyle w:val="a6"/>
        <w:tabs>
          <w:tab w:val="left" w:pos="709"/>
          <w:tab w:val="left" w:pos="851"/>
        </w:tabs>
        <w:ind w:left="0" w:firstLine="567"/>
        <w:jc w:val="both"/>
        <w:rPr>
          <w:b/>
          <w:sz w:val="28"/>
          <w:szCs w:val="28"/>
        </w:rPr>
      </w:pPr>
      <w:r>
        <w:rPr>
          <w:b/>
          <w:sz w:val="28"/>
          <w:szCs w:val="28"/>
        </w:rPr>
        <w:t>Объект исследования:</w:t>
      </w:r>
    </w:p>
    <w:p w14:paraId="1EFB2A44" w14:textId="2E37F89D" w:rsidR="004F3DDF" w:rsidRPr="004F3DDF" w:rsidRDefault="004F3DDF" w:rsidP="00803D47">
      <w:pPr>
        <w:pStyle w:val="a6"/>
        <w:tabs>
          <w:tab w:val="left" w:pos="709"/>
          <w:tab w:val="left" w:pos="851"/>
        </w:tabs>
        <w:ind w:left="0" w:firstLine="567"/>
        <w:jc w:val="both"/>
        <w:rPr>
          <w:sz w:val="28"/>
          <w:szCs w:val="28"/>
        </w:rPr>
      </w:pPr>
      <w:r w:rsidRPr="004F3DDF">
        <w:rPr>
          <w:sz w:val="28"/>
          <w:szCs w:val="28"/>
        </w:rPr>
        <w:t>Система оказания медицинской помощи пациентам с острым нарушением мозгового кровообращения и болезнями сис</w:t>
      </w:r>
      <w:r>
        <w:rPr>
          <w:sz w:val="28"/>
          <w:szCs w:val="28"/>
        </w:rPr>
        <w:t>темы кровообращения в г. Алматы.</w:t>
      </w:r>
      <w:r w:rsidRPr="004F3DDF">
        <w:rPr>
          <w:sz w:val="28"/>
          <w:szCs w:val="28"/>
        </w:rPr>
        <w:t xml:space="preserve"> </w:t>
      </w:r>
    </w:p>
    <w:p w14:paraId="132B2F33" w14:textId="77777777" w:rsidR="004F3DDF" w:rsidRDefault="004F3DDF" w:rsidP="00803D47">
      <w:pPr>
        <w:pStyle w:val="a6"/>
        <w:tabs>
          <w:tab w:val="left" w:pos="709"/>
          <w:tab w:val="left" w:pos="851"/>
        </w:tabs>
        <w:ind w:left="0" w:firstLine="567"/>
        <w:jc w:val="both"/>
        <w:rPr>
          <w:sz w:val="28"/>
          <w:szCs w:val="28"/>
        </w:rPr>
      </w:pPr>
      <w:r>
        <w:rPr>
          <w:b/>
          <w:sz w:val="28"/>
          <w:szCs w:val="28"/>
        </w:rPr>
        <w:t>Предмет исследования:</w:t>
      </w:r>
      <w:r w:rsidRPr="004F3DDF">
        <w:rPr>
          <w:sz w:val="28"/>
          <w:szCs w:val="28"/>
        </w:rPr>
        <w:t xml:space="preserve"> </w:t>
      </w:r>
    </w:p>
    <w:p w14:paraId="13051D31" w14:textId="4909AC7D" w:rsidR="004F3DDF" w:rsidRPr="004F3DDF" w:rsidRDefault="004F3DDF" w:rsidP="00803D47">
      <w:pPr>
        <w:pStyle w:val="a6"/>
        <w:tabs>
          <w:tab w:val="left" w:pos="709"/>
          <w:tab w:val="left" w:pos="851"/>
        </w:tabs>
        <w:ind w:left="0" w:firstLine="567"/>
        <w:jc w:val="both"/>
        <w:rPr>
          <w:b/>
          <w:bCs/>
          <w:sz w:val="28"/>
          <w:szCs w:val="28"/>
        </w:rPr>
      </w:pPr>
      <w:r w:rsidRPr="004F3DDF">
        <w:rPr>
          <w:sz w:val="28"/>
          <w:szCs w:val="28"/>
        </w:rPr>
        <w:t>Эпидемиологические, клинические, организационные и экономические аспекты оказания помощи при инсульте, включая предотвратимую смертность, клинические исходы, барьеры оказания помощи и эффективность внедрения мобильной инсультной бригады (MSU)</w:t>
      </w:r>
      <w:r>
        <w:rPr>
          <w:sz w:val="28"/>
          <w:szCs w:val="28"/>
        </w:rPr>
        <w:t>.</w:t>
      </w:r>
      <w:r w:rsidRPr="004F3DDF">
        <w:rPr>
          <w:sz w:val="28"/>
          <w:szCs w:val="28"/>
        </w:rPr>
        <w:t xml:space="preserve"> </w:t>
      </w:r>
    </w:p>
    <w:p w14:paraId="552BF70E" w14:textId="79B79612" w:rsidR="004F3DDF" w:rsidRDefault="004F3DDF" w:rsidP="00803D47">
      <w:pPr>
        <w:pStyle w:val="a6"/>
        <w:tabs>
          <w:tab w:val="left" w:pos="567"/>
          <w:tab w:val="left" w:pos="851"/>
        </w:tabs>
        <w:ind w:left="0" w:firstLine="567"/>
        <w:jc w:val="both"/>
        <w:rPr>
          <w:b/>
          <w:bCs/>
          <w:sz w:val="28"/>
          <w:szCs w:val="28"/>
        </w:rPr>
      </w:pPr>
      <w:r>
        <w:rPr>
          <w:b/>
          <w:bCs/>
          <w:sz w:val="28"/>
          <w:szCs w:val="28"/>
        </w:rPr>
        <w:t>Методы исследования:</w:t>
      </w:r>
    </w:p>
    <w:p w14:paraId="50550A93" w14:textId="32787BA1" w:rsidR="001C45E4" w:rsidRPr="005E6F1B" w:rsidRDefault="001C45E4" w:rsidP="00803D47">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5E6F1B">
        <w:rPr>
          <w:rFonts w:ascii="Times New Roman" w:eastAsia="Times New Roman" w:hAnsi="Times New Roman" w:cs="Times New Roman"/>
          <w:sz w:val="28"/>
          <w:szCs w:val="28"/>
          <w:lang w:eastAsia="ru-RU"/>
        </w:rPr>
        <w:t xml:space="preserve">В работе использован комплексный междисциплинарный подход, включающий аналитические, эпидемиологические, экономические и качественные методы. </w:t>
      </w:r>
    </w:p>
    <w:p w14:paraId="698383C3" w14:textId="6C1B596F" w:rsidR="001C45E4" w:rsidRPr="005E6F1B" w:rsidRDefault="001C45E4" w:rsidP="00803D47">
      <w:pPr>
        <w:pStyle w:val="a6"/>
        <w:numPr>
          <w:ilvl w:val="0"/>
          <w:numId w:val="13"/>
        </w:numPr>
        <w:tabs>
          <w:tab w:val="left" w:pos="851"/>
        </w:tabs>
        <w:ind w:left="0" w:firstLine="567"/>
        <w:jc w:val="both"/>
        <w:rPr>
          <w:sz w:val="28"/>
          <w:szCs w:val="28"/>
        </w:rPr>
      </w:pPr>
      <w:r w:rsidRPr="005E6F1B">
        <w:rPr>
          <w:sz w:val="28"/>
          <w:szCs w:val="28"/>
        </w:rPr>
        <w:t xml:space="preserve">Аналитический и системный анализ </w:t>
      </w:r>
      <w:r w:rsidR="00EA69A5" w:rsidRPr="005E6F1B">
        <w:rPr>
          <w:sz w:val="28"/>
          <w:szCs w:val="28"/>
        </w:rPr>
        <w:t xml:space="preserve">был проведен </w:t>
      </w:r>
      <w:r w:rsidRPr="005E6F1B">
        <w:rPr>
          <w:sz w:val="28"/>
          <w:szCs w:val="28"/>
        </w:rPr>
        <w:t>для обобщения отечественных и зарубежных научных данных, клинических рекомендаций и организационных моделей оказания помощи при инсульте.</w:t>
      </w:r>
    </w:p>
    <w:p w14:paraId="7562D249" w14:textId="67D583BB" w:rsidR="001C45E4" w:rsidRPr="005E6F1B" w:rsidRDefault="001C45E4" w:rsidP="00803D47">
      <w:pPr>
        <w:pStyle w:val="a6"/>
        <w:numPr>
          <w:ilvl w:val="0"/>
          <w:numId w:val="13"/>
        </w:numPr>
        <w:tabs>
          <w:tab w:val="left" w:pos="851"/>
        </w:tabs>
        <w:ind w:left="0" w:firstLine="567"/>
        <w:jc w:val="both"/>
        <w:rPr>
          <w:sz w:val="28"/>
          <w:szCs w:val="28"/>
        </w:rPr>
      </w:pPr>
      <w:r w:rsidRPr="005E6F1B">
        <w:rPr>
          <w:sz w:val="28"/>
          <w:szCs w:val="28"/>
        </w:rPr>
        <w:t xml:space="preserve">Эпидемиологический анализ </w:t>
      </w:r>
      <w:r w:rsidR="00EA69A5" w:rsidRPr="005E6F1B">
        <w:rPr>
          <w:sz w:val="28"/>
          <w:szCs w:val="28"/>
        </w:rPr>
        <w:t>был проведен</w:t>
      </w:r>
      <w:r w:rsidRPr="005E6F1B">
        <w:rPr>
          <w:sz w:val="28"/>
          <w:szCs w:val="28"/>
        </w:rPr>
        <w:t xml:space="preserve"> для оценки динамики заболеваемости и смертности от БСК и инсульта в г. Алматы за 2012–2024 гг. на основе официальной статистики.</w:t>
      </w:r>
    </w:p>
    <w:p w14:paraId="6B2A43C9" w14:textId="0ED0F716" w:rsidR="001C45E4" w:rsidRPr="005E6F1B" w:rsidRDefault="001C45E4" w:rsidP="00803D47">
      <w:pPr>
        <w:pStyle w:val="a6"/>
        <w:numPr>
          <w:ilvl w:val="0"/>
          <w:numId w:val="13"/>
        </w:numPr>
        <w:tabs>
          <w:tab w:val="left" w:pos="851"/>
        </w:tabs>
        <w:ind w:left="0" w:firstLine="567"/>
        <w:jc w:val="both"/>
        <w:rPr>
          <w:sz w:val="28"/>
          <w:szCs w:val="28"/>
        </w:rPr>
      </w:pPr>
      <w:r w:rsidRPr="005E6F1B">
        <w:rPr>
          <w:sz w:val="28"/>
          <w:szCs w:val="28"/>
        </w:rPr>
        <w:t xml:space="preserve">Анализ предотвратимой смертности </w:t>
      </w:r>
      <w:r w:rsidR="00EA69A5" w:rsidRPr="005E6F1B">
        <w:rPr>
          <w:sz w:val="28"/>
          <w:szCs w:val="28"/>
        </w:rPr>
        <w:t>был проведен</w:t>
      </w:r>
      <w:r w:rsidRPr="005E6F1B">
        <w:rPr>
          <w:sz w:val="28"/>
          <w:szCs w:val="28"/>
        </w:rPr>
        <w:t xml:space="preserve"> с использованием методологии ОЭСР, расчётом абсолютных и относительных изменений и среднегодовых темпов.</w:t>
      </w:r>
    </w:p>
    <w:p w14:paraId="4F776D3B" w14:textId="2199CB31" w:rsidR="001C45E4" w:rsidRPr="005E6F1B" w:rsidRDefault="001C45E4" w:rsidP="00803D47">
      <w:pPr>
        <w:pStyle w:val="a6"/>
        <w:numPr>
          <w:ilvl w:val="0"/>
          <w:numId w:val="13"/>
        </w:numPr>
        <w:tabs>
          <w:tab w:val="left" w:pos="851"/>
        </w:tabs>
        <w:ind w:left="0" w:firstLine="567"/>
        <w:jc w:val="both"/>
        <w:rPr>
          <w:sz w:val="28"/>
          <w:szCs w:val="28"/>
        </w:rPr>
      </w:pPr>
      <w:r w:rsidRPr="005E6F1B">
        <w:rPr>
          <w:sz w:val="28"/>
          <w:szCs w:val="28"/>
        </w:rPr>
        <w:t xml:space="preserve">Экономический анализ </w:t>
      </w:r>
      <w:r w:rsidR="00EA69A5" w:rsidRPr="005E6F1B">
        <w:rPr>
          <w:sz w:val="28"/>
          <w:szCs w:val="28"/>
        </w:rPr>
        <w:t>был проведен</w:t>
      </w:r>
      <w:r w:rsidRPr="005E6F1B">
        <w:rPr>
          <w:sz w:val="28"/>
          <w:szCs w:val="28"/>
        </w:rPr>
        <w:t xml:space="preserve"> для оценки экономического бремени предотвратимой смертности с применением показателя стоимости статистической жизни (VSL).</w:t>
      </w:r>
    </w:p>
    <w:p w14:paraId="33A649F9" w14:textId="43D4958E" w:rsidR="001C45E4" w:rsidRPr="005E6F1B" w:rsidRDefault="001C45E4" w:rsidP="00803D47">
      <w:pPr>
        <w:pStyle w:val="a6"/>
        <w:numPr>
          <w:ilvl w:val="0"/>
          <w:numId w:val="13"/>
        </w:numPr>
        <w:tabs>
          <w:tab w:val="left" w:pos="851"/>
        </w:tabs>
        <w:ind w:left="0" w:firstLine="567"/>
        <w:jc w:val="both"/>
        <w:rPr>
          <w:sz w:val="28"/>
          <w:szCs w:val="28"/>
        </w:rPr>
      </w:pPr>
      <w:r w:rsidRPr="005E6F1B">
        <w:rPr>
          <w:sz w:val="28"/>
          <w:szCs w:val="28"/>
        </w:rPr>
        <w:t xml:space="preserve">Ретроспективный анализ госпитализированных случаев ОНМК </w:t>
      </w:r>
      <w:r w:rsidR="00EA69A5" w:rsidRPr="005E6F1B">
        <w:rPr>
          <w:sz w:val="28"/>
          <w:szCs w:val="28"/>
        </w:rPr>
        <w:t>был проведен</w:t>
      </w:r>
      <w:r w:rsidRPr="005E6F1B">
        <w:rPr>
          <w:sz w:val="28"/>
          <w:szCs w:val="28"/>
        </w:rPr>
        <w:t xml:space="preserve"> для оценки возрастной структуры пациентов, длительности госпитализации и исходов лечения.</w:t>
      </w:r>
    </w:p>
    <w:p w14:paraId="0D70B19F" w14:textId="37A41E84" w:rsidR="001C45E4" w:rsidRPr="005E6F1B" w:rsidRDefault="001C45E4" w:rsidP="00803D47">
      <w:pPr>
        <w:pStyle w:val="a6"/>
        <w:numPr>
          <w:ilvl w:val="0"/>
          <w:numId w:val="13"/>
        </w:numPr>
        <w:tabs>
          <w:tab w:val="left" w:pos="851"/>
        </w:tabs>
        <w:ind w:left="0" w:firstLine="567"/>
        <w:jc w:val="both"/>
        <w:rPr>
          <w:sz w:val="28"/>
          <w:szCs w:val="28"/>
        </w:rPr>
      </w:pPr>
      <w:r w:rsidRPr="005E6F1B">
        <w:rPr>
          <w:sz w:val="28"/>
          <w:szCs w:val="28"/>
        </w:rPr>
        <w:t xml:space="preserve">Качественные методы исследования </w:t>
      </w:r>
      <w:r w:rsidR="00EA69A5" w:rsidRPr="005E6F1B">
        <w:rPr>
          <w:sz w:val="28"/>
          <w:szCs w:val="28"/>
        </w:rPr>
        <w:t xml:space="preserve">были применены, включая проведение </w:t>
      </w:r>
      <w:r w:rsidRPr="005E6F1B">
        <w:rPr>
          <w:sz w:val="28"/>
          <w:szCs w:val="28"/>
        </w:rPr>
        <w:t>полуструктурированны</w:t>
      </w:r>
      <w:r w:rsidR="00EA69A5" w:rsidRPr="005E6F1B">
        <w:rPr>
          <w:sz w:val="28"/>
          <w:szCs w:val="28"/>
        </w:rPr>
        <w:t>х</w:t>
      </w:r>
      <w:r w:rsidRPr="005E6F1B">
        <w:rPr>
          <w:sz w:val="28"/>
          <w:szCs w:val="28"/>
        </w:rPr>
        <w:t xml:space="preserve"> интервью с медицинскими специалистами и пациентами</w:t>
      </w:r>
      <w:r w:rsidR="00EA69A5" w:rsidRPr="005E6F1B">
        <w:rPr>
          <w:sz w:val="28"/>
          <w:szCs w:val="28"/>
        </w:rPr>
        <w:t xml:space="preserve">, с целью </w:t>
      </w:r>
      <w:r w:rsidRPr="005E6F1B">
        <w:rPr>
          <w:sz w:val="28"/>
          <w:szCs w:val="28"/>
        </w:rPr>
        <w:t>выявления барьеров оказания помощи при инсульте.</w:t>
      </w:r>
    </w:p>
    <w:p w14:paraId="375AE446" w14:textId="656EF1B8" w:rsidR="001C45E4" w:rsidRPr="005E6F1B" w:rsidRDefault="001C45E4" w:rsidP="00803D47">
      <w:pPr>
        <w:pStyle w:val="a6"/>
        <w:numPr>
          <w:ilvl w:val="0"/>
          <w:numId w:val="13"/>
        </w:numPr>
        <w:tabs>
          <w:tab w:val="left" w:pos="851"/>
        </w:tabs>
        <w:ind w:left="0" w:firstLine="567"/>
        <w:jc w:val="both"/>
        <w:rPr>
          <w:sz w:val="28"/>
          <w:szCs w:val="28"/>
        </w:rPr>
      </w:pPr>
      <w:r w:rsidRPr="005E6F1B">
        <w:rPr>
          <w:sz w:val="28"/>
          <w:szCs w:val="28"/>
        </w:rPr>
        <w:lastRenderedPageBreak/>
        <w:t xml:space="preserve">Клинико-экономическое моделирование </w:t>
      </w:r>
      <w:r w:rsidR="00EA69A5" w:rsidRPr="005E6F1B">
        <w:rPr>
          <w:sz w:val="28"/>
          <w:szCs w:val="28"/>
        </w:rPr>
        <w:t xml:space="preserve">было выполнено с использованием марковской </w:t>
      </w:r>
      <w:r w:rsidRPr="005E6F1B">
        <w:rPr>
          <w:sz w:val="28"/>
          <w:szCs w:val="28"/>
        </w:rPr>
        <w:t>модел</w:t>
      </w:r>
      <w:r w:rsidR="00EA69A5" w:rsidRPr="005E6F1B">
        <w:rPr>
          <w:sz w:val="28"/>
          <w:szCs w:val="28"/>
        </w:rPr>
        <w:t>и</w:t>
      </w:r>
      <w:r w:rsidRPr="005E6F1B">
        <w:rPr>
          <w:sz w:val="28"/>
          <w:szCs w:val="28"/>
        </w:rPr>
        <w:t xml:space="preserve"> и анализ</w:t>
      </w:r>
      <w:r w:rsidR="00EA69A5" w:rsidRPr="005E6F1B">
        <w:rPr>
          <w:sz w:val="28"/>
          <w:szCs w:val="28"/>
        </w:rPr>
        <w:t>а</w:t>
      </w:r>
      <w:r w:rsidRPr="005E6F1B">
        <w:rPr>
          <w:sz w:val="28"/>
          <w:szCs w:val="28"/>
        </w:rPr>
        <w:t xml:space="preserve"> чистой приведённой стоимости (NPV) для оценки эффективности и целесообразности внедрения мобильной инсультной бригады (MSU), включая анализ чувствительности.</w:t>
      </w:r>
    </w:p>
    <w:p w14:paraId="1435BE60" w14:textId="77777777" w:rsidR="001C45E4" w:rsidRPr="005E6F1B" w:rsidRDefault="001C45E4" w:rsidP="00803D47">
      <w:pPr>
        <w:tabs>
          <w:tab w:val="left" w:pos="851"/>
        </w:tabs>
        <w:spacing w:after="0" w:line="240" w:lineRule="auto"/>
        <w:ind w:firstLine="567"/>
        <w:jc w:val="both"/>
        <w:rPr>
          <w:rFonts w:ascii="Times New Roman" w:eastAsia="Times New Roman" w:hAnsi="Times New Roman" w:cs="Times New Roman"/>
          <w:b/>
          <w:sz w:val="28"/>
          <w:szCs w:val="28"/>
          <w:lang w:eastAsia="ru-RU"/>
        </w:rPr>
      </w:pPr>
      <w:r w:rsidRPr="005E6F1B">
        <w:rPr>
          <w:rFonts w:ascii="Times New Roman" w:eastAsia="Times New Roman" w:hAnsi="Times New Roman" w:cs="Times New Roman"/>
          <w:b/>
          <w:sz w:val="28"/>
          <w:szCs w:val="28"/>
          <w:lang w:eastAsia="ru-RU"/>
        </w:rPr>
        <w:t>Научная новизна.</w:t>
      </w:r>
    </w:p>
    <w:p w14:paraId="6CD5142E" w14:textId="316A1E9C" w:rsidR="001C45E4" w:rsidRPr="005E6F1B" w:rsidRDefault="001C45E4" w:rsidP="00803D47">
      <w:pPr>
        <w:pStyle w:val="a6"/>
        <w:numPr>
          <w:ilvl w:val="0"/>
          <w:numId w:val="12"/>
        </w:numPr>
        <w:tabs>
          <w:tab w:val="left" w:pos="851"/>
        </w:tabs>
        <w:ind w:left="0" w:firstLine="567"/>
        <w:jc w:val="both"/>
        <w:rPr>
          <w:sz w:val="28"/>
          <w:szCs w:val="28"/>
        </w:rPr>
      </w:pPr>
      <w:r w:rsidRPr="005E6F1B">
        <w:rPr>
          <w:sz w:val="28"/>
          <w:szCs w:val="28"/>
        </w:rPr>
        <w:t>впервые для г. Алматы выполнен комплексный анализ бремени болезней системы кровообращения и инсульта за период (2012–2024 гг.), объединяющий эпидемиологические показатели заболеваемости и смертности, оценку предотвратимой смертности, экономическое бремя (на основе стоимости статистической жизни) и клинические исходы госпитализированных пациентов с ОНМК.</w:t>
      </w:r>
    </w:p>
    <w:p w14:paraId="45742877" w14:textId="77777777" w:rsidR="001C45E4" w:rsidRPr="005E6F1B" w:rsidRDefault="001C45E4" w:rsidP="00803D47">
      <w:pPr>
        <w:pStyle w:val="a6"/>
        <w:numPr>
          <w:ilvl w:val="0"/>
          <w:numId w:val="12"/>
        </w:numPr>
        <w:tabs>
          <w:tab w:val="left" w:pos="851"/>
        </w:tabs>
        <w:ind w:left="0" w:firstLine="567"/>
        <w:jc w:val="both"/>
        <w:rPr>
          <w:sz w:val="28"/>
          <w:szCs w:val="28"/>
        </w:rPr>
      </w:pPr>
      <w:r w:rsidRPr="005E6F1B">
        <w:rPr>
          <w:sz w:val="28"/>
          <w:szCs w:val="28"/>
        </w:rPr>
        <w:t>обосновано, что предотвратимая смертность от БСК в г. Алматы не характеризуется устойчивым линейным трендом, а её динамика определяется чередованием периодов снижения, экстремального роста в условиях пандемии COVID-19 и последующей нестабильной нормализации; при этом впервые показано, что рост предотвратимой смертности в абсолютном и относительном выражении обусловлен преимущественно мужским населением и связан главным образом с ишемической болезнью сердца.</w:t>
      </w:r>
    </w:p>
    <w:p w14:paraId="14412B89" w14:textId="7E059423" w:rsidR="001C45E4" w:rsidRPr="005E6F1B" w:rsidRDefault="001C45E4" w:rsidP="00803D47">
      <w:pPr>
        <w:pStyle w:val="a6"/>
        <w:numPr>
          <w:ilvl w:val="0"/>
          <w:numId w:val="12"/>
        </w:numPr>
        <w:tabs>
          <w:tab w:val="left" w:pos="851"/>
        </w:tabs>
        <w:ind w:left="0" w:firstLine="567"/>
        <w:jc w:val="both"/>
        <w:rPr>
          <w:sz w:val="28"/>
          <w:szCs w:val="28"/>
        </w:rPr>
      </w:pPr>
      <w:r w:rsidRPr="005E6F1B">
        <w:rPr>
          <w:sz w:val="28"/>
          <w:szCs w:val="28"/>
        </w:rPr>
        <w:t>впервые на региональном уровне проведена клинико-экономическая оценка внедрения мобильной инсультной бригады (MSU) с использованием марковского моделирования на 25-летнем горизонте, продемонстрировавшая доминирование стратегии MSU за счёт одновременного повышения эффективности лечения (ΔQALY = +0,142) и снижения суммарных дисконтированных затрат.</w:t>
      </w:r>
    </w:p>
    <w:p w14:paraId="232FD321" w14:textId="77777777" w:rsidR="001C45E4" w:rsidRPr="005E6F1B" w:rsidRDefault="001C45E4" w:rsidP="00803D47">
      <w:pPr>
        <w:pStyle w:val="a6"/>
        <w:numPr>
          <w:ilvl w:val="0"/>
          <w:numId w:val="12"/>
        </w:numPr>
        <w:tabs>
          <w:tab w:val="left" w:pos="851"/>
        </w:tabs>
        <w:ind w:left="0" w:firstLine="567"/>
        <w:jc w:val="both"/>
        <w:rPr>
          <w:sz w:val="28"/>
          <w:szCs w:val="28"/>
        </w:rPr>
      </w:pPr>
      <w:r w:rsidRPr="005E6F1B">
        <w:rPr>
          <w:sz w:val="28"/>
          <w:szCs w:val="28"/>
        </w:rPr>
        <w:t>изучено и обосновано комплексное применение смешанного дизайна исследования, сочетающего количественные методы (эпидемиологический, экономический анализ и моделирование) и качественные методы (интервью с медицинскими специалистами и пациентами), что позволило выявить системные барьеры оказания помощи при инсульте на догоспитальном, стационарном и постинсультном этапах, а также обосновать наличие разрыва между улучшением стационарных исходов и сохраняющимся высоким уровнем заболеваемости.</w:t>
      </w:r>
    </w:p>
    <w:p w14:paraId="6E671FB9" w14:textId="77777777" w:rsidR="001C45E4" w:rsidRPr="005E6F1B" w:rsidRDefault="001C45E4" w:rsidP="00803D47">
      <w:pPr>
        <w:autoSpaceDE w:val="0"/>
        <w:autoSpaceDN w:val="0"/>
        <w:adjustRightInd w:val="0"/>
        <w:spacing w:after="0" w:line="240" w:lineRule="auto"/>
        <w:ind w:firstLine="567"/>
        <w:rPr>
          <w:rFonts w:ascii="Times New Roman" w:hAnsi="Times New Roman" w:cs="Times New Roman"/>
          <w:color w:val="000000"/>
          <w:sz w:val="28"/>
          <w:szCs w:val="28"/>
        </w:rPr>
      </w:pPr>
      <w:r w:rsidRPr="005E6F1B">
        <w:rPr>
          <w:rFonts w:ascii="Times New Roman" w:hAnsi="Times New Roman" w:cs="Times New Roman"/>
          <w:b/>
          <w:bCs/>
          <w:color w:val="000000"/>
          <w:sz w:val="28"/>
          <w:szCs w:val="28"/>
        </w:rPr>
        <w:t xml:space="preserve">Практическая значимость работы </w:t>
      </w:r>
    </w:p>
    <w:p w14:paraId="0538F3B9" w14:textId="77777777" w:rsidR="001C45E4" w:rsidRPr="005E6F1B" w:rsidRDefault="001C45E4" w:rsidP="00803D47">
      <w:pPr>
        <w:autoSpaceDE w:val="0"/>
        <w:autoSpaceDN w:val="0"/>
        <w:adjustRightInd w:val="0"/>
        <w:spacing w:after="0" w:line="240" w:lineRule="auto"/>
        <w:ind w:firstLine="567"/>
        <w:jc w:val="both"/>
        <w:rPr>
          <w:rFonts w:ascii="Times New Roman" w:hAnsi="Times New Roman" w:cs="Times New Roman"/>
          <w:color w:val="000000"/>
          <w:kern w:val="2"/>
          <w:sz w:val="28"/>
          <w:szCs w:val="28"/>
          <w14:ligatures w14:val="standardContextual"/>
        </w:rPr>
      </w:pPr>
      <w:r w:rsidRPr="005E6F1B">
        <w:rPr>
          <w:rFonts w:ascii="Times New Roman" w:hAnsi="Times New Roman" w:cs="Times New Roman"/>
          <w:color w:val="000000"/>
          <w:sz w:val="28"/>
          <w:szCs w:val="28"/>
        </w:rPr>
        <w:t xml:space="preserve">- </w:t>
      </w:r>
      <w:r w:rsidRPr="005E6F1B">
        <w:rPr>
          <w:rFonts w:ascii="Times New Roman" w:hAnsi="Times New Roman" w:cs="Times New Roman"/>
          <w:color w:val="000000"/>
          <w:kern w:val="2"/>
          <w:sz w:val="28"/>
          <w:szCs w:val="28"/>
          <w14:ligatures w14:val="standardContextual"/>
        </w:rPr>
        <w:t>Полученные результаты формируют доказательную основу для регионального планирования политики в области профилактики и лечения БСК и инсульта, с акцентом на мужское население и ишемическую болезнь сердца как ключевой драйвер предотвратимой смертности и экономических потерь.</w:t>
      </w:r>
    </w:p>
    <w:p w14:paraId="74EAA8E4" w14:textId="77777777" w:rsidR="001C45E4" w:rsidRPr="005E6F1B" w:rsidRDefault="001C45E4" w:rsidP="00803D4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5E6F1B">
        <w:rPr>
          <w:rFonts w:ascii="Times New Roman" w:hAnsi="Times New Roman" w:cs="Times New Roman"/>
          <w:color w:val="000000"/>
          <w:sz w:val="28"/>
          <w:szCs w:val="28"/>
        </w:rPr>
        <w:t>- Выявленные абсолютные и относительные изменения предотвратимой смертности, а также выраженная межгодовая вариабельность экономического бремени могут быть использованы органами общественного здравоохранения для мониторинга устойчивости системы здравоохранения и оценки её уязвимости к внешним системным шокам и кризисным ситуациям.</w:t>
      </w:r>
    </w:p>
    <w:p w14:paraId="5CC67DF6" w14:textId="77777777" w:rsidR="002E4D23" w:rsidRPr="005E6F1B" w:rsidRDefault="002E4D23" w:rsidP="00803D4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5E6F1B">
        <w:rPr>
          <w:rFonts w:ascii="Times New Roman" w:hAnsi="Times New Roman" w:cs="Times New Roman"/>
          <w:color w:val="000000"/>
          <w:sz w:val="28"/>
          <w:szCs w:val="28"/>
        </w:rPr>
        <w:t xml:space="preserve">- Выявленные пробелы в подготовке специалистов скорой медицинской помощи и реабилитации, а также низкая осведомлённость населения о симптомах инсульта, обосновывают необходимость разработки целевых </w:t>
      </w:r>
      <w:r w:rsidRPr="005E6F1B">
        <w:rPr>
          <w:rFonts w:ascii="Times New Roman" w:hAnsi="Times New Roman" w:cs="Times New Roman"/>
          <w:color w:val="000000"/>
          <w:sz w:val="28"/>
          <w:szCs w:val="28"/>
        </w:rPr>
        <w:lastRenderedPageBreak/>
        <w:t>программ обучения медицинских кадров и устойчивых информационно-просветительских кампаний (FAST), ориентированных на пожилых людей, семьи пациентов и лиц, осуществляющих уход.</w:t>
      </w:r>
    </w:p>
    <w:p w14:paraId="4FCAB131" w14:textId="27FB805E" w:rsidR="002E4D23" w:rsidRPr="005E6F1B" w:rsidRDefault="002E4D23" w:rsidP="00803D4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5E6F1B">
        <w:rPr>
          <w:rFonts w:ascii="Times New Roman" w:hAnsi="Times New Roman" w:cs="Times New Roman"/>
          <w:color w:val="000000"/>
          <w:sz w:val="28"/>
          <w:szCs w:val="28"/>
        </w:rPr>
        <w:t>- Полученные данные о восприятии телереабилитации и цифровых технологий пациентами могут быть использованы при разработке и внедрении пациент-ориентированных моделей дистанционной реабилитации, адаптированных к уровню цифровой грамотности и потребностям лиц, перенёсших инсульт, с целью повышения доступности и непрерывности постинсультного ухода.</w:t>
      </w:r>
    </w:p>
    <w:p w14:paraId="5A33175A" w14:textId="77777777" w:rsidR="002E4D23" w:rsidRPr="005E6F1B" w:rsidRDefault="001C45E4" w:rsidP="00803D47">
      <w:pPr>
        <w:autoSpaceDE w:val="0"/>
        <w:autoSpaceDN w:val="0"/>
        <w:adjustRightInd w:val="0"/>
        <w:spacing w:after="0" w:line="240" w:lineRule="auto"/>
        <w:ind w:firstLine="567"/>
        <w:jc w:val="both"/>
        <w:rPr>
          <w:rFonts w:ascii="Times New Roman" w:hAnsi="Times New Roman" w:cs="Times New Roman"/>
          <w:sz w:val="28"/>
          <w:szCs w:val="28"/>
        </w:rPr>
      </w:pPr>
      <w:r w:rsidRPr="005E6F1B">
        <w:rPr>
          <w:rFonts w:ascii="Times New Roman" w:hAnsi="Times New Roman" w:cs="Times New Roman"/>
          <w:sz w:val="28"/>
          <w:szCs w:val="28"/>
        </w:rPr>
        <w:t xml:space="preserve">- </w:t>
      </w:r>
      <w:r w:rsidR="002E4D23" w:rsidRPr="005E6F1B">
        <w:rPr>
          <w:rFonts w:ascii="Times New Roman" w:hAnsi="Times New Roman" w:cs="Times New Roman"/>
          <w:sz w:val="28"/>
          <w:szCs w:val="28"/>
        </w:rPr>
        <w:t>Результаты клинико-экономического моделирования и финансовой оценки свидетельствуют о потенциальной целесообразности пилотного внедрения мобильной инсультной бригады (MSU) в г. Алматы; предложенная организационная модель маршрутизации пациентов с координацией на базе 7-й городской клинической больницы может рассматриваться как основа для практической реализации проекта и последующего масштабирования.</w:t>
      </w:r>
    </w:p>
    <w:p w14:paraId="539DCFF8" w14:textId="77777777" w:rsidR="001C45E4" w:rsidRPr="005E6F1B" w:rsidRDefault="001C45E4" w:rsidP="00803D47">
      <w:pPr>
        <w:tabs>
          <w:tab w:val="left" w:pos="851"/>
        </w:tabs>
        <w:autoSpaceDE w:val="0"/>
        <w:autoSpaceDN w:val="0"/>
        <w:adjustRightInd w:val="0"/>
        <w:spacing w:after="0" w:line="240" w:lineRule="auto"/>
        <w:ind w:firstLine="567"/>
        <w:contextualSpacing/>
        <w:rPr>
          <w:rFonts w:ascii="Times New Roman" w:hAnsi="Times New Roman" w:cs="Times New Roman"/>
          <w:sz w:val="28"/>
          <w:szCs w:val="28"/>
        </w:rPr>
      </w:pPr>
      <w:r w:rsidRPr="005E6F1B">
        <w:rPr>
          <w:rFonts w:ascii="Times New Roman" w:hAnsi="Times New Roman" w:cs="Times New Roman"/>
          <w:b/>
          <w:bCs/>
          <w:sz w:val="28"/>
          <w:szCs w:val="28"/>
        </w:rPr>
        <w:t xml:space="preserve">Основные положения, выносимые на защиту </w:t>
      </w:r>
    </w:p>
    <w:p w14:paraId="4C3FE6F2" w14:textId="429FBA4D" w:rsidR="000635EA" w:rsidRPr="005E6F1B" w:rsidRDefault="000635EA" w:rsidP="00803D47">
      <w:pPr>
        <w:pStyle w:val="a4"/>
        <w:numPr>
          <w:ilvl w:val="0"/>
          <w:numId w:val="11"/>
        </w:numPr>
        <w:shd w:val="clear" w:color="auto" w:fill="FFFFFF"/>
        <w:tabs>
          <w:tab w:val="left" w:pos="851"/>
        </w:tabs>
        <w:spacing w:before="0" w:beforeAutospacing="0" w:after="0" w:afterAutospacing="0"/>
        <w:ind w:left="0" w:firstLine="567"/>
        <w:contextualSpacing/>
        <w:jc w:val="both"/>
        <w:rPr>
          <w:sz w:val="28"/>
          <w:szCs w:val="28"/>
        </w:rPr>
      </w:pPr>
      <w:r w:rsidRPr="005E6F1B">
        <w:rPr>
          <w:sz w:val="28"/>
          <w:szCs w:val="28"/>
        </w:rPr>
        <w:t>В 2012–2024 гг. в г. Алматы сохранялась высокая заболеваемость БСК и ЦВЗ, при нестабильной смертности с пиком в 2020–2021 гг.; предотвратимая смертность была выше среди мужчин и преимущественно обусловлена ишемической болезнью сердца.</w:t>
      </w:r>
    </w:p>
    <w:p w14:paraId="3CC5056C" w14:textId="1729C300" w:rsidR="00CB313E" w:rsidRPr="005E6F1B" w:rsidRDefault="00CB313E" w:rsidP="00803D47">
      <w:pPr>
        <w:pStyle w:val="a6"/>
        <w:numPr>
          <w:ilvl w:val="0"/>
          <w:numId w:val="11"/>
        </w:numPr>
        <w:tabs>
          <w:tab w:val="left" w:pos="851"/>
        </w:tabs>
        <w:ind w:left="0" w:firstLine="567"/>
        <w:jc w:val="both"/>
        <w:rPr>
          <w:sz w:val="28"/>
          <w:szCs w:val="28"/>
        </w:rPr>
      </w:pPr>
      <w:r w:rsidRPr="005E6F1B">
        <w:rPr>
          <w:sz w:val="28"/>
          <w:szCs w:val="28"/>
        </w:rPr>
        <w:t xml:space="preserve">Экономическое бремя предотвратимой смертности от БСК </w:t>
      </w:r>
      <w:r w:rsidR="000635EA" w:rsidRPr="005E6F1B">
        <w:rPr>
          <w:sz w:val="28"/>
          <w:szCs w:val="28"/>
        </w:rPr>
        <w:t xml:space="preserve">в г.Алматы остается </w:t>
      </w:r>
      <w:r w:rsidRPr="005E6F1B">
        <w:rPr>
          <w:sz w:val="28"/>
          <w:szCs w:val="28"/>
        </w:rPr>
        <w:t xml:space="preserve">значительным и нестабильным, </w:t>
      </w:r>
      <w:r w:rsidR="000635EA" w:rsidRPr="005E6F1B">
        <w:rPr>
          <w:sz w:val="28"/>
          <w:szCs w:val="28"/>
        </w:rPr>
        <w:t>достигая</w:t>
      </w:r>
      <w:r w:rsidRPr="005E6F1B">
        <w:rPr>
          <w:sz w:val="28"/>
          <w:szCs w:val="28"/>
        </w:rPr>
        <w:t xml:space="preserve"> максимум</w:t>
      </w:r>
      <w:r w:rsidR="000635EA" w:rsidRPr="005E6F1B">
        <w:rPr>
          <w:sz w:val="28"/>
          <w:szCs w:val="28"/>
        </w:rPr>
        <w:t>а</w:t>
      </w:r>
      <w:r w:rsidRPr="005E6F1B">
        <w:rPr>
          <w:sz w:val="28"/>
          <w:szCs w:val="28"/>
        </w:rPr>
        <w:t xml:space="preserve"> в 2021 году, </w:t>
      </w:r>
      <w:r w:rsidR="000635EA" w:rsidRPr="005E6F1B">
        <w:rPr>
          <w:sz w:val="28"/>
          <w:szCs w:val="28"/>
        </w:rPr>
        <w:t>при этом</w:t>
      </w:r>
      <w:r w:rsidRPr="005E6F1B">
        <w:rPr>
          <w:sz w:val="28"/>
          <w:szCs w:val="28"/>
        </w:rPr>
        <w:t xml:space="preserve"> клинические исходы ОНМК улучшились, что проявилось снижением летальности и сокращением длительности госпитализации, в том числе вследствие внедрения стандартизированного алгоритма ведения пациентов, при сохраняющейся необходимости усиления профилактики.</w:t>
      </w:r>
    </w:p>
    <w:p w14:paraId="3336B015" w14:textId="77777777" w:rsidR="00A818D2" w:rsidRPr="005E6F1B" w:rsidRDefault="00A818D2" w:rsidP="00803D47">
      <w:pPr>
        <w:pStyle w:val="a6"/>
        <w:numPr>
          <w:ilvl w:val="0"/>
          <w:numId w:val="11"/>
        </w:numPr>
        <w:tabs>
          <w:tab w:val="left" w:pos="851"/>
        </w:tabs>
        <w:ind w:left="0" w:firstLine="567"/>
        <w:jc w:val="both"/>
        <w:rPr>
          <w:sz w:val="28"/>
          <w:szCs w:val="28"/>
        </w:rPr>
      </w:pPr>
      <w:r w:rsidRPr="005E6F1B">
        <w:rPr>
          <w:sz w:val="28"/>
          <w:szCs w:val="28"/>
        </w:rPr>
        <w:t>Несмотря на высокую готовность врачей-реаниматологов и нейрохирургов, сохраняются недостаточная подготовка и ресурсное обеспечение специалистов скорой медицинской помощи, реабилитологов и неврологов.</w:t>
      </w:r>
    </w:p>
    <w:p w14:paraId="00962653" w14:textId="7E6CE914" w:rsidR="00A818D2" w:rsidRPr="005E6F1B" w:rsidRDefault="00A818D2" w:rsidP="00803D47">
      <w:pPr>
        <w:pStyle w:val="a6"/>
        <w:numPr>
          <w:ilvl w:val="0"/>
          <w:numId w:val="11"/>
        </w:numPr>
        <w:tabs>
          <w:tab w:val="left" w:pos="851"/>
        </w:tabs>
        <w:ind w:left="0" w:firstLine="567"/>
        <w:jc w:val="both"/>
        <w:rPr>
          <w:sz w:val="28"/>
          <w:szCs w:val="28"/>
        </w:rPr>
      </w:pPr>
      <w:r w:rsidRPr="005E6F1B">
        <w:rPr>
          <w:sz w:val="28"/>
          <w:szCs w:val="28"/>
        </w:rPr>
        <w:t>Ключевыми барьерами оказания помощи при инсульте на догоспитальном и стационарном этапах, по отзывам пациентов, являются поведенческие и организационные факторы (низкая осведомлённость, позднее обращение, задержки маршрутизации, ограниченная реабилитация), снижающие эффективность лечения и требующие усиления координации и информационно-просветительской работы.</w:t>
      </w:r>
    </w:p>
    <w:p w14:paraId="555D53EF" w14:textId="540DED5E" w:rsidR="001C45E4" w:rsidRPr="005E6F1B" w:rsidRDefault="00A818D2" w:rsidP="00803D47">
      <w:pPr>
        <w:pStyle w:val="a6"/>
        <w:numPr>
          <w:ilvl w:val="0"/>
          <w:numId w:val="11"/>
        </w:numPr>
        <w:tabs>
          <w:tab w:val="left" w:pos="851"/>
        </w:tabs>
        <w:ind w:left="0" w:firstLine="567"/>
        <w:jc w:val="both"/>
        <w:rPr>
          <w:sz w:val="28"/>
          <w:szCs w:val="28"/>
        </w:rPr>
      </w:pPr>
      <w:r w:rsidRPr="005E6F1B">
        <w:rPr>
          <w:sz w:val="28"/>
          <w:szCs w:val="28"/>
        </w:rPr>
        <w:t>Клинико-экономический анализ и финансовая оценка показали, что внедрение мобильной инсультной бригады (MSU) при ОНМК ассоциируется с улучшением функциональных исходов и повышением эффективности по сравнению со стандартным лечением, что указывает на его потенциальную экономическую и инвестиционную целесообразность.</w:t>
      </w:r>
    </w:p>
    <w:p w14:paraId="6FAD5D00" w14:textId="77777777" w:rsidR="00705EBF" w:rsidRPr="005E6F1B" w:rsidRDefault="001C45E4" w:rsidP="00803D47">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5E6F1B">
        <w:rPr>
          <w:rFonts w:ascii="Times New Roman" w:hAnsi="Times New Roman" w:cs="Times New Roman"/>
          <w:b/>
          <w:bCs/>
          <w:sz w:val="28"/>
          <w:szCs w:val="28"/>
        </w:rPr>
        <w:t xml:space="preserve">Личный вклад автора. </w:t>
      </w:r>
      <w:r w:rsidRPr="005E6F1B">
        <w:rPr>
          <w:rFonts w:ascii="Times New Roman" w:hAnsi="Times New Roman" w:cs="Times New Roman"/>
          <w:sz w:val="28"/>
          <w:szCs w:val="28"/>
        </w:rPr>
        <w:t xml:space="preserve">Все этапы исследования, включая сбор, обработку и анализ данных, интерпретацию результатов и их обсуждение, выполнены лично автором. </w:t>
      </w:r>
      <w:r w:rsidR="00705EBF" w:rsidRPr="005E6F1B">
        <w:rPr>
          <w:rFonts w:ascii="Times New Roman" w:hAnsi="Times New Roman" w:cs="Times New Roman"/>
          <w:color w:val="000000" w:themeColor="text1"/>
          <w:sz w:val="28"/>
          <w:szCs w:val="28"/>
        </w:rPr>
        <w:t>Автором разработана методическая рекомендация «</w:t>
      </w:r>
      <w:r w:rsidR="00705EBF" w:rsidRPr="005E6F1B">
        <w:rPr>
          <w:rFonts w:ascii="Times New Roman" w:hAnsi="Times New Roman" w:cs="Times New Roman"/>
          <w:color w:val="000000" w:themeColor="text1"/>
          <w:sz w:val="28"/>
          <w:szCs w:val="28"/>
          <w:lang w:val="kk-KZ"/>
        </w:rPr>
        <w:t xml:space="preserve">Инсульттің </w:t>
      </w:r>
      <w:r w:rsidR="00705EBF" w:rsidRPr="005E6F1B">
        <w:rPr>
          <w:rFonts w:ascii="Times New Roman" w:hAnsi="Times New Roman" w:cs="Times New Roman"/>
          <w:color w:val="000000" w:themeColor="text1"/>
          <w:sz w:val="28"/>
          <w:szCs w:val="28"/>
          <w:lang w:val="kk-KZ"/>
        </w:rPr>
        <w:lastRenderedPageBreak/>
        <w:t>алдын алу және инсульттен кейінгі науқастарға күтім жасау бойынша ұсыныстар</w:t>
      </w:r>
      <w:r w:rsidR="00705EBF" w:rsidRPr="005E6F1B">
        <w:rPr>
          <w:rFonts w:ascii="Times New Roman" w:hAnsi="Times New Roman" w:cs="Times New Roman"/>
          <w:color w:val="000000" w:themeColor="text1"/>
          <w:sz w:val="28"/>
          <w:szCs w:val="28"/>
        </w:rPr>
        <w:t>», которая прошла экспертное заключение в Национальном научном центре развития здравоохранения</w:t>
      </w:r>
      <w:r w:rsidR="00705EBF" w:rsidRPr="005E6F1B">
        <w:rPr>
          <w:rFonts w:ascii="Times New Roman" w:hAnsi="Times New Roman" w:cs="Times New Roman"/>
          <w:color w:val="000000" w:themeColor="text1"/>
          <w:sz w:val="28"/>
          <w:szCs w:val="28"/>
          <w:lang w:val="kk-KZ"/>
        </w:rPr>
        <w:t xml:space="preserve"> 12 февраля 2026 </w:t>
      </w:r>
      <w:r w:rsidR="00705EBF" w:rsidRPr="005E6F1B">
        <w:rPr>
          <w:rFonts w:ascii="Times New Roman" w:hAnsi="Times New Roman" w:cs="Times New Roman"/>
          <w:color w:val="000000" w:themeColor="text1"/>
          <w:sz w:val="28"/>
          <w:szCs w:val="28"/>
        </w:rPr>
        <w:t xml:space="preserve">№610. Кроме того, докторант инициировал и организовал рабочую встречу с менеджерами управления общественного здравоохранения г. Алматы </w:t>
      </w:r>
      <w:r w:rsidR="00705EBF" w:rsidRPr="005E6F1B">
        <w:rPr>
          <w:rFonts w:ascii="Times New Roman" w:hAnsi="Times New Roman" w:cs="Times New Roman"/>
          <w:sz w:val="28"/>
          <w:szCs w:val="28"/>
        </w:rPr>
        <w:t>для обсуждения результатов исследования и вопросов пилотного внедрения мобильной инсультной бригады (Mobile Stroke Unit, MSU) в городе Алматы.</w:t>
      </w:r>
    </w:p>
    <w:p w14:paraId="47D19EE2" w14:textId="77777777" w:rsidR="00705EBF" w:rsidRPr="005E6F1B" w:rsidRDefault="001C45E4" w:rsidP="00803D47">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5E6F1B">
        <w:rPr>
          <w:rFonts w:ascii="Times New Roman" w:hAnsi="Times New Roman" w:cs="Times New Roman"/>
          <w:b/>
          <w:bCs/>
          <w:sz w:val="28"/>
          <w:szCs w:val="28"/>
        </w:rPr>
        <w:t>Апробация практических результатов</w:t>
      </w:r>
      <w:r w:rsidRPr="005E6F1B">
        <w:rPr>
          <w:rFonts w:ascii="Times New Roman" w:hAnsi="Times New Roman" w:cs="Times New Roman"/>
          <w:sz w:val="28"/>
          <w:szCs w:val="28"/>
        </w:rPr>
        <w:t xml:space="preserve">. </w:t>
      </w:r>
      <w:r w:rsidR="00705EBF" w:rsidRPr="005E6F1B">
        <w:rPr>
          <w:rFonts w:ascii="Times New Roman" w:hAnsi="Times New Roman" w:cs="Times New Roman"/>
          <w:sz w:val="28"/>
          <w:szCs w:val="28"/>
        </w:rPr>
        <w:t xml:space="preserve">Результаты исследований и основные положения диссертации были представлены и обсуждены на Международной научно-практической конференции, на уровне управления общественного здравоохранения г.Алматы.  </w:t>
      </w:r>
    </w:p>
    <w:p w14:paraId="4FE0EB0B" w14:textId="767ABCE4" w:rsidR="001C45E4" w:rsidRDefault="001C45E4" w:rsidP="00803D47">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5E6F1B">
        <w:rPr>
          <w:rFonts w:ascii="Times New Roman" w:hAnsi="Times New Roman" w:cs="Times New Roman"/>
          <w:b/>
          <w:bCs/>
          <w:sz w:val="28"/>
          <w:szCs w:val="28"/>
        </w:rPr>
        <w:t xml:space="preserve">Публикации по теме диссертации. </w:t>
      </w:r>
      <w:r w:rsidRPr="005E6F1B">
        <w:rPr>
          <w:rFonts w:ascii="Times New Roman" w:hAnsi="Times New Roman" w:cs="Times New Roman"/>
          <w:sz w:val="28"/>
          <w:szCs w:val="28"/>
        </w:rPr>
        <w:t xml:space="preserve">По материалам диссертационной работы опубликовано </w:t>
      </w:r>
      <w:r w:rsidR="004F3DDF">
        <w:rPr>
          <w:rFonts w:ascii="Times New Roman" w:hAnsi="Times New Roman" w:cs="Times New Roman"/>
          <w:sz w:val="28"/>
          <w:szCs w:val="28"/>
        </w:rPr>
        <w:t>5</w:t>
      </w:r>
      <w:r w:rsidRPr="005E6F1B">
        <w:rPr>
          <w:rFonts w:ascii="Times New Roman" w:hAnsi="Times New Roman" w:cs="Times New Roman"/>
          <w:sz w:val="28"/>
          <w:szCs w:val="28"/>
        </w:rPr>
        <w:t xml:space="preserve"> работ: 3 статьи в журналах, рекомендованных Комитетом по контролю в сфере образования и науки МОН РК, 1 статья – в журнале, индексированном в базе Scopus</w:t>
      </w:r>
      <w:r w:rsidR="004F3DDF">
        <w:rPr>
          <w:rFonts w:ascii="Times New Roman" w:hAnsi="Times New Roman" w:cs="Times New Roman"/>
          <w:sz w:val="28"/>
          <w:szCs w:val="28"/>
        </w:rPr>
        <w:t xml:space="preserve"> и 1 методические рекомендации</w:t>
      </w:r>
      <w:r w:rsidRPr="005E6F1B">
        <w:rPr>
          <w:rFonts w:ascii="Times New Roman" w:hAnsi="Times New Roman" w:cs="Times New Roman"/>
          <w:sz w:val="28"/>
          <w:szCs w:val="28"/>
        </w:rPr>
        <w:t xml:space="preserve">. </w:t>
      </w:r>
    </w:p>
    <w:p w14:paraId="46F664C6" w14:textId="77777777" w:rsidR="004F3DDF" w:rsidRPr="004F3DDF" w:rsidRDefault="004F3DDF" w:rsidP="00803D47">
      <w:pPr>
        <w:autoSpaceDE w:val="0"/>
        <w:autoSpaceDN w:val="0"/>
        <w:adjustRightInd w:val="0"/>
        <w:spacing w:after="0" w:line="240" w:lineRule="auto"/>
        <w:ind w:firstLine="567"/>
        <w:contextualSpacing/>
        <w:jc w:val="both"/>
        <w:rPr>
          <w:rFonts w:ascii="Times New Roman" w:hAnsi="Times New Roman" w:cs="Times New Roman"/>
          <w:sz w:val="28"/>
          <w:szCs w:val="28"/>
          <w:lang w:val="en-US"/>
        </w:rPr>
      </w:pPr>
      <w:r w:rsidRPr="004F3DDF">
        <w:rPr>
          <w:rFonts w:ascii="Times New Roman" w:hAnsi="Times New Roman" w:cs="Times New Roman"/>
          <w:sz w:val="28"/>
          <w:szCs w:val="28"/>
          <w:lang w:val="en-US"/>
        </w:rPr>
        <w:t xml:space="preserve">1. Rauan Kastey, Ermek Dyussembekov, Kuanysh Nikatov, Yevgeniy Zhukov, Arimantas Tamasauskas, Oryngul Jumagaziyeva, Madiyar Umirbayev, Kamila Faizullina Avoidable mortality in its economic impact in Almaty city, Kazakhstan. Asian Journal of Social Health and Behavior 8(3):p 141-151, Jul–Sep 2025. | DOI: 10.4103/shb.shb_438_24Scopus – 96 </w:t>
      </w:r>
      <w:r w:rsidRPr="004F3DDF">
        <w:rPr>
          <w:rFonts w:ascii="Times New Roman" w:hAnsi="Times New Roman" w:cs="Times New Roman"/>
          <w:sz w:val="28"/>
          <w:szCs w:val="28"/>
        </w:rPr>
        <w:t>процентиль</w:t>
      </w:r>
      <w:r w:rsidRPr="004F3DDF">
        <w:rPr>
          <w:rFonts w:ascii="Times New Roman" w:hAnsi="Times New Roman" w:cs="Times New Roman"/>
          <w:sz w:val="28"/>
          <w:szCs w:val="28"/>
          <w:lang w:val="en-US"/>
        </w:rPr>
        <w:t xml:space="preserve">. </w:t>
      </w:r>
    </w:p>
    <w:p w14:paraId="2FC0DFB7" w14:textId="37F55A09" w:rsidR="004F3DDF" w:rsidRPr="004F3DDF" w:rsidRDefault="004F3DDF" w:rsidP="00803D47">
      <w:pPr>
        <w:autoSpaceDE w:val="0"/>
        <w:autoSpaceDN w:val="0"/>
        <w:adjustRightInd w:val="0"/>
        <w:spacing w:after="0" w:line="240" w:lineRule="auto"/>
        <w:ind w:firstLine="567"/>
        <w:contextualSpacing/>
        <w:jc w:val="both"/>
        <w:rPr>
          <w:rFonts w:ascii="Times New Roman" w:hAnsi="Times New Roman" w:cs="Times New Roman"/>
          <w:sz w:val="28"/>
          <w:szCs w:val="28"/>
          <w:lang w:val="en-US"/>
        </w:rPr>
      </w:pPr>
      <w:r w:rsidRPr="004F3DDF">
        <w:rPr>
          <w:rFonts w:ascii="Times New Roman" w:hAnsi="Times New Roman" w:cs="Times New Roman"/>
          <w:sz w:val="28"/>
          <w:szCs w:val="28"/>
          <w:lang w:val="en-US"/>
        </w:rPr>
        <w:t xml:space="preserve">2. Kastey R, Dyussembekov E., Tamasauskas A., Imamatdinova A., Nazarbayev A.Patient-centred perspectives on stroke care: challenges and priorities. Actual Problems of Theoretical and Clinical Medicine. 2025;(3):61-75. </w:t>
      </w:r>
      <w:hyperlink r:id="rId9" w:history="1">
        <w:r w:rsidRPr="004F3DDF">
          <w:rPr>
            <w:rStyle w:val="a3"/>
            <w:rFonts w:ascii="Times New Roman" w:hAnsi="Times New Roman" w:cs="Times New Roman"/>
            <w:sz w:val="28"/>
            <w:szCs w:val="28"/>
            <w:lang w:val="en-US"/>
          </w:rPr>
          <w:t>https://doi.org/10.64854/2790-1289-2025-49-3-04 10</w:t>
        </w:r>
      </w:hyperlink>
      <w:r w:rsidRPr="004F3DDF">
        <w:rPr>
          <w:rFonts w:ascii="Times New Roman" w:hAnsi="Times New Roman" w:cs="Times New Roman"/>
          <w:sz w:val="28"/>
          <w:szCs w:val="28"/>
          <w:lang w:val="en-US"/>
        </w:rPr>
        <w:t xml:space="preserve"> </w:t>
      </w:r>
    </w:p>
    <w:p w14:paraId="1521DAF3" w14:textId="2EC983A5" w:rsidR="004F3DDF" w:rsidRPr="004F3DDF" w:rsidRDefault="004F3DDF" w:rsidP="00803D47">
      <w:pPr>
        <w:autoSpaceDE w:val="0"/>
        <w:autoSpaceDN w:val="0"/>
        <w:adjustRightInd w:val="0"/>
        <w:spacing w:after="0" w:line="240" w:lineRule="auto"/>
        <w:ind w:firstLine="567"/>
        <w:contextualSpacing/>
        <w:jc w:val="both"/>
        <w:rPr>
          <w:rFonts w:ascii="Times New Roman" w:hAnsi="Times New Roman" w:cs="Times New Roman"/>
          <w:sz w:val="28"/>
          <w:szCs w:val="28"/>
          <w:lang w:val="en-US"/>
        </w:rPr>
      </w:pPr>
      <w:r w:rsidRPr="004F3DDF">
        <w:rPr>
          <w:rFonts w:ascii="Times New Roman" w:hAnsi="Times New Roman" w:cs="Times New Roman"/>
          <w:sz w:val="28"/>
          <w:szCs w:val="28"/>
          <w:lang w:val="en-US"/>
        </w:rPr>
        <w:t xml:space="preserve">3. Rauan Kastey, Gulnara Kulkayeva, Ermek Dyussembekov, Kuanysh Nikatov, Arimantas Tamasauskas Stroke care preparedness across medical specialties: Gaps, challenges, and future directions J Health Dev. 2025, 60 (5), jhd021. </w:t>
      </w:r>
      <w:hyperlink r:id="rId10" w:history="1">
        <w:r w:rsidRPr="004F3DDF">
          <w:rPr>
            <w:rStyle w:val="a3"/>
            <w:rFonts w:ascii="Times New Roman" w:hAnsi="Times New Roman" w:cs="Times New Roman"/>
            <w:sz w:val="28"/>
            <w:szCs w:val="28"/>
            <w:lang w:val="en-US"/>
          </w:rPr>
          <w:t>https://doi.org/10.32921/2663-1776- 2025-60-5-jhd021</w:t>
        </w:r>
      </w:hyperlink>
      <w:r w:rsidRPr="004F3DDF">
        <w:rPr>
          <w:rFonts w:ascii="Times New Roman" w:hAnsi="Times New Roman" w:cs="Times New Roman"/>
          <w:sz w:val="28"/>
          <w:szCs w:val="28"/>
          <w:lang w:val="en-US"/>
        </w:rPr>
        <w:t xml:space="preserve"> </w:t>
      </w:r>
    </w:p>
    <w:p w14:paraId="3349E5B2" w14:textId="77777777" w:rsidR="004F3DDF" w:rsidRPr="004F3DDF" w:rsidRDefault="004F3DDF" w:rsidP="00803D47">
      <w:pPr>
        <w:autoSpaceDE w:val="0"/>
        <w:autoSpaceDN w:val="0"/>
        <w:adjustRightInd w:val="0"/>
        <w:spacing w:after="0" w:line="240" w:lineRule="auto"/>
        <w:ind w:firstLine="567"/>
        <w:contextualSpacing/>
        <w:jc w:val="both"/>
        <w:rPr>
          <w:rFonts w:ascii="Times New Roman" w:hAnsi="Times New Roman" w:cs="Times New Roman"/>
          <w:sz w:val="28"/>
          <w:szCs w:val="28"/>
          <w:lang w:val="en-US"/>
        </w:rPr>
      </w:pPr>
      <w:r w:rsidRPr="004F3DDF">
        <w:rPr>
          <w:rFonts w:ascii="Times New Roman" w:hAnsi="Times New Roman" w:cs="Times New Roman"/>
          <w:sz w:val="28"/>
          <w:szCs w:val="28"/>
          <w:lang w:val="en-US"/>
        </w:rPr>
        <w:t xml:space="preserve">4. Kastey R, Faizullina K., Turganova M., Zhexenova A., Vaičiulis V., Akhtayeva N. S Study of Hospitalized Cases Associated with Acute Cerebrovascular Accidents Nauka i Zdravookhranenie [Science &amp; Healthcare]. 2025. Vol.27 (1), pp. 49-55. doi 10.34689/SH.2024.27.1.006 </w:t>
      </w:r>
    </w:p>
    <w:p w14:paraId="20FBB2EA" w14:textId="76D70E3B" w:rsidR="004F3DDF" w:rsidRPr="004F3DDF" w:rsidRDefault="004F3DDF" w:rsidP="00803D47">
      <w:pPr>
        <w:autoSpaceDE w:val="0"/>
        <w:autoSpaceDN w:val="0"/>
        <w:adjustRightInd w:val="0"/>
        <w:spacing w:after="0" w:line="240" w:lineRule="auto"/>
        <w:ind w:firstLine="567"/>
        <w:contextualSpacing/>
        <w:jc w:val="both"/>
        <w:rPr>
          <w:rFonts w:ascii="Times New Roman" w:hAnsi="Times New Roman" w:cs="Times New Roman"/>
          <w:sz w:val="28"/>
          <w:szCs w:val="28"/>
          <w:lang w:val="en-US"/>
        </w:rPr>
      </w:pPr>
      <w:r w:rsidRPr="004F3DDF">
        <w:rPr>
          <w:rFonts w:ascii="Times New Roman" w:hAnsi="Times New Roman" w:cs="Times New Roman"/>
          <w:sz w:val="28"/>
          <w:szCs w:val="28"/>
          <w:lang w:val="en-US"/>
        </w:rPr>
        <w:t xml:space="preserve">5. </w:t>
      </w:r>
      <w:r w:rsidRPr="004F3DDF">
        <w:rPr>
          <w:rFonts w:ascii="Times New Roman" w:hAnsi="Times New Roman" w:cs="Times New Roman"/>
          <w:sz w:val="28"/>
          <w:szCs w:val="28"/>
        </w:rPr>
        <w:t>Инсульттің</w:t>
      </w:r>
      <w:r w:rsidRPr="004F3DDF">
        <w:rPr>
          <w:rFonts w:ascii="Times New Roman" w:hAnsi="Times New Roman" w:cs="Times New Roman"/>
          <w:sz w:val="28"/>
          <w:szCs w:val="28"/>
          <w:lang w:val="en-US"/>
        </w:rPr>
        <w:t xml:space="preserve"> </w:t>
      </w:r>
      <w:r w:rsidRPr="004F3DDF">
        <w:rPr>
          <w:rFonts w:ascii="Times New Roman" w:hAnsi="Times New Roman" w:cs="Times New Roman"/>
          <w:sz w:val="28"/>
          <w:szCs w:val="28"/>
        </w:rPr>
        <w:t>алдын</w:t>
      </w:r>
      <w:r w:rsidRPr="004F3DDF">
        <w:rPr>
          <w:rFonts w:ascii="Times New Roman" w:hAnsi="Times New Roman" w:cs="Times New Roman"/>
          <w:sz w:val="28"/>
          <w:szCs w:val="28"/>
          <w:lang w:val="en-US"/>
        </w:rPr>
        <w:t xml:space="preserve"> </w:t>
      </w:r>
      <w:r w:rsidRPr="004F3DDF">
        <w:rPr>
          <w:rFonts w:ascii="Times New Roman" w:hAnsi="Times New Roman" w:cs="Times New Roman"/>
          <w:sz w:val="28"/>
          <w:szCs w:val="28"/>
        </w:rPr>
        <w:t>алу</w:t>
      </w:r>
      <w:r w:rsidRPr="004F3DDF">
        <w:rPr>
          <w:rFonts w:ascii="Times New Roman" w:hAnsi="Times New Roman" w:cs="Times New Roman"/>
          <w:sz w:val="28"/>
          <w:szCs w:val="28"/>
          <w:lang w:val="en-US"/>
        </w:rPr>
        <w:t xml:space="preserve"> </w:t>
      </w:r>
      <w:r w:rsidRPr="004F3DDF">
        <w:rPr>
          <w:rFonts w:ascii="Times New Roman" w:hAnsi="Times New Roman" w:cs="Times New Roman"/>
          <w:sz w:val="28"/>
          <w:szCs w:val="28"/>
        </w:rPr>
        <w:t>және</w:t>
      </w:r>
      <w:r w:rsidRPr="004F3DDF">
        <w:rPr>
          <w:rFonts w:ascii="Times New Roman" w:hAnsi="Times New Roman" w:cs="Times New Roman"/>
          <w:sz w:val="28"/>
          <w:szCs w:val="28"/>
          <w:lang w:val="en-US"/>
        </w:rPr>
        <w:t xml:space="preserve"> </w:t>
      </w:r>
      <w:r w:rsidRPr="004F3DDF">
        <w:rPr>
          <w:rFonts w:ascii="Times New Roman" w:hAnsi="Times New Roman" w:cs="Times New Roman"/>
          <w:sz w:val="28"/>
          <w:szCs w:val="28"/>
        </w:rPr>
        <w:t>инсульттен</w:t>
      </w:r>
      <w:r w:rsidRPr="004F3DDF">
        <w:rPr>
          <w:rFonts w:ascii="Times New Roman" w:hAnsi="Times New Roman" w:cs="Times New Roman"/>
          <w:sz w:val="28"/>
          <w:szCs w:val="28"/>
          <w:lang w:val="en-US"/>
        </w:rPr>
        <w:t xml:space="preserve"> </w:t>
      </w:r>
      <w:r w:rsidRPr="004F3DDF">
        <w:rPr>
          <w:rFonts w:ascii="Times New Roman" w:hAnsi="Times New Roman" w:cs="Times New Roman"/>
          <w:sz w:val="28"/>
          <w:szCs w:val="28"/>
        </w:rPr>
        <w:t>кейінгі</w:t>
      </w:r>
      <w:r w:rsidRPr="004F3DDF">
        <w:rPr>
          <w:rFonts w:ascii="Times New Roman" w:hAnsi="Times New Roman" w:cs="Times New Roman"/>
          <w:sz w:val="28"/>
          <w:szCs w:val="28"/>
          <w:lang w:val="en-US"/>
        </w:rPr>
        <w:t xml:space="preserve"> </w:t>
      </w:r>
      <w:r w:rsidRPr="004F3DDF">
        <w:rPr>
          <w:rFonts w:ascii="Times New Roman" w:hAnsi="Times New Roman" w:cs="Times New Roman"/>
          <w:sz w:val="28"/>
          <w:szCs w:val="28"/>
        </w:rPr>
        <w:t>науқастарға</w:t>
      </w:r>
      <w:r w:rsidRPr="004F3DDF">
        <w:rPr>
          <w:rFonts w:ascii="Times New Roman" w:hAnsi="Times New Roman" w:cs="Times New Roman"/>
          <w:sz w:val="28"/>
          <w:szCs w:val="28"/>
          <w:lang w:val="en-US"/>
        </w:rPr>
        <w:t xml:space="preserve"> </w:t>
      </w:r>
      <w:r w:rsidRPr="004F3DDF">
        <w:rPr>
          <w:rFonts w:ascii="Times New Roman" w:hAnsi="Times New Roman" w:cs="Times New Roman"/>
          <w:sz w:val="28"/>
          <w:szCs w:val="28"/>
        </w:rPr>
        <w:t>күтім</w:t>
      </w:r>
      <w:r w:rsidRPr="004F3DDF">
        <w:rPr>
          <w:rFonts w:ascii="Times New Roman" w:hAnsi="Times New Roman" w:cs="Times New Roman"/>
          <w:sz w:val="28"/>
          <w:szCs w:val="28"/>
          <w:lang w:val="en-US"/>
        </w:rPr>
        <w:t xml:space="preserve"> </w:t>
      </w:r>
      <w:r w:rsidRPr="004F3DDF">
        <w:rPr>
          <w:rFonts w:ascii="Times New Roman" w:hAnsi="Times New Roman" w:cs="Times New Roman"/>
          <w:sz w:val="28"/>
          <w:szCs w:val="28"/>
        </w:rPr>
        <w:t>жасау</w:t>
      </w:r>
      <w:r w:rsidRPr="004F3DDF">
        <w:rPr>
          <w:rFonts w:ascii="Times New Roman" w:hAnsi="Times New Roman" w:cs="Times New Roman"/>
          <w:sz w:val="28"/>
          <w:szCs w:val="28"/>
          <w:lang w:val="en-US"/>
        </w:rPr>
        <w:t xml:space="preserve"> </w:t>
      </w:r>
      <w:r w:rsidRPr="004F3DDF">
        <w:rPr>
          <w:rFonts w:ascii="Times New Roman" w:hAnsi="Times New Roman" w:cs="Times New Roman"/>
          <w:sz w:val="28"/>
          <w:szCs w:val="28"/>
        </w:rPr>
        <w:t>бойынша</w:t>
      </w:r>
      <w:r w:rsidRPr="004F3DDF">
        <w:rPr>
          <w:rFonts w:ascii="Times New Roman" w:hAnsi="Times New Roman" w:cs="Times New Roman"/>
          <w:sz w:val="28"/>
          <w:szCs w:val="28"/>
          <w:lang w:val="en-US"/>
        </w:rPr>
        <w:t xml:space="preserve"> </w:t>
      </w:r>
      <w:r w:rsidRPr="004F3DDF">
        <w:rPr>
          <w:rFonts w:ascii="Times New Roman" w:hAnsi="Times New Roman" w:cs="Times New Roman"/>
          <w:sz w:val="28"/>
          <w:szCs w:val="28"/>
        </w:rPr>
        <w:t>ұсыныстар</w:t>
      </w:r>
      <w:r w:rsidRPr="004F3DDF">
        <w:rPr>
          <w:rFonts w:ascii="Times New Roman" w:hAnsi="Times New Roman" w:cs="Times New Roman"/>
          <w:sz w:val="28"/>
          <w:szCs w:val="28"/>
          <w:lang w:val="en-US"/>
        </w:rPr>
        <w:t xml:space="preserve">: </w:t>
      </w:r>
      <w:r w:rsidRPr="004F3DDF">
        <w:rPr>
          <w:rFonts w:ascii="Times New Roman" w:hAnsi="Times New Roman" w:cs="Times New Roman"/>
          <w:sz w:val="28"/>
          <w:szCs w:val="28"/>
        </w:rPr>
        <w:t>Әдістемелік</w:t>
      </w:r>
      <w:r w:rsidRPr="004F3DDF">
        <w:rPr>
          <w:rFonts w:ascii="Times New Roman" w:hAnsi="Times New Roman" w:cs="Times New Roman"/>
          <w:sz w:val="28"/>
          <w:szCs w:val="28"/>
          <w:lang w:val="en-US"/>
        </w:rPr>
        <w:t xml:space="preserve"> </w:t>
      </w:r>
      <w:r w:rsidRPr="004F3DDF">
        <w:rPr>
          <w:rFonts w:ascii="Times New Roman" w:hAnsi="Times New Roman" w:cs="Times New Roman"/>
          <w:sz w:val="28"/>
          <w:szCs w:val="28"/>
        </w:rPr>
        <w:t>нұсқау</w:t>
      </w:r>
      <w:r w:rsidRPr="004F3DDF">
        <w:rPr>
          <w:rFonts w:ascii="Times New Roman" w:hAnsi="Times New Roman" w:cs="Times New Roman"/>
          <w:sz w:val="28"/>
          <w:szCs w:val="28"/>
          <w:lang w:val="en-US"/>
        </w:rPr>
        <w:t>/</w:t>
      </w:r>
      <w:r w:rsidRPr="004F3DDF">
        <w:rPr>
          <w:rFonts w:ascii="Times New Roman" w:hAnsi="Times New Roman" w:cs="Times New Roman"/>
          <w:sz w:val="28"/>
          <w:szCs w:val="28"/>
        </w:rPr>
        <w:t>Қастей</w:t>
      </w:r>
      <w:r w:rsidRPr="004F3DDF">
        <w:rPr>
          <w:rFonts w:ascii="Times New Roman" w:hAnsi="Times New Roman" w:cs="Times New Roman"/>
          <w:sz w:val="28"/>
          <w:szCs w:val="28"/>
          <w:lang w:val="en-US"/>
        </w:rPr>
        <w:t xml:space="preserve"> </w:t>
      </w:r>
      <w:r w:rsidRPr="004F3DDF">
        <w:rPr>
          <w:rFonts w:ascii="Times New Roman" w:hAnsi="Times New Roman" w:cs="Times New Roman"/>
          <w:sz w:val="28"/>
          <w:szCs w:val="28"/>
        </w:rPr>
        <w:t>Р</w:t>
      </w:r>
      <w:r w:rsidRPr="004F3DDF">
        <w:rPr>
          <w:rFonts w:ascii="Times New Roman" w:hAnsi="Times New Roman" w:cs="Times New Roman"/>
          <w:sz w:val="28"/>
          <w:szCs w:val="28"/>
          <w:lang w:val="en-US"/>
        </w:rPr>
        <w:t>.</w:t>
      </w:r>
      <w:r w:rsidRPr="004F3DDF">
        <w:rPr>
          <w:rFonts w:ascii="Times New Roman" w:hAnsi="Times New Roman" w:cs="Times New Roman"/>
          <w:sz w:val="28"/>
          <w:szCs w:val="28"/>
        </w:rPr>
        <w:t>М</w:t>
      </w:r>
      <w:r w:rsidRPr="004F3DDF">
        <w:rPr>
          <w:rFonts w:ascii="Times New Roman" w:hAnsi="Times New Roman" w:cs="Times New Roman"/>
          <w:sz w:val="28"/>
          <w:szCs w:val="28"/>
          <w:lang w:val="en-US"/>
        </w:rPr>
        <w:t xml:space="preserve">., </w:t>
      </w:r>
      <w:r w:rsidRPr="004F3DDF">
        <w:rPr>
          <w:rFonts w:ascii="Times New Roman" w:hAnsi="Times New Roman" w:cs="Times New Roman"/>
          <w:sz w:val="28"/>
          <w:szCs w:val="28"/>
        </w:rPr>
        <w:t>Жорабек</w:t>
      </w:r>
      <w:r w:rsidRPr="004F3DDF">
        <w:rPr>
          <w:rFonts w:ascii="Times New Roman" w:hAnsi="Times New Roman" w:cs="Times New Roman"/>
          <w:sz w:val="28"/>
          <w:szCs w:val="28"/>
          <w:lang w:val="en-US"/>
        </w:rPr>
        <w:t xml:space="preserve"> </w:t>
      </w:r>
      <w:r w:rsidRPr="004F3DDF">
        <w:rPr>
          <w:rFonts w:ascii="Times New Roman" w:hAnsi="Times New Roman" w:cs="Times New Roman"/>
          <w:sz w:val="28"/>
          <w:szCs w:val="28"/>
        </w:rPr>
        <w:t>С</w:t>
      </w:r>
      <w:r w:rsidRPr="004F3DDF">
        <w:rPr>
          <w:rFonts w:ascii="Times New Roman" w:hAnsi="Times New Roman" w:cs="Times New Roman"/>
          <w:sz w:val="28"/>
          <w:szCs w:val="28"/>
          <w:lang w:val="en-US"/>
        </w:rPr>
        <w:t>.</w:t>
      </w:r>
      <w:r w:rsidRPr="004F3DDF">
        <w:rPr>
          <w:rFonts w:ascii="Times New Roman" w:hAnsi="Times New Roman" w:cs="Times New Roman"/>
          <w:sz w:val="28"/>
          <w:szCs w:val="28"/>
        </w:rPr>
        <w:t>Б</w:t>
      </w:r>
      <w:r w:rsidRPr="004F3DDF">
        <w:rPr>
          <w:rFonts w:ascii="Times New Roman" w:hAnsi="Times New Roman" w:cs="Times New Roman"/>
          <w:sz w:val="28"/>
          <w:szCs w:val="28"/>
          <w:lang w:val="en-US"/>
        </w:rPr>
        <w:t xml:space="preserve">. - </w:t>
      </w:r>
      <w:r w:rsidRPr="004F3DDF">
        <w:rPr>
          <w:rFonts w:ascii="Times New Roman" w:hAnsi="Times New Roman" w:cs="Times New Roman"/>
          <w:sz w:val="28"/>
          <w:szCs w:val="28"/>
        </w:rPr>
        <w:t>Алматы</w:t>
      </w:r>
      <w:r w:rsidRPr="004F3DDF">
        <w:rPr>
          <w:rFonts w:ascii="Times New Roman" w:hAnsi="Times New Roman" w:cs="Times New Roman"/>
          <w:sz w:val="28"/>
          <w:szCs w:val="28"/>
          <w:lang w:val="en-US"/>
        </w:rPr>
        <w:t xml:space="preserve">: </w:t>
      </w:r>
      <w:r w:rsidRPr="004F3DDF">
        <w:rPr>
          <w:rFonts w:ascii="Times New Roman" w:hAnsi="Times New Roman" w:cs="Times New Roman"/>
          <w:sz w:val="28"/>
          <w:szCs w:val="28"/>
        </w:rPr>
        <w:t>ҚазҰМУ</w:t>
      </w:r>
      <w:r w:rsidRPr="004F3DDF">
        <w:rPr>
          <w:rFonts w:ascii="Times New Roman" w:hAnsi="Times New Roman" w:cs="Times New Roman"/>
          <w:sz w:val="28"/>
          <w:szCs w:val="28"/>
          <w:lang w:val="en-US"/>
        </w:rPr>
        <w:t xml:space="preserve">, 2026. – 35 </w:t>
      </w:r>
      <w:r w:rsidRPr="004F3DDF">
        <w:rPr>
          <w:rFonts w:ascii="Times New Roman" w:hAnsi="Times New Roman" w:cs="Times New Roman"/>
          <w:sz w:val="28"/>
          <w:szCs w:val="28"/>
        </w:rPr>
        <w:t>б</w:t>
      </w:r>
      <w:r w:rsidRPr="004F3DDF">
        <w:rPr>
          <w:rFonts w:ascii="Times New Roman" w:hAnsi="Times New Roman" w:cs="Times New Roman"/>
          <w:sz w:val="28"/>
          <w:szCs w:val="28"/>
          <w:lang w:val="en-US"/>
        </w:rPr>
        <w:t>. ISBN 978-601-246-872-4</w:t>
      </w:r>
    </w:p>
    <w:p w14:paraId="02A5E103" w14:textId="77777777" w:rsidR="001C45E4" w:rsidRPr="005E6F1B" w:rsidRDefault="001C45E4" w:rsidP="00803D47">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5E6F1B">
        <w:rPr>
          <w:rFonts w:ascii="Times New Roman" w:hAnsi="Times New Roman" w:cs="Times New Roman"/>
          <w:b/>
          <w:bCs/>
          <w:sz w:val="28"/>
          <w:szCs w:val="28"/>
        </w:rPr>
        <w:t xml:space="preserve">Структура и объем диссертации </w:t>
      </w:r>
    </w:p>
    <w:p w14:paraId="30B5E5AA" w14:textId="0974AE57" w:rsidR="001C45E4" w:rsidRPr="005E6F1B" w:rsidRDefault="001C45E4" w:rsidP="00803D47">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5E6F1B">
        <w:rPr>
          <w:rFonts w:ascii="Times New Roman" w:hAnsi="Times New Roman" w:cs="Times New Roman"/>
          <w:sz w:val="28"/>
          <w:szCs w:val="28"/>
        </w:rPr>
        <w:t>Диссертация изложена на 1</w:t>
      </w:r>
      <w:r w:rsidR="00533899">
        <w:rPr>
          <w:rFonts w:ascii="Times New Roman" w:hAnsi="Times New Roman" w:cs="Times New Roman"/>
          <w:sz w:val="28"/>
          <w:szCs w:val="28"/>
        </w:rPr>
        <w:t>22</w:t>
      </w:r>
      <w:r w:rsidRPr="005E6F1B">
        <w:rPr>
          <w:rFonts w:ascii="Times New Roman" w:hAnsi="Times New Roman" w:cs="Times New Roman"/>
          <w:sz w:val="28"/>
          <w:szCs w:val="28"/>
        </w:rPr>
        <w:t xml:space="preserve">, страницах машинописного текста и состоит </w:t>
      </w:r>
    </w:p>
    <w:p w14:paraId="4D387FBA" w14:textId="5A6388F3" w:rsidR="001C45E4" w:rsidRPr="005E6F1B" w:rsidRDefault="001C45E4" w:rsidP="00803D47">
      <w:pPr>
        <w:shd w:val="clear" w:color="auto" w:fill="FFFFFF"/>
        <w:spacing w:after="0" w:line="240" w:lineRule="auto"/>
        <w:ind w:firstLine="567"/>
        <w:contextualSpacing/>
        <w:jc w:val="both"/>
        <w:rPr>
          <w:rFonts w:ascii="Times New Roman" w:hAnsi="Times New Roman" w:cs="Times New Roman"/>
          <w:sz w:val="28"/>
          <w:szCs w:val="28"/>
        </w:rPr>
      </w:pPr>
      <w:r w:rsidRPr="005E6F1B">
        <w:rPr>
          <w:rFonts w:ascii="Times New Roman" w:hAnsi="Times New Roman" w:cs="Times New Roman"/>
          <w:sz w:val="28"/>
          <w:szCs w:val="28"/>
        </w:rPr>
        <w:t xml:space="preserve">из введения, обзора литературы, материалов и методов, результатов собственного исследования, заключения, выводов и практических рекомендациях. Работа иллюстрирована </w:t>
      </w:r>
      <w:r w:rsidR="00A430BA" w:rsidRPr="005E6F1B">
        <w:rPr>
          <w:rFonts w:ascii="Times New Roman" w:hAnsi="Times New Roman" w:cs="Times New Roman"/>
          <w:sz w:val="28"/>
          <w:szCs w:val="28"/>
        </w:rPr>
        <w:t>8</w:t>
      </w:r>
      <w:r w:rsidRPr="005E6F1B">
        <w:rPr>
          <w:rFonts w:ascii="Times New Roman" w:hAnsi="Times New Roman" w:cs="Times New Roman"/>
          <w:sz w:val="28"/>
          <w:szCs w:val="28"/>
        </w:rPr>
        <w:t xml:space="preserve"> рисунками, 25 таблицами и </w:t>
      </w:r>
      <w:r w:rsidR="00533899">
        <w:rPr>
          <w:rFonts w:ascii="Times New Roman" w:hAnsi="Times New Roman" w:cs="Times New Roman"/>
          <w:sz w:val="28"/>
          <w:szCs w:val="28"/>
        </w:rPr>
        <w:t xml:space="preserve">4 </w:t>
      </w:r>
      <w:r w:rsidRPr="005E6F1B">
        <w:rPr>
          <w:rFonts w:ascii="Times New Roman" w:hAnsi="Times New Roman" w:cs="Times New Roman"/>
          <w:sz w:val="28"/>
          <w:szCs w:val="28"/>
        </w:rPr>
        <w:t>приложениями. Библиография включает 1</w:t>
      </w:r>
      <w:r w:rsidR="00A430BA" w:rsidRPr="005E6F1B">
        <w:rPr>
          <w:rFonts w:ascii="Times New Roman" w:hAnsi="Times New Roman" w:cs="Times New Roman"/>
          <w:sz w:val="28"/>
          <w:szCs w:val="28"/>
        </w:rPr>
        <w:t>74</w:t>
      </w:r>
      <w:r w:rsidRPr="005E6F1B">
        <w:rPr>
          <w:rFonts w:ascii="Times New Roman" w:hAnsi="Times New Roman" w:cs="Times New Roman"/>
          <w:sz w:val="28"/>
          <w:szCs w:val="28"/>
        </w:rPr>
        <w:t xml:space="preserve"> </w:t>
      </w:r>
      <w:r w:rsidR="00A8621C" w:rsidRPr="005E6F1B">
        <w:rPr>
          <w:rFonts w:ascii="Times New Roman" w:hAnsi="Times New Roman" w:cs="Times New Roman"/>
          <w:sz w:val="28"/>
          <w:szCs w:val="28"/>
        </w:rPr>
        <w:t>источника</w:t>
      </w:r>
      <w:r w:rsidRPr="005E6F1B">
        <w:rPr>
          <w:rFonts w:ascii="Times New Roman" w:hAnsi="Times New Roman" w:cs="Times New Roman"/>
          <w:sz w:val="28"/>
          <w:szCs w:val="28"/>
        </w:rPr>
        <w:t xml:space="preserve"> отечественных и зарубежных авторов.</w:t>
      </w:r>
    </w:p>
    <w:p w14:paraId="0B88F2AB" w14:textId="77777777" w:rsidR="001C45E4" w:rsidRPr="006B7D7F" w:rsidRDefault="001C45E4" w:rsidP="00533899">
      <w:pPr>
        <w:spacing w:after="0" w:line="240" w:lineRule="auto"/>
        <w:ind w:right="-284" w:firstLine="567"/>
        <w:contextualSpacing/>
        <w:jc w:val="both"/>
        <w:rPr>
          <w:rFonts w:ascii="Times New Roman" w:hAnsi="Times New Roman" w:cs="Times New Roman"/>
          <w:sz w:val="28"/>
          <w:szCs w:val="28"/>
        </w:rPr>
      </w:pPr>
    </w:p>
    <w:p w14:paraId="09D95573" w14:textId="77777777" w:rsidR="00612F35" w:rsidRPr="009F51FB" w:rsidRDefault="00612F35" w:rsidP="000F4E51">
      <w:pPr>
        <w:shd w:val="clear" w:color="auto" w:fill="FFFFFF"/>
        <w:tabs>
          <w:tab w:val="left" w:pos="1134"/>
        </w:tabs>
        <w:spacing w:after="0" w:line="240" w:lineRule="auto"/>
        <w:ind w:right="-284" w:firstLine="567"/>
        <w:rPr>
          <w:rFonts w:ascii="Times New Roman" w:eastAsia="Times New Roman" w:hAnsi="Times New Roman" w:cs="Times New Roman"/>
          <w:b/>
          <w:bCs/>
          <w:sz w:val="28"/>
          <w:szCs w:val="28"/>
          <w:lang w:eastAsia="ru-RU"/>
        </w:rPr>
      </w:pPr>
    </w:p>
    <w:p w14:paraId="4DB663DD" w14:textId="1763D757" w:rsidR="00AD0853" w:rsidRPr="008E7CF7" w:rsidRDefault="00E93906" w:rsidP="00E93906">
      <w:pPr>
        <w:pStyle w:val="a6"/>
        <w:numPr>
          <w:ilvl w:val="0"/>
          <w:numId w:val="27"/>
        </w:numPr>
        <w:ind w:left="0" w:firstLine="567"/>
        <w:jc w:val="center"/>
        <w:rPr>
          <w:sz w:val="28"/>
          <w:szCs w:val="28"/>
        </w:rPr>
      </w:pPr>
      <w:r>
        <w:rPr>
          <w:b/>
          <w:sz w:val="28"/>
          <w:szCs w:val="28"/>
        </w:rPr>
        <w:lastRenderedPageBreak/>
        <w:t xml:space="preserve"> </w:t>
      </w:r>
      <w:r w:rsidR="003F2989" w:rsidRPr="003F2989">
        <w:rPr>
          <w:b/>
          <w:sz w:val="28"/>
          <w:szCs w:val="28"/>
        </w:rPr>
        <w:t xml:space="preserve">СОВРЕМЕННЫЕ АСПЕКТЫ ОКАЗАНИЯ МЕДИЦИНСКОЙ ПОМОЩИ </w:t>
      </w:r>
      <w:r w:rsidR="008E7CF7" w:rsidRPr="009F51FB">
        <w:rPr>
          <w:b/>
          <w:sz w:val="28"/>
          <w:szCs w:val="28"/>
        </w:rPr>
        <w:t>БОЛЬНЫМ С ОСТРЫМИ НАРУШЕНИЯМИ МОЗГОВОГО КРОВООБРАЩЕНИЯ</w:t>
      </w:r>
      <w:r w:rsidR="008E7CF7" w:rsidRPr="003F2989">
        <w:rPr>
          <w:bCs/>
          <w:i/>
          <w:iCs/>
          <w:sz w:val="28"/>
          <w:szCs w:val="28"/>
        </w:rPr>
        <w:t xml:space="preserve"> </w:t>
      </w:r>
      <w:r w:rsidR="00AD0853" w:rsidRPr="003F2989">
        <w:rPr>
          <w:bCs/>
          <w:i/>
          <w:iCs/>
          <w:sz w:val="28"/>
          <w:szCs w:val="28"/>
        </w:rPr>
        <w:t>(Обзор литературы)</w:t>
      </w:r>
    </w:p>
    <w:p w14:paraId="5B613417" w14:textId="77777777" w:rsidR="008E7CF7" w:rsidRPr="003F2989" w:rsidRDefault="008E7CF7" w:rsidP="00803D47">
      <w:pPr>
        <w:pStyle w:val="a6"/>
        <w:ind w:left="0" w:firstLine="567"/>
        <w:jc w:val="both"/>
        <w:rPr>
          <w:sz w:val="28"/>
          <w:szCs w:val="28"/>
        </w:rPr>
      </w:pPr>
    </w:p>
    <w:p w14:paraId="6921FC9C" w14:textId="0DED9FFB" w:rsidR="00AD0853" w:rsidRPr="009F51FB" w:rsidRDefault="00AD0853" w:rsidP="00803D47">
      <w:pPr>
        <w:pStyle w:val="a6"/>
        <w:numPr>
          <w:ilvl w:val="1"/>
          <w:numId w:val="16"/>
        </w:numPr>
        <w:ind w:left="0" w:firstLine="567"/>
        <w:jc w:val="both"/>
        <w:rPr>
          <w:sz w:val="28"/>
          <w:szCs w:val="28"/>
        </w:rPr>
      </w:pPr>
      <w:r w:rsidRPr="009F51FB">
        <w:rPr>
          <w:b/>
          <w:sz w:val="28"/>
          <w:szCs w:val="28"/>
        </w:rPr>
        <w:t>Эпидемиологи</w:t>
      </w:r>
      <w:r w:rsidR="008E7CF7">
        <w:rPr>
          <w:b/>
          <w:sz w:val="28"/>
          <w:szCs w:val="28"/>
        </w:rPr>
        <w:t xml:space="preserve">я </w:t>
      </w:r>
      <w:r w:rsidRPr="009F51FB">
        <w:rPr>
          <w:b/>
          <w:sz w:val="28"/>
          <w:szCs w:val="28"/>
        </w:rPr>
        <w:t>острых нарушений мозгового кровообращения</w:t>
      </w:r>
    </w:p>
    <w:p w14:paraId="57E4D904" w14:textId="675FC41E" w:rsidR="00AD0853" w:rsidRPr="009F51FB" w:rsidRDefault="00AD0853" w:rsidP="00803D47">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 xml:space="preserve">По данным Всемирной организации здравоохранения (ВОЗ), cердечно-сосудистые заболевания (ССЗ) остаются ведущей причиной смерти в мире. В 2022 году они унесли жизни примерно 19,8 миллиона человек, что составляет 32% всех случаев смерти. На инфаркты и инсульты пришлось 85% этих летальных исходов. Более 75% смертей от ССЗ произошло в странах </w:t>
      </w:r>
      <w:r w:rsidR="008E7CF7" w:rsidRPr="009F51FB">
        <w:rPr>
          <w:rFonts w:ascii="Times New Roman" w:hAnsi="Times New Roman" w:cs="Times New Roman"/>
          <w:sz w:val="28"/>
          <w:szCs w:val="28"/>
        </w:rPr>
        <w:t>с</w:t>
      </w:r>
      <w:r w:rsidR="001D2290">
        <w:rPr>
          <w:rFonts w:ascii="Times New Roman" w:hAnsi="Times New Roman" w:cs="Times New Roman"/>
          <w:sz w:val="28"/>
          <w:szCs w:val="28"/>
        </w:rPr>
        <w:t xml:space="preserve"> низким и </w:t>
      </w:r>
      <w:r w:rsidR="008E7CF7" w:rsidRPr="009F51FB">
        <w:rPr>
          <w:rFonts w:ascii="Times New Roman" w:hAnsi="Times New Roman" w:cs="Times New Roman"/>
          <w:sz w:val="28"/>
          <w:szCs w:val="28"/>
        </w:rPr>
        <w:t>средним</w:t>
      </w:r>
      <w:r w:rsidRPr="009F51FB">
        <w:rPr>
          <w:rFonts w:ascii="Times New Roman" w:hAnsi="Times New Roman" w:cs="Times New Roman"/>
          <w:sz w:val="28"/>
          <w:szCs w:val="28"/>
        </w:rPr>
        <w:t xml:space="preserve"> уровнем дохода (СН</w:t>
      </w:r>
      <w:r w:rsidR="001D2290">
        <w:rPr>
          <w:rFonts w:ascii="Times New Roman" w:hAnsi="Times New Roman" w:cs="Times New Roman"/>
          <w:sz w:val="28"/>
          <w:szCs w:val="28"/>
        </w:rPr>
        <w:t>С</w:t>
      </w:r>
      <w:r w:rsidRPr="009F51FB">
        <w:rPr>
          <w:rFonts w:ascii="Times New Roman" w:hAnsi="Times New Roman" w:cs="Times New Roman"/>
          <w:sz w:val="28"/>
          <w:szCs w:val="28"/>
        </w:rPr>
        <w:t xml:space="preserve">Д). В 2021 году ССЗ стали причиной не менее 38% из 18 миллионов преждевременных смертей (в возрасте до 70 лет) от неинфекционных заболеваний. Инсульт является одним из наиболее тяжелых клинических проявлений ССЗ и развивается преимущественно вследствие закупорки или повреждения кровеносных сосудов. </w:t>
      </w:r>
      <w:r w:rsidR="00533899" w:rsidRPr="009F51FB">
        <w:rPr>
          <w:rFonts w:ascii="Times New Roman" w:hAnsi="Times New Roman" w:cs="Times New Roman"/>
          <w:sz w:val="28"/>
          <w:szCs w:val="28"/>
        </w:rPr>
        <w:t>Основные факторы риска — это</w:t>
      </w:r>
      <w:r w:rsidRPr="009F51FB">
        <w:rPr>
          <w:rFonts w:ascii="Times New Roman" w:hAnsi="Times New Roman" w:cs="Times New Roman"/>
          <w:sz w:val="28"/>
          <w:szCs w:val="28"/>
        </w:rPr>
        <w:t xml:space="preserve"> повышенное артериальное давление, нездоровое питание, курение, низкая физическая активность и другие модифицируемые поведенческие и экологические влияния</w:t>
      </w:r>
      <w:r w:rsidR="007B39CD" w:rsidRPr="007B39CD">
        <w:rPr>
          <w:rFonts w:ascii="Times New Roman" w:hAnsi="Times New Roman" w:cs="Times New Roman"/>
          <w:sz w:val="28"/>
          <w:szCs w:val="28"/>
        </w:rPr>
        <w:t xml:space="preserve"> [17]</w:t>
      </w:r>
      <w:r w:rsidRPr="009F51FB">
        <w:rPr>
          <w:rFonts w:ascii="Times New Roman" w:hAnsi="Times New Roman" w:cs="Times New Roman"/>
          <w:sz w:val="28"/>
          <w:szCs w:val="28"/>
        </w:rPr>
        <w:t xml:space="preserve">. </w:t>
      </w:r>
    </w:p>
    <w:p w14:paraId="01666153" w14:textId="6768AC3D" w:rsidR="00AD0853" w:rsidRPr="009F51FB" w:rsidRDefault="00AD0853" w:rsidP="00803D47">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Инсульт, ведущая причина смерти в мире, поражающая до каждого пятого человека в странах с высоким уровнем дохода и почти каждого второго в регионах с низким уровнем дохода. Его определение эволюционировало на протяжении столетий благодаря прогрессу в области медицинских технологий, методов диагностической визуализации и клиническом понимании. Однако достижение единого консенсуса по-прежнему представляет собой сложную задачу, особенно в связи с переходом от симптоматических критериев, к критериям, основанным на визуализации. Диагностические расхождения, в частности ограниченный доступ к магнитно-резонансной томографии (МРТ) в условиях с ограниченными ресурсами затрудняют мониторинг и классификацию инсультов. Это часто приводит к ошибочной диагностике или недооценке заболеваемости, особенно при использовании методов самоотчета и административных системах кодирования, таких как Международная классификация болезней (МКБ) -10, которые недостаточно учитывают бессимптомные инфаркты или кровоизлияния. Клинически инсульт проявляется внезапным неврологическим дефицитом, вызванным, главным образом, сосудистыми патологиями, такими как заболевание крупных артерий, кардиоэмболия или заболевание мелких сосудов, последняя также является основной причиной внутримозгового кровоизлияния</w:t>
      </w:r>
      <w:r w:rsidR="007B39CD" w:rsidRPr="007B39CD">
        <w:rPr>
          <w:rFonts w:ascii="Times New Roman" w:hAnsi="Times New Roman" w:cs="Times New Roman"/>
          <w:sz w:val="28"/>
          <w:szCs w:val="28"/>
        </w:rPr>
        <w:t xml:space="preserve"> [1,2]</w:t>
      </w:r>
      <w:r w:rsidRPr="009F51FB">
        <w:rPr>
          <w:rFonts w:ascii="Times New Roman" w:hAnsi="Times New Roman" w:cs="Times New Roman"/>
          <w:sz w:val="28"/>
          <w:szCs w:val="28"/>
        </w:rPr>
        <w:t>. Острый инсульт характеризуется внезапным возникновением очаговых неврологических нарушений в сосудистом бассейне, поражающем головной мозг, сетчатку или спинной мозг, вызванных сопутствующими цереброваскулярными заболеваниями. Инсульты подразделяются на ишемические и геморрагические, причём геморрагические инсульты подразделяются на внутримозговые и субарахноидальные кровоизлияния</w:t>
      </w:r>
      <w:r w:rsidR="007B39CD" w:rsidRPr="007B39CD">
        <w:rPr>
          <w:rFonts w:ascii="Times New Roman" w:hAnsi="Times New Roman" w:cs="Times New Roman"/>
          <w:sz w:val="28"/>
          <w:szCs w:val="28"/>
        </w:rPr>
        <w:t xml:space="preserve"> [18]</w:t>
      </w:r>
      <w:r w:rsidRPr="009F51FB">
        <w:rPr>
          <w:rFonts w:ascii="Times New Roman" w:hAnsi="Times New Roman" w:cs="Times New Roman"/>
          <w:sz w:val="28"/>
          <w:szCs w:val="28"/>
        </w:rPr>
        <w:t xml:space="preserve">. Около 85% инсультов являются ишемическими, в основном вследствие поражения мелких сосудов, </w:t>
      </w:r>
      <w:r w:rsidRPr="009F51FB">
        <w:rPr>
          <w:rFonts w:ascii="Times New Roman" w:hAnsi="Times New Roman" w:cs="Times New Roman"/>
          <w:sz w:val="28"/>
          <w:szCs w:val="28"/>
        </w:rPr>
        <w:lastRenderedPageBreak/>
        <w:t>кардиоэмболии или атеротромбоэмболии крупных артерий, а 15% — следствием внутримозгового кровоизлияния, часто связанного с гипертонией или церебральной амилоидной ангиопатией</w:t>
      </w:r>
      <w:r w:rsidR="002F111F" w:rsidRPr="002F111F">
        <w:rPr>
          <w:rFonts w:ascii="Times New Roman" w:hAnsi="Times New Roman" w:cs="Times New Roman"/>
          <w:sz w:val="28"/>
          <w:szCs w:val="28"/>
        </w:rPr>
        <w:t xml:space="preserve"> [3, 19-21]</w:t>
      </w:r>
      <w:r w:rsidRPr="009F51FB">
        <w:rPr>
          <w:rFonts w:ascii="Times New Roman" w:hAnsi="Times New Roman" w:cs="Times New Roman"/>
          <w:sz w:val="28"/>
          <w:szCs w:val="28"/>
        </w:rPr>
        <w:t>.</w:t>
      </w:r>
    </w:p>
    <w:p w14:paraId="4FB04BB9" w14:textId="77777777" w:rsidR="00AD0853" w:rsidRPr="009F51FB" w:rsidRDefault="00AD0853" w:rsidP="00803D47">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 xml:space="preserve">Согласно данным Всемирной организации по борьбе с инсультом и Комиссии по неврологии журнала «Lancet» в период с 1990 по 2021 год глобальное бремя инсульта существенно возросло. Число новых случаев увеличилось на 70%, а количество смертей на 44%. Общая смертность от инсульта достигла 7,25 миллиона человек в год. Несмотря на это, стандартизированные по возрасту показатели смертности значительно снизились начиная с 2010 года, что отражает определённые успехи в профилактике и лечении. К 2050 году ожидается рост смертей от инсульта на 50% до 9,7 миллиона человек в год. </w:t>
      </w:r>
    </w:p>
    <w:p w14:paraId="3955D63E" w14:textId="21E080BB" w:rsidR="00AD0853" w:rsidRPr="009F51FB" w:rsidRDefault="00AD0853" w:rsidP="00803D47">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До 89% всех смертей от инсульта и утраченных лет жизни с инвалидностью (DALY) приходятся на страны с СНСД. Основными факторами риска инсульта являются метаболические (69%), экологические (37%) и поведенческие (35%) причины</w:t>
      </w:r>
      <w:r w:rsidR="002F111F" w:rsidRPr="002F111F">
        <w:rPr>
          <w:rFonts w:ascii="Times New Roman" w:hAnsi="Times New Roman" w:cs="Times New Roman"/>
          <w:sz w:val="28"/>
          <w:szCs w:val="28"/>
        </w:rPr>
        <w:t xml:space="preserve"> [5]</w:t>
      </w:r>
      <w:r w:rsidRPr="009F51FB">
        <w:rPr>
          <w:rFonts w:ascii="Times New Roman" w:hAnsi="Times New Roman" w:cs="Times New Roman"/>
          <w:sz w:val="28"/>
          <w:szCs w:val="28"/>
        </w:rPr>
        <w:t>. Особенно уязвимыми регионами остаются страны Африки к югу от Сахары, а также отдельные регионы Азии, где фиксируются наиболее высокие показатели распространенности и смертности</w:t>
      </w:r>
      <w:r w:rsidR="002F111F" w:rsidRPr="002F111F">
        <w:rPr>
          <w:rFonts w:ascii="Times New Roman" w:hAnsi="Times New Roman" w:cs="Times New Roman"/>
          <w:sz w:val="28"/>
          <w:szCs w:val="28"/>
        </w:rPr>
        <w:t xml:space="preserve"> [22]</w:t>
      </w:r>
      <w:r w:rsidRPr="009F51FB">
        <w:rPr>
          <w:rFonts w:ascii="Times New Roman" w:hAnsi="Times New Roman" w:cs="Times New Roman"/>
          <w:sz w:val="28"/>
          <w:szCs w:val="28"/>
        </w:rPr>
        <w:t>.</w:t>
      </w:r>
    </w:p>
    <w:p w14:paraId="2D08EC41" w14:textId="7FFDBE6D" w:rsidR="00AD0853" w:rsidRPr="009F51FB" w:rsidRDefault="00AD0853" w:rsidP="00803D47">
      <w:pPr>
        <w:spacing w:after="0" w:line="240" w:lineRule="auto"/>
        <w:ind w:firstLine="567"/>
        <w:jc w:val="both"/>
        <w:rPr>
          <w:rFonts w:ascii="Times New Roman" w:hAnsi="Times New Roman" w:cs="Times New Roman"/>
          <w:color w:val="EE0000"/>
          <w:sz w:val="28"/>
          <w:szCs w:val="28"/>
        </w:rPr>
      </w:pPr>
      <w:r w:rsidRPr="009F51FB">
        <w:rPr>
          <w:rFonts w:ascii="Times New Roman" w:hAnsi="Times New Roman" w:cs="Times New Roman"/>
          <w:sz w:val="28"/>
          <w:szCs w:val="28"/>
        </w:rPr>
        <w:t>В 2021 году в Австралии было зарегистрировано около 40700 случаев инсульта, или в среднем 112 в день. Заболеваемость инсультом у мужчин была в 1,4 раза выше, чем у женщин, и существенно возрастала с увеличением возраста. При этом скорректированная по возрасту частота инсультов снизилась на 27% в период с 2001 по 2021 год, что указывает на прогресс в сфере профилактике и лечении</w:t>
      </w:r>
      <w:r w:rsidR="002F111F" w:rsidRPr="002F111F">
        <w:rPr>
          <w:rFonts w:ascii="Times New Roman" w:hAnsi="Times New Roman" w:cs="Times New Roman"/>
          <w:sz w:val="28"/>
          <w:szCs w:val="28"/>
        </w:rPr>
        <w:t xml:space="preserve"> [23]</w:t>
      </w:r>
      <w:r w:rsidRPr="009F51FB">
        <w:rPr>
          <w:rFonts w:ascii="Times New Roman" w:hAnsi="Times New Roman" w:cs="Times New Roman"/>
          <w:sz w:val="28"/>
          <w:szCs w:val="28"/>
        </w:rPr>
        <w:t xml:space="preserve">. В США инсульт остается одной из основных причин смертности и инвалидности. В 2022 году он стал причиной 17,5% всех смертей от ССЗ. Ежегодно инсульт переносят более 795000 человек, из которых 87% составляют ишемические инсульты. Расходы, связанные с инсультом, в период с 2019 по 2020 год достигли почти 56,2 млрд долларов. Инсульт остаётся главной причиной тяжелой долгосрочной инвалидности, более половины людей в возрасте 65 лет и старше, перенесших инсульт, имеют значительные ограничения подвижности </w:t>
      </w:r>
      <w:r w:rsidR="002F111F" w:rsidRPr="002F111F">
        <w:rPr>
          <w:rFonts w:ascii="Times New Roman" w:hAnsi="Times New Roman" w:cs="Times New Roman"/>
          <w:sz w:val="28"/>
          <w:szCs w:val="28"/>
        </w:rPr>
        <w:t>[24-26]</w:t>
      </w:r>
      <w:r w:rsidRPr="009F51FB">
        <w:rPr>
          <w:rFonts w:ascii="Times New Roman" w:hAnsi="Times New Roman" w:cs="Times New Roman"/>
          <w:sz w:val="28"/>
          <w:szCs w:val="28"/>
        </w:rPr>
        <w:t xml:space="preserve">. Из общего числа инсультов в США примерно </w:t>
      </w:r>
      <w:r w:rsidR="002F111F" w:rsidRPr="009F51FB">
        <w:rPr>
          <w:rFonts w:ascii="Times New Roman" w:hAnsi="Times New Roman" w:cs="Times New Roman"/>
          <w:sz w:val="28"/>
          <w:szCs w:val="28"/>
        </w:rPr>
        <w:t>610000 — это</w:t>
      </w:r>
      <w:r w:rsidRPr="009F51FB">
        <w:rPr>
          <w:rFonts w:ascii="Times New Roman" w:hAnsi="Times New Roman" w:cs="Times New Roman"/>
          <w:sz w:val="28"/>
          <w:szCs w:val="28"/>
        </w:rPr>
        <w:t xml:space="preserve"> первичные случаи, а около 185000 — повторные. Распределение по типам инсульта 87% составляют ишемические, 10% внутримозговые кровоизлияния (ВМК) и 3% субарахноидальные кровоизлияния (САК). В 2021 году около 94 миллиона человек во всем мире имели в анамнезе перенесенный инсульт. При этом глобальная распространённость ишемического инсульта продолжает расти, в то время как ВМК и САК демонстрирует снижение. Высокое артериальное давление остается одним из главных факторов риска инсульта.</w:t>
      </w:r>
    </w:p>
    <w:p w14:paraId="4A5C4A63" w14:textId="02FF5529" w:rsidR="00AD0853" w:rsidRPr="009F51FB" w:rsidRDefault="00AD0853" w:rsidP="00803D47">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 xml:space="preserve">Инсульт среди лиц моложе 55 лет составляет примерно от 10% до 20% всех инсультов. В последние десятилетия зафиксирован рост заболеваемости в этой возрастной группе. Например, согласно Greater Cincinnati/Northern Kentucky (GCNKSS), частота инсульта среди лиц в возрасте 20–54 лет выросла с 12,9% в 1993–1994 годах до 18,6% в 2005 году. Аналогичным образом, согласно Дижонскому реестру инсультов, заболеваемость инсультом среди лиц 18–45 лет </w:t>
      </w:r>
      <w:r w:rsidRPr="009F51FB">
        <w:rPr>
          <w:rFonts w:ascii="Times New Roman" w:hAnsi="Times New Roman" w:cs="Times New Roman"/>
          <w:sz w:val="28"/>
          <w:szCs w:val="28"/>
        </w:rPr>
        <w:lastRenderedPageBreak/>
        <w:t>удвоилась после 2003 года (с 5,4 до 12,8 на 100 000 человеко-лет)</w:t>
      </w:r>
      <w:r w:rsidR="002F111F" w:rsidRPr="002F111F">
        <w:rPr>
          <w:rFonts w:ascii="Times New Roman" w:hAnsi="Times New Roman" w:cs="Times New Roman"/>
          <w:sz w:val="28"/>
          <w:szCs w:val="28"/>
        </w:rPr>
        <w:t xml:space="preserve"> [27]</w:t>
      </w:r>
      <w:r w:rsidRPr="009F51FB">
        <w:rPr>
          <w:rFonts w:ascii="Times New Roman" w:hAnsi="Times New Roman" w:cs="Times New Roman"/>
          <w:sz w:val="28"/>
          <w:szCs w:val="28"/>
        </w:rPr>
        <w:t xml:space="preserve">. В странах с СНСД </w:t>
      </w:r>
      <w:r w:rsidR="00E825C2">
        <w:rPr>
          <w:rFonts w:ascii="Times New Roman" w:hAnsi="Times New Roman" w:cs="Times New Roman"/>
          <w:sz w:val="28"/>
          <w:szCs w:val="28"/>
        </w:rPr>
        <w:t>больные</w:t>
      </w:r>
      <w:r w:rsidRPr="009F51FB">
        <w:rPr>
          <w:rFonts w:ascii="Times New Roman" w:hAnsi="Times New Roman" w:cs="Times New Roman"/>
          <w:sz w:val="28"/>
          <w:szCs w:val="28"/>
        </w:rPr>
        <w:t xml:space="preserve"> с инсультом, как правило, моложе, имеют меньше классических сосудистых факторов риска, но демонстрируют более высокую 3-месячную смертность</w:t>
      </w:r>
      <w:r w:rsidR="002F111F" w:rsidRPr="00317136">
        <w:rPr>
          <w:rFonts w:ascii="Times New Roman" w:hAnsi="Times New Roman" w:cs="Times New Roman"/>
          <w:sz w:val="28"/>
          <w:szCs w:val="28"/>
        </w:rPr>
        <w:t xml:space="preserve"> [28]</w:t>
      </w:r>
      <w:r w:rsidRPr="009F51FB">
        <w:rPr>
          <w:rFonts w:ascii="Times New Roman" w:hAnsi="Times New Roman" w:cs="Times New Roman"/>
          <w:sz w:val="28"/>
          <w:szCs w:val="28"/>
        </w:rPr>
        <w:t>. Комплексные системы классификации снижают долю криптогенных инсультов за счет выявления дополнительных факторов риска.</w:t>
      </w:r>
    </w:p>
    <w:p w14:paraId="519E8A76" w14:textId="2B000835" w:rsidR="00AD0853" w:rsidRPr="009F51FB" w:rsidRDefault="00AD0853" w:rsidP="00803D47">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 xml:space="preserve">Долгосрочные наблюдения показывают, что у молодых </w:t>
      </w:r>
      <w:r w:rsidR="00E825C2">
        <w:rPr>
          <w:rFonts w:ascii="Times New Roman" w:hAnsi="Times New Roman" w:cs="Times New Roman"/>
          <w:sz w:val="28"/>
          <w:szCs w:val="28"/>
        </w:rPr>
        <w:t>больных</w:t>
      </w:r>
      <w:r w:rsidRPr="009F51FB">
        <w:rPr>
          <w:rFonts w:ascii="Times New Roman" w:hAnsi="Times New Roman" w:cs="Times New Roman"/>
          <w:sz w:val="28"/>
          <w:szCs w:val="28"/>
        </w:rPr>
        <w:t xml:space="preserve">, перенесших инсульт, уровень смертности в течение 15 лет остается в 5,1 раза выше, чем в общей популяции. Кроме того, они чаще сталкиваются с социальными последствиями, такими как безработица, и снижение функциональных показателей, особенно среди женщин и </w:t>
      </w:r>
      <w:r w:rsidR="00E825C2">
        <w:rPr>
          <w:rFonts w:ascii="Times New Roman" w:hAnsi="Times New Roman" w:cs="Times New Roman"/>
          <w:sz w:val="28"/>
          <w:szCs w:val="28"/>
        </w:rPr>
        <w:t>больных</w:t>
      </w:r>
      <w:r w:rsidRPr="009F51FB">
        <w:rPr>
          <w:rFonts w:ascii="Times New Roman" w:hAnsi="Times New Roman" w:cs="Times New Roman"/>
          <w:sz w:val="28"/>
          <w:szCs w:val="28"/>
        </w:rPr>
        <w:t xml:space="preserve"> с высокой начальной тяжестью инсульта</w:t>
      </w:r>
      <w:r w:rsidR="002F111F" w:rsidRPr="002F111F">
        <w:rPr>
          <w:rFonts w:ascii="Times New Roman" w:hAnsi="Times New Roman" w:cs="Times New Roman"/>
          <w:sz w:val="28"/>
          <w:szCs w:val="28"/>
        </w:rPr>
        <w:t xml:space="preserve"> [9]</w:t>
      </w:r>
      <w:r w:rsidRPr="009F51FB">
        <w:rPr>
          <w:rFonts w:ascii="Times New Roman" w:hAnsi="Times New Roman" w:cs="Times New Roman"/>
          <w:sz w:val="28"/>
          <w:szCs w:val="28"/>
        </w:rPr>
        <w:t>. Также частота рецидивов эмболического инсульта неустановленного источника остается значительной, составляя около 2 ишемических инсультов на 100 пациенто-лет</w:t>
      </w:r>
      <w:r w:rsidR="002F111F" w:rsidRPr="002F111F">
        <w:rPr>
          <w:rFonts w:ascii="Times New Roman" w:hAnsi="Times New Roman" w:cs="Times New Roman"/>
          <w:sz w:val="28"/>
          <w:szCs w:val="28"/>
        </w:rPr>
        <w:t xml:space="preserve"> [29]</w:t>
      </w:r>
      <w:r w:rsidR="00803D47">
        <w:rPr>
          <w:rFonts w:ascii="Times New Roman" w:hAnsi="Times New Roman" w:cs="Times New Roman"/>
          <w:sz w:val="28"/>
          <w:szCs w:val="28"/>
        </w:rPr>
        <w:t>. В масштабном исследовании</w:t>
      </w:r>
      <w:r w:rsidRPr="009F51FB">
        <w:rPr>
          <w:rFonts w:ascii="Times New Roman" w:hAnsi="Times New Roman" w:cs="Times New Roman"/>
          <w:sz w:val="28"/>
          <w:szCs w:val="28"/>
        </w:rPr>
        <w:t xml:space="preserve">, охватившем два миллиона взрослых, выписанных из отделения неотложной помощи с первичным диагнозом «головная боль», у 0,5% </w:t>
      </w:r>
      <w:r w:rsidR="00E825C2">
        <w:rPr>
          <w:rFonts w:ascii="Times New Roman" w:hAnsi="Times New Roman" w:cs="Times New Roman"/>
          <w:sz w:val="28"/>
          <w:szCs w:val="28"/>
        </w:rPr>
        <w:t>больных</w:t>
      </w:r>
      <w:r w:rsidRPr="009F51FB">
        <w:rPr>
          <w:rFonts w:ascii="Times New Roman" w:hAnsi="Times New Roman" w:cs="Times New Roman"/>
          <w:sz w:val="28"/>
          <w:szCs w:val="28"/>
        </w:rPr>
        <w:t xml:space="preserve"> были диагностированы серьезные неврологические заболевания, включая инфаркт мозга (18%) и транзиторную ишемическую атаку (12%) [</w:t>
      </w:r>
      <w:r w:rsidR="002F111F" w:rsidRPr="002F111F">
        <w:rPr>
          <w:rFonts w:ascii="Times New Roman" w:hAnsi="Times New Roman" w:cs="Times New Roman"/>
          <w:sz w:val="28"/>
          <w:szCs w:val="28"/>
        </w:rPr>
        <w:t>30</w:t>
      </w:r>
      <w:r w:rsidRPr="009F51FB">
        <w:rPr>
          <w:rFonts w:ascii="Times New Roman" w:hAnsi="Times New Roman" w:cs="Times New Roman"/>
          <w:sz w:val="28"/>
          <w:szCs w:val="28"/>
        </w:rPr>
        <w:t xml:space="preserve">]. Вторичные осложнения, возникающие после ВМК, существенно ухудшают прогноз и могут приводить к ранней смертности. По данным анализа 10029 </w:t>
      </w:r>
      <w:r w:rsidR="00E825C2">
        <w:rPr>
          <w:rFonts w:ascii="Times New Roman" w:hAnsi="Times New Roman" w:cs="Times New Roman"/>
          <w:sz w:val="28"/>
          <w:szCs w:val="28"/>
        </w:rPr>
        <w:t>больных</w:t>
      </w:r>
      <w:r w:rsidRPr="009F51FB">
        <w:rPr>
          <w:rFonts w:ascii="Times New Roman" w:hAnsi="Times New Roman" w:cs="Times New Roman"/>
          <w:sz w:val="28"/>
          <w:szCs w:val="28"/>
        </w:rPr>
        <w:t xml:space="preserve"> со спонтанным ВМК, кумулятивная частота вторичных осложнений составил 39,9%, среди которых наиболее частыми были пневмония (15,1%), отёк мозга (6,5%), сердечная недостаточность (5,9%), урогенитальная инфекция (5,5%), гидроцефалия (4,6%), эпилепсия (3,4%) и повторное кровоизлияние (3,4%)</w:t>
      </w:r>
      <w:r w:rsidR="002F111F" w:rsidRPr="002F111F">
        <w:rPr>
          <w:rFonts w:ascii="Times New Roman" w:hAnsi="Times New Roman" w:cs="Times New Roman"/>
          <w:sz w:val="28"/>
          <w:szCs w:val="28"/>
        </w:rPr>
        <w:t xml:space="preserve"> [8]</w:t>
      </w:r>
      <w:r w:rsidRPr="009F51FB">
        <w:rPr>
          <w:rFonts w:ascii="Times New Roman" w:hAnsi="Times New Roman" w:cs="Times New Roman"/>
          <w:sz w:val="28"/>
          <w:szCs w:val="28"/>
        </w:rPr>
        <w:t>.</w:t>
      </w:r>
    </w:p>
    <w:p w14:paraId="4A32AA2E" w14:textId="6254DF74" w:rsidR="00AD0853" w:rsidRPr="009F51FB" w:rsidRDefault="00AD0853" w:rsidP="00803D47">
      <w:pPr>
        <w:spacing w:after="0" w:line="240" w:lineRule="auto"/>
        <w:ind w:firstLine="567"/>
        <w:jc w:val="both"/>
        <w:rPr>
          <w:rFonts w:ascii="Times New Roman" w:hAnsi="Times New Roman" w:cs="Times New Roman"/>
          <w:color w:val="EE0000"/>
          <w:sz w:val="28"/>
          <w:szCs w:val="28"/>
        </w:rPr>
      </w:pPr>
      <w:r w:rsidRPr="009F51FB">
        <w:rPr>
          <w:rFonts w:ascii="Times New Roman" w:hAnsi="Times New Roman" w:cs="Times New Roman"/>
          <w:sz w:val="28"/>
          <w:szCs w:val="28"/>
        </w:rPr>
        <w:t>Глобальные расходы, связанные с инсультом, превышают 890 млрд долларов США в год, что составляет 0,66% мирового валового внутреннего продукта (ВВП) в год. По прогнозам, к 2050 году эти расходы практически удвоятся</w:t>
      </w:r>
      <w:r w:rsidR="002F111F" w:rsidRPr="002F111F">
        <w:rPr>
          <w:rFonts w:ascii="Times New Roman" w:hAnsi="Times New Roman" w:cs="Times New Roman"/>
          <w:sz w:val="28"/>
          <w:szCs w:val="28"/>
        </w:rPr>
        <w:t xml:space="preserve"> [5]</w:t>
      </w:r>
      <w:r w:rsidRPr="009F51FB">
        <w:rPr>
          <w:rFonts w:ascii="Times New Roman" w:hAnsi="Times New Roman" w:cs="Times New Roman"/>
          <w:sz w:val="28"/>
          <w:szCs w:val="28"/>
        </w:rPr>
        <w:t xml:space="preserve">. В другом исследований прогнозируется рост расходов связанные с инсультом к 2035 году до 94,3 миллиарда долларов, в основном за счет </w:t>
      </w:r>
      <w:r w:rsidR="00E825C2">
        <w:rPr>
          <w:rFonts w:ascii="Times New Roman" w:hAnsi="Times New Roman" w:cs="Times New Roman"/>
          <w:sz w:val="28"/>
          <w:szCs w:val="28"/>
        </w:rPr>
        <w:t>больных</w:t>
      </w:r>
      <w:r w:rsidRPr="009F51FB">
        <w:rPr>
          <w:rFonts w:ascii="Times New Roman" w:hAnsi="Times New Roman" w:cs="Times New Roman"/>
          <w:sz w:val="28"/>
          <w:szCs w:val="28"/>
        </w:rPr>
        <w:t xml:space="preserve"> в возрасте 80 лет и старше, с учетом различий между расовыми группами</w:t>
      </w:r>
      <w:r w:rsidR="002F111F" w:rsidRPr="002F111F">
        <w:rPr>
          <w:rFonts w:ascii="Times New Roman" w:hAnsi="Times New Roman" w:cs="Times New Roman"/>
          <w:sz w:val="28"/>
          <w:szCs w:val="28"/>
        </w:rPr>
        <w:t xml:space="preserve"> [10]</w:t>
      </w:r>
      <w:r w:rsidRPr="009F51FB">
        <w:rPr>
          <w:rFonts w:ascii="Times New Roman" w:hAnsi="Times New Roman" w:cs="Times New Roman"/>
          <w:sz w:val="28"/>
          <w:szCs w:val="28"/>
        </w:rPr>
        <w:t>.</w:t>
      </w:r>
    </w:p>
    <w:p w14:paraId="14B79456" w14:textId="77777777" w:rsidR="00AD0853" w:rsidRPr="009F51FB" w:rsidRDefault="00AD0853" w:rsidP="00803D47">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 xml:space="preserve"> В таблице 1 показано, что экономические последствия инсульта существенно различаются в зависимости от страны и зависят от состояния здравоохранения и тяжести инсульта.</w:t>
      </w:r>
    </w:p>
    <w:p w14:paraId="61C250C0" w14:textId="77777777" w:rsidR="00AD0853" w:rsidRPr="009F51FB" w:rsidRDefault="00AD0853" w:rsidP="000F4E51">
      <w:pPr>
        <w:spacing w:after="0" w:line="240" w:lineRule="auto"/>
        <w:ind w:right="-284" w:firstLine="567"/>
        <w:jc w:val="both"/>
        <w:rPr>
          <w:rFonts w:ascii="Times New Roman" w:hAnsi="Times New Roman" w:cs="Times New Roman"/>
          <w:sz w:val="28"/>
          <w:szCs w:val="28"/>
        </w:rPr>
      </w:pPr>
    </w:p>
    <w:p w14:paraId="76A0C7B7" w14:textId="2DEBF8C0" w:rsidR="00AD0853" w:rsidRDefault="004F3DDF" w:rsidP="005338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Таблица 1 - </w:t>
      </w:r>
      <w:r w:rsidR="00AD0853" w:rsidRPr="009F51FB">
        <w:rPr>
          <w:rFonts w:ascii="Times New Roman" w:hAnsi="Times New Roman" w:cs="Times New Roman"/>
          <w:sz w:val="28"/>
          <w:szCs w:val="28"/>
        </w:rPr>
        <w:t>Глобальное экономическое бремя инсульта: сравнение затрат по странам</w:t>
      </w:r>
    </w:p>
    <w:p w14:paraId="50B299C4" w14:textId="77777777" w:rsidR="004F3DDF" w:rsidRPr="009F51FB" w:rsidRDefault="004F3DDF" w:rsidP="00533899">
      <w:pPr>
        <w:spacing w:after="0" w:line="240" w:lineRule="auto"/>
        <w:ind w:firstLine="567"/>
        <w:jc w:val="both"/>
        <w:rPr>
          <w:rFonts w:ascii="Times New Roman" w:hAnsi="Times New Roman" w:cs="Times New Roman"/>
          <w:sz w:val="28"/>
          <w:szCs w:val="28"/>
        </w:rPr>
      </w:pPr>
    </w:p>
    <w:tbl>
      <w:tblPr>
        <w:tblStyle w:val="ae"/>
        <w:tblW w:w="9426" w:type="dxa"/>
        <w:tblInd w:w="137" w:type="dxa"/>
        <w:tblLook w:val="04A0" w:firstRow="1" w:lastRow="0" w:firstColumn="1" w:lastColumn="0" w:noHBand="0" w:noVBand="1"/>
      </w:tblPr>
      <w:tblGrid>
        <w:gridCol w:w="1555"/>
        <w:gridCol w:w="2556"/>
        <w:gridCol w:w="1946"/>
        <w:gridCol w:w="3369"/>
      </w:tblGrid>
      <w:tr w:rsidR="00AD0853" w:rsidRPr="001D2290" w14:paraId="71538FAB" w14:textId="77777777" w:rsidTr="001D2290">
        <w:tc>
          <w:tcPr>
            <w:tcW w:w="1555" w:type="dxa"/>
          </w:tcPr>
          <w:p w14:paraId="111A9BE3"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Страна</w:t>
            </w:r>
          </w:p>
        </w:tc>
        <w:tc>
          <w:tcPr>
            <w:tcW w:w="2556" w:type="dxa"/>
          </w:tcPr>
          <w:p w14:paraId="44DB163A"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Единица измерения</w:t>
            </w:r>
          </w:p>
        </w:tc>
        <w:tc>
          <w:tcPr>
            <w:tcW w:w="1946" w:type="dxa"/>
          </w:tcPr>
          <w:p w14:paraId="23F082D8"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Стоимость (в долларах США)</w:t>
            </w:r>
          </w:p>
        </w:tc>
        <w:tc>
          <w:tcPr>
            <w:tcW w:w="3369" w:type="dxa"/>
          </w:tcPr>
          <w:p w14:paraId="5CD84ECA"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Примечания</w:t>
            </w:r>
          </w:p>
        </w:tc>
      </w:tr>
      <w:tr w:rsidR="00AD0853" w:rsidRPr="001D2290" w14:paraId="0FC1E8F4" w14:textId="77777777" w:rsidTr="001D2290">
        <w:tc>
          <w:tcPr>
            <w:tcW w:w="1555" w:type="dxa"/>
          </w:tcPr>
          <w:p w14:paraId="2DBB8FBA"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США</w:t>
            </w:r>
          </w:p>
        </w:tc>
        <w:tc>
          <w:tcPr>
            <w:tcW w:w="2556" w:type="dxa"/>
          </w:tcPr>
          <w:p w14:paraId="0F85AF1C"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 xml:space="preserve">Средняя стоимость на пациента в год </w:t>
            </w:r>
          </w:p>
        </w:tc>
        <w:tc>
          <w:tcPr>
            <w:tcW w:w="1946" w:type="dxa"/>
          </w:tcPr>
          <w:p w14:paraId="169B852A"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59000</w:t>
            </w:r>
          </w:p>
        </w:tc>
        <w:tc>
          <w:tcPr>
            <w:tcW w:w="3369" w:type="dxa"/>
          </w:tcPr>
          <w:p w14:paraId="67505461"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Самая высокая стоимость; снижение выплат Medicare за процедуры.</w:t>
            </w:r>
          </w:p>
        </w:tc>
      </w:tr>
      <w:tr w:rsidR="00AD0853" w:rsidRPr="001D2290" w14:paraId="0F28FB0E" w14:textId="77777777" w:rsidTr="001D2290">
        <w:tc>
          <w:tcPr>
            <w:tcW w:w="1555" w:type="dxa"/>
          </w:tcPr>
          <w:p w14:paraId="1D1298B5"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Китай</w:t>
            </w:r>
          </w:p>
        </w:tc>
        <w:tc>
          <w:tcPr>
            <w:tcW w:w="2556" w:type="dxa"/>
          </w:tcPr>
          <w:p w14:paraId="6D7916D7"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Общая экономическая нагрузка</w:t>
            </w:r>
          </w:p>
        </w:tc>
        <w:tc>
          <w:tcPr>
            <w:tcW w:w="1946" w:type="dxa"/>
          </w:tcPr>
          <w:p w14:paraId="596E340F"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$225,1 млрд (ППС)</w:t>
            </w:r>
          </w:p>
        </w:tc>
        <w:tc>
          <w:tcPr>
            <w:tcW w:w="3369" w:type="dxa"/>
          </w:tcPr>
          <w:p w14:paraId="73D00A53"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Прямые расходы – $58,6 млрд; косвенные – $166,5 млрд; 5,5% лечебных расходов.</w:t>
            </w:r>
          </w:p>
        </w:tc>
      </w:tr>
      <w:tr w:rsidR="00AD0853" w:rsidRPr="001D2290" w14:paraId="307B7F59" w14:textId="77777777" w:rsidTr="001D2290">
        <w:tc>
          <w:tcPr>
            <w:tcW w:w="1555" w:type="dxa"/>
          </w:tcPr>
          <w:p w14:paraId="323406F4"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lastRenderedPageBreak/>
              <w:t>Малайзия</w:t>
            </w:r>
          </w:p>
        </w:tc>
        <w:tc>
          <w:tcPr>
            <w:tcW w:w="2556" w:type="dxa"/>
          </w:tcPr>
          <w:p w14:paraId="10FB8154"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Средняя стоимость госпитализации</w:t>
            </w:r>
          </w:p>
        </w:tc>
        <w:tc>
          <w:tcPr>
            <w:tcW w:w="1946" w:type="dxa"/>
          </w:tcPr>
          <w:p w14:paraId="1B9D4052"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450 долларов США</w:t>
            </w:r>
          </w:p>
        </w:tc>
        <w:tc>
          <w:tcPr>
            <w:tcW w:w="3369" w:type="dxa"/>
          </w:tcPr>
          <w:p w14:paraId="7AB9443B"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зависит от продолжительности пребывания, типа инсульта и функционального статуса.</w:t>
            </w:r>
          </w:p>
        </w:tc>
      </w:tr>
      <w:tr w:rsidR="00AD0853" w:rsidRPr="001D2290" w14:paraId="6B2FE99E" w14:textId="77777777" w:rsidTr="001D2290">
        <w:tc>
          <w:tcPr>
            <w:tcW w:w="1555" w:type="dxa"/>
          </w:tcPr>
          <w:p w14:paraId="0CD1532D"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Сингапур</w:t>
            </w:r>
          </w:p>
        </w:tc>
        <w:tc>
          <w:tcPr>
            <w:tcW w:w="2556" w:type="dxa"/>
          </w:tcPr>
          <w:p w14:paraId="557090A8"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 xml:space="preserve">Средняя годовая прямая медицинская стоимость </w:t>
            </w:r>
          </w:p>
        </w:tc>
        <w:tc>
          <w:tcPr>
            <w:tcW w:w="1946" w:type="dxa"/>
          </w:tcPr>
          <w:p w14:paraId="5A6A566B"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9000 долларов США</w:t>
            </w:r>
          </w:p>
        </w:tc>
        <w:tc>
          <w:tcPr>
            <w:tcW w:w="3369" w:type="dxa"/>
          </w:tcPr>
          <w:p w14:paraId="3C823B76"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3,6% приходится на стационар; влияет тип инсульта и осложнения.</w:t>
            </w:r>
          </w:p>
        </w:tc>
      </w:tr>
      <w:tr w:rsidR="00AD0853" w:rsidRPr="001D2290" w14:paraId="0032B192" w14:textId="77777777" w:rsidTr="001D2290">
        <w:tc>
          <w:tcPr>
            <w:tcW w:w="1555" w:type="dxa"/>
          </w:tcPr>
          <w:p w14:paraId="282244BE"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Нигерия</w:t>
            </w:r>
          </w:p>
        </w:tc>
        <w:tc>
          <w:tcPr>
            <w:tcW w:w="2556" w:type="dxa"/>
          </w:tcPr>
          <w:p w14:paraId="45B3E7B1"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Средняя стоимость прямой медицинской помощи</w:t>
            </w:r>
          </w:p>
        </w:tc>
        <w:tc>
          <w:tcPr>
            <w:tcW w:w="1946" w:type="dxa"/>
          </w:tcPr>
          <w:p w14:paraId="21CC53C2"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8424 доллара США</w:t>
            </w:r>
          </w:p>
        </w:tc>
        <w:tc>
          <w:tcPr>
            <w:tcW w:w="3369" w:type="dxa"/>
          </w:tcPr>
          <w:p w14:paraId="36B606E1"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Одна из самых высоких в странах СНСД; зависит от тяжести</w:t>
            </w:r>
          </w:p>
        </w:tc>
      </w:tr>
      <w:tr w:rsidR="00AD0853" w:rsidRPr="001D2290" w14:paraId="6DBC8C85" w14:textId="77777777" w:rsidTr="001D2290">
        <w:tc>
          <w:tcPr>
            <w:tcW w:w="1555" w:type="dxa"/>
          </w:tcPr>
          <w:p w14:paraId="33D2DA9F"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Сенегал</w:t>
            </w:r>
          </w:p>
        </w:tc>
        <w:tc>
          <w:tcPr>
            <w:tcW w:w="2556" w:type="dxa"/>
          </w:tcPr>
          <w:p w14:paraId="3B19E286"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Средняя прямая медицинская стоимость</w:t>
            </w:r>
          </w:p>
        </w:tc>
        <w:tc>
          <w:tcPr>
            <w:tcW w:w="1946" w:type="dxa"/>
          </w:tcPr>
          <w:p w14:paraId="6B1411F5"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416 долларов США</w:t>
            </w:r>
          </w:p>
        </w:tc>
        <w:tc>
          <w:tcPr>
            <w:tcW w:w="3369" w:type="dxa"/>
          </w:tcPr>
          <w:p w14:paraId="7C01D7B1"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Самая низкая зафиксированная стоимость среди СНС</w:t>
            </w:r>
          </w:p>
        </w:tc>
      </w:tr>
      <w:tr w:rsidR="00AD0853" w:rsidRPr="001D2290" w14:paraId="4AA09917" w14:textId="77777777" w:rsidTr="001D2290">
        <w:tc>
          <w:tcPr>
            <w:tcW w:w="1555" w:type="dxa"/>
          </w:tcPr>
          <w:p w14:paraId="7567C7D2"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Австралия</w:t>
            </w:r>
          </w:p>
        </w:tc>
        <w:tc>
          <w:tcPr>
            <w:tcW w:w="2556" w:type="dxa"/>
          </w:tcPr>
          <w:p w14:paraId="2969A6B8" w14:textId="5B42088C"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 xml:space="preserve">Пожизненная стоимость на </w:t>
            </w:r>
            <w:r w:rsidR="00E825C2">
              <w:rPr>
                <w:rFonts w:ascii="Times New Roman" w:hAnsi="Times New Roman" w:cs="Times New Roman"/>
                <w:sz w:val="24"/>
                <w:szCs w:val="24"/>
              </w:rPr>
              <w:t>одного больного</w:t>
            </w:r>
          </w:p>
        </w:tc>
        <w:tc>
          <w:tcPr>
            <w:tcW w:w="1946" w:type="dxa"/>
          </w:tcPr>
          <w:p w14:paraId="552DBC2E"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$232,100</w:t>
            </w:r>
          </w:p>
        </w:tc>
        <w:tc>
          <w:tcPr>
            <w:tcW w:w="3369" w:type="dxa"/>
          </w:tcPr>
          <w:p w14:paraId="56991AA9"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Самая высокая пожизненная стоимость</w:t>
            </w:r>
          </w:p>
        </w:tc>
      </w:tr>
      <w:tr w:rsidR="00AD0853" w:rsidRPr="001D2290" w14:paraId="2F06013A" w14:textId="77777777" w:rsidTr="001D2290">
        <w:tc>
          <w:tcPr>
            <w:tcW w:w="1555" w:type="dxa"/>
          </w:tcPr>
          <w:p w14:paraId="0E1DDD14"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Швеция</w:t>
            </w:r>
          </w:p>
        </w:tc>
        <w:tc>
          <w:tcPr>
            <w:tcW w:w="2556" w:type="dxa"/>
          </w:tcPr>
          <w:p w14:paraId="2AB6F3F3" w14:textId="5C45971A"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 xml:space="preserve">Средняя стоимость лечения </w:t>
            </w:r>
            <w:r w:rsidR="00E825C2" w:rsidRPr="001D2290">
              <w:rPr>
                <w:rFonts w:ascii="Times New Roman" w:hAnsi="Times New Roman" w:cs="Times New Roman"/>
                <w:sz w:val="24"/>
                <w:szCs w:val="24"/>
              </w:rPr>
              <w:t xml:space="preserve">на </w:t>
            </w:r>
            <w:r w:rsidR="00E825C2">
              <w:rPr>
                <w:rFonts w:ascii="Times New Roman" w:hAnsi="Times New Roman" w:cs="Times New Roman"/>
                <w:sz w:val="24"/>
                <w:szCs w:val="24"/>
              </w:rPr>
              <w:t>одного больного</w:t>
            </w:r>
            <w:r w:rsidRPr="001D2290">
              <w:rPr>
                <w:rFonts w:ascii="Times New Roman" w:hAnsi="Times New Roman" w:cs="Times New Roman"/>
                <w:sz w:val="24"/>
                <w:szCs w:val="24"/>
              </w:rPr>
              <w:t xml:space="preserve"> в год</w:t>
            </w:r>
          </w:p>
        </w:tc>
        <w:tc>
          <w:tcPr>
            <w:tcW w:w="1946" w:type="dxa"/>
          </w:tcPr>
          <w:p w14:paraId="47B98725"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$52,725</w:t>
            </w:r>
          </w:p>
        </w:tc>
        <w:tc>
          <w:tcPr>
            <w:tcW w:w="3369" w:type="dxa"/>
          </w:tcPr>
          <w:p w14:paraId="3382766D"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Высокие затраты на лечение</w:t>
            </w:r>
          </w:p>
        </w:tc>
      </w:tr>
      <w:tr w:rsidR="00AD0853" w:rsidRPr="001D2290" w14:paraId="50D80BF1" w14:textId="77777777" w:rsidTr="001D2290">
        <w:tc>
          <w:tcPr>
            <w:tcW w:w="1555" w:type="dxa"/>
          </w:tcPr>
          <w:p w14:paraId="1469C871"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Испания</w:t>
            </w:r>
          </w:p>
        </w:tc>
        <w:tc>
          <w:tcPr>
            <w:tcW w:w="2556" w:type="dxa"/>
          </w:tcPr>
          <w:p w14:paraId="393B5DA2" w14:textId="7E419B5E"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 xml:space="preserve">Средняя стоимость лечения </w:t>
            </w:r>
            <w:r w:rsidR="00E825C2" w:rsidRPr="001D2290">
              <w:rPr>
                <w:rFonts w:ascii="Times New Roman" w:hAnsi="Times New Roman" w:cs="Times New Roman"/>
                <w:sz w:val="24"/>
                <w:szCs w:val="24"/>
              </w:rPr>
              <w:t xml:space="preserve">на </w:t>
            </w:r>
            <w:r w:rsidR="00E825C2">
              <w:rPr>
                <w:rFonts w:ascii="Times New Roman" w:hAnsi="Times New Roman" w:cs="Times New Roman"/>
                <w:sz w:val="24"/>
                <w:szCs w:val="24"/>
              </w:rPr>
              <w:t>одного больного</w:t>
            </w:r>
            <w:r w:rsidR="00E825C2" w:rsidRPr="001D2290">
              <w:rPr>
                <w:rFonts w:ascii="Times New Roman" w:hAnsi="Times New Roman" w:cs="Times New Roman"/>
                <w:sz w:val="24"/>
                <w:szCs w:val="24"/>
              </w:rPr>
              <w:t xml:space="preserve"> </w:t>
            </w:r>
            <w:r w:rsidRPr="001D2290">
              <w:rPr>
                <w:rFonts w:ascii="Times New Roman" w:hAnsi="Times New Roman" w:cs="Times New Roman"/>
                <w:sz w:val="24"/>
                <w:szCs w:val="24"/>
              </w:rPr>
              <w:t>в год</w:t>
            </w:r>
          </w:p>
        </w:tc>
        <w:tc>
          <w:tcPr>
            <w:tcW w:w="1946" w:type="dxa"/>
          </w:tcPr>
          <w:p w14:paraId="3583EDBD" w14:textId="4E715263"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41950 долларов США</w:t>
            </w:r>
          </w:p>
        </w:tc>
        <w:tc>
          <w:tcPr>
            <w:tcW w:w="3369" w:type="dxa"/>
          </w:tcPr>
          <w:p w14:paraId="214435FE" w14:textId="77777777" w:rsidR="00AD0853" w:rsidRPr="001D2290" w:rsidRDefault="00AD0853" w:rsidP="00533899">
            <w:pPr>
              <w:jc w:val="both"/>
              <w:rPr>
                <w:rFonts w:ascii="Times New Roman" w:hAnsi="Times New Roman" w:cs="Times New Roman"/>
                <w:sz w:val="24"/>
                <w:szCs w:val="24"/>
              </w:rPr>
            </w:pPr>
            <w:r w:rsidRPr="001D2290">
              <w:rPr>
                <w:rFonts w:ascii="Times New Roman" w:hAnsi="Times New Roman" w:cs="Times New Roman"/>
                <w:sz w:val="24"/>
                <w:szCs w:val="24"/>
              </w:rPr>
              <w:t>Одна из самых высоких в Европе.</w:t>
            </w:r>
          </w:p>
        </w:tc>
      </w:tr>
    </w:tbl>
    <w:p w14:paraId="0B4EFF03" w14:textId="77777777" w:rsidR="00AD0853" w:rsidRPr="009F51FB" w:rsidRDefault="00AD0853" w:rsidP="00533899">
      <w:pPr>
        <w:spacing w:after="0" w:line="240" w:lineRule="auto"/>
        <w:ind w:firstLine="567"/>
        <w:jc w:val="both"/>
        <w:rPr>
          <w:rFonts w:ascii="Times New Roman" w:hAnsi="Times New Roman" w:cs="Times New Roman"/>
          <w:sz w:val="28"/>
          <w:szCs w:val="28"/>
        </w:rPr>
      </w:pPr>
    </w:p>
    <w:p w14:paraId="7099BD20" w14:textId="5F9B500D" w:rsidR="00AD0853" w:rsidRPr="009F51FB" w:rsidRDefault="00AD0853" w:rsidP="00533899">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 xml:space="preserve">Инсульт продолжает накладывать значительное и разнородное экономическое бремя во всем мире. Наибольшие расходы зафиксированы в странах с высоким уровнем дохода, особенно в США, где средняя годовая стоимость на одного </w:t>
      </w:r>
      <w:r w:rsidR="00E825C2">
        <w:rPr>
          <w:rFonts w:ascii="Times New Roman" w:hAnsi="Times New Roman" w:cs="Times New Roman"/>
          <w:sz w:val="28"/>
          <w:szCs w:val="28"/>
        </w:rPr>
        <w:t>больного</w:t>
      </w:r>
      <w:r w:rsidRPr="009F51FB">
        <w:rPr>
          <w:rFonts w:ascii="Times New Roman" w:hAnsi="Times New Roman" w:cs="Times New Roman"/>
          <w:sz w:val="28"/>
          <w:szCs w:val="28"/>
        </w:rPr>
        <w:t xml:space="preserve"> </w:t>
      </w:r>
      <w:r w:rsidR="00E825C2">
        <w:rPr>
          <w:rFonts w:ascii="Times New Roman" w:hAnsi="Times New Roman" w:cs="Times New Roman"/>
          <w:sz w:val="28"/>
          <w:szCs w:val="28"/>
        </w:rPr>
        <w:t xml:space="preserve">с ОНМК </w:t>
      </w:r>
      <w:r w:rsidRPr="009F51FB">
        <w:rPr>
          <w:rFonts w:ascii="Times New Roman" w:hAnsi="Times New Roman" w:cs="Times New Roman"/>
          <w:sz w:val="28"/>
          <w:szCs w:val="28"/>
        </w:rPr>
        <w:t>достигает 59900 долларов США. Это происходит на фоне сокращения финансирования большинства процедур лечения инсульта по линии Medicare, при этом наблюдается рост компенсаций за применения тромболитической терапии с использованием альтеплазе</w:t>
      </w:r>
      <w:r w:rsidR="002F111F" w:rsidRPr="002F111F">
        <w:rPr>
          <w:rFonts w:ascii="Times New Roman" w:hAnsi="Times New Roman" w:cs="Times New Roman"/>
          <w:sz w:val="28"/>
          <w:szCs w:val="28"/>
        </w:rPr>
        <w:t xml:space="preserve"> [31,32]</w:t>
      </w:r>
      <w:r w:rsidRPr="009F51FB">
        <w:rPr>
          <w:rFonts w:ascii="Times New Roman" w:hAnsi="Times New Roman" w:cs="Times New Roman"/>
          <w:sz w:val="28"/>
          <w:szCs w:val="28"/>
        </w:rPr>
        <w:t xml:space="preserve">. </w:t>
      </w:r>
    </w:p>
    <w:p w14:paraId="54F966D1" w14:textId="53B5E009" w:rsidR="00AD0853" w:rsidRPr="009F51FB" w:rsidRDefault="00AD0853" w:rsidP="00533899">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В Китае общее экономическое бремя, связанное с инсультом, достигло 225,1 млрд долларов США по паритету покупательной способности (ППС) в 2018 году. Эти затраты в значительной степени обусловлены косвенными издержками (потеря трудоспособности, уход, инвалидизация) и покрываются преимущественно за счет социального медицинского страхования и государственных источников</w:t>
      </w:r>
      <w:r w:rsidR="002F111F" w:rsidRPr="002F111F">
        <w:rPr>
          <w:rFonts w:ascii="Times New Roman" w:hAnsi="Times New Roman" w:cs="Times New Roman"/>
          <w:sz w:val="28"/>
          <w:szCs w:val="28"/>
        </w:rPr>
        <w:t xml:space="preserve"> [33]</w:t>
      </w:r>
      <w:r w:rsidRPr="009F51FB">
        <w:rPr>
          <w:rFonts w:ascii="Times New Roman" w:hAnsi="Times New Roman" w:cs="Times New Roman"/>
          <w:sz w:val="28"/>
          <w:szCs w:val="28"/>
        </w:rPr>
        <w:t xml:space="preserve">. </w:t>
      </w:r>
    </w:p>
    <w:p w14:paraId="7EEA32DE" w14:textId="78CBD738" w:rsidR="00AD0853" w:rsidRPr="009F51FB" w:rsidRDefault="00AD0853" w:rsidP="00533899">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 xml:space="preserve">В странах Юго-Восточной Азии экономические издержки также варьируют. Например, в Малайзии средняя стоимость госпитализации при первом ишемическом инсульте составляет около 450 долларов США. Этот показатель зависит от типа инсульта, продолжительности госпитализации и состояния </w:t>
      </w:r>
      <w:r w:rsidR="00E825C2">
        <w:rPr>
          <w:rFonts w:ascii="Times New Roman" w:hAnsi="Times New Roman" w:cs="Times New Roman"/>
          <w:sz w:val="28"/>
          <w:szCs w:val="28"/>
        </w:rPr>
        <w:t>больного</w:t>
      </w:r>
      <w:r w:rsidR="00E825C2" w:rsidRPr="009F51FB">
        <w:rPr>
          <w:rFonts w:ascii="Times New Roman" w:hAnsi="Times New Roman" w:cs="Times New Roman"/>
          <w:sz w:val="28"/>
          <w:szCs w:val="28"/>
        </w:rPr>
        <w:t xml:space="preserve"> </w:t>
      </w:r>
      <w:r w:rsidR="00E825C2">
        <w:rPr>
          <w:rFonts w:ascii="Times New Roman" w:hAnsi="Times New Roman" w:cs="Times New Roman"/>
          <w:sz w:val="28"/>
          <w:szCs w:val="28"/>
        </w:rPr>
        <w:t>с ОНМК</w:t>
      </w:r>
      <w:r w:rsidR="002F111F" w:rsidRPr="002F111F">
        <w:rPr>
          <w:rFonts w:ascii="Times New Roman" w:hAnsi="Times New Roman" w:cs="Times New Roman"/>
          <w:sz w:val="28"/>
          <w:szCs w:val="28"/>
        </w:rPr>
        <w:t xml:space="preserve"> [34]</w:t>
      </w:r>
      <w:r w:rsidRPr="009F51FB">
        <w:rPr>
          <w:rFonts w:ascii="Times New Roman" w:hAnsi="Times New Roman" w:cs="Times New Roman"/>
          <w:sz w:val="28"/>
          <w:szCs w:val="28"/>
        </w:rPr>
        <w:t xml:space="preserve">. В Сингапуре, согласно данным за 2012 год, средняя годовая прямая медицинская стоимость на одного </w:t>
      </w:r>
      <w:r w:rsidR="00E825C2">
        <w:rPr>
          <w:rFonts w:ascii="Times New Roman" w:hAnsi="Times New Roman" w:cs="Times New Roman"/>
          <w:sz w:val="28"/>
          <w:szCs w:val="28"/>
        </w:rPr>
        <w:t>больного</w:t>
      </w:r>
      <w:r w:rsidR="00E825C2" w:rsidRPr="009F51FB">
        <w:rPr>
          <w:rFonts w:ascii="Times New Roman" w:hAnsi="Times New Roman" w:cs="Times New Roman"/>
          <w:sz w:val="28"/>
          <w:szCs w:val="28"/>
        </w:rPr>
        <w:t xml:space="preserve"> </w:t>
      </w:r>
      <w:r w:rsidR="00E825C2">
        <w:rPr>
          <w:rFonts w:ascii="Times New Roman" w:hAnsi="Times New Roman" w:cs="Times New Roman"/>
          <w:sz w:val="28"/>
          <w:szCs w:val="28"/>
        </w:rPr>
        <w:t>с ОНМК</w:t>
      </w:r>
      <w:r w:rsidRPr="009F51FB">
        <w:rPr>
          <w:rFonts w:ascii="Times New Roman" w:hAnsi="Times New Roman" w:cs="Times New Roman"/>
          <w:sz w:val="28"/>
          <w:szCs w:val="28"/>
        </w:rPr>
        <w:t xml:space="preserve"> достигла 9000 долларов США, где основную часть затрат составляли стационарные услуги, расходы на медикаменты и лечение осложнений</w:t>
      </w:r>
      <w:r w:rsidR="002F111F" w:rsidRPr="002F111F">
        <w:rPr>
          <w:rFonts w:ascii="Times New Roman" w:hAnsi="Times New Roman" w:cs="Times New Roman"/>
          <w:sz w:val="28"/>
          <w:szCs w:val="28"/>
        </w:rPr>
        <w:t xml:space="preserve"> [35]</w:t>
      </w:r>
      <w:r w:rsidRPr="009F51FB">
        <w:rPr>
          <w:rFonts w:ascii="Times New Roman" w:hAnsi="Times New Roman" w:cs="Times New Roman"/>
          <w:sz w:val="28"/>
          <w:szCs w:val="28"/>
        </w:rPr>
        <w:t>. Существенная разница в уровне расходов наблюдается и в странах Африки. Например, в Нигерии средняя стоимость лечения инсульта составляет 8424 доллара США, тогда как в Сенегале 416 долларов США</w:t>
      </w:r>
      <w:r w:rsidR="002F111F" w:rsidRPr="002F111F">
        <w:rPr>
          <w:rFonts w:ascii="Times New Roman" w:hAnsi="Times New Roman" w:cs="Times New Roman"/>
          <w:sz w:val="28"/>
          <w:szCs w:val="28"/>
        </w:rPr>
        <w:t xml:space="preserve"> [36]</w:t>
      </w:r>
      <w:r w:rsidRPr="009F51FB">
        <w:rPr>
          <w:rFonts w:ascii="Times New Roman" w:hAnsi="Times New Roman" w:cs="Times New Roman"/>
          <w:sz w:val="28"/>
          <w:szCs w:val="28"/>
        </w:rPr>
        <w:t xml:space="preserve">. Такие различия обусловлены, прежде всего, тяжестью инсульта, доступностью специализированной помощи, </w:t>
      </w:r>
      <w:r w:rsidRPr="009F51FB">
        <w:rPr>
          <w:rFonts w:ascii="Times New Roman" w:hAnsi="Times New Roman" w:cs="Times New Roman"/>
          <w:sz w:val="28"/>
          <w:szCs w:val="28"/>
        </w:rPr>
        <w:lastRenderedPageBreak/>
        <w:t>продолжительностью пребывания в стационаре, а также структурой финансирования системы здравоохранения.</w:t>
      </w:r>
    </w:p>
    <w:p w14:paraId="79AE71C5" w14:textId="575BD29C" w:rsidR="00AD0853" w:rsidRPr="009F51FB" w:rsidRDefault="00AD0853" w:rsidP="00533899">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 xml:space="preserve">В странах с высоким уровнем дохода совокупные расходы на лечение инсульта значительно выше в силу долгосрочного наблюдения и реабилитации. Так, стоимость лечения одного </w:t>
      </w:r>
      <w:r w:rsidR="00E825C2">
        <w:rPr>
          <w:rFonts w:ascii="Times New Roman" w:hAnsi="Times New Roman" w:cs="Times New Roman"/>
          <w:sz w:val="28"/>
          <w:szCs w:val="28"/>
        </w:rPr>
        <w:t>больного</w:t>
      </w:r>
      <w:r w:rsidR="00E825C2" w:rsidRPr="009F51FB">
        <w:rPr>
          <w:rFonts w:ascii="Times New Roman" w:hAnsi="Times New Roman" w:cs="Times New Roman"/>
          <w:sz w:val="28"/>
          <w:szCs w:val="28"/>
        </w:rPr>
        <w:t xml:space="preserve"> </w:t>
      </w:r>
      <w:r w:rsidR="00E825C2">
        <w:rPr>
          <w:rFonts w:ascii="Times New Roman" w:hAnsi="Times New Roman" w:cs="Times New Roman"/>
          <w:sz w:val="28"/>
          <w:szCs w:val="28"/>
        </w:rPr>
        <w:t>с ОНМК</w:t>
      </w:r>
      <w:r w:rsidRPr="009F51FB">
        <w:rPr>
          <w:rFonts w:ascii="Times New Roman" w:hAnsi="Times New Roman" w:cs="Times New Roman"/>
          <w:sz w:val="28"/>
          <w:szCs w:val="28"/>
        </w:rPr>
        <w:t xml:space="preserve"> на протяжения всей жизни достигает: в Австралии — 232100 долларов США, в Швеции — 52725 долларов США, в Испании — 4 950 долларов США. На глобальном уровне лечение инсульта требует 2–4% от всех расходов на здравоохранение. Однако эти данные преимущественно отражают ситуацию в странах с высоким уровнем доходов, в то время как данные в регионах СНСД остаются ограниченными, что затрудняет объективную оценку в условиях ограниченных ресурсов</w:t>
      </w:r>
      <w:r w:rsidR="002F111F" w:rsidRPr="002F111F">
        <w:rPr>
          <w:rFonts w:ascii="Times New Roman" w:hAnsi="Times New Roman" w:cs="Times New Roman"/>
          <w:sz w:val="28"/>
          <w:szCs w:val="28"/>
        </w:rPr>
        <w:t xml:space="preserve"> [37]</w:t>
      </w:r>
      <w:r w:rsidRPr="009F51FB">
        <w:rPr>
          <w:rFonts w:ascii="Times New Roman" w:hAnsi="Times New Roman" w:cs="Times New Roman"/>
          <w:sz w:val="28"/>
          <w:szCs w:val="28"/>
        </w:rPr>
        <w:t xml:space="preserve">. </w:t>
      </w:r>
    </w:p>
    <w:p w14:paraId="344F8DF9" w14:textId="77777777" w:rsidR="00AD0853" w:rsidRPr="009F51FB" w:rsidRDefault="00AD0853" w:rsidP="00533899">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 xml:space="preserve">Ключевыми факторами, определяющими трудозатраты при инсульте, являются: </w:t>
      </w:r>
    </w:p>
    <w:p w14:paraId="6B066996" w14:textId="77777777" w:rsidR="00AD0853" w:rsidRPr="009F51FB" w:rsidRDefault="00AD0853" w:rsidP="00533899">
      <w:pPr>
        <w:pStyle w:val="a6"/>
        <w:numPr>
          <w:ilvl w:val="0"/>
          <w:numId w:val="4"/>
        </w:numPr>
        <w:ind w:left="0" w:firstLine="567"/>
        <w:jc w:val="both"/>
        <w:rPr>
          <w:sz w:val="28"/>
          <w:szCs w:val="28"/>
        </w:rPr>
      </w:pPr>
      <w:r w:rsidRPr="009F51FB">
        <w:rPr>
          <w:sz w:val="28"/>
          <w:szCs w:val="28"/>
        </w:rPr>
        <w:t xml:space="preserve">тип инсульта (ишемический, геморрагический); </w:t>
      </w:r>
    </w:p>
    <w:p w14:paraId="700DA16A" w14:textId="77777777" w:rsidR="00AD0853" w:rsidRPr="009F51FB" w:rsidRDefault="00AD0853" w:rsidP="00533899">
      <w:pPr>
        <w:pStyle w:val="a6"/>
        <w:numPr>
          <w:ilvl w:val="0"/>
          <w:numId w:val="4"/>
        </w:numPr>
        <w:ind w:left="0" w:firstLine="567"/>
        <w:jc w:val="both"/>
        <w:rPr>
          <w:sz w:val="28"/>
          <w:szCs w:val="28"/>
        </w:rPr>
      </w:pPr>
      <w:r w:rsidRPr="009F51FB">
        <w:rPr>
          <w:sz w:val="28"/>
          <w:szCs w:val="28"/>
        </w:rPr>
        <w:t xml:space="preserve">степень неврологического дефицита; </w:t>
      </w:r>
    </w:p>
    <w:p w14:paraId="55F65E83" w14:textId="77777777" w:rsidR="00AD0853" w:rsidRPr="009F51FB" w:rsidRDefault="00AD0853" w:rsidP="00533899">
      <w:pPr>
        <w:pStyle w:val="a6"/>
        <w:numPr>
          <w:ilvl w:val="0"/>
          <w:numId w:val="4"/>
        </w:numPr>
        <w:ind w:left="0" w:firstLine="567"/>
        <w:jc w:val="both"/>
        <w:rPr>
          <w:sz w:val="28"/>
          <w:szCs w:val="28"/>
        </w:rPr>
      </w:pPr>
      <w:r w:rsidRPr="009F51FB">
        <w:rPr>
          <w:sz w:val="28"/>
          <w:szCs w:val="28"/>
        </w:rPr>
        <w:t xml:space="preserve">продолжительность пребывания в стационаре; </w:t>
      </w:r>
    </w:p>
    <w:p w14:paraId="67949CEE" w14:textId="77777777" w:rsidR="00AD0853" w:rsidRPr="009F51FB" w:rsidRDefault="00AD0853" w:rsidP="00533899">
      <w:pPr>
        <w:pStyle w:val="a6"/>
        <w:numPr>
          <w:ilvl w:val="0"/>
          <w:numId w:val="4"/>
        </w:numPr>
        <w:ind w:left="0" w:firstLine="567"/>
        <w:jc w:val="both"/>
        <w:rPr>
          <w:sz w:val="28"/>
          <w:szCs w:val="28"/>
        </w:rPr>
      </w:pPr>
      <w:r w:rsidRPr="009F51FB">
        <w:rPr>
          <w:sz w:val="28"/>
          <w:szCs w:val="28"/>
        </w:rPr>
        <w:t xml:space="preserve">необходимость интенсивной терапии, хирургического вмешательства или длительной реабилитации; </w:t>
      </w:r>
    </w:p>
    <w:p w14:paraId="4B555264" w14:textId="77777777" w:rsidR="00AD0853" w:rsidRPr="009F51FB" w:rsidRDefault="00AD0853" w:rsidP="00533899">
      <w:pPr>
        <w:pStyle w:val="a6"/>
        <w:numPr>
          <w:ilvl w:val="0"/>
          <w:numId w:val="4"/>
        </w:numPr>
        <w:ind w:left="0" w:firstLine="567"/>
        <w:jc w:val="both"/>
        <w:rPr>
          <w:sz w:val="28"/>
          <w:szCs w:val="28"/>
        </w:rPr>
      </w:pPr>
      <w:r w:rsidRPr="009F51FB">
        <w:rPr>
          <w:sz w:val="28"/>
          <w:szCs w:val="28"/>
        </w:rPr>
        <w:t xml:space="preserve">сопутствующие заболевания и осложнения; </w:t>
      </w:r>
    </w:p>
    <w:p w14:paraId="2346B0CE" w14:textId="77777777" w:rsidR="00AD0853" w:rsidRPr="009F51FB" w:rsidRDefault="00AD0853" w:rsidP="00533899">
      <w:pPr>
        <w:pStyle w:val="a6"/>
        <w:numPr>
          <w:ilvl w:val="0"/>
          <w:numId w:val="4"/>
        </w:numPr>
        <w:ind w:left="0" w:firstLine="567"/>
        <w:jc w:val="both"/>
        <w:rPr>
          <w:sz w:val="28"/>
          <w:szCs w:val="28"/>
        </w:rPr>
      </w:pPr>
      <w:r w:rsidRPr="009F51FB">
        <w:rPr>
          <w:sz w:val="28"/>
          <w:szCs w:val="28"/>
        </w:rPr>
        <w:t xml:space="preserve">механизмы финансирования и страхового покрытия. </w:t>
      </w:r>
    </w:p>
    <w:p w14:paraId="69F98695" w14:textId="77777777" w:rsidR="00AD0853" w:rsidRPr="009F51FB" w:rsidRDefault="00AD0853" w:rsidP="00533899">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Таким образом, несмотря на региональные различия, инсульт остается одной из самых дорогостоящих состояний в системе здравоохранения, требующим комплексного подхода к снижению как прямых, так и косвенных затрат.</w:t>
      </w:r>
    </w:p>
    <w:p w14:paraId="24ACE15D" w14:textId="77777777" w:rsidR="00AD0853" w:rsidRPr="009F51FB" w:rsidRDefault="00AD0853" w:rsidP="00533899">
      <w:pPr>
        <w:spacing w:after="0" w:line="240" w:lineRule="auto"/>
        <w:ind w:firstLine="567"/>
        <w:jc w:val="both"/>
        <w:rPr>
          <w:rFonts w:ascii="Times New Roman" w:hAnsi="Times New Roman" w:cs="Times New Roman"/>
          <w:b/>
          <w:sz w:val="28"/>
          <w:szCs w:val="28"/>
        </w:rPr>
      </w:pPr>
    </w:p>
    <w:p w14:paraId="174E8175" w14:textId="53DBB9C9" w:rsidR="00AD0853" w:rsidRPr="009F51FB" w:rsidRDefault="00AD0853" w:rsidP="00533899">
      <w:pPr>
        <w:pStyle w:val="a6"/>
        <w:numPr>
          <w:ilvl w:val="1"/>
          <w:numId w:val="16"/>
        </w:numPr>
        <w:ind w:left="0" w:firstLine="567"/>
        <w:jc w:val="both"/>
        <w:rPr>
          <w:sz w:val="28"/>
          <w:szCs w:val="28"/>
        </w:rPr>
      </w:pPr>
      <w:r w:rsidRPr="009F51FB">
        <w:rPr>
          <w:b/>
          <w:sz w:val="28"/>
          <w:szCs w:val="28"/>
        </w:rPr>
        <w:t>Факторы риска развития острых нарушений мозгового кровообращения</w:t>
      </w:r>
      <w:r w:rsidRPr="009F51FB">
        <w:rPr>
          <w:sz w:val="28"/>
          <w:szCs w:val="28"/>
        </w:rPr>
        <w:t xml:space="preserve"> </w:t>
      </w:r>
    </w:p>
    <w:p w14:paraId="39C922B9" w14:textId="305F2C82" w:rsidR="00AD0853" w:rsidRPr="009F51FB" w:rsidRDefault="00AD0853" w:rsidP="00533899">
      <w:pPr>
        <w:tabs>
          <w:tab w:val="left" w:pos="1134"/>
        </w:tabs>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Представление о факторах риска инсульта на сегодняшний день научно обосновано и основывается на оценке вероятности развития острых нарушений мозгового кровообращения</w:t>
      </w:r>
      <w:r w:rsidR="001D2290">
        <w:rPr>
          <w:rFonts w:ascii="Times New Roman" w:hAnsi="Times New Roman" w:cs="Times New Roman"/>
          <w:sz w:val="28"/>
          <w:szCs w:val="28"/>
        </w:rPr>
        <w:t xml:space="preserve"> (ОНМК)</w:t>
      </w:r>
      <w:r w:rsidRPr="009F51FB">
        <w:rPr>
          <w:rFonts w:ascii="Times New Roman" w:hAnsi="Times New Roman" w:cs="Times New Roman"/>
          <w:sz w:val="28"/>
          <w:szCs w:val="28"/>
        </w:rPr>
        <w:t xml:space="preserve"> в зависимости от клинических, биохимических и многих других характеристик, в том числе окружающей среды. Традиционно факторы риска при инсульте делятся на две группы в зависимости от того, можно ли на них оказать влияние: немодифицируемые (пол, возраст и раса / этническая принадлежность) и </w:t>
      </w:r>
      <w:r w:rsidR="001D2290">
        <w:rPr>
          <w:rFonts w:ascii="Times New Roman" w:hAnsi="Times New Roman" w:cs="Times New Roman"/>
          <w:sz w:val="28"/>
          <w:szCs w:val="28"/>
        </w:rPr>
        <w:t>м</w:t>
      </w:r>
      <w:r w:rsidR="001D2290" w:rsidRPr="009F51FB">
        <w:rPr>
          <w:rFonts w:ascii="Times New Roman" w:hAnsi="Times New Roman" w:cs="Times New Roman"/>
          <w:sz w:val="28"/>
          <w:szCs w:val="28"/>
        </w:rPr>
        <w:t>одифицируемые</w:t>
      </w:r>
      <w:r w:rsidRPr="009F51FB">
        <w:rPr>
          <w:rFonts w:ascii="Times New Roman" w:hAnsi="Times New Roman" w:cs="Times New Roman"/>
          <w:sz w:val="28"/>
          <w:szCs w:val="28"/>
        </w:rPr>
        <w:t xml:space="preserve"> (артериальная гипертония, сахарный диабет, уровни аполипопротеинов, ожирение, курение, отсутствие физической активности, потребление алкоголя, диета, психосоциальные факторы) [</w:t>
      </w:r>
      <w:r w:rsidR="002F111F" w:rsidRPr="002F111F">
        <w:rPr>
          <w:rFonts w:ascii="Times New Roman" w:hAnsi="Times New Roman" w:cs="Times New Roman"/>
          <w:sz w:val="28"/>
          <w:szCs w:val="28"/>
        </w:rPr>
        <w:t>38,39</w:t>
      </w:r>
      <w:r w:rsidRPr="009F51FB">
        <w:rPr>
          <w:rFonts w:ascii="Times New Roman" w:hAnsi="Times New Roman" w:cs="Times New Roman"/>
          <w:sz w:val="28"/>
          <w:szCs w:val="28"/>
        </w:rPr>
        <w:t>]. В последние годы средний возраст лиц заболевших инсультом снижается, а частота инсультов и частота госпитализаций среди молодых людей во всем мире растут [</w:t>
      </w:r>
      <w:r w:rsidR="002F111F" w:rsidRPr="002F111F">
        <w:rPr>
          <w:rFonts w:ascii="Times New Roman" w:hAnsi="Times New Roman" w:cs="Times New Roman"/>
          <w:sz w:val="28"/>
          <w:szCs w:val="28"/>
        </w:rPr>
        <w:t>40,41</w:t>
      </w:r>
      <w:r w:rsidRPr="009F51FB">
        <w:rPr>
          <w:rFonts w:ascii="Times New Roman" w:hAnsi="Times New Roman" w:cs="Times New Roman"/>
          <w:sz w:val="28"/>
          <w:szCs w:val="28"/>
        </w:rPr>
        <w:t xml:space="preserve">]. Артериальная гипертония, курение, низкая аэробная физическая форма и ожирение являются наиболее заметными факторами риска инсульта у молодых </w:t>
      </w:r>
      <w:r w:rsidR="00E825C2">
        <w:rPr>
          <w:rFonts w:ascii="Times New Roman" w:hAnsi="Times New Roman" w:cs="Times New Roman"/>
          <w:sz w:val="28"/>
          <w:szCs w:val="28"/>
        </w:rPr>
        <w:t xml:space="preserve">больных </w:t>
      </w:r>
      <w:r w:rsidRPr="009F51FB">
        <w:rPr>
          <w:rFonts w:ascii="Times New Roman" w:hAnsi="Times New Roman" w:cs="Times New Roman"/>
          <w:sz w:val="28"/>
          <w:szCs w:val="28"/>
        </w:rPr>
        <w:t>[</w:t>
      </w:r>
      <w:r w:rsidR="002F111F" w:rsidRPr="002F111F">
        <w:rPr>
          <w:rFonts w:ascii="Times New Roman" w:hAnsi="Times New Roman" w:cs="Times New Roman"/>
          <w:sz w:val="28"/>
          <w:szCs w:val="28"/>
        </w:rPr>
        <w:t>41</w:t>
      </w:r>
      <w:r w:rsidRPr="009F51FB">
        <w:rPr>
          <w:rFonts w:ascii="Times New Roman" w:hAnsi="Times New Roman" w:cs="Times New Roman"/>
          <w:sz w:val="28"/>
          <w:szCs w:val="28"/>
        </w:rPr>
        <w:t xml:space="preserve">]. Модифицируемые факторы риска, клинические проявления и исходы инсульта различаются у </w:t>
      </w:r>
      <w:r w:rsidR="00E825C2">
        <w:rPr>
          <w:rFonts w:ascii="Times New Roman" w:hAnsi="Times New Roman" w:cs="Times New Roman"/>
          <w:sz w:val="28"/>
          <w:szCs w:val="28"/>
        </w:rPr>
        <w:t xml:space="preserve">больных </w:t>
      </w:r>
      <w:r w:rsidRPr="009F51FB">
        <w:rPr>
          <w:rFonts w:ascii="Times New Roman" w:hAnsi="Times New Roman" w:cs="Times New Roman"/>
          <w:sz w:val="28"/>
          <w:szCs w:val="28"/>
        </w:rPr>
        <w:t>разного возраста и пола [</w:t>
      </w:r>
      <w:r w:rsidR="002F111F" w:rsidRPr="002F111F">
        <w:rPr>
          <w:rFonts w:ascii="Times New Roman" w:hAnsi="Times New Roman" w:cs="Times New Roman"/>
          <w:sz w:val="28"/>
          <w:szCs w:val="28"/>
        </w:rPr>
        <w:t>42-45</w:t>
      </w:r>
      <w:r w:rsidRPr="009F51FB">
        <w:rPr>
          <w:rFonts w:ascii="Times New Roman" w:hAnsi="Times New Roman" w:cs="Times New Roman"/>
          <w:sz w:val="28"/>
          <w:szCs w:val="28"/>
        </w:rPr>
        <w:t>].</w:t>
      </w:r>
    </w:p>
    <w:p w14:paraId="7445D60A" w14:textId="7116285B" w:rsidR="00AD0853" w:rsidRPr="009F51FB" w:rsidRDefault="00AD0853" w:rsidP="00533899">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lastRenderedPageBreak/>
        <w:t xml:space="preserve">Высокое кровяное давление (АД) тесно связано с повышенным риском инсульта и смертностью; например, среди 430 977 взрослых в Китае показатели смертности от инсульта на 100000 человеко-лет возросли с 39 у лиц с нормальным АД до 375 у лиц с </w:t>
      </w:r>
      <w:r w:rsidR="00803D47" w:rsidRPr="009F51FB">
        <w:rPr>
          <w:rFonts w:ascii="Times New Roman" w:hAnsi="Times New Roman" w:cs="Times New Roman"/>
          <w:sz w:val="28"/>
          <w:szCs w:val="28"/>
        </w:rPr>
        <w:t>систолодиастолической</w:t>
      </w:r>
      <w:r w:rsidRPr="009F51FB">
        <w:rPr>
          <w:rFonts w:ascii="Times New Roman" w:hAnsi="Times New Roman" w:cs="Times New Roman"/>
          <w:sz w:val="28"/>
          <w:szCs w:val="28"/>
        </w:rPr>
        <w:t xml:space="preserve"> гипертензией, с отношением рисков (ОР) до 5,60 по сравнению с нормальным АД</w:t>
      </w:r>
      <w:r w:rsidR="002F111F" w:rsidRPr="002F111F">
        <w:rPr>
          <w:rFonts w:ascii="Times New Roman" w:hAnsi="Times New Roman" w:cs="Times New Roman"/>
          <w:sz w:val="28"/>
          <w:szCs w:val="28"/>
        </w:rPr>
        <w:t xml:space="preserve"> [46]</w:t>
      </w:r>
      <w:r w:rsidRPr="009F51FB">
        <w:rPr>
          <w:rFonts w:ascii="Times New Roman" w:hAnsi="Times New Roman" w:cs="Times New Roman"/>
          <w:sz w:val="28"/>
          <w:szCs w:val="28"/>
        </w:rPr>
        <w:t>. Повышение систолического АД на 20 мм рт. ст. было связано с 1,28-кратным повышением риска инсульта в когорте сельского населения Китая, в то время как генетически предсказываемое повышение систолического АД на 10 мм рт. ст. повышало риск ишемического инсульта на 37%. Мета-анализы 66 исследований с более чем 324000 участников показали, что снижение систолического АД снижало риск инсульта на 21%, включая снижение геморрагического инсульта на 28%</w:t>
      </w:r>
      <w:r w:rsidR="002F111F" w:rsidRPr="002F111F">
        <w:rPr>
          <w:rFonts w:ascii="Times New Roman" w:hAnsi="Times New Roman" w:cs="Times New Roman"/>
          <w:sz w:val="28"/>
          <w:szCs w:val="28"/>
        </w:rPr>
        <w:t xml:space="preserve"> [47]</w:t>
      </w:r>
      <w:r w:rsidRPr="009F51FB">
        <w:rPr>
          <w:rFonts w:ascii="Times New Roman" w:hAnsi="Times New Roman" w:cs="Times New Roman"/>
          <w:sz w:val="28"/>
          <w:szCs w:val="28"/>
        </w:rPr>
        <w:t xml:space="preserve">. Однако повышенное систолическое АД до и после тромболизиса у </w:t>
      </w:r>
      <w:r w:rsidR="00E825C2">
        <w:rPr>
          <w:rFonts w:ascii="Times New Roman" w:hAnsi="Times New Roman" w:cs="Times New Roman"/>
          <w:sz w:val="28"/>
          <w:szCs w:val="28"/>
        </w:rPr>
        <w:t>больных с ОНМК</w:t>
      </w:r>
      <w:r w:rsidRPr="009F51FB">
        <w:rPr>
          <w:rFonts w:ascii="Times New Roman" w:hAnsi="Times New Roman" w:cs="Times New Roman"/>
          <w:sz w:val="28"/>
          <w:szCs w:val="28"/>
        </w:rPr>
        <w:t xml:space="preserve"> увеличивало риск симптоматического внутримозгового кровоизлияния и снижало вероятность функциональной независимости через три месяца</w:t>
      </w:r>
      <w:r w:rsidR="002F111F" w:rsidRPr="002F111F">
        <w:rPr>
          <w:rFonts w:ascii="Times New Roman" w:hAnsi="Times New Roman" w:cs="Times New Roman"/>
          <w:sz w:val="28"/>
          <w:szCs w:val="28"/>
        </w:rPr>
        <w:t xml:space="preserve"> [48]</w:t>
      </w:r>
      <w:r w:rsidRPr="009F51FB">
        <w:rPr>
          <w:rFonts w:ascii="Times New Roman" w:hAnsi="Times New Roman" w:cs="Times New Roman"/>
          <w:sz w:val="28"/>
          <w:szCs w:val="28"/>
        </w:rPr>
        <w:t>.</w:t>
      </w:r>
    </w:p>
    <w:p w14:paraId="36313EBC" w14:textId="41711993" w:rsidR="00AD0853" w:rsidRPr="009F51FB" w:rsidRDefault="00AD0853" w:rsidP="00533899">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 xml:space="preserve">Диабет также увеличивает риск инсульта, </w:t>
      </w:r>
      <w:r w:rsidR="00803D47" w:rsidRPr="009F51FB">
        <w:rPr>
          <w:rFonts w:ascii="Times New Roman" w:hAnsi="Times New Roman" w:cs="Times New Roman"/>
          <w:sz w:val="28"/>
          <w:szCs w:val="28"/>
        </w:rPr>
        <w:t>например,</w:t>
      </w:r>
      <w:r w:rsidRPr="009F51FB">
        <w:rPr>
          <w:rFonts w:ascii="Times New Roman" w:hAnsi="Times New Roman" w:cs="Times New Roman"/>
          <w:sz w:val="28"/>
          <w:szCs w:val="28"/>
        </w:rPr>
        <w:t xml:space="preserve"> метаанализ, включающий 64 когортных исследований показал более высокий скорректированный относительный риск (сОР) у женщин (2,28), чем у мужчин (1,83)</w:t>
      </w:r>
      <w:r w:rsidR="002F111F" w:rsidRPr="002F111F">
        <w:rPr>
          <w:rFonts w:ascii="Times New Roman" w:hAnsi="Times New Roman" w:cs="Times New Roman"/>
          <w:sz w:val="28"/>
          <w:szCs w:val="28"/>
        </w:rPr>
        <w:t xml:space="preserve"> [49,50]</w:t>
      </w:r>
      <w:r w:rsidRPr="009F51FB">
        <w:rPr>
          <w:rFonts w:ascii="Times New Roman" w:hAnsi="Times New Roman" w:cs="Times New Roman"/>
          <w:sz w:val="28"/>
          <w:szCs w:val="28"/>
        </w:rPr>
        <w:t>. Преддиабет также умеренно повышает риск инсульта, где нарушение толерантности к глюкозе связано с повышением риска на 20%, а нарушение уровня глюкозы натощак – с повышением на 6%</w:t>
      </w:r>
      <w:r w:rsidR="002F111F" w:rsidRPr="002F111F">
        <w:rPr>
          <w:rFonts w:ascii="Times New Roman" w:hAnsi="Times New Roman" w:cs="Times New Roman"/>
          <w:sz w:val="28"/>
          <w:szCs w:val="28"/>
        </w:rPr>
        <w:t xml:space="preserve"> [49]</w:t>
      </w:r>
      <w:r w:rsidRPr="009F51FB">
        <w:rPr>
          <w:rFonts w:ascii="Times New Roman" w:hAnsi="Times New Roman" w:cs="Times New Roman"/>
          <w:sz w:val="28"/>
          <w:szCs w:val="28"/>
        </w:rPr>
        <w:t xml:space="preserve">. В то время как интенсивный контроль глюкозы при диабете 2 типа не привел к значительному снижению риска инсульта (ОР 0,94), лечение агонистами рецепторов </w:t>
      </w:r>
      <w:r w:rsidRPr="001D2290">
        <w:rPr>
          <w:rFonts w:ascii="Times New Roman" w:hAnsi="Times New Roman" w:cs="Times New Roman"/>
          <w:sz w:val="28"/>
          <w:szCs w:val="28"/>
        </w:rPr>
        <w:t xml:space="preserve">ГПП-1 снизило риск инсульта на 16% (ОР 0,84). Напротив, ингибиторы </w:t>
      </w:r>
      <w:r w:rsidR="001D2290" w:rsidRPr="001D2290">
        <w:rPr>
          <w:rFonts w:ascii="Times New Roman" w:hAnsi="Times New Roman" w:cs="Times New Roman"/>
          <w:sz w:val="28"/>
          <w:szCs w:val="28"/>
        </w:rPr>
        <w:t xml:space="preserve">НГКТ-2 </w:t>
      </w:r>
      <w:r w:rsidRPr="001D2290">
        <w:rPr>
          <w:rFonts w:ascii="Times New Roman" w:hAnsi="Times New Roman" w:cs="Times New Roman"/>
          <w:sz w:val="28"/>
          <w:szCs w:val="28"/>
        </w:rPr>
        <w:t>не показали значительного влияния на риск инсульта (ОР 0,96)</w:t>
      </w:r>
      <w:r w:rsidR="002F111F" w:rsidRPr="002F111F">
        <w:rPr>
          <w:rFonts w:ascii="Times New Roman" w:hAnsi="Times New Roman" w:cs="Times New Roman"/>
          <w:sz w:val="28"/>
          <w:szCs w:val="28"/>
        </w:rPr>
        <w:t xml:space="preserve"> [51]</w:t>
      </w:r>
      <w:r w:rsidRPr="001D2290">
        <w:rPr>
          <w:rFonts w:ascii="Times New Roman" w:hAnsi="Times New Roman" w:cs="Times New Roman"/>
          <w:sz w:val="28"/>
          <w:szCs w:val="28"/>
        </w:rPr>
        <w:t>. В реестре США диабет увеличил 3-летнюю смертность от всех причин (46,0% против 44,2%) и повторную госпитализацию по поводу инсульта/ТИА (15,9% пр</w:t>
      </w:r>
      <w:r w:rsidRPr="009F51FB">
        <w:rPr>
          <w:rFonts w:ascii="Times New Roman" w:hAnsi="Times New Roman" w:cs="Times New Roman"/>
          <w:sz w:val="28"/>
          <w:szCs w:val="28"/>
        </w:rPr>
        <w:t>отив 13,3%)</w:t>
      </w:r>
      <w:r w:rsidR="002F111F" w:rsidRPr="002F111F">
        <w:rPr>
          <w:rFonts w:ascii="Times New Roman" w:hAnsi="Times New Roman" w:cs="Times New Roman"/>
          <w:sz w:val="28"/>
          <w:szCs w:val="28"/>
        </w:rPr>
        <w:t xml:space="preserve"> [52]</w:t>
      </w:r>
      <w:r w:rsidRPr="009F51FB">
        <w:rPr>
          <w:rFonts w:ascii="Times New Roman" w:hAnsi="Times New Roman" w:cs="Times New Roman"/>
          <w:sz w:val="28"/>
          <w:szCs w:val="28"/>
        </w:rPr>
        <w:t>. Кроме того, гипергликемия при поступлении в клинику инсульта повышает риск симптоматического внутримозгового кровоизлияния (9,3% против 5,5%), неблагоприятных 90-дневных результатов (61,0% против 47,2%) и смертности (25,7% против 13,1%)</w:t>
      </w:r>
      <w:r w:rsidR="002F111F" w:rsidRPr="002F111F">
        <w:rPr>
          <w:rFonts w:ascii="Times New Roman" w:hAnsi="Times New Roman" w:cs="Times New Roman"/>
          <w:sz w:val="28"/>
          <w:szCs w:val="28"/>
        </w:rPr>
        <w:t xml:space="preserve"> [53]</w:t>
      </w:r>
      <w:r w:rsidRPr="009F51FB">
        <w:rPr>
          <w:rFonts w:ascii="Times New Roman" w:hAnsi="Times New Roman" w:cs="Times New Roman"/>
          <w:sz w:val="28"/>
          <w:szCs w:val="28"/>
        </w:rPr>
        <w:t>.</w:t>
      </w:r>
    </w:p>
    <w:p w14:paraId="1A408AF1" w14:textId="048F916E" w:rsidR="00AD0853" w:rsidRPr="009F51FB" w:rsidRDefault="00AD0853" w:rsidP="00533899">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 xml:space="preserve">Фибрилляция предсердий (ФП) является одним из основных факторов риска инсульта, где 29% вероятных кардиальных причин криптогенного инсульта или ТИА в когорте из 250 </w:t>
      </w:r>
      <w:r w:rsidR="00E825C2">
        <w:rPr>
          <w:rFonts w:ascii="Times New Roman" w:hAnsi="Times New Roman" w:cs="Times New Roman"/>
          <w:sz w:val="28"/>
          <w:szCs w:val="28"/>
        </w:rPr>
        <w:t>больных</w:t>
      </w:r>
      <w:r w:rsidRPr="009F51FB">
        <w:rPr>
          <w:rFonts w:ascii="Times New Roman" w:hAnsi="Times New Roman" w:cs="Times New Roman"/>
          <w:sz w:val="28"/>
          <w:szCs w:val="28"/>
        </w:rPr>
        <w:t xml:space="preserve"> были связаны с ФП или трепетанием предсердий</w:t>
      </w:r>
      <w:r w:rsidR="002F111F" w:rsidRPr="002F111F">
        <w:rPr>
          <w:rFonts w:ascii="Times New Roman" w:hAnsi="Times New Roman" w:cs="Times New Roman"/>
          <w:sz w:val="28"/>
          <w:szCs w:val="28"/>
        </w:rPr>
        <w:t xml:space="preserve"> [54]</w:t>
      </w:r>
      <w:r w:rsidRPr="009F51FB">
        <w:rPr>
          <w:rFonts w:ascii="Times New Roman" w:hAnsi="Times New Roman" w:cs="Times New Roman"/>
          <w:sz w:val="28"/>
          <w:szCs w:val="28"/>
        </w:rPr>
        <w:t>. Постоянный кардиологический мониторинг выявил 12,1% распространенности ФП в течение 12 месяцев по сравнению с 1,8% при обычном лечении. Предикторами постинсультной ФП были застойная сердечная недостаточность (ОР 5,06) и увеличение левого предсердия (ОР 3,32)</w:t>
      </w:r>
      <w:r w:rsidR="002F111F" w:rsidRPr="002F111F">
        <w:rPr>
          <w:rFonts w:ascii="Times New Roman" w:hAnsi="Times New Roman" w:cs="Times New Roman"/>
          <w:sz w:val="28"/>
          <w:szCs w:val="28"/>
        </w:rPr>
        <w:t xml:space="preserve"> [55,56]</w:t>
      </w:r>
      <w:r w:rsidRPr="009F51FB">
        <w:rPr>
          <w:rFonts w:ascii="Times New Roman" w:hAnsi="Times New Roman" w:cs="Times New Roman"/>
          <w:sz w:val="28"/>
          <w:szCs w:val="28"/>
        </w:rPr>
        <w:t>. Биомаркеры, такие как NT-proBNP и интерлейкин-6, независимо связаны с риском инсульта или кровотечения при ФП</w:t>
      </w:r>
      <w:r w:rsidR="002F111F" w:rsidRPr="002F111F">
        <w:rPr>
          <w:rFonts w:ascii="Times New Roman" w:hAnsi="Times New Roman" w:cs="Times New Roman"/>
          <w:sz w:val="28"/>
          <w:szCs w:val="28"/>
        </w:rPr>
        <w:t xml:space="preserve"> [57,58]</w:t>
      </w:r>
      <w:r w:rsidRPr="009F51FB">
        <w:rPr>
          <w:rFonts w:ascii="Times New Roman" w:hAnsi="Times New Roman" w:cs="Times New Roman"/>
          <w:sz w:val="28"/>
          <w:szCs w:val="28"/>
        </w:rPr>
        <w:t xml:space="preserve">. Непароксизмальная ФП несет на 47% более высокий риск повторного инсульта, в то время как послеоперационная ФП связана с 62% повышенным ранним риском инсульта и 37% повышенным долгосрочным риском, с еще большим риском у </w:t>
      </w:r>
      <w:r w:rsidR="00E825C2">
        <w:rPr>
          <w:rFonts w:ascii="Times New Roman" w:hAnsi="Times New Roman" w:cs="Times New Roman"/>
          <w:sz w:val="28"/>
          <w:szCs w:val="28"/>
        </w:rPr>
        <w:t>больных</w:t>
      </w:r>
      <w:r w:rsidRPr="009F51FB">
        <w:rPr>
          <w:rFonts w:ascii="Times New Roman" w:hAnsi="Times New Roman" w:cs="Times New Roman"/>
          <w:sz w:val="28"/>
          <w:szCs w:val="28"/>
        </w:rPr>
        <w:t xml:space="preserve"> с несердечной операцией</w:t>
      </w:r>
      <w:r w:rsidR="00FB1261" w:rsidRPr="00FB1261">
        <w:rPr>
          <w:rFonts w:ascii="Times New Roman" w:hAnsi="Times New Roman" w:cs="Times New Roman"/>
          <w:sz w:val="28"/>
          <w:szCs w:val="28"/>
        </w:rPr>
        <w:t xml:space="preserve"> [59-61]</w:t>
      </w:r>
      <w:r w:rsidRPr="009F51FB">
        <w:rPr>
          <w:rFonts w:ascii="Times New Roman" w:hAnsi="Times New Roman" w:cs="Times New Roman"/>
          <w:sz w:val="28"/>
          <w:szCs w:val="28"/>
        </w:rPr>
        <w:t xml:space="preserve">. После несердечной операции ФП утраивает риск </w:t>
      </w:r>
      <w:r w:rsidRPr="009F51FB">
        <w:rPr>
          <w:rFonts w:ascii="Times New Roman" w:hAnsi="Times New Roman" w:cs="Times New Roman"/>
          <w:sz w:val="28"/>
          <w:szCs w:val="28"/>
        </w:rPr>
        <w:lastRenderedPageBreak/>
        <w:t>инсульта через 1 месяц (OР 2,82) и учетверяет его в долгосрочной перспективе (OР 4,12). С 2010 по 2018 год использование пероральных антикоагулянтов (ПОАК) выросло с 0% до 45%, в то время как использование антагонистов витамина К снизилось</w:t>
      </w:r>
      <w:r w:rsidR="00FB1261" w:rsidRPr="00FB1261">
        <w:rPr>
          <w:rFonts w:ascii="Times New Roman" w:hAnsi="Times New Roman" w:cs="Times New Roman"/>
          <w:sz w:val="28"/>
          <w:szCs w:val="28"/>
        </w:rPr>
        <w:t xml:space="preserve"> [62]</w:t>
      </w:r>
      <w:r w:rsidRPr="009F51FB">
        <w:rPr>
          <w:rFonts w:ascii="Times New Roman" w:hAnsi="Times New Roman" w:cs="Times New Roman"/>
          <w:sz w:val="28"/>
          <w:szCs w:val="28"/>
        </w:rPr>
        <w:t xml:space="preserve">. Среди </w:t>
      </w:r>
      <w:r w:rsidR="006227E1">
        <w:rPr>
          <w:rFonts w:ascii="Times New Roman" w:hAnsi="Times New Roman" w:cs="Times New Roman"/>
          <w:sz w:val="28"/>
          <w:szCs w:val="28"/>
        </w:rPr>
        <w:t>больных</w:t>
      </w:r>
      <w:r w:rsidRPr="009F51FB">
        <w:rPr>
          <w:rFonts w:ascii="Times New Roman" w:hAnsi="Times New Roman" w:cs="Times New Roman"/>
          <w:sz w:val="28"/>
          <w:szCs w:val="28"/>
        </w:rPr>
        <w:t xml:space="preserve"> с острым ишемическим инсультом (ОИИ) и ФП частота сердечных сокращений была связана с более высокой смертностью, но не с рецидивом. Повторный инсульт наблюдался у 7% </w:t>
      </w:r>
      <w:r w:rsidR="006227E1">
        <w:rPr>
          <w:rFonts w:ascii="Times New Roman" w:hAnsi="Times New Roman" w:cs="Times New Roman"/>
          <w:sz w:val="28"/>
          <w:szCs w:val="28"/>
        </w:rPr>
        <w:t>больных</w:t>
      </w:r>
      <w:r w:rsidRPr="009F51FB">
        <w:rPr>
          <w:rFonts w:ascii="Times New Roman" w:hAnsi="Times New Roman" w:cs="Times New Roman"/>
          <w:sz w:val="28"/>
          <w:szCs w:val="28"/>
        </w:rPr>
        <w:t xml:space="preserve"> с ФП, перенесших инсульт, а смертность в течение 3 месяцев – у 12,4% </w:t>
      </w:r>
      <w:r w:rsidR="006227E1">
        <w:rPr>
          <w:rFonts w:ascii="Times New Roman" w:hAnsi="Times New Roman" w:cs="Times New Roman"/>
          <w:sz w:val="28"/>
          <w:szCs w:val="28"/>
        </w:rPr>
        <w:t>больных</w:t>
      </w:r>
      <w:r w:rsidRPr="009F51FB">
        <w:rPr>
          <w:rFonts w:ascii="Times New Roman" w:hAnsi="Times New Roman" w:cs="Times New Roman"/>
          <w:sz w:val="28"/>
          <w:szCs w:val="28"/>
        </w:rPr>
        <w:t xml:space="preserve"> с перенесённым инсультом</w:t>
      </w:r>
      <w:r w:rsidR="00FB1261" w:rsidRPr="00FB1261">
        <w:rPr>
          <w:rFonts w:ascii="Times New Roman" w:hAnsi="Times New Roman" w:cs="Times New Roman"/>
          <w:sz w:val="28"/>
          <w:szCs w:val="28"/>
        </w:rPr>
        <w:t xml:space="preserve"> [63]</w:t>
      </w:r>
      <w:r w:rsidRPr="009F51FB">
        <w:rPr>
          <w:rFonts w:ascii="Times New Roman" w:hAnsi="Times New Roman" w:cs="Times New Roman"/>
          <w:sz w:val="28"/>
          <w:szCs w:val="28"/>
        </w:rPr>
        <w:t xml:space="preserve">. Программы скрининга, такие как STROKESTOP, продемонстрировали экономическую эффективность, позволив увеличить продолжительность жизни (QALY) на 65 человек и сэкономив 1,92 млн долларов США на 1000 </w:t>
      </w:r>
      <w:r w:rsidR="006227E1">
        <w:rPr>
          <w:rFonts w:ascii="Times New Roman" w:hAnsi="Times New Roman" w:cs="Times New Roman"/>
          <w:sz w:val="28"/>
          <w:szCs w:val="28"/>
        </w:rPr>
        <w:t>больных</w:t>
      </w:r>
      <w:r w:rsidRPr="009F51FB">
        <w:rPr>
          <w:rFonts w:ascii="Times New Roman" w:hAnsi="Times New Roman" w:cs="Times New Roman"/>
          <w:sz w:val="28"/>
          <w:szCs w:val="28"/>
        </w:rPr>
        <w:t>, прошедших скрининг. Другие аритмии, такие как трепетание предсердий и заболевание синусового узла, представляют меньший риск инсульта, чем ФП, в то время как чрезмерная наджелудочковая эктопическая активность повышает риск инсульта</w:t>
      </w:r>
      <w:r w:rsidR="00FB1261" w:rsidRPr="00FB1261">
        <w:rPr>
          <w:rFonts w:ascii="Times New Roman" w:hAnsi="Times New Roman" w:cs="Times New Roman"/>
          <w:sz w:val="28"/>
          <w:szCs w:val="28"/>
        </w:rPr>
        <w:t xml:space="preserve"> [64-66]</w:t>
      </w:r>
      <w:r w:rsidRPr="009F51FB">
        <w:rPr>
          <w:rFonts w:ascii="Times New Roman" w:hAnsi="Times New Roman" w:cs="Times New Roman"/>
          <w:sz w:val="28"/>
          <w:szCs w:val="28"/>
        </w:rPr>
        <w:t>.</w:t>
      </w:r>
    </w:p>
    <w:p w14:paraId="391EEE75" w14:textId="1EC7FC98" w:rsidR="00AD0853" w:rsidRPr="009F51FB" w:rsidRDefault="00AD0853" w:rsidP="00533899">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Аномальные уровни липидов в крови тесно связаны с риском инсульта, особенно ишемического. Снижение уровня липопротеинов низкой плотности (ЛПНП) примерно на 39mg/dL снижает риск ишемического инсульта на 20%, хотя может немного повысить риск кровоточащих инсультов примерно на 17%</w:t>
      </w:r>
      <w:r w:rsidR="00FB1261" w:rsidRPr="00FB1261">
        <w:rPr>
          <w:rFonts w:ascii="Times New Roman" w:hAnsi="Times New Roman" w:cs="Times New Roman"/>
          <w:sz w:val="28"/>
          <w:szCs w:val="28"/>
        </w:rPr>
        <w:t xml:space="preserve"> [67]</w:t>
      </w:r>
      <w:r w:rsidRPr="009F51FB">
        <w:rPr>
          <w:rFonts w:ascii="Times New Roman" w:hAnsi="Times New Roman" w:cs="Times New Roman"/>
          <w:sz w:val="28"/>
          <w:szCs w:val="28"/>
        </w:rPr>
        <w:t>. Достижение уровня ЛПНП ниже 70mg/dL у людей с перенесенным инсультом или атеросклерозом снижает вероятность будущих сердечно-сосудистых событий на 22% по сравнению с теми, у кого уровень ЛПНП умеренно контролируется</w:t>
      </w:r>
      <w:r w:rsidR="00FB1261" w:rsidRPr="00FB1261">
        <w:rPr>
          <w:rFonts w:ascii="Times New Roman" w:hAnsi="Times New Roman" w:cs="Times New Roman"/>
          <w:sz w:val="28"/>
          <w:szCs w:val="28"/>
        </w:rPr>
        <w:t xml:space="preserve"> [68]</w:t>
      </w:r>
      <w:r w:rsidRPr="009F51FB">
        <w:rPr>
          <w:rFonts w:ascii="Times New Roman" w:hAnsi="Times New Roman" w:cs="Times New Roman"/>
          <w:sz w:val="28"/>
          <w:szCs w:val="28"/>
        </w:rPr>
        <w:t>. Более высокие уровни холестерина ЛПВП снижают риск ишемического инсульта на 25%, но увеличивают риск внутримозгового кровоизлияния на 21%</w:t>
      </w:r>
      <w:r w:rsidR="00FB1261" w:rsidRPr="00FB1261">
        <w:rPr>
          <w:rFonts w:ascii="Times New Roman" w:hAnsi="Times New Roman" w:cs="Times New Roman"/>
          <w:sz w:val="28"/>
          <w:szCs w:val="28"/>
        </w:rPr>
        <w:t xml:space="preserve"> [67]</w:t>
      </w:r>
      <w:r w:rsidRPr="009F51FB">
        <w:rPr>
          <w:rFonts w:ascii="Times New Roman" w:hAnsi="Times New Roman" w:cs="Times New Roman"/>
          <w:sz w:val="28"/>
          <w:szCs w:val="28"/>
        </w:rPr>
        <w:t>. У молодых людей с самыми высокими уровнями триглицеридов риск инсульта был в 2,5 раза выше, чем у тех, у кого самые низкие уровни</w:t>
      </w:r>
      <w:r w:rsidR="00FB1261" w:rsidRPr="00FB1261">
        <w:rPr>
          <w:rFonts w:ascii="Times New Roman" w:hAnsi="Times New Roman" w:cs="Times New Roman"/>
          <w:sz w:val="28"/>
          <w:szCs w:val="28"/>
        </w:rPr>
        <w:t xml:space="preserve"> [69]</w:t>
      </w:r>
      <w:r w:rsidRPr="009F51FB">
        <w:rPr>
          <w:rFonts w:ascii="Times New Roman" w:hAnsi="Times New Roman" w:cs="Times New Roman"/>
          <w:sz w:val="28"/>
          <w:szCs w:val="28"/>
        </w:rPr>
        <w:t>. Аналогично, высокие уровни остаточного холестерина были связаны с 43% более высоким риском общего инсульта</w:t>
      </w:r>
      <w:r w:rsidR="00FB1261" w:rsidRPr="00FB1261">
        <w:rPr>
          <w:rFonts w:ascii="Times New Roman" w:hAnsi="Times New Roman" w:cs="Times New Roman"/>
          <w:sz w:val="28"/>
          <w:szCs w:val="28"/>
        </w:rPr>
        <w:t xml:space="preserve"> [70]</w:t>
      </w:r>
      <w:r w:rsidRPr="009F51FB">
        <w:rPr>
          <w:rFonts w:ascii="Times New Roman" w:hAnsi="Times New Roman" w:cs="Times New Roman"/>
          <w:sz w:val="28"/>
          <w:szCs w:val="28"/>
        </w:rPr>
        <w:t>.</w:t>
      </w:r>
    </w:p>
    <w:p w14:paraId="72AECD1A" w14:textId="763E3238" w:rsidR="00AD0853" w:rsidRPr="009F51FB" w:rsidRDefault="00AD0853" w:rsidP="00533899">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Курение, в том числе электронных сигарет значительно увеличивает риск инсульта даже при низких дозах. У людей, выкуривающих всего одну сигарету в день, риск выше на 52%</w:t>
      </w:r>
      <w:r w:rsidR="00FB1261" w:rsidRPr="00FB1261">
        <w:rPr>
          <w:rFonts w:ascii="Times New Roman" w:hAnsi="Times New Roman" w:cs="Times New Roman"/>
          <w:sz w:val="28"/>
          <w:szCs w:val="28"/>
        </w:rPr>
        <w:t xml:space="preserve"> [71,72]</w:t>
      </w:r>
      <w:r w:rsidRPr="009F51FB">
        <w:rPr>
          <w:rFonts w:ascii="Times New Roman" w:hAnsi="Times New Roman" w:cs="Times New Roman"/>
          <w:sz w:val="28"/>
          <w:szCs w:val="28"/>
        </w:rPr>
        <w:t>. Постоянное курение после инсульта повышает риск смерти и серьезных сердечно-сосудистых событий более чем на 50% по сравнению с некурящими. Воздействие пассивного курения увеличивает риск инсульта примерно на 35% в целом и более чем вдвое увеличивает уровень смертности среди перенесших инсульт</w:t>
      </w:r>
      <w:r w:rsidR="00FB1261" w:rsidRPr="00FB1261">
        <w:rPr>
          <w:rFonts w:ascii="Times New Roman" w:hAnsi="Times New Roman" w:cs="Times New Roman"/>
          <w:sz w:val="28"/>
          <w:szCs w:val="28"/>
        </w:rPr>
        <w:t xml:space="preserve"> [73]</w:t>
      </w:r>
      <w:r w:rsidRPr="009F51FB">
        <w:rPr>
          <w:rFonts w:ascii="Times New Roman" w:hAnsi="Times New Roman" w:cs="Times New Roman"/>
          <w:sz w:val="28"/>
          <w:szCs w:val="28"/>
        </w:rPr>
        <w:t xml:space="preserve">. </w:t>
      </w:r>
    </w:p>
    <w:p w14:paraId="36FF4D0A" w14:textId="4FD84ECF" w:rsidR="00AD0853" w:rsidRPr="009F51FB" w:rsidRDefault="00AD0853" w:rsidP="00533899">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У людей, ведущих малоподвижный образ жизни, риск различных типов инсульта выше на 49–83%. Увеличение физической активности после инсульта может более чем удвоить шансы на хорошее восстановление, в то время как более высокая кардиореспираторная активность связана со снижением риска инсульта на 29–55% в зависимости от популяции</w:t>
      </w:r>
      <w:r w:rsidR="00FB1261" w:rsidRPr="00FB1261">
        <w:rPr>
          <w:rFonts w:ascii="Times New Roman" w:hAnsi="Times New Roman" w:cs="Times New Roman"/>
          <w:sz w:val="28"/>
          <w:szCs w:val="28"/>
        </w:rPr>
        <w:t xml:space="preserve"> [74-76]</w:t>
      </w:r>
      <w:r w:rsidRPr="009F51FB">
        <w:rPr>
          <w:rFonts w:ascii="Times New Roman" w:hAnsi="Times New Roman" w:cs="Times New Roman"/>
          <w:sz w:val="28"/>
          <w:szCs w:val="28"/>
        </w:rPr>
        <w:t>.</w:t>
      </w:r>
    </w:p>
    <w:p w14:paraId="7B3B565D" w14:textId="4C5BD9A7" w:rsidR="00AD0853" w:rsidRPr="009F51FB" w:rsidRDefault="00AD0853" w:rsidP="00533899">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Хроническая болезнь почек (ХБП) значительно ухудшает риск инсульта и его исходы. Частота инсультов увеличивается более чем в три раза от легкой до поздней стадии ХБП. Белок в моче повышает риск инсульта более чем на 70%, даже с учетом повышенного артериального давления</w:t>
      </w:r>
      <w:r w:rsidR="00FB1261" w:rsidRPr="00FB1261">
        <w:rPr>
          <w:rFonts w:ascii="Times New Roman" w:hAnsi="Times New Roman" w:cs="Times New Roman"/>
          <w:sz w:val="28"/>
          <w:szCs w:val="28"/>
        </w:rPr>
        <w:t xml:space="preserve"> [77]</w:t>
      </w:r>
      <w:r w:rsidRPr="009F51FB">
        <w:rPr>
          <w:rFonts w:ascii="Times New Roman" w:hAnsi="Times New Roman" w:cs="Times New Roman"/>
          <w:sz w:val="28"/>
          <w:szCs w:val="28"/>
        </w:rPr>
        <w:t xml:space="preserve">. У </w:t>
      </w:r>
      <w:r w:rsidR="006227E1">
        <w:rPr>
          <w:rFonts w:ascii="Times New Roman" w:hAnsi="Times New Roman" w:cs="Times New Roman"/>
          <w:sz w:val="28"/>
          <w:szCs w:val="28"/>
        </w:rPr>
        <w:t>больных</w:t>
      </w:r>
      <w:r w:rsidRPr="009F51FB">
        <w:rPr>
          <w:rFonts w:ascii="Times New Roman" w:hAnsi="Times New Roman" w:cs="Times New Roman"/>
          <w:sz w:val="28"/>
          <w:szCs w:val="28"/>
        </w:rPr>
        <w:t xml:space="preserve">, перенесших инсульт, нарушение функции почек связано с более высоким риском </w:t>
      </w:r>
      <w:r w:rsidRPr="009F51FB">
        <w:rPr>
          <w:rFonts w:ascii="Times New Roman" w:hAnsi="Times New Roman" w:cs="Times New Roman"/>
          <w:sz w:val="28"/>
          <w:szCs w:val="28"/>
        </w:rPr>
        <w:lastRenderedPageBreak/>
        <w:t>тяжелой инвалидности и меньшими шансами на выздоровление. У людей с повышенным уровнем печеночных ферментов риск инсульта почти вдвое выше, а у людей с жировой болезнью печени, связанной с метаболической дисфункцией (MASLD), риск инсульта выше на 60%. Эти результаты подчеркивают общие системные факторы, влияющие на риск инсульта, и важность их устранения в стратегиях профилактики</w:t>
      </w:r>
      <w:r w:rsidR="00FB1261" w:rsidRPr="00FB1261">
        <w:rPr>
          <w:rFonts w:ascii="Times New Roman" w:hAnsi="Times New Roman" w:cs="Times New Roman"/>
          <w:sz w:val="28"/>
          <w:szCs w:val="28"/>
        </w:rPr>
        <w:t xml:space="preserve"> [78]</w:t>
      </w:r>
      <w:r w:rsidRPr="009F51FB">
        <w:rPr>
          <w:rFonts w:ascii="Times New Roman" w:hAnsi="Times New Roman" w:cs="Times New Roman"/>
          <w:sz w:val="28"/>
          <w:szCs w:val="28"/>
        </w:rPr>
        <w:t>. Инсульт, связанный с беременностью, встречается редко, с частотой 30 на 100000 беременностей, при этом риск наиболее высок в послеродовой период. Эндометриоз увеличивает риск инсульта на 19%, а увеличение веса в среднем возрасте на ≥5 кг связано с повышением риска инсульта на 61% у женщин, но не у мужчин</w:t>
      </w:r>
      <w:r w:rsidR="00FB1261" w:rsidRPr="00FB1261">
        <w:rPr>
          <w:rFonts w:ascii="Times New Roman" w:hAnsi="Times New Roman" w:cs="Times New Roman"/>
          <w:sz w:val="28"/>
          <w:szCs w:val="28"/>
        </w:rPr>
        <w:t xml:space="preserve"> [79,80]</w:t>
      </w:r>
      <w:r w:rsidRPr="009F51FB">
        <w:rPr>
          <w:rFonts w:ascii="Times New Roman" w:hAnsi="Times New Roman" w:cs="Times New Roman"/>
          <w:sz w:val="28"/>
          <w:szCs w:val="28"/>
        </w:rPr>
        <w:t>. Использование конъюгированного конского эстрогена для постменопаузальной гормональной терапии повышает риск ишемического инсульта на 23% по сравнению с эстрадиолом. Нарушения сна и психическое здоровье также играют важную роль. Плохое качество сна более чем вдвое увеличивает долгосрочный риск инсульта. Психологический стресс увеличивает риск инсульта более чем в два раза, а стойкая депрессия в сочетании с хроническими заболеваниями может утроить риск инсульта</w:t>
      </w:r>
      <w:r w:rsidR="00FB1261" w:rsidRPr="00FB1261">
        <w:rPr>
          <w:rFonts w:ascii="Times New Roman" w:hAnsi="Times New Roman" w:cs="Times New Roman"/>
          <w:sz w:val="28"/>
          <w:szCs w:val="28"/>
        </w:rPr>
        <w:t xml:space="preserve"> [81,82]</w:t>
      </w:r>
      <w:r w:rsidRPr="009F51FB">
        <w:rPr>
          <w:rFonts w:ascii="Times New Roman" w:hAnsi="Times New Roman" w:cs="Times New Roman"/>
          <w:sz w:val="28"/>
          <w:szCs w:val="28"/>
        </w:rPr>
        <w:t>. В Роттердамском исследовании частота 10-летних рецидивов снизилась с 21,4% в 1990-х годах до 11% к 2020 году, но по-прежнему поражает почти каждого девятого выжившего</w:t>
      </w:r>
      <w:r w:rsidR="00FB1261" w:rsidRPr="00FB1261">
        <w:rPr>
          <w:rFonts w:ascii="Times New Roman" w:hAnsi="Times New Roman" w:cs="Times New Roman"/>
          <w:sz w:val="28"/>
          <w:szCs w:val="28"/>
        </w:rPr>
        <w:t xml:space="preserve"> [83]</w:t>
      </w:r>
      <w:r w:rsidRPr="009F51FB">
        <w:rPr>
          <w:rFonts w:ascii="Times New Roman" w:hAnsi="Times New Roman" w:cs="Times New Roman"/>
          <w:sz w:val="28"/>
          <w:szCs w:val="28"/>
        </w:rPr>
        <w:t xml:space="preserve">. Среди молодых людей (18–55 лет) частота 10-летних рецидивов достигает 14,9 на 1000 пациенто-лет, что свидетельствует о том, что риск не ограничивается пожилыми людьми. Перенесенный инсульт или ТИА являются важным тревожным признаком: у </w:t>
      </w:r>
      <w:r w:rsidR="006227E1">
        <w:rPr>
          <w:rFonts w:ascii="Times New Roman" w:hAnsi="Times New Roman" w:cs="Times New Roman"/>
          <w:sz w:val="28"/>
          <w:szCs w:val="28"/>
        </w:rPr>
        <w:t>больных</w:t>
      </w:r>
      <w:r w:rsidRPr="009F51FB">
        <w:rPr>
          <w:rFonts w:ascii="Times New Roman" w:hAnsi="Times New Roman" w:cs="Times New Roman"/>
          <w:sz w:val="28"/>
          <w:szCs w:val="28"/>
        </w:rPr>
        <w:t xml:space="preserve"> с предшествующим инсультом риск рецидива в 2,3 раза выше. Социальные факторы как низкий доход увеличивает долгосрочную смертность после инсульта, а социальная изоляция утраивает риск инсульта у мужчин и более чем удваивает его у женщин. Постоянная занятость до инсульта была связана с более быстрым восстановлением в течение 3 месяцев (OР 2,89)</w:t>
      </w:r>
      <w:r w:rsidR="00FB1261" w:rsidRPr="00FB1261">
        <w:rPr>
          <w:rFonts w:ascii="Times New Roman" w:hAnsi="Times New Roman" w:cs="Times New Roman"/>
          <w:sz w:val="28"/>
          <w:szCs w:val="28"/>
        </w:rPr>
        <w:t xml:space="preserve"> [84]</w:t>
      </w:r>
      <w:r w:rsidRPr="009F51FB">
        <w:rPr>
          <w:rFonts w:ascii="Times New Roman" w:hAnsi="Times New Roman" w:cs="Times New Roman"/>
          <w:sz w:val="28"/>
          <w:szCs w:val="28"/>
        </w:rPr>
        <w:t xml:space="preserve">. Перенесшие инсульт сталкиваются с целым рядом осложнений и проблем, влияющих на восстановление и долгосрочные результаты. Наличие множественных сопутствующих заболеваний строго предсказывало неблагоприятные исходы; например, неблагоприятные показатели исходов через 12 месяцев после инсульта увеличивались с 24,8% у </w:t>
      </w:r>
      <w:r w:rsidR="006227E1">
        <w:rPr>
          <w:rFonts w:ascii="Times New Roman" w:hAnsi="Times New Roman" w:cs="Times New Roman"/>
          <w:sz w:val="28"/>
          <w:szCs w:val="28"/>
        </w:rPr>
        <w:t>больных</w:t>
      </w:r>
      <w:r w:rsidRPr="009F51FB">
        <w:rPr>
          <w:rFonts w:ascii="Times New Roman" w:hAnsi="Times New Roman" w:cs="Times New Roman"/>
          <w:sz w:val="28"/>
          <w:szCs w:val="28"/>
        </w:rPr>
        <w:t xml:space="preserve"> без сопутствующих заболеваний до 59,4% у </w:t>
      </w:r>
      <w:r w:rsidR="006227E1">
        <w:rPr>
          <w:rFonts w:ascii="Times New Roman" w:hAnsi="Times New Roman" w:cs="Times New Roman"/>
          <w:sz w:val="28"/>
          <w:szCs w:val="28"/>
        </w:rPr>
        <w:t>больных</w:t>
      </w:r>
      <w:r w:rsidRPr="009F51FB">
        <w:rPr>
          <w:rFonts w:ascii="Times New Roman" w:hAnsi="Times New Roman" w:cs="Times New Roman"/>
          <w:sz w:val="28"/>
          <w:szCs w:val="28"/>
        </w:rPr>
        <w:t xml:space="preserve"> с четырьмя или более сопутствующими заболеваниями, увеличиваясь далее до 81,7% через 5 лет</w:t>
      </w:r>
      <w:r w:rsidR="00FB1261" w:rsidRPr="00FB1261">
        <w:rPr>
          <w:rFonts w:ascii="Times New Roman" w:hAnsi="Times New Roman" w:cs="Times New Roman"/>
          <w:sz w:val="28"/>
          <w:szCs w:val="28"/>
        </w:rPr>
        <w:t xml:space="preserve"> [85]</w:t>
      </w:r>
      <w:r w:rsidRPr="009F51FB">
        <w:rPr>
          <w:rFonts w:ascii="Times New Roman" w:hAnsi="Times New Roman" w:cs="Times New Roman"/>
          <w:sz w:val="28"/>
          <w:szCs w:val="28"/>
        </w:rPr>
        <w:t xml:space="preserve">. </w:t>
      </w:r>
    </w:p>
    <w:p w14:paraId="2E6D36E8" w14:textId="46B968C8" w:rsidR="00AD0853" w:rsidRPr="009F51FB" w:rsidRDefault="00AD0853" w:rsidP="00533899">
      <w:pPr>
        <w:tabs>
          <w:tab w:val="left" w:pos="1134"/>
        </w:tabs>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 xml:space="preserve">Абдильманова Б.Р. отметила, что все известные факторы риска развития инсульта – это разного рода клинические, биохимические, поведенческие и другие причины, характеризующиеся высоким влиянием на вероятность возникновения этого заболевания. Все эти факторы способствовали организации системы оказания медицинской помощи </w:t>
      </w:r>
      <w:r w:rsidR="006227E1">
        <w:rPr>
          <w:rFonts w:ascii="Times New Roman" w:hAnsi="Times New Roman" w:cs="Times New Roman"/>
          <w:sz w:val="28"/>
          <w:szCs w:val="28"/>
        </w:rPr>
        <w:t>больным</w:t>
      </w:r>
      <w:r w:rsidRPr="009F51FB">
        <w:rPr>
          <w:rFonts w:ascii="Times New Roman" w:hAnsi="Times New Roman" w:cs="Times New Roman"/>
          <w:sz w:val="28"/>
          <w:szCs w:val="28"/>
        </w:rPr>
        <w:t xml:space="preserve"> с инсультом, разработки и введением в работу врачей клинических протоколов, направленных на раннюю диагностику и лечения, профилактику инсультов. Кроме того, наличие нескольких факторов увеличивает риск в 3 раза [</w:t>
      </w:r>
      <w:r w:rsidR="00FB1261" w:rsidRPr="00317136">
        <w:rPr>
          <w:rFonts w:ascii="Times New Roman" w:hAnsi="Times New Roman" w:cs="Times New Roman"/>
          <w:sz w:val="28"/>
          <w:szCs w:val="28"/>
        </w:rPr>
        <w:t>86,87</w:t>
      </w:r>
      <w:r w:rsidRPr="009F51FB">
        <w:rPr>
          <w:rFonts w:ascii="Times New Roman" w:hAnsi="Times New Roman" w:cs="Times New Roman"/>
          <w:sz w:val="28"/>
          <w:szCs w:val="28"/>
        </w:rPr>
        <w:t xml:space="preserve">]. На основе изучения факторов риска развития инсульта созданы различные модели прогнозирования. Острые нарушения мозгового кровообращения представляет актуальную </w:t>
      </w:r>
      <w:r w:rsidRPr="009F51FB">
        <w:rPr>
          <w:rFonts w:ascii="Times New Roman" w:hAnsi="Times New Roman" w:cs="Times New Roman"/>
          <w:sz w:val="28"/>
          <w:szCs w:val="28"/>
        </w:rPr>
        <w:lastRenderedPageBreak/>
        <w:t>проблему в обществе, требующей постоянного совершенствования профилактики, системы диагностики и лечения с учетом различных факторов на разных этапах оказания медицинской помощи.</w:t>
      </w:r>
    </w:p>
    <w:p w14:paraId="2EE02558" w14:textId="1BD1DD35" w:rsidR="00AD0853" w:rsidRPr="009F51FB" w:rsidRDefault="00AD0853" w:rsidP="00533899">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 xml:space="preserve">COVID-19 стал значимым фактором риска острого ишемического инсульта (ОИИ), и многочисленные исследования подтвердили эту связь с помощью различных клинических, рентгенологических и эпидемиологических данных. Совокупная частота инсульта среди </w:t>
      </w:r>
      <w:r w:rsidR="006227E1">
        <w:rPr>
          <w:rFonts w:ascii="Times New Roman" w:hAnsi="Times New Roman" w:cs="Times New Roman"/>
          <w:sz w:val="28"/>
          <w:szCs w:val="28"/>
        </w:rPr>
        <w:t>больных</w:t>
      </w:r>
      <w:r w:rsidRPr="009F51FB">
        <w:rPr>
          <w:rFonts w:ascii="Times New Roman" w:hAnsi="Times New Roman" w:cs="Times New Roman"/>
          <w:sz w:val="28"/>
          <w:szCs w:val="28"/>
        </w:rPr>
        <w:t xml:space="preserve"> с COVID-19 колеблется от 1,2% до 2%, причем ишемические инсульты составляют большинство (до 87,4%) цереброваскулярных событий</w:t>
      </w:r>
      <w:r w:rsidR="00FB1261" w:rsidRPr="00FB1261">
        <w:rPr>
          <w:rFonts w:ascii="Times New Roman" w:hAnsi="Times New Roman" w:cs="Times New Roman"/>
          <w:sz w:val="28"/>
          <w:szCs w:val="28"/>
        </w:rPr>
        <w:t xml:space="preserve"> [88]</w:t>
      </w:r>
      <w:r w:rsidRPr="009F51FB">
        <w:rPr>
          <w:rFonts w:ascii="Times New Roman" w:hAnsi="Times New Roman" w:cs="Times New Roman"/>
          <w:sz w:val="28"/>
          <w:szCs w:val="28"/>
        </w:rPr>
        <w:t>. Пациенты с COVID-19, у которых развивается инсульт, как правило, старше, имеют больше сопутствующих заболеваний, таких как гипертония (66%), диабет (40%) и гиперлипидемия (48%), и у них чаще встречаются окклюзия крупных сосудов и криптогенные подтипы инсульта</w:t>
      </w:r>
      <w:r w:rsidR="00FB1261" w:rsidRPr="00FB1261">
        <w:rPr>
          <w:rFonts w:ascii="Times New Roman" w:hAnsi="Times New Roman" w:cs="Times New Roman"/>
          <w:sz w:val="28"/>
          <w:szCs w:val="28"/>
        </w:rPr>
        <w:t xml:space="preserve"> [89]</w:t>
      </w:r>
      <w:r w:rsidRPr="009F51FB">
        <w:rPr>
          <w:rFonts w:ascii="Times New Roman" w:hAnsi="Times New Roman" w:cs="Times New Roman"/>
          <w:sz w:val="28"/>
          <w:szCs w:val="28"/>
        </w:rPr>
        <w:t xml:space="preserve">. Лабораторные данные обычно включают повышенный уровень D-димера, фибриногена и наличие антифосфолипидных антител, что указывает на сильный протромботический и воспалительный механизм. По сравнению с </w:t>
      </w:r>
      <w:r w:rsidR="006227E1">
        <w:rPr>
          <w:rFonts w:ascii="Times New Roman" w:hAnsi="Times New Roman" w:cs="Times New Roman"/>
          <w:sz w:val="28"/>
          <w:szCs w:val="28"/>
        </w:rPr>
        <w:t>больными</w:t>
      </w:r>
      <w:r w:rsidR="006227E1" w:rsidRPr="009F51FB">
        <w:rPr>
          <w:rFonts w:ascii="Times New Roman" w:hAnsi="Times New Roman" w:cs="Times New Roman"/>
          <w:sz w:val="28"/>
          <w:szCs w:val="28"/>
        </w:rPr>
        <w:t xml:space="preserve"> </w:t>
      </w:r>
      <w:r w:rsidRPr="009F51FB">
        <w:rPr>
          <w:rFonts w:ascii="Times New Roman" w:hAnsi="Times New Roman" w:cs="Times New Roman"/>
          <w:sz w:val="28"/>
          <w:szCs w:val="28"/>
        </w:rPr>
        <w:t xml:space="preserve">с инсультом, не связанными с COVID-19, </w:t>
      </w:r>
      <w:r w:rsidR="006227E1">
        <w:rPr>
          <w:rFonts w:ascii="Times New Roman" w:hAnsi="Times New Roman" w:cs="Times New Roman"/>
          <w:sz w:val="28"/>
          <w:szCs w:val="28"/>
        </w:rPr>
        <w:t>больные</w:t>
      </w:r>
      <w:r w:rsidRPr="009F51FB">
        <w:rPr>
          <w:rFonts w:ascii="Times New Roman" w:hAnsi="Times New Roman" w:cs="Times New Roman"/>
          <w:sz w:val="28"/>
          <w:szCs w:val="28"/>
        </w:rPr>
        <w:t xml:space="preserve"> с COVID-19, как правило, моложе (медиана −6 лет), имеют более тяжелые инсульты (медиана NIHSS +5) и сталкиваются со значительно более высокой внутрибольничной смертностью (O</w:t>
      </w:r>
      <w:r w:rsidR="00BF4517">
        <w:rPr>
          <w:rFonts w:ascii="Times New Roman" w:hAnsi="Times New Roman" w:cs="Times New Roman"/>
          <w:sz w:val="28"/>
          <w:szCs w:val="28"/>
        </w:rPr>
        <w:t>Р</w:t>
      </w:r>
      <w:r w:rsidRPr="009F51FB">
        <w:rPr>
          <w:rFonts w:ascii="Times New Roman" w:hAnsi="Times New Roman" w:cs="Times New Roman"/>
          <w:sz w:val="28"/>
          <w:szCs w:val="28"/>
        </w:rPr>
        <w:t xml:space="preserve"> = 5,21). Даже после выздоровления от COVID-19 у </w:t>
      </w:r>
      <w:r w:rsidR="006227E1">
        <w:rPr>
          <w:rFonts w:ascii="Times New Roman" w:hAnsi="Times New Roman" w:cs="Times New Roman"/>
          <w:sz w:val="28"/>
          <w:szCs w:val="28"/>
        </w:rPr>
        <w:t>больных</w:t>
      </w:r>
      <w:r w:rsidRPr="009F51FB">
        <w:rPr>
          <w:rFonts w:ascii="Times New Roman" w:hAnsi="Times New Roman" w:cs="Times New Roman"/>
          <w:sz w:val="28"/>
          <w:szCs w:val="28"/>
        </w:rPr>
        <w:t xml:space="preserve"> выше долгосрочный риск ишемического инсульта с отношением рисков 2,06 за 9-месячный период по сравнению с неинфицированными лицами контрольной группы. Риск инсульта особенно повышен у </w:t>
      </w:r>
      <w:r w:rsidR="006227E1">
        <w:rPr>
          <w:rFonts w:ascii="Times New Roman" w:hAnsi="Times New Roman" w:cs="Times New Roman"/>
          <w:sz w:val="28"/>
          <w:szCs w:val="28"/>
        </w:rPr>
        <w:t>больных</w:t>
      </w:r>
      <w:r w:rsidR="006227E1" w:rsidRPr="009F51FB">
        <w:rPr>
          <w:rFonts w:ascii="Times New Roman" w:hAnsi="Times New Roman" w:cs="Times New Roman"/>
          <w:sz w:val="28"/>
          <w:szCs w:val="28"/>
        </w:rPr>
        <w:t xml:space="preserve"> </w:t>
      </w:r>
      <w:r w:rsidRPr="009F51FB">
        <w:rPr>
          <w:rFonts w:ascii="Times New Roman" w:hAnsi="Times New Roman" w:cs="Times New Roman"/>
          <w:sz w:val="28"/>
          <w:szCs w:val="28"/>
        </w:rPr>
        <w:t xml:space="preserve">с тяжелой или госпитализированной формой COVID-19. В данных регистра отмечены этнические различия: среди </w:t>
      </w:r>
      <w:r w:rsidR="006227E1">
        <w:rPr>
          <w:rFonts w:ascii="Times New Roman" w:hAnsi="Times New Roman" w:cs="Times New Roman"/>
          <w:sz w:val="28"/>
          <w:szCs w:val="28"/>
        </w:rPr>
        <w:t>больных</w:t>
      </w:r>
      <w:r w:rsidRPr="009F51FB">
        <w:rPr>
          <w:rFonts w:ascii="Times New Roman" w:hAnsi="Times New Roman" w:cs="Times New Roman"/>
          <w:sz w:val="28"/>
          <w:szCs w:val="28"/>
        </w:rPr>
        <w:t xml:space="preserve"> с инсультом выше доля азиатов и неиспаноязычных чернокожих, хотя скорректированные шансы по расе существенно не различались</w:t>
      </w:r>
      <w:r w:rsidR="00FB1261" w:rsidRPr="00FB1261">
        <w:rPr>
          <w:rFonts w:ascii="Times New Roman" w:hAnsi="Times New Roman" w:cs="Times New Roman"/>
          <w:sz w:val="28"/>
          <w:szCs w:val="28"/>
        </w:rPr>
        <w:t xml:space="preserve"> [90]</w:t>
      </w:r>
      <w:r w:rsidRPr="009F51FB">
        <w:rPr>
          <w:rFonts w:ascii="Times New Roman" w:hAnsi="Times New Roman" w:cs="Times New Roman"/>
          <w:sz w:val="28"/>
          <w:szCs w:val="28"/>
        </w:rPr>
        <w:t xml:space="preserve">. ОИИ в контексте COVID-19 связан с худшими исходами, более длительным пребыванием в отделении интенсивной терапии и большей зависимостью от искусственной вентиляции легких. Эти результаты подтверждают необходимость бдительности в профилактике инсульта, раннем распознавании и агрессивном лечении </w:t>
      </w:r>
      <w:r w:rsidR="006227E1">
        <w:rPr>
          <w:rFonts w:ascii="Times New Roman" w:hAnsi="Times New Roman" w:cs="Times New Roman"/>
          <w:sz w:val="28"/>
          <w:szCs w:val="28"/>
        </w:rPr>
        <w:t>больных</w:t>
      </w:r>
      <w:r w:rsidRPr="009F51FB">
        <w:rPr>
          <w:rFonts w:ascii="Times New Roman" w:hAnsi="Times New Roman" w:cs="Times New Roman"/>
          <w:sz w:val="28"/>
          <w:szCs w:val="28"/>
        </w:rPr>
        <w:t xml:space="preserve"> с COVID-19, особенно в острой фазе и раннем периоде восстановления</w:t>
      </w:r>
      <w:r w:rsidR="00FB1261" w:rsidRPr="00FB1261">
        <w:rPr>
          <w:rFonts w:ascii="Times New Roman" w:hAnsi="Times New Roman" w:cs="Times New Roman"/>
          <w:sz w:val="28"/>
          <w:szCs w:val="28"/>
        </w:rPr>
        <w:t xml:space="preserve"> [90-93</w:t>
      </w:r>
      <w:r w:rsidR="00FB1261" w:rsidRPr="00181665">
        <w:rPr>
          <w:rFonts w:ascii="Times New Roman" w:hAnsi="Times New Roman" w:cs="Times New Roman"/>
          <w:sz w:val="28"/>
          <w:szCs w:val="28"/>
        </w:rPr>
        <w:t>]</w:t>
      </w:r>
      <w:r w:rsidRPr="009F51FB">
        <w:rPr>
          <w:rFonts w:ascii="Times New Roman" w:hAnsi="Times New Roman" w:cs="Times New Roman"/>
          <w:sz w:val="28"/>
          <w:szCs w:val="28"/>
        </w:rPr>
        <w:t>.</w:t>
      </w:r>
    </w:p>
    <w:p w14:paraId="68056A3F" w14:textId="77777777" w:rsidR="00AD0853" w:rsidRPr="009F51FB" w:rsidRDefault="00AD0853" w:rsidP="00533899">
      <w:pPr>
        <w:spacing w:after="0" w:line="240" w:lineRule="auto"/>
        <w:ind w:firstLine="567"/>
        <w:jc w:val="both"/>
        <w:rPr>
          <w:rFonts w:ascii="Times New Roman" w:hAnsi="Times New Roman" w:cs="Times New Roman"/>
          <w:sz w:val="28"/>
          <w:szCs w:val="28"/>
        </w:rPr>
      </w:pPr>
      <w:r w:rsidRPr="009F51FB">
        <w:rPr>
          <w:rFonts w:ascii="Times New Roman" w:hAnsi="Times New Roman" w:cs="Times New Roman"/>
          <w:sz w:val="28"/>
          <w:szCs w:val="28"/>
        </w:rPr>
        <w:t>Таким образом, причины инсульта многогранны и включают в себя индивидуальные, экологические и социальные компоненты, увеличивающие риск заболевания. У женщин важное значение имеют особенности, связанные с полом, гормональным фоном, психосоциальным состоянием и репродуктивным здоровьем, что требует комплексной профилактики на протяжении всей жизни. Рецидивы инсульта представляют собой сложную проблему, обусловленную сочетанием биологических, клинических и генетических факторов. Для уменьшения тяжести заболевания необходимы эффективные меры и целенаправленные вмешательства, особенно в остром периоде. Раннее выявление и устранение факторов риска являются основой предотвращения как первичных, так и повторных инсультов.</w:t>
      </w:r>
    </w:p>
    <w:p w14:paraId="32C9E574" w14:textId="77777777" w:rsidR="00AD0853" w:rsidRPr="009F51FB" w:rsidRDefault="00AD0853" w:rsidP="00533899">
      <w:pPr>
        <w:spacing w:after="0" w:line="240" w:lineRule="auto"/>
        <w:ind w:firstLine="567"/>
        <w:jc w:val="both"/>
        <w:rPr>
          <w:rFonts w:ascii="Times New Roman" w:hAnsi="Times New Roman" w:cs="Times New Roman"/>
          <w:sz w:val="28"/>
          <w:szCs w:val="28"/>
        </w:rPr>
      </w:pPr>
    </w:p>
    <w:p w14:paraId="06746292" w14:textId="29F276F4" w:rsidR="00AD0853" w:rsidRPr="009F51FB" w:rsidRDefault="00AD0853" w:rsidP="00533899">
      <w:pPr>
        <w:pStyle w:val="a6"/>
        <w:numPr>
          <w:ilvl w:val="1"/>
          <w:numId w:val="16"/>
        </w:numPr>
        <w:ind w:left="0" w:firstLine="567"/>
        <w:jc w:val="both"/>
        <w:rPr>
          <w:sz w:val="28"/>
          <w:szCs w:val="28"/>
        </w:rPr>
      </w:pPr>
      <w:r w:rsidRPr="009F51FB">
        <w:rPr>
          <w:b/>
          <w:sz w:val="28"/>
          <w:szCs w:val="28"/>
        </w:rPr>
        <w:lastRenderedPageBreak/>
        <w:t xml:space="preserve">Организационные аспекты оказания медицинской помощи при </w:t>
      </w:r>
      <w:r w:rsidR="00BF4517" w:rsidRPr="00BF4517">
        <w:rPr>
          <w:b/>
          <w:sz w:val="28"/>
          <w:szCs w:val="28"/>
        </w:rPr>
        <w:t>острых нарушениях мозгового кровообращения</w:t>
      </w:r>
    </w:p>
    <w:p w14:paraId="39F61CD5" w14:textId="338C3E00" w:rsidR="00AD0853" w:rsidRPr="009F51FB" w:rsidRDefault="00AD0853" w:rsidP="00533899">
      <w:pPr>
        <w:pStyle w:val="a6"/>
        <w:ind w:left="0" w:firstLine="567"/>
        <w:jc w:val="both"/>
        <w:rPr>
          <w:sz w:val="28"/>
          <w:szCs w:val="28"/>
        </w:rPr>
      </w:pPr>
      <w:r w:rsidRPr="009F51FB">
        <w:rPr>
          <w:sz w:val="28"/>
          <w:szCs w:val="28"/>
        </w:rPr>
        <w:t xml:space="preserve">В последние годы наблюдается существенный сдвиг парадигмы в лечении острого ишемического инсульта в сторону более ранней реперфузионной терапии, в основном с использованием системного введения рекомбинантного тканевого активатора плазминогена. Последующие исследования показали эффективность этого метода лечения в сочетании с эндоваскулярной терапией у отдельных пациентов. Возросшая сложность лечения острого инсульта привела к существенной реорганизации системы оказания помощи при инсульте. </w:t>
      </w:r>
      <w:hyperlink r:id="rId11" w:history="1">
        <w:r w:rsidRPr="009F51FB">
          <w:rPr>
            <w:rStyle w:val="a3"/>
            <w:color w:val="auto"/>
            <w:sz w:val="28"/>
            <w:szCs w:val="28"/>
            <w:u w:val="none"/>
          </w:rPr>
          <w:t>Simone Vidale</w:t>
        </w:r>
      </w:hyperlink>
      <w:r w:rsidRPr="009F51FB">
        <w:rPr>
          <w:sz w:val="28"/>
          <w:szCs w:val="28"/>
        </w:rPr>
        <w:t xml:space="preserve"> и </w:t>
      </w:r>
      <w:hyperlink r:id="rId12" w:history="1">
        <w:r w:rsidRPr="009F51FB">
          <w:rPr>
            <w:rStyle w:val="a3"/>
            <w:color w:val="auto"/>
            <w:sz w:val="28"/>
            <w:szCs w:val="28"/>
            <w:u w:val="none"/>
          </w:rPr>
          <w:t>Elio Clemente Agostoni</w:t>
        </w:r>
      </w:hyperlink>
      <w:r w:rsidRPr="009F51FB">
        <w:rPr>
          <w:sz w:val="28"/>
          <w:szCs w:val="28"/>
        </w:rPr>
        <w:t xml:space="preserve"> в своей работе представили основные показатели и измерения эффективности лечения острого инсульта, которая представлена в таблице 2</w:t>
      </w:r>
      <w:r w:rsidR="00181665" w:rsidRPr="00181665">
        <w:rPr>
          <w:sz w:val="28"/>
          <w:szCs w:val="28"/>
        </w:rPr>
        <w:t xml:space="preserve"> [94]</w:t>
      </w:r>
      <w:r w:rsidRPr="009F51FB">
        <w:rPr>
          <w:sz w:val="28"/>
          <w:szCs w:val="28"/>
        </w:rPr>
        <w:t>.</w:t>
      </w:r>
    </w:p>
    <w:p w14:paraId="1224B71B" w14:textId="77777777" w:rsidR="004F3DDF" w:rsidRDefault="004F3DDF" w:rsidP="000F4E51">
      <w:pPr>
        <w:spacing w:after="0" w:line="240" w:lineRule="auto"/>
        <w:ind w:right="-284"/>
        <w:jc w:val="both"/>
        <w:rPr>
          <w:rFonts w:ascii="Times New Roman" w:hAnsi="Times New Roman" w:cs="Times New Roman"/>
          <w:sz w:val="28"/>
          <w:szCs w:val="28"/>
        </w:rPr>
      </w:pPr>
    </w:p>
    <w:p w14:paraId="31BCEE26" w14:textId="12C17EB5" w:rsidR="00AD0853" w:rsidRDefault="004F3DDF" w:rsidP="00533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2 - </w:t>
      </w:r>
      <w:r w:rsidR="00AD0853" w:rsidRPr="009F51FB">
        <w:rPr>
          <w:rFonts w:ascii="Times New Roman" w:hAnsi="Times New Roman" w:cs="Times New Roman"/>
          <w:sz w:val="28"/>
          <w:szCs w:val="28"/>
        </w:rPr>
        <w:t xml:space="preserve"> Расширенная временная шкала оказания помощи при инсульте: до госпитализации и внутри больницы</w:t>
      </w:r>
    </w:p>
    <w:p w14:paraId="2426A080" w14:textId="77777777" w:rsidR="004F3DDF" w:rsidRPr="009F51FB" w:rsidRDefault="004F3DDF" w:rsidP="000F4E51">
      <w:pPr>
        <w:spacing w:after="0" w:line="240" w:lineRule="auto"/>
        <w:ind w:right="-284"/>
        <w:jc w:val="both"/>
        <w:rPr>
          <w:rFonts w:ascii="Times New Roman" w:hAnsi="Times New Roman" w:cs="Times New Roman"/>
          <w:sz w:val="28"/>
          <w:szCs w:val="28"/>
        </w:rPr>
      </w:pPr>
    </w:p>
    <w:tbl>
      <w:tblPr>
        <w:tblStyle w:val="ae"/>
        <w:tblW w:w="9634" w:type="dxa"/>
        <w:tblLook w:val="04A0" w:firstRow="1" w:lastRow="0" w:firstColumn="1" w:lastColumn="0" w:noHBand="0" w:noVBand="1"/>
      </w:tblPr>
      <w:tblGrid>
        <w:gridCol w:w="3115"/>
        <w:gridCol w:w="3115"/>
        <w:gridCol w:w="3404"/>
      </w:tblGrid>
      <w:tr w:rsidR="00AD0853" w:rsidRPr="00BF4517" w14:paraId="33E0474A" w14:textId="77777777" w:rsidTr="005E6F1B">
        <w:tc>
          <w:tcPr>
            <w:tcW w:w="3115" w:type="dxa"/>
            <w:vAlign w:val="center"/>
          </w:tcPr>
          <w:p w14:paraId="3808E852" w14:textId="77777777" w:rsidR="00AD0853" w:rsidRPr="00BF4517" w:rsidRDefault="00AD0853" w:rsidP="000F4E51">
            <w:pPr>
              <w:pStyle w:val="a6"/>
              <w:ind w:left="0" w:right="180"/>
              <w:jc w:val="both"/>
            </w:pPr>
            <w:r w:rsidRPr="00BF4517">
              <w:t>Этап</w:t>
            </w:r>
          </w:p>
        </w:tc>
        <w:tc>
          <w:tcPr>
            <w:tcW w:w="3115" w:type="dxa"/>
            <w:vAlign w:val="center"/>
          </w:tcPr>
          <w:p w14:paraId="48C55453" w14:textId="77777777" w:rsidR="00AD0853" w:rsidRPr="00BF4517" w:rsidRDefault="00AD0853" w:rsidP="000F4E51">
            <w:pPr>
              <w:pStyle w:val="a6"/>
              <w:tabs>
                <w:tab w:val="left" w:pos="2588"/>
              </w:tabs>
              <w:ind w:left="0" w:right="308"/>
              <w:jc w:val="both"/>
            </w:pPr>
            <w:r w:rsidRPr="00BF4517">
              <w:t>Показатель/Цель</w:t>
            </w:r>
          </w:p>
        </w:tc>
        <w:tc>
          <w:tcPr>
            <w:tcW w:w="3404" w:type="dxa"/>
            <w:vAlign w:val="center"/>
          </w:tcPr>
          <w:p w14:paraId="5540D961" w14:textId="77777777" w:rsidR="00AD0853" w:rsidRPr="00BF4517" w:rsidRDefault="00AD0853" w:rsidP="000F4E51">
            <w:pPr>
              <w:pStyle w:val="a6"/>
              <w:ind w:left="0" w:right="27"/>
              <w:jc w:val="both"/>
            </w:pPr>
            <w:r w:rsidRPr="00BF4517">
              <w:t>Временные рамки / Описание</w:t>
            </w:r>
          </w:p>
        </w:tc>
      </w:tr>
      <w:tr w:rsidR="00AD0853" w:rsidRPr="00BF4517" w14:paraId="5EFCEAEE" w14:textId="77777777" w:rsidTr="005E6F1B">
        <w:tc>
          <w:tcPr>
            <w:tcW w:w="3115" w:type="dxa"/>
            <w:vMerge w:val="restart"/>
            <w:vAlign w:val="center"/>
          </w:tcPr>
          <w:p w14:paraId="3E1BAEAF" w14:textId="77777777" w:rsidR="00AD0853" w:rsidRPr="00BF4517" w:rsidRDefault="00AD0853" w:rsidP="000F4E51">
            <w:pPr>
              <w:pStyle w:val="a6"/>
              <w:ind w:left="0" w:right="180"/>
              <w:jc w:val="both"/>
            </w:pPr>
            <w:r w:rsidRPr="00BF4517">
              <w:t>До-госпитальный этап (скорая помощь)</w:t>
            </w:r>
          </w:p>
        </w:tc>
        <w:tc>
          <w:tcPr>
            <w:tcW w:w="3115" w:type="dxa"/>
            <w:vAlign w:val="center"/>
          </w:tcPr>
          <w:p w14:paraId="47095062" w14:textId="77777777" w:rsidR="00AD0853" w:rsidRPr="00BF4517" w:rsidRDefault="00AD0853" w:rsidP="000F4E51">
            <w:pPr>
              <w:pStyle w:val="a6"/>
              <w:tabs>
                <w:tab w:val="left" w:pos="2588"/>
              </w:tabs>
              <w:ind w:left="0" w:right="308"/>
              <w:jc w:val="both"/>
            </w:pPr>
            <w:r w:rsidRPr="00BF4517">
              <w:t>Распознавание симптомов инсульта сотрудниками скорой помощи</w:t>
            </w:r>
          </w:p>
        </w:tc>
        <w:tc>
          <w:tcPr>
            <w:tcW w:w="3404" w:type="dxa"/>
            <w:vAlign w:val="center"/>
          </w:tcPr>
          <w:p w14:paraId="4B5D8D27" w14:textId="77777777" w:rsidR="00AD0853" w:rsidRPr="00BF4517" w:rsidRDefault="00AD0853" w:rsidP="000F4E51">
            <w:pPr>
              <w:pStyle w:val="a6"/>
              <w:ind w:left="0" w:right="27"/>
              <w:jc w:val="both"/>
            </w:pPr>
            <w:r w:rsidRPr="00BF4517">
              <w:t>Немедленное выявление с помощью шкалы FAST (лицо, рука, речь, время)</w:t>
            </w:r>
          </w:p>
        </w:tc>
      </w:tr>
      <w:tr w:rsidR="00AD0853" w:rsidRPr="00BF4517" w14:paraId="79FD21F5" w14:textId="77777777" w:rsidTr="005E6F1B">
        <w:tc>
          <w:tcPr>
            <w:tcW w:w="3115" w:type="dxa"/>
            <w:vMerge/>
            <w:vAlign w:val="center"/>
          </w:tcPr>
          <w:p w14:paraId="27CD9D88" w14:textId="77777777" w:rsidR="00AD0853" w:rsidRPr="00BF4517" w:rsidRDefault="00AD0853" w:rsidP="000F4E51">
            <w:pPr>
              <w:pStyle w:val="a6"/>
              <w:ind w:left="0" w:right="180"/>
              <w:jc w:val="both"/>
            </w:pPr>
          </w:p>
        </w:tc>
        <w:tc>
          <w:tcPr>
            <w:tcW w:w="3115" w:type="dxa"/>
            <w:vAlign w:val="center"/>
          </w:tcPr>
          <w:p w14:paraId="1621218E" w14:textId="77777777" w:rsidR="00AD0853" w:rsidRPr="00BF4517" w:rsidRDefault="00AD0853" w:rsidP="000F4E51">
            <w:pPr>
              <w:pStyle w:val="a6"/>
              <w:tabs>
                <w:tab w:val="left" w:pos="2588"/>
              </w:tabs>
              <w:ind w:left="0" w:right="308"/>
              <w:jc w:val="both"/>
            </w:pPr>
            <w:r w:rsidRPr="00BF4517">
              <w:t>Активация протоколов инсульта на скорой помощи</w:t>
            </w:r>
          </w:p>
        </w:tc>
        <w:tc>
          <w:tcPr>
            <w:tcW w:w="3404" w:type="dxa"/>
            <w:vAlign w:val="center"/>
          </w:tcPr>
          <w:p w14:paraId="10111271" w14:textId="77777777" w:rsidR="00AD0853" w:rsidRPr="00BF4517" w:rsidRDefault="00AD0853" w:rsidP="000F4E51">
            <w:pPr>
              <w:pStyle w:val="a6"/>
              <w:ind w:left="0" w:right="27"/>
              <w:jc w:val="both"/>
            </w:pPr>
            <w:r w:rsidRPr="00BF4517">
              <w:t>Быстрый вызов и транспортировка в специализированный стационар</w:t>
            </w:r>
          </w:p>
        </w:tc>
      </w:tr>
      <w:tr w:rsidR="00AD0853" w:rsidRPr="00BF4517" w14:paraId="5902A4A5" w14:textId="77777777" w:rsidTr="005E6F1B">
        <w:tc>
          <w:tcPr>
            <w:tcW w:w="3115" w:type="dxa"/>
            <w:vMerge/>
            <w:vAlign w:val="center"/>
          </w:tcPr>
          <w:p w14:paraId="7F0CBAF2" w14:textId="77777777" w:rsidR="00AD0853" w:rsidRPr="00BF4517" w:rsidRDefault="00AD0853" w:rsidP="000F4E51">
            <w:pPr>
              <w:pStyle w:val="a6"/>
              <w:ind w:left="0" w:right="180"/>
              <w:jc w:val="both"/>
            </w:pPr>
          </w:p>
        </w:tc>
        <w:tc>
          <w:tcPr>
            <w:tcW w:w="3115" w:type="dxa"/>
            <w:vAlign w:val="center"/>
          </w:tcPr>
          <w:p w14:paraId="266CDB5D" w14:textId="77777777" w:rsidR="00AD0853" w:rsidRPr="00BF4517" w:rsidRDefault="00AD0853" w:rsidP="000F4E51">
            <w:pPr>
              <w:pStyle w:val="a6"/>
              <w:tabs>
                <w:tab w:val="left" w:pos="2588"/>
              </w:tabs>
              <w:ind w:left="0" w:right="308"/>
              <w:jc w:val="both"/>
            </w:pPr>
            <w:r w:rsidRPr="00BF4517">
              <w:t>Время на месте происшествия</w:t>
            </w:r>
          </w:p>
        </w:tc>
        <w:tc>
          <w:tcPr>
            <w:tcW w:w="3404" w:type="dxa"/>
            <w:vAlign w:val="center"/>
          </w:tcPr>
          <w:p w14:paraId="39284598" w14:textId="77777777" w:rsidR="00AD0853" w:rsidRPr="00BF4517" w:rsidRDefault="00AD0853" w:rsidP="000F4E51">
            <w:pPr>
              <w:pStyle w:val="a6"/>
              <w:ind w:left="0" w:right="27"/>
              <w:jc w:val="both"/>
            </w:pPr>
            <w:r w:rsidRPr="00BF4517">
              <w:t>Менее 15 минут с момента прибытия скорой до начала транспортировки</w:t>
            </w:r>
          </w:p>
        </w:tc>
      </w:tr>
      <w:tr w:rsidR="00AD0853" w:rsidRPr="00BF4517" w14:paraId="70151EE4" w14:textId="77777777" w:rsidTr="005E6F1B">
        <w:tc>
          <w:tcPr>
            <w:tcW w:w="3115" w:type="dxa"/>
            <w:vMerge/>
            <w:vAlign w:val="center"/>
          </w:tcPr>
          <w:p w14:paraId="55733245" w14:textId="77777777" w:rsidR="00AD0853" w:rsidRPr="00BF4517" w:rsidRDefault="00AD0853" w:rsidP="000F4E51">
            <w:pPr>
              <w:pStyle w:val="a6"/>
              <w:ind w:left="0" w:right="180"/>
              <w:jc w:val="both"/>
            </w:pPr>
          </w:p>
        </w:tc>
        <w:tc>
          <w:tcPr>
            <w:tcW w:w="3115" w:type="dxa"/>
            <w:vAlign w:val="center"/>
          </w:tcPr>
          <w:p w14:paraId="3F5C6339" w14:textId="77777777" w:rsidR="00AD0853" w:rsidRPr="00BF4517" w:rsidRDefault="00AD0853" w:rsidP="000F4E51">
            <w:pPr>
              <w:pStyle w:val="a6"/>
              <w:tabs>
                <w:tab w:val="left" w:pos="2588"/>
              </w:tabs>
              <w:ind w:left="0" w:right="308"/>
              <w:jc w:val="both"/>
            </w:pPr>
            <w:r w:rsidRPr="00BF4517">
              <w:t>Время транспортировки до больницы</w:t>
            </w:r>
          </w:p>
        </w:tc>
        <w:tc>
          <w:tcPr>
            <w:tcW w:w="3404" w:type="dxa"/>
            <w:vAlign w:val="center"/>
          </w:tcPr>
          <w:p w14:paraId="56575999" w14:textId="77777777" w:rsidR="00AD0853" w:rsidRPr="00BF4517" w:rsidRDefault="00AD0853" w:rsidP="000F4E51">
            <w:pPr>
              <w:pStyle w:val="a6"/>
              <w:ind w:left="0" w:right="27"/>
              <w:jc w:val="both"/>
            </w:pPr>
            <w:r w:rsidRPr="00BF4517">
              <w:t>Минимизация времени для прибытия в окно тромболизиса</w:t>
            </w:r>
          </w:p>
        </w:tc>
      </w:tr>
      <w:tr w:rsidR="00AD0853" w:rsidRPr="00BF4517" w14:paraId="4C8503E2" w14:textId="77777777" w:rsidTr="005E6F1B">
        <w:tc>
          <w:tcPr>
            <w:tcW w:w="3115" w:type="dxa"/>
            <w:vMerge/>
            <w:vAlign w:val="center"/>
          </w:tcPr>
          <w:p w14:paraId="754F08A3" w14:textId="77777777" w:rsidR="00AD0853" w:rsidRPr="00BF4517" w:rsidRDefault="00AD0853" w:rsidP="000F4E51">
            <w:pPr>
              <w:pStyle w:val="a6"/>
              <w:ind w:left="0" w:right="180"/>
              <w:jc w:val="both"/>
            </w:pPr>
          </w:p>
        </w:tc>
        <w:tc>
          <w:tcPr>
            <w:tcW w:w="3115" w:type="dxa"/>
            <w:vAlign w:val="center"/>
          </w:tcPr>
          <w:p w14:paraId="740B4022" w14:textId="77777777" w:rsidR="00AD0853" w:rsidRPr="00BF4517" w:rsidRDefault="00AD0853" w:rsidP="000F4E51">
            <w:pPr>
              <w:pStyle w:val="a6"/>
              <w:tabs>
                <w:tab w:val="left" w:pos="2588"/>
              </w:tabs>
              <w:ind w:left="0" w:right="308"/>
              <w:jc w:val="both"/>
            </w:pPr>
            <w:r w:rsidRPr="00BF4517">
              <w:t>Предварительное оповещение больницы</w:t>
            </w:r>
          </w:p>
        </w:tc>
        <w:tc>
          <w:tcPr>
            <w:tcW w:w="3404" w:type="dxa"/>
            <w:vAlign w:val="center"/>
          </w:tcPr>
          <w:p w14:paraId="6EA86058" w14:textId="77777777" w:rsidR="00AD0853" w:rsidRPr="00BF4517" w:rsidRDefault="00AD0853" w:rsidP="000F4E51">
            <w:pPr>
              <w:pStyle w:val="a6"/>
              <w:ind w:left="0" w:right="27"/>
              <w:jc w:val="both"/>
            </w:pPr>
            <w:r w:rsidRPr="00BF4517">
              <w:t>Скорая заранее предупреждает команду инсульта о пациенте</w:t>
            </w:r>
          </w:p>
        </w:tc>
      </w:tr>
      <w:tr w:rsidR="00AD0853" w:rsidRPr="00BF4517" w14:paraId="223A8E62" w14:textId="77777777" w:rsidTr="005E6F1B">
        <w:tc>
          <w:tcPr>
            <w:tcW w:w="3115" w:type="dxa"/>
            <w:vAlign w:val="center"/>
          </w:tcPr>
          <w:p w14:paraId="25F2CEF1" w14:textId="77777777" w:rsidR="00AD0853" w:rsidRPr="00BF4517" w:rsidRDefault="00AD0853" w:rsidP="000F4E51">
            <w:pPr>
              <w:pStyle w:val="a6"/>
              <w:ind w:left="0" w:right="180"/>
              <w:jc w:val="both"/>
            </w:pPr>
            <w:r w:rsidRPr="00BF4517">
              <w:t>Время от поступления до осмотра врачом</w:t>
            </w:r>
          </w:p>
        </w:tc>
        <w:tc>
          <w:tcPr>
            <w:tcW w:w="3115" w:type="dxa"/>
            <w:vAlign w:val="center"/>
          </w:tcPr>
          <w:p w14:paraId="6EF9C538" w14:textId="77777777" w:rsidR="00AD0853" w:rsidRPr="00BF4517" w:rsidRDefault="00AD0853" w:rsidP="000F4E51">
            <w:pPr>
              <w:pStyle w:val="a6"/>
              <w:tabs>
                <w:tab w:val="left" w:pos="2588"/>
              </w:tabs>
              <w:ind w:left="0" w:right="308"/>
              <w:jc w:val="both"/>
            </w:pPr>
            <w:r w:rsidRPr="00BF4517">
              <w:t>Время от прибытия до осмотра медицинским врачом</w:t>
            </w:r>
          </w:p>
        </w:tc>
        <w:tc>
          <w:tcPr>
            <w:tcW w:w="3404" w:type="dxa"/>
            <w:vAlign w:val="center"/>
          </w:tcPr>
          <w:p w14:paraId="7F0FF518" w14:textId="77777777" w:rsidR="00AD0853" w:rsidRPr="00BF4517" w:rsidRDefault="00AD0853" w:rsidP="000F4E51">
            <w:pPr>
              <w:pStyle w:val="a6"/>
              <w:ind w:left="0" w:right="27"/>
              <w:jc w:val="both"/>
            </w:pPr>
            <w:r w:rsidRPr="00BF4517">
              <w:t>Не более 10 минут</w:t>
            </w:r>
          </w:p>
        </w:tc>
      </w:tr>
      <w:tr w:rsidR="00AD0853" w:rsidRPr="00BF4517" w14:paraId="0024ADC0" w14:textId="77777777" w:rsidTr="005E6F1B">
        <w:tc>
          <w:tcPr>
            <w:tcW w:w="3115" w:type="dxa"/>
            <w:vAlign w:val="center"/>
          </w:tcPr>
          <w:p w14:paraId="3B751866" w14:textId="77777777" w:rsidR="00AD0853" w:rsidRPr="00BF4517" w:rsidRDefault="00AD0853" w:rsidP="000F4E51">
            <w:pPr>
              <w:pStyle w:val="a6"/>
              <w:ind w:left="0" w:right="180"/>
              <w:jc w:val="both"/>
            </w:pPr>
            <w:r w:rsidRPr="00BF4517">
              <w:t>Время от поступления до осмотра неврологом/специалистом по инсульту</w:t>
            </w:r>
          </w:p>
        </w:tc>
        <w:tc>
          <w:tcPr>
            <w:tcW w:w="3115" w:type="dxa"/>
            <w:vAlign w:val="center"/>
          </w:tcPr>
          <w:p w14:paraId="1635CFE2" w14:textId="77777777" w:rsidR="00AD0853" w:rsidRPr="00BF4517" w:rsidRDefault="00AD0853" w:rsidP="000F4E51">
            <w:pPr>
              <w:pStyle w:val="a6"/>
              <w:tabs>
                <w:tab w:val="left" w:pos="2588"/>
              </w:tabs>
              <w:ind w:left="0" w:right="308"/>
              <w:jc w:val="both"/>
            </w:pPr>
            <w:r w:rsidRPr="00BF4517">
              <w:t>Оценка неврологом</w:t>
            </w:r>
          </w:p>
        </w:tc>
        <w:tc>
          <w:tcPr>
            <w:tcW w:w="3404" w:type="dxa"/>
            <w:vAlign w:val="center"/>
          </w:tcPr>
          <w:p w14:paraId="2974C7E0" w14:textId="77777777" w:rsidR="00AD0853" w:rsidRPr="00BF4517" w:rsidRDefault="00AD0853" w:rsidP="000F4E51">
            <w:pPr>
              <w:pStyle w:val="a6"/>
              <w:ind w:left="0" w:right="27"/>
              <w:jc w:val="both"/>
            </w:pPr>
            <w:r w:rsidRPr="00BF4517">
              <w:t>Не более 15 минут</w:t>
            </w:r>
          </w:p>
        </w:tc>
      </w:tr>
      <w:tr w:rsidR="00AD0853" w:rsidRPr="00BF4517" w14:paraId="23255120" w14:textId="77777777" w:rsidTr="005E6F1B">
        <w:tc>
          <w:tcPr>
            <w:tcW w:w="3115" w:type="dxa"/>
            <w:vAlign w:val="center"/>
          </w:tcPr>
          <w:p w14:paraId="1A2A5C45" w14:textId="77777777" w:rsidR="00AD0853" w:rsidRPr="00BF4517" w:rsidRDefault="00AD0853" w:rsidP="000F4E51">
            <w:pPr>
              <w:pStyle w:val="a6"/>
              <w:ind w:left="0" w:right="180"/>
              <w:jc w:val="both"/>
            </w:pPr>
            <w:r w:rsidRPr="00BF4517">
              <w:t>Время от поступления до проведения КТ/МРТ</w:t>
            </w:r>
          </w:p>
        </w:tc>
        <w:tc>
          <w:tcPr>
            <w:tcW w:w="3115" w:type="dxa"/>
            <w:vAlign w:val="center"/>
          </w:tcPr>
          <w:p w14:paraId="66227B69" w14:textId="77777777" w:rsidR="00AD0853" w:rsidRPr="00BF4517" w:rsidRDefault="00AD0853" w:rsidP="000F4E51">
            <w:pPr>
              <w:pStyle w:val="a6"/>
              <w:tabs>
                <w:tab w:val="left" w:pos="2588"/>
              </w:tabs>
              <w:ind w:left="0" w:right="308"/>
              <w:jc w:val="both"/>
            </w:pPr>
            <w:r w:rsidRPr="00BF4517">
              <w:t>Выполнение нейровизуализации (КТ/МРТ)</w:t>
            </w:r>
          </w:p>
        </w:tc>
        <w:tc>
          <w:tcPr>
            <w:tcW w:w="3404" w:type="dxa"/>
            <w:vAlign w:val="center"/>
          </w:tcPr>
          <w:p w14:paraId="53E56A21" w14:textId="77777777" w:rsidR="00AD0853" w:rsidRPr="00BF4517" w:rsidRDefault="00AD0853" w:rsidP="000F4E51">
            <w:pPr>
              <w:pStyle w:val="a6"/>
              <w:ind w:left="0" w:right="27"/>
              <w:jc w:val="both"/>
            </w:pPr>
            <w:r w:rsidRPr="00BF4517">
              <w:t>Не более 25 минут</w:t>
            </w:r>
          </w:p>
        </w:tc>
      </w:tr>
      <w:tr w:rsidR="00AD0853" w:rsidRPr="00BF4517" w14:paraId="7C3E2902" w14:textId="77777777" w:rsidTr="005E6F1B">
        <w:tc>
          <w:tcPr>
            <w:tcW w:w="3115" w:type="dxa"/>
            <w:vAlign w:val="center"/>
          </w:tcPr>
          <w:p w14:paraId="69A609FF" w14:textId="77777777" w:rsidR="00AD0853" w:rsidRPr="00BF4517" w:rsidRDefault="00AD0853" w:rsidP="000F4E51">
            <w:pPr>
              <w:pStyle w:val="a6"/>
              <w:ind w:left="0" w:right="180"/>
              <w:jc w:val="both"/>
            </w:pPr>
            <w:r w:rsidRPr="00BF4517">
              <w:t>Время от поступления до начала тромболитической терапии (тПа)</w:t>
            </w:r>
          </w:p>
        </w:tc>
        <w:tc>
          <w:tcPr>
            <w:tcW w:w="3115" w:type="dxa"/>
            <w:vAlign w:val="center"/>
          </w:tcPr>
          <w:p w14:paraId="21DA5F85" w14:textId="77777777" w:rsidR="00AD0853" w:rsidRPr="00BF4517" w:rsidRDefault="00AD0853" w:rsidP="000F4E51">
            <w:pPr>
              <w:pStyle w:val="a6"/>
              <w:tabs>
                <w:tab w:val="left" w:pos="2588"/>
              </w:tabs>
              <w:ind w:left="0" w:right="308"/>
              <w:jc w:val="both"/>
            </w:pPr>
            <w:r w:rsidRPr="00BF4517">
              <w:t>Старт внутривенной тромболизисной терапии</w:t>
            </w:r>
          </w:p>
        </w:tc>
        <w:tc>
          <w:tcPr>
            <w:tcW w:w="3404" w:type="dxa"/>
            <w:vAlign w:val="center"/>
          </w:tcPr>
          <w:p w14:paraId="518F29A9" w14:textId="77777777" w:rsidR="00AD0853" w:rsidRPr="00BF4517" w:rsidRDefault="00AD0853" w:rsidP="000F4E51">
            <w:pPr>
              <w:pStyle w:val="a6"/>
              <w:ind w:left="0" w:right="27"/>
              <w:jc w:val="both"/>
            </w:pPr>
            <w:r w:rsidRPr="00BF4517">
              <w:t>Не более 60 минут</w:t>
            </w:r>
          </w:p>
        </w:tc>
      </w:tr>
      <w:tr w:rsidR="00AD0853" w:rsidRPr="00BF4517" w14:paraId="4966C995" w14:textId="77777777" w:rsidTr="005E6F1B">
        <w:tc>
          <w:tcPr>
            <w:tcW w:w="3115" w:type="dxa"/>
            <w:vAlign w:val="center"/>
          </w:tcPr>
          <w:p w14:paraId="77B83227" w14:textId="77777777" w:rsidR="00AD0853" w:rsidRPr="00BF4517" w:rsidRDefault="00AD0853" w:rsidP="000F4E51">
            <w:pPr>
              <w:pStyle w:val="a6"/>
              <w:ind w:left="0" w:right="180"/>
              <w:jc w:val="both"/>
            </w:pPr>
            <w:r w:rsidRPr="00BF4517">
              <w:t>Время от поступления до пункции бедренной артерии (для эндоваскулярной терапии)</w:t>
            </w:r>
          </w:p>
        </w:tc>
        <w:tc>
          <w:tcPr>
            <w:tcW w:w="3115" w:type="dxa"/>
            <w:vAlign w:val="center"/>
          </w:tcPr>
          <w:p w14:paraId="7068E8E4" w14:textId="77777777" w:rsidR="00AD0853" w:rsidRPr="00BF4517" w:rsidRDefault="00AD0853" w:rsidP="000F4E51">
            <w:pPr>
              <w:pStyle w:val="a6"/>
              <w:tabs>
                <w:tab w:val="left" w:pos="2588"/>
              </w:tabs>
              <w:ind w:left="0" w:right="308"/>
              <w:jc w:val="both"/>
            </w:pPr>
            <w:r w:rsidRPr="00BF4517">
              <w:t>Начало эндоваскулярного вмешательства</w:t>
            </w:r>
          </w:p>
        </w:tc>
        <w:tc>
          <w:tcPr>
            <w:tcW w:w="3404" w:type="dxa"/>
            <w:vAlign w:val="center"/>
          </w:tcPr>
          <w:p w14:paraId="03BB743C" w14:textId="77777777" w:rsidR="00AD0853" w:rsidRPr="00BF4517" w:rsidRDefault="00AD0853" w:rsidP="000F4E51">
            <w:pPr>
              <w:pStyle w:val="a6"/>
              <w:ind w:left="0" w:right="27"/>
              <w:jc w:val="both"/>
            </w:pPr>
            <w:r w:rsidRPr="00BF4517">
              <w:t>Не более 120 минут</w:t>
            </w:r>
          </w:p>
        </w:tc>
      </w:tr>
      <w:tr w:rsidR="00AD0853" w:rsidRPr="00BF4517" w14:paraId="3ED45949" w14:textId="77777777" w:rsidTr="005E6F1B">
        <w:tc>
          <w:tcPr>
            <w:tcW w:w="3115" w:type="dxa"/>
            <w:vAlign w:val="center"/>
          </w:tcPr>
          <w:p w14:paraId="07504448" w14:textId="77777777" w:rsidR="00AD0853" w:rsidRPr="00BF4517" w:rsidRDefault="00AD0853" w:rsidP="000F4E51">
            <w:pPr>
              <w:pStyle w:val="a6"/>
              <w:ind w:left="0" w:right="180"/>
              <w:jc w:val="both"/>
            </w:pPr>
            <w:r w:rsidRPr="00BF4517">
              <w:lastRenderedPageBreak/>
              <w:t>Время от пункции до восстановления кровотока</w:t>
            </w:r>
          </w:p>
        </w:tc>
        <w:tc>
          <w:tcPr>
            <w:tcW w:w="3115" w:type="dxa"/>
            <w:vAlign w:val="center"/>
          </w:tcPr>
          <w:p w14:paraId="2D5827E5" w14:textId="77777777" w:rsidR="00AD0853" w:rsidRPr="00BF4517" w:rsidRDefault="00AD0853" w:rsidP="000F4E51">
            <w:pPr>
              <w:pStyle w:val="a6"/>
              <w:tabs>
                <w:tab w:val="left" w:pos="2588"/>
              </w:tabs>
              <w:ind w:left="0" w:right="308"/>
              <w:jc w:val="both"/>
            </w:pPr>
            <w:r w:rsidRPr="00BF4517">
              <w:t>Время до начала реканализации при эндоваскулярной терапии</w:t>
            </w:r>
          </w:p>
        </w:tc>
        <w:tc>
          <w:tcPr>
            <w:tcW w:w="3404" w:type="dxa"/>
            <w:vAlign w:val="center"/>
          </w:tcPr>
          <w:p w14:paraId="29FF3656" w14:textId="77777777" w:rsidR="00AD0853" w:rsidRPr="00BF4517" w:rsidRDefault="00AD0853" w:rsidP="000F4E51">
            <w:pPr>
              <w:pStyle w:val="a6"/>
              <w:ind w:left="0" w:right="27"/>
              <w:jc w:val="both"/>
            </w:pPr>
            <w:r w:rsidRPr="00BF4517">
              <w:t>Не более 45 минут</w:t>
            </w:r>
          </w:p>
        </w:tc>
      </w:tr>
      <w:tr w:rsidR="00AD0853" w:rsidRPr="00BF4517" w14:paraId="5CD0B774" w14:textId="77777777" w:rsidTr="005E6F1B">
        <w:trPr>
          <w:trHeight w:val="1345"/>
        </w:trPr>
        <w:tc>
          <w:tcPr>
            <w:tcW w:w="9634" w:type="dxa"/>
            <w:gridSpan w:val="3"/>
            <w:vAlign w:val="center"/>
          </w:tcPr>
          <w:p w14:paraId="73720967" w14:textId="77777777" w:rsidR="00AD0853" w:rsidRPr="006227E1" w:rsidRDefault="00AD0853" w:rsidP="006227E1">
            <w:pPr>
              <w:ind w:right="180"/>
              <w:jc w:val="both"/>
              <w:rPr>
                <w:rFonts w:ascii="Times New Roman" w:hAnsi="Times New Roman" w:cs="Times New Roman"/>
                <w:sz w:val="20"/>
                <w:szCs w:val="20"/>
              </w:rPr>
            </w:pPr>
            <w:r w:rsidRPr="006227E1">
              <w:rPr>
                <w:rFonts w:ascii="Times New Roman" w:hAnsi="Times New Roman" w:cs="Times New Roman"/>
                <w:sz w:val="20"/>
                <w:szCs w:val="20"/>
              </w:rPr>
              <w:t>Дополнительные особенности до-госпитального этапа:</w:t>
            </w:r>
          </w:p>
          <w:p w14:paraId="78DFA3FC" w14:textId="77777777" w:rsidR="00AD0853" w:rsidRPr="006227E1" w:rsidRDefault="00AD0853" w:rsidP="006227E1">
            <w:pPr>
              <w:numPr>
                <w:ilvl w:val="0"/>
                <w:numId w:val="3"/>
              </w:numPr>
              <w:ind w:left="0" w:right="180" w:firstLine="0"/>
              <w:jc w:val="both"/>
              <w:rPr>
                <w:rFonts w:ascii="Times New Roman" w:hAnsi="Times New Roman" w:cs="Times New Roman"/>
                <w:sz w:val="20"/>
                <w:szCs w:val="20"/>
              </w:rPr>
            </w:pPr>
            <w:r w:rsidRPr="006227E1">
              <w:rPr>
                <w:rFonts w:ascii="Times New Roman" w:hAnsi="Times New Roman" w:cs="Times New Roman"/>
                <w:sz w:val="20"/>
                <w:szCs w:val="20"/>
              </w:rPr>
              <w:t>Шкалы инсульта для скорой помощи: FAST, Cincinnati Prehospital Stroke Scale (CPSS), Los Angeles Prehospital Stroke Screen (LAPSS) — позволяют быстро определить инсульт.</w:t>
            </w:r>
          </w:p>
          <w:p w14:paraId="36A2E638" w14:textId="77777777" w:rsidR="00AD0853" w:rsidRPr="006227E1" w:rsidRDefault="00AD0853" w:rsidP="006227E1">
            <w:pPr>
              <w:numPr>
                <w:ilvl w:val="0"/>
                <w:numId w:val="3"/>
              </w:numPr>
              <w:ind w:left="0" w:right="180" w:firstLine="0"/>
              <w:jc w:val="both"/>
              <w:rPr>
                <w:rFonts w:ascii="Times New Roman" w:hAnsi="Times New Roman" w:cs="Times New Roman"/>
                <w:sz w:val="20"/>
                <w:szCs w:val="20"/>
              </w:rPr>
            </w:pPr>
            <w:r w:rsidRPr="006227E1">
              <w:rPr>
                <w:rFonts w:ascii="Times New Roman" w:hAnsi="Times New Roman" w:cs="Times New Roman"/>
                <w:sz w:val="20"/>
                <w:szCs w:val="20"/>
              </w:rPr>
              <w:t>Предварительное оповещение больницы: Скорая сообщает команде инсульта заранее для подготовки.</w:t>
            </w:r>
          </w:p>
          <w:p w14:paraId="2266CCEF" w14:textId="57BE4AE0" w:rsidR="00AD0853" w:rsidRPr="00BF4517" w:rsidRDefault="00AD0853" w:rsidP="006227E1">
            <w:pPr>
              <w:numPr>
                <w:ilvl w:val="0"/>
                <w:numId w:val="3"/>
              </w:numPr>
              <w:ind w:left="0" w:right="180" w:firstLine="0"/>
              <w:jc w:val="both"/>
              <w:rPr>
                <w:rFonts w:ascii="Times New Roman" w:hAnsi="Times New Roman" w:cs="Times New Roman"/>
                <w:sz w:val="24"/>
                <w:szCs w:val="24"/>
              </w:rPr>
            </w:pPr>
            <w:r w:rsidRPr="006227E1">
              <w:rPr>
                <w:rFonts w:ascii="Times New Roman" w:hAnsi="Times New Roman" w:cs="Times New Roman"/>
                <w:sz w:val="20"/>
                <w:szCs w:val="20"/>
              </w:rPr>
              <w:t xml:space="preserve">Прямой транспорт в специализированные центры инсульта: Протоколы скорой могут направлять </w:t>
            </w:r>
            <w:r w:rsidR="006227E1" w:rsidRPr="006227E1">
              <w:rPr>
                <w:rFonts w:ascii="Times New Roman" w:hAnsi="Times New Roman" w:cs="Times New Roman"/>
                <w:sz w:val="20"/>
                <w:szCs w:val="20"/>
              </w:rPr>
              <w:t xml:space="preserve">больного </w:t>
            </w:r>
            <w:r w:rsidRPr="006227E1">
              <w:rPr>
                <w:rFonts w:ascii="Times New Roman" w:hAnsi="Times New Roman" w:cs="Times New Roman"/>
                <w:sz w:val="20"/>
                <w:szCs w:val="20"/>
              </w:rPr>
              <w:t>сразу в первичные или комплексные центры инсульта, минуя обычные больницы.</w:t>
            </w:r>
          </w:p>
        </w:tc>
      </w:tr>
    </w:tbl>
    <w:p w14:paraId="0D0E2AC5" w14:textId="77777777" w:rsidR="00BF4517" w:rsidRDefault="00BF4517" w:rsidP="000F4E51">
      <w:pPr>
        <w:pStyle w:val="a6"/>
        <w:ind w:left="0" w:right="-284" w:firstLine="567"/>
        <w:jc w:val="both"/>
        <w:rPr>
          <w:sz w:val="28"/>
          <w:szCs w:val="28"/>
        </w:rPr>
      </w:pPr>
    </w:p>
    <w:p w14:paraId="4E1AB3AF" w14:textId="775182A7" w:rsidR="00AD0853" w:rsidRPr="009F51FB" w:rsidRDefault="00AD0853" w:rsidP="00533899">
      <w:pPr>
        <w:pStyle w:val="a6"/>
        <w:ind w:left="0" w:firstLine="567"/>
        <w:jc w:val="both"/>
        <w:rPr>
          <w:sz w:val="28"/>
          <w:szCs w:val="28"/>
        </w:rPr>
      </w:pPr>
      <w:r w:rsidRPr="009F51FB">
        <w:rPr>
          <w:sz w:val="28"/>
          <w:szCs w:val="28"/>
        </w:rPr>
        <w:t>Таким образом в таблице 2 указаны ключевые временные показатели и цели для оказания неотложной помощи при остром инсульте. Особое внимание уделяется минимизации времени на всех этапах, от до-госпитального вмешательства скорой помощи до начала тромболитической и эндоваскулярной терапии. Соблюдение этих временных рамок критично для повышения эффективности лечения и улучшения исходов для пациентов.</w:t>
      </w:r>
    </w:p>
    <w:p w14:paraId="716C128B" w14:textId="77777777" w:rsidR="00AD0853" w:rsidRPr="009F51FB" w:rsidRDefault="00AD0853" w:rsidP="00533899">
      <w:pPr>
        <w:pStyle w:val="a6"/>
        <w:ind w:left="0" w:firstLine="567"/>
        <w:jc w:val="both"/>
        <w:rPr>
          <w:sz w:val="28"/>
          <w:szCs w:val="28"/>
        </w:rPr>
      </w:pPr>
      <w:r w:rsidRPr="009F51FB">
        <w:rPr>
          <w:rFonts w:eastAsia="Calibri"/>
          <w:sz w:val="28"/>
          <w:szCs w:val="28"/>
        </w:rPr>
        <w:t>Мобильные инсультные бригады (Mobile Stroke Units, MSU) — это специализированные реанимобили, оснащённые компьютерным томографом, лабораторным оборудованием и необходимыми препаратами, включая тканевой активатор плазминогена (tPA), что позволяет проводить диагностику и лечение инсульта непосредственно на месте вызова. Впервые они появились в Саарланде (Германия) в 2008 году и к настоящему времени функционируют более чем в 25 центрах по всему миру. Главная цель MSU — сократить время до тромболизиса и улучшить исходы за счёт доставки специализированной помощи на догоспитальном этапе. Обычно бригада включает парамедиков, рентгенлаборанта, медицинскую сестру или ассистента врача и невролога, находящегося на борту или подключённого по телемедицине. Несмотря на доказанную эффективность, широкое внедрение MSU ограничено высокой стоимостью (около 1 млн долларов на закупку и до 1 млн долларов ежегодно на обслуживание), отсутствием страхового возмещения и сложностями интеграции в региональные системы скорой помощи, особенно в сельских районах.</w:t>
      </w:r>
    </w:p>
    <w:p w14:paraId="5A1053C2" w14:textId="0407C847" w:rsidR="00AD0853" w:rsidRPr="00967575" w:rsidRDefault="00AD0853" w:rsidP="00533899">
      <w:pPr>
        <w:pStyle w:val="a6"/>
        <w:ind w:left="0" w:firstLine="567"/>
        <w:jc w:val="both"/>
        <w:rPr>
          <w:sz w:val="28"/>
          <w:szCs w:val="28"/>
        </w:rPr>
      </w:pPr>
      <w:r w:rsidRPr="009F51FB">
        <w:rPr>
          <w:rFonts w:eastAsia="Calibri"/>
          <w:sz w:val="28"/>
          <w:szCs w:val="28"/>
        </w:rPr>
        <w:t xml:space="preserve">Эффективность MSU подтверждена рядом исследований. Так, в исследовании PHANTOM-S (Берлин) время от вызова до тромболизиса сократилось на 15–25 минут, а доля </w:t>
      </w:r>
      <w:r w:rsidR="006227E1">
        <w:rPr>
          <w:sz w:val="28"/>
          <w:szCs w:val="28"/>
        </w:rPr>
        <w:t>больных</w:t>
      </w:r>
      <w:r w:rsidRPr="009F51FB">
        <w:rPr>
          <w:rFonts w:eastAsia="Calibri"/>
          <w:sz w:val="28"/>
          <w:szCs w:val="28"/>
        </w:rPr>
        <w:t>, получивших лечение в «золотой час», значительно увеличилась. Последующие крупные испытания, включая B_PROUD и BEST-MSU, продемонстрировали, что использование MSU обеспечивает не только более быстрое начало терапии, но и достоверное улучшение функциональных исходов, при этом частота осложнений, включая симптомные внутричерепные кровоизлияния и летальность, остаётся сопоставимой со стандартной догоспитальной помощью</w:t>
      </w:r>
      <w:r w:rsidR="00181665" w:rsidRPr="00181665">
        <w:rPr>
          <w:rFonts w:eastAsia="Calibri"/>
          <w:sz w:val="28"/>
          <w:szCs w:val="28"/>
        </w:rPr>
        <w:t xml:space="preserve"> [13,</w:t>
      </w:r>
      <w:r w:rsidR="00181665" w:rsidRPr="00967575">
        <w:rPr>
          <w:rFonts w:eastAsia="Calibri"/>
          <w:sz w:val="28"/>
          <w:szCs w:val="28"/>
        </w:rPr>
        <w:t xml:space="preserve"> 95-97].</w:t>
      </w:r>
    </w:p>
    <w:p w14:paraId="3F6A1DA8" w14:textId="4AAE7F6E" w:rsidR="00AD0853" w:rsidRPr="009F51FB" w:rsidRDefault="00AD0853" w:rsidP="00533899">
      <w:pPr>
        <w:pStyle w:val="a6"/>
        <w:ind w:left="0" w:firstLine="567"/>
        <w:jc w:val="both"/>
        <w:rPr>
          <w:rFonts w:eastAsia="Calibri"/>
          <w:sz w:val="28"/>
          <w:szCs w:val="28"/>
        </w:rPr>
      </w:pPr>
      <w:r w:rsidRPr="009F51FB">
        <w:rPr>
          <w:rFonts w:eastAsia="Calibri"/>
          <w:sz w:val="28"/>
          <w:szCs w:val="28"/>
        </w:rPr>
        <w:t xml:space="preserve">Представленная таблица </w:t>
      </w:r>
      <w:r w:rsidRPr="009F51FB">
        <w:rPr>
          <w:sz w:val="28"/>
          <w:szCs w:val="28"/>
        </w:rPr>
        <w:t xml:space="preserve">3 </w:t>
      </w:r>
      <w:r w:rsidRPr="009F51FB">
        <w:rPr>
          <w:rFonts w:eastAsia="Calibri"/>
          <w:sz w:val="28"/>
          <w:szCs w:val="28"/>
        </w:rPr>
        <w:t xml:space="preserve">обобщает результаты этих ключевых исследований, а также основные барьеры и возможные пути их преодоления при внедрении MSU. Основные препятствия включают финансовые и инфраструктурные ограничения, высокую стоимость приобретения и эксплуатации специализированных автомобилей, необходимость интеграции с </w:t>
      </w:r>
      <w:r w:rsidRPr="009F51FB">
        <w:rPr>
          <w:rFonts w:eastAsia="Calibri"/>
          <w:sz w:val="28"/>
          <w:szCs w:val="28"/>
        </w:rPr>
        <w:lastRenderedPageBreak/>
        <w:t>существующими системами скорой помощи и ограниченную применимость в сельских регионах. Предлагаемые решения включают государственное и страховое финансирование, использование альтернативных препаратов (например, тенектеплазы), развитие телемедицинских и гибридных моделей (включая вертолётные MSU), а также оптимизацию маршрутизации и алгоритмов догоспитального триажа</w:t>
      </w:r>
      <w:r w:rsidR="00181665" w:rsidRPr="00181665">
        <w:rPr>
          <w:rFonts w:eastAsia="Calibri"/>
          <w:sz w:val="28"/>
          <w:szCs w:val="28"/>
        </w:rPr>
        <w:t xml:space="preserve"> [98-100]</w:t>
      </w:r>
      <w:r w:rsidRPr="009F51FB">
        <w:rPr>
          <w:rFonts w:eastAsia="Calibri"/>
          <w:sz w:val="28"/>
          <w:szCs w:val="28"/>
        </w:rPr>
        <w:t>.</w:t>
      </w:r>
    </w:p>
    <w:p w14:paraId="022C60B7" w14:textId="3056A72D" w:rsidR="00AD0853" w:rsidRPr="009F51FB" w:rsidRDefault="00AD0853" w:rsidP="00533899">
      <w:pPr>
        <w:pStyle w:val="a6"/>
        <w:ind w:left="0" w:firstLine="567"/>
        <w:jc w:val="both"/>
        <w:rPr>
          <w:sz w:val="28"/>
          <w:szCs w:val="28"/>
        </w:rPr>
      </w:pPr>
      <w:r w:rsidRPr="009F51FB">
        <w:rPr>
          <w:sz w:val="28"/>
          <w:szCs w:val="28"/>
        </w:rPr>
        <w:t xml:space="preserve">Обзор 2025 года проведения 13 исследований (5 РКИ, 6 обсервационных, 2 мета-анализов) с участием 39 800 </w:t>
      </w:r>
      <w:r w:rsidR="006227E1">
        <w:rPr>
          <w:sz w:val="28"/>
          <w:szCs w:val="28"/>
        </w:rPr>
        <w:t>больных</w:t>
      </w:r>
      <w:r w:rsidRPr="009F51FB">
        <w:rPr>
          <w:sz w:val="28"/>
          <w:szCs w:val="28"/>
        </w:rPr>
        <w:t xml:space="preserve">. </w:t>
      </w:r>
      <w:r w:rsidR="00A05E6F">
        <w:rPr>
          <w:sz w:val="28"/>
          <w:szCs w:val="28"/>
          <w:lang w:val="en-US"/>
        </w:rPr>
        <w:t>MSU</w:t>
      </w:r>
      <w:r w:rsidR="00A05E6F">
        <w:rPr>
          <w:sz w:val="28"/>
          <w:szCs w:val="28"/>
        </w:rPr>
        <w:t xml:space="preserve"> позволило сократить </w:t>
      </w:r>
      <w:r w:rsidRPr="009F51FB">
        <w:rPr>
          <w:sz w:val="28"/>
          <w:szCs w:val="28"/>
        </w:rPr>
        <w:t xml:space="preserve">среднее время от начала симптомов до тромболиза на 20–41 минуте и увеличили долю </w:t>
      </w:r>
      <w:r w:rsidR="006227E1">
        <w:rPr>
          <w:sz w:val="28"/>
          <w:szCs w:val="28"/>
        </w:rPr>
        <w:t>больных</w:t>
      </w:r>
      <w:r w:rsidRPr="009F51FB">
        <w:rPr>
          <w:sz w:val="28"/>
          <w:szCs w:val="28"/>
        </w:rPr>
        <w:t>, получивших лечение в «золотой час», от &lt;5% до 21–33%. Наилучшие результаты наблюдались в стандартных условиях и при наличии невролога на борту. Частота тромболиза возрастала на 10–20%, что сопровождалось улучшением исходов по mRS через 90 дней</w:t>
      </w:r>
      <w:r w:rsidR="00181665" w:rsidRPr="00181665">
        <w:rPr>
          <w:sz w:val="28"/>
          <w:szCs w:val="28"/>
        </w:rPr>
        <w:t xml:space="preserve"> [101,102]</w:t>
      </w:r>
      <w:r w:rsidRPr="009F51FB">
        <w:rPr>
          <w:sz w:val="28"/>
          <w:szCs w:val="28"/>
        </w:rPr>
        <w:t xml:space="preserve">. </w:t>
      </w:r>
    </w:p>
    <w:p w14:paraId="7B86F90F" w14:textId="4A34683A" w:rsidR="00AD0853" w:rsidRPr="000B546E" w:rsidRDefault="00AD0853" w:rsidP="00533899">
      <w:pPr>
        <w:pStyle w:val="a6"/>
        <w:ind w:left="0" w:firstLine="567"/>
        <w:jc w:val="both"/>
        <w:rPr>
          <w:rFonts w:eastAsia="Calibri"/>
          <w:sz w:val="28"/>
          <w:szCs w:val="28"/>
          <w:lang w:eastAsia="en-US"/>
        </w:rPr>
      </w:pPr>
      <w:r w:rsidRPr="009F51FB">
        <w:rPr>
          <w:rFonts w:eastAsia="Calibri"/>
          <w:sz w:val="28"/>
          <w:szCs w:val="28"/>
          <w:lang w:eastAsia="en-US"/>
        </w:rPr>
        <w:t xml:space="preserve">MSU являются эффективным и безопасным, хотя и ресурсоёмким компонентом системы неотложной помощи при инсульте, особенно в урбанизированных регионах и крупных медицинских сетях с оптимальной координацией и телемедицинской поддержкой. Несмотря на доказанную эффективность в странах с высоким уровнем дохода, </w:t>
      </w:r>
      <w:r w:rsidRPr="000B546E">
        <w:rPr>
          <w:rFonts w:eastAsia="Calibri"/>
          <w:sz w:val="28"/>
          <w:szCs w:val="28"/>
          <w:lang w:eastAsia="en-US"/>
        </w:rPr>
        <w:t xml:space="preserve">данные об их использовании, исходах и экономической эффективности в странах </w:t>
      </w:r>
      <w:r w:rsidR="00A05E6F" w:rsidRPr="000B546E">
        <w:rPr>
          <w:rFonts w:eastAsia="Calibri"/>
          <w:sz w:val="28"/>
          <w:szCs w:val="28"/>
          <w:lang w:eastAsia="en-US"/>
        </w:rPr>
        <w:t>СНСД о</w:t>
      </w:r>
      <w:r w:rsidRPr="000B546E">
        <w:rPr>
          <w:rFonts w:eastAsia="Calibri"/>
          <w:sz w:val="28"/>
          <w:szCs w:val="28"/>
          <w:lang w:eastAsia="en-US"/>
        </w:rPr>
        <w:t xml:space="preserve">граничены. В обзоре </w:t>
      </w:r>
      <w:r w:rsidR="00A05E6F" w:rsidRPr="000B546E">
        <w:rPr>
          <w:rFonts w:eastAsia="Calibri"/>
          <w:sz w:val="28"/>
          <w:szCs w:val="28"/>
          <w:lang w:eastAsia="en-US"/>
        </w:rPr>
        <w:t xml:space="preserve">включающий </w:t>
      </w:r>
      <w:r w:rsidRPr="000B546E">
        <w:rPr>
          <w:rFonts w:eastAsia="Calibri"/>
          <w:sz w:val="28"/>
          <w:szCs w:val="28"/>
          <w:lang w:eastAsia="en-US"/>
        </w:rPr>
        <w:t>11 исследований выделены дв</w:t>
      </w:r>
      <w:r w:rsidR="00A05E6F" w:rsidRPr="000B546E">
        <w:rPr>
          <w:rFonts w:eastAsia="Calibri"/>
          <w:sz w:val="28"/>
          <w:szCs w:val="28"/>
          <w:lang w:eastAsia="en-US"/>
        </w:rPr>
        <w:t>е работы проведенные в СНСД</w:t>
      </w:r>
      <w:r w:rsidRPr="000B546E">
        <w:rPr>
          <w:rFonts w:eastAsia="Calibri"/>
          <w:sz w:val="28"/>
          <w:szCs w:val="28"/>
          <w:lang w:eastAsia="en-US"/>
        </w:rPr>
        <w:t xml:space="preserve">: Cherian и соавт. описали первую MSU в Индии, обслужившую 14 </w:t>
      </w:r>
      <w:r w:rsidR="006227E1">
        <w:rPr>
          <w:sz w:val="28"/>
          <w:szCs w:val="28"/>
        </w:rPr>
        <w:t>больных</w:t>
      </w:r>
      <w:r w:rsidRPr="000B546E">
        <w:rPr>
          <w:rFonts w:eastAsia="Calibri"/>
          <w:sz w:val="28"/>
          <w:szCs w:val="28"/>
          <w:lang w:eastAsia="en-US"/>
        </w:rPr>
        <w:t xml:space="preserve"> с улучшенными показателями тромболизиса и функциональных исходов, но с высокими затратами и организационными трудностями; </w:t>
      </w:r>
      <w:r w:rsidR="00181665" w:rsidRPr="000B546E">
        <w:rPr>
          <w:sz w:val="28"/>
          <w:szCs w:val="28"/>
        </w:rPr>
        <w:t>Opare-Addo</w:t>
      </w:r>
      <w:r w:rsidRPr="000B546E">
        <w:rPr>
          <w:rFonts w:eastAsia="Calibri"/>
          <w:sz w:val="28"/>
          <w:szCs w:val="28"/>
          <w:lang w:eastAsia="en-US"/>
        </w:rPr>
        <w:t xml:space="preserve"> и соавт. отметили полное отсутствие инсультных отделений, включая MSU, в штате Риверс, Нигерия</w:t>
      </w:r>
      <w:r w:rsidR="00181665" w:rsidRPr="000B546E">
        <w:rPr>
          <w:rFonts w:eastAsia="Calibri"/>
          <w:sz w:val="28"/>
          <w:szCs w:val="28"/>
          <w:lang w:eastAsia="en-US"/>
        </w:rPr>
        <w:t xml:space="preserve"> [103,104]</w:t>
      </w:r>
      <w:r w:rsidRPr="000B546E">
        <w:rPr>
          <w:rFonts w:eastAsia="Calibri"/>
          <w:sz w:val="28"/>
          <w:szCs w:val="28"/>
          <w:lang w:eastAsia="en-US"/>
        </w:rPr>
        <w:t>.</w:t>
      </w:r>
    </w:p>
    <w:p w14:paraId="040DB794" w14:textId="6E403E95" w:rsidR="00AD0853" w:rsidRPr="009F51FB" w:rsidRDefault="00AD0853" w:rsidP="00533899">
      <w:pPr>
        <w:pStyle w:val="a6"/>
        <w:ind w:left="0" w:firstLine="567"/>
        <w:jc w:val="both"/>
        <w:rPr>
          <w:sz w:val="28"/>
          <w:szCs w:val="28"/>
        </w:rPr>
      </w:pPr>
      <w:r w:rsidRPr="000B546E">
        <w:rPr>
          <w:rFonts w:eastAsia="Calibri"/>
          <w:sz w:val="28"/>
          <w:szCs w:val="28"/>
          <w:lang w:eastAsia="en-US"/>
        </w:rPr>
        <w:t xml:space="preserve">Эти данные подтверждают потенциал MSU для улучшения догоспитальной помощи при инсульте в </w:t>
      </w:r>
      <w:r w:rsidR="00A05E6F" w:rsidRPr="000B546E">
        <w:rPr>
          <w:rFonts w:eastAsia="Calibri"/>
          <w:sz w:val="28"/>
          <w:szCs w:val="28"/>
          <w:lang w:eastAsia="en-US"/>
        </w:rPr>
        <w:t>СНСД, однако,</w:t>
      </w:r>
      <w:r w:rsidRPr="000B546E">
        <w:rPr>
          <w:rFonts w:eastAsia="Calibri"/>
          <w:sz w:val="28"/>
          <w:szCs w:val="28"/>
          <w:lang w:eastAsia="en-US"/>
        </w:rPr>
        <w:t xml:space="preserve"> внедрение требует преодоления </w:t>
      </w:r>
      <w:r w:rsidRPr="009F51FB">
        <w:rPr>
          <w:rFonts w:eastAsia="Calibri"/>
          <w:sz w:val="28"/>
          <w:szCs w:val="28"/>
          <w:lang w:eastAsia="en-US"/>
        </w:rPr>
        <w:t>финансовых, инфраструктурных и регуляторных барьеров. Для этого необходимы целевые стратегии, включая повышение осведомленности населения, государственную поддержку и адаптацию конфигурации бригад, а также первичные исследования по клиническим исходам, экономической эффективности и оптимальным подходам к внедрению.</w:t>
      </w:r>
    </w:p>
    <w:p w14:paraId="0BC5E2DF" w14:textId="77777777" w:rsidR="00AD0853" w:rsidRPr="009F51FB" w:rsidRDefault="00AD0853" w:rsidP="00533899">
      <w:pPr>
        <w:pStyle w:val="a6"/>
        <w:ind w:firstLine="567"/>
        <w:jc w:val="both"/>
        <w:rPr>
          <w:sz w:val="28"/>
          <w:szCs w:val="28"/>
        </w:rPr>
      </w:pPr>
    </w:p>
    <w:p w14:paraId="65008A40" w14:textId="77777777" w:rsidR="00AD0853" w:rsidRPr="009F51FB" w:rsidRDefault="00AD0853" w:rsidP="000F4E51">
      <w:pPr>
        <w:pStyle w:val="a6"/>
        <w:ind w:left="0" w:right="-284" w:firstLine="567"/>
        <w:jc w:val="both"/>
        <w:rPr>
          <w:sz w:val="28"/>
          <w:szCs w:val="28"/>
        </w:rPr>
        <w:sectPr w:rsidR="00AD0853" w:rsidRPr="009F51FB" w:rsidSect="00533899">
          <w:footerReference w:type="default" r:id="rId13"/>
          <w:pgSz w:w="11906" w:h="16838"/>
          <w:pgMar w:top="1134" w:right="566" w:bottom="1134" w:left="1701" w:header="708" w:footer="708" w:gutter="0"/>
          <w:cols w:space="708"/>
          <w:docGrid w:linePitch="360"/>
        </w:sectPr>
      </w:pPr>
    </w:p>
    <w:p w14:paraId="60C49962" w14:textId="4E7DDB1F" w:rsidR="00AD0853" w:rsidRDefault="00AD0853" w:rsidP="000F4E51">
      <w:pPr>
        <w:pStyle w:val="a6"/>
        <w:ind w:right="-284" w:firstLine="567"/>
        <w:jc w:val="both"/>
        <w:rPr>
          <w:sz w:val="28"/>
          <w:szCs w:val="28"/>
        </w:rPr>
      </w:pPr>
      <w:r w:rsidRPr="009F51FB">
        <w:rPr>
          <w:sz w:val="28"/>
          <w:szCs w:val="28"/>
        </w:rPr>
        <w:lastRenderedPageBreak/>
        <w:t>Таблица</w:t>
      </w:r>
      <w:r w:rsidR="009F51FB">
        <w:rPr>
          <w:sz w:val="28"/>
          <w:szCs w:val="28"/>
        </w:rPr>
        <w:t xml:space="preserve"> 3</w:t>
      </w:r>
      <w:r w:rsidR="004F3DDF">
        <w:rPr>
          <w:sz w:val="28"/>
          <w:szCs w:val="28"/>
        </w:rPr>
        <w:t xml:space="preserve"> -</w:t>
      </w:r>
      <w:r w:rsidRPr="009F51FB">
        <w:rPr>
          <w:sz w:val="28"/>
          <w:szCs w:val="28"/>
        </w:rPr>
        <w:t xml:space="preserve"> Ключевые медицинские исследования и барьеры развития мобильных инсультных бригад</w:t>
      </w:r>
      <w:r w:rsidR="00A05E6F" w:rsidRPr="00A05E6F">
        <w:rPr>
          <w:sz w:val="28"/>
          <w:szCs w:val="28"/>
        </w:rPr>
        <w:t xml:space="preserve"> - </w:t>
      </w:r>
      <w:r w:rsidR="00A05E6F">
        <w:rPr>
          <w:sz w:val="28"/>
          <w:szCs w:val="28"/>
          <w:lang w:val="en-US"/>
        </w:rPr>
        <w:t>MSU</w:t>
      </w:r>
      <w:r w:rsidRPr="009F51FB">
        <w:rPr>
          <w:sz w:val="28"/>
          <w:szCs w:val="28"/>
        </w:rPr>
        <w:t xml:space="preserve"> </w:t>
      </w:r>
      <w:r w:rsidR="00EF60E5" w:rsidRPr="00EF60E5">
        <w:rPr>
          <w:sz w:val="28"/>
          <w:szCs w:val="28"/>
        </w:rPr>
        <w:t>[13]</w:t>
      </w:r>
    </w:p>
    <w:p w14:paraId="4D4C051C" w14:textId="77777777" w:rsidR="004F3DDF" w:rsidRPr="00EF60E5" w:rsidRDefault="004F3DDF" w:rsidP="000F4E51">
      <w:pPr>
        <w:pStyle w:val="a6"/>
        <w:ind w:right="-284" w:firstLine="567"/>
        <w:jc w:val="both"/>
        <w:rPr>
          <w:sz w:val="28"/>
          <w:szCs w:val="28"/>
        </w:rPr>
      </w:pPr>
    </w:p>
    <w:tbl>
      <w:tblPr>
        <w:tblStyle w:val="ae"/>
        <w:tblW w:w="14301" w:type="dxa"/>
        <w:tblInd w:w="720" w:type="dxa"/>
        <w:tblLook w:val="04A0" w:firstRow="1" w:lastRow="0" w:firstColumn="1" w:lastColumn="0" w:noHBand="0" w:noVBand="1"/>
      </w:tblPr>
      <w:tblGrid>
        <w:gridCol w:w="2130"/>
        <w:gridCol w:w="4311"/>
        <w:gridCol w:w="3182"/>
        <w:gridCol w:w="4678"/>
      </w:tblGrid>
      <w:tr w:rsidR="00AD0853" w:rsidRPr="009F51FB" w14:paraId="4FD36354" w14:textId="77777777" w:rsidTr="00533899">
        <w:tc>
          <w:tcPr>
            <w:tcW w:w="2130" w:type="dxa"/>
            <w:vAlign w:val="center"/>
          </w:tcPr>
          <w:p w14:paraId="713D2029" w14:textId="77777777" w:rsidR="00AD0853" w:rsidRPr="009F51FB" w:rsidRDefault="00AD0853" w:rsidP="000F4E51">
            <w:pPr>
              <w:pStyle w:val="a6"/>
              <w:ind w:left="0" w:right="111"/>
              <w:jc w:val="both"/>
            </w:pPr>
            <w:r w:rsidRPr="009F51FB">
              <w:rPr>
                <w:rFonts w:eastAsia="Calibri"/>
                <w:lang w:eastAsia="en-US"/>
              </w:rPr>
              <w:t>Аспект</w:t>
            </w:r>
          </w:p>
        </w:tc>
        <w:tc>
          <w:tcPr>
            <w:tcW w:w="4311" w:type="dxa"/>
            <w:vAlign w:val="center"/>
          </w:tcPr>
          <w:p w14:paraId="5107C3BF" w14:textId="77777777" w:rsidR="00AD0853" w:rsidRPr="009F51FB" w:rsidRDefault="00AD0853" w:rsidP="000F4E51">
            <w:pPr>
              <w:pStyle w:val="a6"/>
              <w:ind w:left="0" w:right="111"/>
              <w:jc w:val="both"/>
            </w:pPr>
            <w:r w:rsidRPr="009F51FB">
              <w:rPr>
                <w:rFonts w:eastAsia="Calibri"/>
                <w:lang w:eastAsia="en-US"/>
              </w:rPr>
              <w:t>Исследование B_PROUD</w:t>
            </w:r>
          </w:p>
        </w:tc>
        <w:tc>
          <w:tcPr>
            <w:tcW w:w="3182" w:type="dxa"/>
            <w:vAlign w:val="center"/>
          </w:tcPr>
          <w:p w14:paraId="31ED6428" w14:textId="77777777" w:rsidR="00AD0853" w:rsidRPr="009F51FB" w:rsidRDefault="00AD0853" w:rsidP="000F4E51">
            <w:pPr>
              <w:pStyle w:val="a6"/>
              <w:ind w:left="0" w:right="111"/>
              <w:jc w:val="both"/>
            </w:pPr>
            <w:r w:rsidRPr="009F51FB">
              <w:rPr>
                <w:rFonts w:eastAsia="Calibri"/>
                <w:lang w:eastAsia="en-US"/>
              </w:rPr>
              <w:t>Исследование BEST-MSU</w:t>
            </w:r>
          </w:p>
        </w:tc>
        <w:tc>
          <w:tcPr>
            <w:tcW w:w="4678" w:type="dxa"/>
            <w:vAlign w:val="center"/>
          </w:tcPr>
          <w:p w14:paraId="7B283057" w14:textId="77777777" w:rsidR="00AD0853" w:rsidRPr="009F51FB" w:rsidRDefault="00AD0853" w:rsidP="000F4E51">
            <w:pPr>
              <w:pStyle w:val="a6"/>
              <w:ind w:left="0" w:right="111"/>
              <w:jc w:val="both"/>
            </w:pPr>
            <w:r w:rsidRPr="009F51FB">
              <w:rPr>
                <w:rFonts w:eastAsia="Calibri"/>
                <w:lang w:eastAsia="en-US"/>
              </w:rPr>
              <w:t>Основные барьеры и потенциальные решения</w:t>
            </w:r>
          </w:p>
        </w:tc>
      </w:tr>
      <w:tr w:rsidR="00AD0853" w:rsidRPr="009F51FB" w14:paraId="76A100DB" w14:textId="77777777" w:rsidTr="00533899">
        <w:trPr>
          <w:trHeight w:val="1312"/>
        </w:trPr>
        <w:tc>
          <w:tcPr>
            <w:tcW w:w="2130" w:type="dxa"/>
            <w:vAlign w:val="center"/>
          </w:tcPr>
          <w:p w14:paraId="7B9672BE" w14:textId="77777777" w:rsidR="00AD0853" w:rsidRPr="009F51FB" w:rsidRDefault="00AD0853" w:rsidP="000F4E51">
            <w:pPr>
              <w:pStyle w:val="a6"/>
              <w:ind w:left="0" w:right="168"/>
              <w:jc w:val="both"/>
            </w:pPr>
            <w:r w:rsidRPr="009F51FB">
              <w:rPr>
                <w:rFonts w:eastAsia="Calibri"/>
                <w:lang w:eastAsia="en-US"/>
              </w:rPr>
              <w:t>Дизайн / место проведения</w:t>
            </w:r>
          </w:p>
        </w:tc>
        <w:tc>
          <w:tcPr>
            <w:tcW w:w="4311" w:type="dxa"/>
            <w:vAlign w:val="center"/>
          </w:tcPr>
          <w:p w14:paraId="55BCCC12" w14:textId="77777777" w:rsidR="00AD0853" w:rsidRPr="009F51FB" w:rsidRDefault="00AD0853" w:rsidP="000F4E51">
            <w:pPr>
              <w:pStyle w:val="a6"/>
              <w:ind w:left="0" w:right="168"/>
              <w:jc w:val="both"/>
            </w:pPr>
            <w:r w:rsidRPr="009F51FB">
              <w:rPr>
                <w:rFonts w:eastAsia="Calibri"/>
                <w:lang w:eastAsia="en-US"/>
              </w:rPr>
              <w:t>Проспективное, нерондомизированное, контролируемое исследование с ослеплённой оценкой исходов; 15 больниц, Берлин (Германия)</w:t>
            </w:r>
          </w:p>
        </w:tc>
        <w:tc>
          <w:tcPr>
            <w:tcW w:w="3182" w:type="dxa"/>
            <w:vAlign w:val="center"/>
          </w:tcPr>
          <w:p w14:paraId="46EDC1DB" w14:textId="77777777" w:rsidR="00AD0853" w:rsidRPr="009F51FB" w:rsidRDefault="00AD0853" w:rsidP="000F4E51">
            <w:pPr>
              <w:pStyle w:val="a6"/>
              <w:ind w:left="0" w:right="168"/>
              <w:jc w:val="both"/>
            </w:pPr>
            <w:r w:rsidRPr="009F51FB">
              <w:rPr>
                <w:rFonts w:eastAsia="Calibri"/>
                <w:lang w:eastAsia="en-US"/>
              </w:rPr>
              <w:t>Проспективное, многоцентровое, кластерно-контролируемое исследование с ослеплённой оценкой; 7 городов США</w:t>
            </w:r>
          </w:p>
        </w:tc>
        <w:tc>
          <w:tcPr>
            <w:tcW w:w="4678" w:type="dxa"/>
            <w:vAlign w:val="center"/>
          </w:tcPr>
          <w:p w14:paraId="24BF849F" w14:textId="77777777" w:rsidR="009F51FB" w:rsidRDefault="00AD0853" w:rsidP="000F4E51">
            <w:pPr>
              <w:pStyle w:val="a6"/>
              <w:ind w:left="0" w:right="168"/>
              <w:jc w:val="both"/>
              <w:rPr>
                <w:rFonts w:eastAsia="Calibri"/>
                <w:lang w:eastAsia="en-US"/>
              </w:rPr>
            </w:pPr>
            <w:r w:rsidRPr="009F51FB">
              <w:rPr>
                <w:rFonts w:eastAsia="Calibri"/>
                <w:lang w:eastAsia="en-US"/>
              </w:rPr>
              <w:t xml:space="preserve">Финансы: эффективность затрат остаётся неопределённой; стоимость ≈1 млн USD за покупку и до 1 млн USD ежегодно за эксплуатацию. </w:t>
            </w:r>
          </w:p>
          <w:p w14:paraId="2A32B6F1" w14:textId="010E82E0" w:rsidR="00AD0853" w:rsidRPr="009F51FB" w:rsidRDefault="00AD0853" w:rsidP="000F4E51">
            <w:pPr>
              <w:pStyle w:val="a6"/>
              <w:ind w:left="0" w:right="168"/>
              <w:jc w:val="both"/>
            </w:pPr>
            <w:r w:rsidRPr="009F51FB">
              <w:rPr>
                <w:rFonts w:eastAsia="Calibri"/>
                <w:lang w:eastAsia="en-US"/>
              </w:rPr>
              <w:t xml:space="preserve"> </w:t>
            </w:r>
            <w:r w:rsidRPr="009F51FB">
              <w:rPr>
                <w:rFonts w:eastAsia="Calibri"/>
                <w:i/>
                <w:iCs/>
                <w:lang w:eastAsia="en-US"/>
              </w:rPr>
              <w:t>Решения:</w:t>
            </w:r>
            <w:r w:rsidRPr="009F51FB">
              <w:rPr>
                <w:rFonts w:eastAsia="Calibri"/>
                <w:lang w:eastAsia="en-US"/>
              </w:rPr>
              <w:t xml:space="preserve"> интеграция с системами скорой помощи (EMS), государственное или страховое финансирование, применение тенектеплазы, расширение функций MSU.</w:t>
            </w:r>
          </w:p>
        </w:tc>
      </w:tr>
      <w:tr w:rsidR="00AD0853" w:rsidRPr="009F51FB" w14:paraId="6CB69637" w14:textId="77777777" w:rsidTr="00533899">
        <w:tc>
          <w:tcPr>
            <w:tcW w:w="2130" w:type="dxa"/>
            <w:vAlign w:val="center"/>
          </w:tcPr>
          <w:p w14:paraId="19AAD270" w14:textId="77777777" w:rsidR="00AD0853" w:rsidRPr="009F51FB" w:rsidRDefault="00AD0853" w:rsidP="000F4E51">
            <w:pPr>
              <w:pStyle w:val="a6"/>
              <w:ind w:left="0" w:right="168"/>
              <w:jc w:val="both"/>
            </w:pPr>
            <w:r w:rsidRPr="009F51FB">
              <w:rPr>
                <w:rFonts w:eastAsia="Calibri"/>
                <w:lang w:eastAsia="en-US"/>
              </w:rPr>
              <w:t>Размер выборки / период</w:t>
            </w:r>
          </w:p>
        </w:tc>
        <w:tc>
          <w:tcPr>
            <w:tcW w:w="4311" w:type="dxa"/>
            <w:vAlign w:val="center"/>
          </w:tcPr>
          <w:p w14:paraId="4957D659" w14:textId="77777777" w:rsidR="00AD0853" w:rsidRPr="009F51FB" w:rsidRDefault="00AD0853" w:rsidP="000F4E51">
            <w:pPr>
              <w:pStyle w:val="a6"/>
              <w:ind w:left="0" w:right="168"/>
              <w:jc w:val="both"/>
            </w:pPr>
            <w:r w:rsidRPr="009F51FB">
              <w:rPr>
                <w:rFonts w:eastAsia="Calibri"/>
                <w:lang w:eastAsia="en-US"/>
              </w:rPr>
              <w:t>1543 пациента (749 MSU, 794 стандартная помощь); февраль 2017 – май 2019</w:t>
            </w:r>
          </w:p>
        </w:tc>
        <w:tc>
          <w:tcPr>
            <w:tcW w:w="3182" w:type="dxa"/>
            <w:vAlign w:val="center"/>
          </w:tcPr>
          <w:p w14:paraId="49C6EEFF" w14:textId="77777777" w:rsidR="00AD0853" w:rsidRPr="009F51FB" w:rsidRDefault="00AD0853" w:rsidP="000F4E51">
            <w:pPr>
              <w:pStyle w:val="a6"/>
              <w:ind w:left="0" w:right="168"/>
              <w:jc w:val="both"/>
            </w:pPr>
            <w:r w:rsidRPr="009F51FB">
              <w:rPr>
                <w:rFonts w:eastAsia="Calibri"/>
                <w:lang w:eastAsia="en-US"/>
              </w:rPr>
              <w:t>1515 пациентов (886 MSU, 629 контроль), из них 1047 подходящих для тромболизиса; август 2014 – август 2020</w:t>
            </w:r>
          </w:p>
        </w:tc>
        <w:tc>
          <w:tcPr>
            <w:tcW w:w="4678" w:type="dxa"/>
            <w:vAlign w:val="center"/>
          </w:tcPr>
          <w:p w14:paraId="6FCB7E3B" w14:textId="22A9FD1F" w:rsidR="00AD0853" w:rsidRPr="009F51FB" w:rsidRDefault="00AD0853" w:rsidP="000F4E51">
            <w:pPr>
              <w:pStyle w:val="a6"/>
              <w:ind w:left="0" w:right="168"/>
              <w:jc w:val="both"/>
            </w:pPr>
            <w:r w:rsidRPr="009F51FB">
              <w:rPr>
                <w:rFonts w:eastAsia="Calibri"/>
                <w:lang w:eastAsia="en-US"/>
              </w:rPr>
              <w:t xml:space="preserve">Инфраструктура: несогласованность между EMS и инсультными центрами. </w:t>
            </w:r>
            <w:r w:rsidRPr="009F51FB">
              <w:rPr>
                <w:rFonts w:eastAsia="Calibri"/>
                <w:i/>
                <w:iCs/>
                <w:lang w:eastAsia="en-US"/>
              </w:rPr>
              <w:t>Решения:</w:t>
            </w:r>
            <w:r w:rsidRPr="009F51FB">
              <w:rPr>
                <w:rFonts w:eastAsia="Calibri"/>
                <w:lang w:eastAsia="en-US"/>
              </w:rPr>
              <w:t xml:space="preserve"> интеграция MSU в муниципальные EMS, стандартизация маршрутизации, совместный аудит и контроль качества.</w:t>
            </w:r>
          </w:p>
        </w:tc>
      </w:tr>
      <w:tr w:rsidR="00AD0853" w:rsidRPr="009F51FB" w14:paraId="29BA0973" w14:textId="77777777" w:rsidTr="00533899">
        <w:tc>
          <w:tcPr>
            <w:tcW w:w="2130" w:type="dxa"/>
            <w:vAlign w:val="center"/>
          </w:tcPr>
          <w:p w14:paraId="33ADB4B1" w14:textId="77777777" w:rsidR="00AD0853" w:rsidRPr="009F51FB" w:rsidRDefault="00AD0853" w:rsidP="000F4E51">
            <w:pPr>
              <w:pStyle w:val="a6"/>
              <w:ind w:left="0" w:right="168"/>
              <w:jc w:val="both"/>
            </w:pPr>
            <w:r w:rsidRPr="009F51FB">
              <w:rPr>
                <w:rFonts w:eastAsia="Calibri"/>
                <w:lang w:eastAsia="en-US"/>
              </w:rPr>
              <w:t>Критерии включения</w:t>
            </w:r>
          </w:p>
        </w:tc>
        <w:tc>
          <w:tcPr>
            <w:tcW w:w="4311" w:type="dxa"/>
            <w:vAlign w:val="center"/>
          </w:tcPr>
          <w:p w14:paraId="29F9B5C1" w14:textId="77777777" w:rsidR="00AD0853" w:rsidRPr="009F51FB" w:rsidRDefault="00AD0853" w:rsidP="000F4E51">
            <w:pPr>
              <w:pStyle w:val="a6"/>
              <w:ind w:left="0" w:right="168"/>
              <w:jc w:val="both"/>
            </w:pPr>
            <w:r w:rsidRPr="009F51FB">
              <w:rPr>
                <w:rFonts w:eastAsia="Calibri"/>
                <w:lang w:eastAsia="en-US"/>
              </w:rPr>
              <w:t>Пациенты ≥18 лет с ишемическим инсультом или ТИА, начало симптомов ≤4 ч, без противопоказаний к тромболизису/тромбэктомии</w:t>
            </w:r>
          </w:p>
        </w:tc>
        <w:tc>
          <w:tcPr>
            <w:tcW w:w="3182" w:type="dxa"/>
            <w:vAlign w:val="center"/>
          </w:tcPr>
          <w:p w14:paraId="6BBE8394" w14:textId="77777777" w:rsidR="00AD0853" w:rsidRPr="009F51FB" w:rsidRDefault="00AD0853" w:rsidP="000F4E51">
            <w:pPr>
              <w:pStyle w:val="a6"/>
              <w:ind w:left="0" w:right="168"/>
              <w:jc w:val="both"/>
            </w:pPr>
            <w:r w:rsidRPr="009F51FB">
              <w:rPr>
                <w:rFonts w:eastAsia="Calibri"/>
                <w:lang w:eastAsia="en-US"/>
              </w:rPr>
              <w:t>Подозрение на инвалидизирующий инсульт ≤4,5 ч от начала симптомов, без противопоказаний к введению tPA</w:t>
            </w:r>
          </w:p>
        </w:tc>
        <w:tc>
          <w:tcPr>
            <w:tcW w:w="4678" w:type="dxa"/>
            <w:vAlign w:val="center"/>
          </w:tcPr>
          <w:p w14:paraId="5FD97EE0" w14:textId="77777777" w:rsidR="009F51FB" w:rsidRDefault="00AD0853" w:rsidP="000F4E51">
            <w:pPr>
              <w:pStyle w:val="a6"/>
              <w:ind w:left="0" w:right="168"/>
              <w:jc w:val="both"/>
              <w:rPr>
                <w:rFonts w:eastAsia="Calibri"/>
                <w:lang w:eastAsia="en-US"/>
              </w:rPr>
            </w:pPr>
            <w:r w:rsidRPr="009F51FB">
              <w:rPr>
                <w:rFonts w:eastAsia="Calibri"/>
                <w:lang w:eastAsia="en-US"/>
              </w:rPr>
              <w:t xml:space="preserve">География: большинство MSU работают в городах. </w:t>
            </w:r>
          </w:p>
          <w:p w14:paraId="06CAB623" w14:textId="35E53257" w:rsidR="00AD0853" w:rsidRPr="009F51FB" w:rsidRDefault="00AD0853" w:rsidP="000F4E51">
            <w:pPr>
              <w:pStyle w:val="a6"/>
              <w:ind w:left="0" w:right="168"/>
              <w:jc w:val="both"/>
            </w:pPr>
            <w:r w:rsidRPr="009F51FB">
              <w:rPr>
                <w:rFonts w:eastAsia="Calibri"/>
                <w:i/>
                <w:iCs/>
                <w:lang w:eastAsia="en-US"/>
              </w:rPr>
              <w:t>Решения:</w:t>
            </w:r>
            <w:r w:rsidRPr="009F51FB">
              <w:rPr>
                <w:rFonts w:eastAsia="Calibri"/>
                <w:lang w:eastAsia="en-US"/>
              </w:rPr>
              <w:t xml:space="preserve"> развитие вертолётных MSU, использование промежуточных пунктов (rendezvous), пилотные проекты в сельских районах.</w:t>
            </w:r>
          </w:p>
        </w:tc>
      </w:tr>
      <w:tr w:rsidR="00AD0853" w:rsidRPr="009F51FB" w14:paraId="20DB68DE" w14:textId="77777777" w:rsidTr="00533899">
        <w:tc>
          <w:tcPr>
            <w:tcW w:w="2130" w:type="dxa"/>
            <w:vAlign w:val="center"/>
          </w:tcPr>
          <w:p w14:paraId="6109451C" w14:textId="77777777" w:rsidR="00AD0853" w:rsidRPr="009F51FB" w:rsidRDefault="00AD0853" w:rsidP="000F4E51">
            <w:pPr>
              <w:pStyle w:val="a6"/>
              <w:ind w:left="0" w:right="168"/>
              <w:jc w:val="both"/>
            </w:pPr>
            <w:r w:rsidRPr="009F51FB">
              <w:rPr>
                <w:rFonts w:eastAsia="Calibri"/>
                <w:lang w:eastAsia="en-US"/>
              </w:rPr>
              <w:t>Клиническая характеристика</w:t>
            </w:r>
          </w:p>
        </w:tc>
        <w:tc>
          <w:tcPr>
            <w:tcW w:w="4311" w:type="dxa"/>
            <w:vAlign w:val="center"/>
          </w:tcPr>
          <w:p w14:paraId="3BAD3630" w14:textId="77777777" w:rsidR="00AD0853" w:rsidRPr="009F51FB" w:rsidRDefault="00AD0853" w:rsidP="000F4E51">
            <w:pPr>
              <w:pStyle w:val="a6"/>
              <w:ind w:left="0" w:right="168"/>
              <w:jc w:val="both"/>
            </w:pPr>
            <w:r w:rsidRPr="009F51FB">
              <w:rPr>
                <w:rFonts w:eastAsia="Calibri"/>
                <w:lang w:eastAsia="en-US"/>
              </w:rPr>
              <w:t>Средний возраст 73–74 года; медиана NIHSS = 4; женщин 46–48%; ТИА 17%</w:t>
            </w:r>
          </w:p>
        </w:tc>
        <w:tc>
          <w:tcPr>
            <w:tcW w:w="3182" w:type="dxa"/>
            <w:vAlign w:val="center"/>
          </w:tcPr>
          <w:p w14:paraId="7F04A24E" w14:textId="77777777" w:rsidR="00AD0853" w:rsidRPr="009F51FB" w:rsidRDefault="00AD0853" w:rsidP="000F4E51">
            <w:pPr>
              <w:pStyle w:val="a6"/>
              <w:ind w:left="0" w:right="168"/>
              <w:jc w:val="both"/>
            </w:pPr>
            <w:r w:rsidRPr="009F51FB">
              <w:rPr>
                <w:rFonts w:eastAsia="Calibri"/>
                <w:lang w:eastAsia="en-US"/>
              </w:rPr>
              <w:t>Средний возраст 65–67 лет; медиана NIHSS = 10; женщин 48–53%; афроамериканцев ≈ 39%; ТИА 1–4%</w:t>
            </w:r>
          </w:p>
        </w:tc>
        <w:tc>
          <w:tcPr>
            <w:tcW w:w="4678" w:type="dxa"/>
            <w:vAlign w:val="center"/>
          </w:tcPr>
          <w:p w14:paraId="6FD3867D" w14:textId="77777777" w:rsidR="00AD0853" w:rsidRPr="009F51FB" w:rsidRDefault="00AD0853" w:rsidP="000F4E51">
            <w:pPr>
              <w:pStyle w:val="a6"/>
              <w:ind w:left="0" w:right="168"/>
              <w:jc w:val="both"/>
            </w:pPr>
            <w:r w:rsidRPr="009F51FB">
              <w:rPr>
                <w:rFonts w:eastAsia="Calibri"/>
                <w:lang w:eastAsia="en-US"/>
              </w:rPr>
              <w:t xml:space="preserve">Эффективность: только 30–50% вызовов — истинные инсульты; доля пациентов, получивших tPA, ограничена. → </w:t>
            </w:r>
            <w:r w:rsidRPr="009F51FB">
              <w:rPr>
                <w:rFonts w:eastAsia="Calibri"/>
                <w:i/>
                <w:iCs/>
                <w:lang w:eastAsia="en-US"/>
              </w:rPr>
              <w:t>Решения:</w:t>
            </w:r>
            <w:r w:rsidRPr="009F51FB">
              <w:rPr>
                <w:rFonts w:eastAsia="Calibri"/>
                <w:lang w:eastAsia="en-US"/>
              </w:rPr>
              <w:t xml:space="preserve"> улучшение триажа (обучение, шкалы LVO, алгоритмы ИИ), оптимизация часов работы MSU.</w:t>
            </w:r>
          </w:p>
        </w:tc>
      </w:tr>
      <w:tr w:rsidR="00AD0853" w:rsidRPr="009F51FB" w14:paraId="426441A8" w14:textId="77777777" w:rsidTr="00533899">
        <w:tc>
          <w:tcPr>
            <w:tcW w:w="2130" w:type="dxa"/>
            <w:vAlign w:val="center"/>
          </w:tcPr>
          <w:p w14:paraId="1C52BF14" w14:textId="77777777" w:rsidR="00AD0853" w:rsidRPr="009F51FB" w:rsidRDefault="00AD0853" w:rsidP="000F4E51">
            <w:pPr>
              <w:pStyle w:val="a6"/>
              <w:ind w:left="0" w:right="168"/>
              <w:jc w:val="both"/>
            </w:pPr>
            <w:r w:rsidRPr="009F51FB">
              <w:rPr>
                <w:rFonts w:eastAsia="Calibri"/>
                <w:lang w:eastAsia="en-US"/>
              </w:rPr>
              <w:lastRenderedPageBreak/>
              <w:t>Первичный исход</w:t>
            </w:r>
          </w:p>
        </w:tc>
        <w:tc>
          <w:tcPr>
            <w:tcW w:w="4311" w:type="dxa"/>
            <w:vAlign w:val="center"/>
          </w:tcPr>
          <w:p w14:paraId="2D791F1C" w14:textId="77777777" w:rsidR="00AD0853" w:rsidRPr="009F51FB" w:rsidRDefault="00AD0853" w:rsidP="000F4E51">
            <w:pPr>
              <w:pStyle w:val="a6"/>
              <w:ind w:left="0" w:right="168"/>
              <w:jc w:val="both"/>
            </w:pPr>
            <w:r w:rsidRPr="009F51FB">
              <w:rPr>
                <w:rFonts w:eastAsia="Calibri"/>
                <w:lang w:eastAsia="en-US"/>
              </w:rPr>
              <w:t>Распределение по шкале Рэнкина (mRS) через 3 мес.</w:t>
            </w:r>
          </w:p>
        </w:tc>
        <w:tc>
          <w:tcPr>
            <w:tcW w:w="3182" w:type="dxa"/>
            <w:vAlign w:val="center"/>
          </w:tcPr>
          <w:p w14:paraId="1AAB3B88" w14:textId="77777777" w:rsidR="00AD0853" w:rsidRPr="009F51FB" w:rsidRDefault="00AD0853" w:rsidP="000F4E51">
            <w:pPr>
              <w:pStyle w:val="a6"/>
              <w:ind w:left="0" w:right="168"/>
              <w:jc w:val="both"/>
            </w:pPr>
            <w:r w:rsidRPr="009F51FB">
              <w:rPr>
                <w:rFonts w:eastAsia="Calibri"/>
                <w:lang w:eastAsia="en-US"/>
              </w:rPr>
              <w:t>Utility-weighted mRS через 90 дней (только tPA-подходящие пациенты)</w:t>
            </w:r>
          </w:p>
        </w:tc>
        <w:tc>
          <w:tcPr>
            <w:tcW w:w="4678" w:type="dxa"/>
            <w:vAlign w:val="center"/>
          </w:tcPr>
          <w:p w14:paraId="36179963" w14:textId="77777777" w:rsidR="00AD0853" w:rsidRPr="009F51FB" w:rsidRDefault="00AD0853" w:rsidP="000F4E51">
            <w:pPr>
              <w:pStyle w:val="a6"/>
              <w:ind w:left="0" w:right="168"/>
              <w:jc w:val="center"/>
            </w:pPr>
            <w:r w:rsidRPr="009F51FB">
              <w:rPr>
                <w:rFonts w:eastAsia="Calibri"/>
                <w:lang w:eastAsia="en-US"/>
              </w:rPr>
              <w:t>—</w:t>
            </w:r>
          </w:p>
        </w:tc>
      </w:tr>
      <w:tr w:rsidR="00AD0853" w:rsidRPr="009F51FB" w14:paraId="27F3F5A6" w14:textId="77777777" w:rsidTr="00533899">
        <w:tc>
          <w:tcPr>
            <w:tcW w:w="2130" w:type="dxa"/>
            <w:vAlign w:val="center"/>
          </w:tcPr>
          <w:p w14:paraId="1B37A9F1" w14:textId="77777777" w:rsidR="00AD0853" w:rsidRPr="009F51FB" w:rsidRDefault="00AD0853" w:rsidP="000F4E51">
            <w:pPr>
              <w:pStyle w:val="a6"/>
              <w:ind w:left="0" w:right="168"/>
              <w:jc w:val="both"/>
            </w:pPr>
            <w:r w:rsidRPr="009F51FB">
              <w:rPr>
                <w:rFonts w:eastAsia="Calibri"/>
                <w:lang w:eastAsia="en-US"/>
              </w:rPr>
              <w:t>Результаты эффективности</w:t>
            </w:r>
          </w:p>
        </w:tc>
        <w:tc>
          <w:tcPr>
            <w:tcW w:w="4311" w:type="dxa"/>
            <w:vAlign w:val="center"/>
          </w:tcPr>
          <w:p w14:paraId="417F4935" w14:textId="77777777" w:rsidR="00AD0853" w:rsidRPr="009F51FB" w:rsidRDefault="00AD0853" w:rsidP="000F4E51">
            <w:pPr>
              <w:pStyle w:val="a6"/>
              <w:ind w:left="0" w:right="168"/>
              <w:jc w:val="both"/>
            </w:pPr>
            <w:r w:rsidRPr="009F51FB">
              <w:rPr>
                <w:rFonts w:eastAsia="Calibri"/>
                <w:lang w:eastAsia="en-US"/>
              </w:rPr>
              <w:t>Отношение шансов (aOR) худшего исхода по mRS — 0,71 (95% ДИ 0,58–0,96); по трёхуровневой шкале инвалидизации — 0,73 (95% ДИ 0,54–0,99), оба в пользу MSU</w:t>
            </w:r>
          </w:p>
        </w:tc>
        <w:tc>
          <w:tcPr>
            <w:tcW w:w="3182" w:type="dxa"/>
            <w:vAlign w:val="center"/>
          </w:tcPr>
          <w:p w14:paraId="4B285B1B" w14:textId="77777777" w:rsidR="00AD0853" w:rsidRPr="009F51FB" w:rsidRDefault="00AD0853" w:rsidP="000F4E51">
            <w:pPr>
              <w:pStyle w:val="a6"/>
              <w:ind w:left="0" w:right="168"/>
              <w:jc w:val="both"/>
            </w:pPr>
            <w:r w:rsidRPr="009F51FB">
              <w:rPr>
                <w:rFonts w:eastAsia="Calibri"/>
                <w:lang w:eastAsia="en-US"/>
              </w:rPr>
              <w:t>Средний utility-weighted mRS — 0,72 против 0,66 (разница 0,07; 95% ДИ 0,03–0,11); доля mRS ≤ 1: 55% против 44% (OR 2,43; 95% ДИ 1,75–3,36)</w:t>
            </w:r>
          </w:p>
        </w:tc>
        <w:tc>
          <w:tcPr>
            <w:tcW w:w="4678" w:type="dxa"/>
            <w:vAlign w:val="center"/>
          </w:tcPr>
          <w:p w14:paraId="663C0761" w14:textId="77777777" w:rsidR="00AD0853" w:rsidRPr="009F51FB" w:rsidRDefault="00AD0853" w:rsidP="000F4E51">
            <w:pPr>
              <w:pStyle w:val="a6"/>
              <w:ind w:left="0" w:right="168"/>
              <w:jc w:val="center"/>
            </w:pPr>
            <w:r w:rsidRPr="009F51FB">
              <w:rPr>
                <w:rFonts w:eastAsia="Calibri"/>
                <w:lang w:eastAsia="en-US"/>
              </w:rPr>
              <w:t>—</w:t>
            </w:r>
          </w:p>
        </w:tc>
      </w:tr>
      <w:tr w:rsidR="00AD0853" w:rsidRPr="009F51FB" w14:paraId="72F67311" w14:textId="77777777" w:rsidTr="00533899">
        <w:tc>
          <w:tcPr>
            <w:tcW w:w="2130" w:type="dxa"/>
            <w:vAlign w:val="center"/>
          </w:tcPr>
          <w:p w14:paraId="552399E0" w14:textId="77777777" w:rsidR="00AD0853" w:rsidRPr="009F51FB" w:rsidRDefault="00AD0853" w:rsidP="000F4E51">
            <w:pPr>
              <w:pStyle w:val="a6"/>
              <w:ind w:left="0" w:right="168"/>
              <w:jc w:val="both"/>
            </w:pPr>
            <w:r w:rsidRPr="009F51FB">
              <w:rPr>
                <w:rFonts w:eastAsia="Calibri"/>
                <w:lang w:eastAsia="en-US"/>
              </w:rPr>
              <w:t>Безопасность</w:t>
            </w:r>
          </w:p>
        </w:tc>
        <w:tc>
          <w:tcPr>
            <w:tcW w:w="4311" w:type="dxa"/>
            <w:vAlign w:val="center"/>
          </w:tcPr>
          <w:p w14:paraId="51D30588" w14:textId="77777777" w:rsidR="00AD0853" w:rsidRPr="009F51FB" w:rsidRDefault="00AD0853" w:rsidP="000F4E51">
            <w:pPr>
              <w:pStyle w:val="a6"/>
              <w:ind w:left="0" w:right="168"/>
              <w:jc w:val="both"/>
            </w:pPr>
            <w:r w:rsidRPr="009F51FB">
              <w:rPr>
                <w:rFonts w:eastAsia="Calibri"/>
                <w:lang w:eastAsia="en-US"/>
              </w:rPr>
              <w:t>Симптомное ВЧК 3,2% vs 2,8%; смертность в течение 7 дней — 1,7% vs 3,0%</w:t>
            </w:r>
          </w:p>
        </w:tc>
        <w:tc>
          <w:tcPr>
            <w:tcW w:w="3182" w:type="dxa"/>
            <w:vAlign w:val="center"/>
          </w:tcPr>
          <w:p w14:paraId="27882679" w14:textId="77777777" w:rsidR="00AD0853" w:rsidRPr="009F51FB" w:rsidRDefault="00AD0853" w:rsidP="000F4E51">
            <w:pPr>
              <w:pStyle w:val="a6"/>
              <w:ind w:left="0" w:right="168"/>
              <w:jc w:val="both"/>
            </w:pPr>
            <w:r w:rsidRPr="009F51FB">
              <w:rPr>
                <w:rFonts w:eastAsia="Calibri"/>
                <w:lang w:eastAsia="en-US"/>
              </w:rPr>
              <w:t>Симптомное ВЧК 2% в обеих группах; смертность на 90 день — 8,9% vs 11,9%</w:t>
            </w:r>
          </w:p>
        </w:tc>
        <w:tc>
          <w:tcPr>
            <w:tcW w:w="4678" w:type="dxa"/>
            <w:vAlign w:val="center"/>
          </w:tcPr>
          <w:p w14:paraId="2D38B14C" w14:textId="77777777" w:rsidR="00AD0853" w:rsidRPr="009F51FB" w:rsidRDefault="00AD0853" w:rsidP="000F4E51">
            <w:pPr>
              <w:pStyle w:val="a6"/>
              <w:ind w:left="0" w:right="168"/>
              <w:jc w:val="center"/>
            </w:pPr>
            <w:r w:rsidRPr="009F51FB">
              <w:rPr>
                <w:rFonts w:eastAsia="Calibri"/>
                <w:lang w:eastAsia="en-US"/>
              </w:rPr>
              <w:t>—</w:t>
            </w:r>
          </w:p>
        </w:tc>
      </w:tr>
      <w:tr w:rsidR="00AD0853" w:rsidRPr="009F51FB" w14:paraId="5EAE14F4" w14:textId="77777777" w:rsidTr="00533899">
        <w:tc>
          <w:tcPr>
            <w:tcW w:w="2130" w:type="dxa"/>
            <w:vAlign w:val="center"/>
          </w:tcPr>
          <w:p w14:paraId="73A957CC" w14:textId="77777777" w:rsidR="00AD0853" w:rsidRPr="009F51FB" w:rsidRDefault="00AD0853" w:rsidP="000F4E51">
            <w:pPr>
              <w:pStyle w:val="a6"/>
              <w:ind w:left="0" w:right="168"/>
              <w:jc w:val="both"/>
            </w:pPr>
            <w:r w:rsidRPr="009F51FB">
              <w:rPr>
                <w:rFonts w:eastAsia="Calibri"/>
                <w:lang w:eastAsia="en-US"/>
              </w:rPr>
              <w:t>Дополнительные анализы / ограничения</w:t>
            </w:r>
          </w:p>
        </w:tc>
        <w:tc>
          <w:tcPr>
            <w:tcW w:w="4311" w:type="dxa"/>
            <w:vAlign w:val="center"/>
          </w:tcPr>
          <w:p w14:paraId="429A1A6E" w14:textId="77777777" w:rsidR="00AD0853" w:rsidRPr="009F51FB" w:rsidRDefault="00AD0853" w:rsidP="000F4E51">
            <w:pPr>
              <w:pStyle w:val="a6"/>
              <w:ind w:left="0" w:right="168"/>
              <w:jc w:val="both"/>
            </w:pPr>
            <w:r w:rsidRPr="009F51FB">
              <w:rPr>
                <w:rFonts w:eastAsia="Calibri"/>
                <w:lang w:eastAsia="en-US"/>
              </w:rPr>
              <w:t>Результаты чувствительности и подгрупповые анализы подтвердили основную тенденцию; ограничения — отсутствие рандомизации, неослеплённость, одно городское население</w:t>
            </w:r>
          </w:p>
        </w:tc>
        <w:tc>
          <w:tcPr>
            <w:tcW w:w="3182" w:type="dxa"/>
            <w:vAlign w:val="center"/>
          </w:tcPr>
          <w:p w14:paraId="2CF4C867" w14:textId="77777777" w:rsidR="00AD0853" w:rsidRPr="009F51FB" w:rsidRDefault="00AD0853" w:rsidP="000F4E51">
            <w:pPr>
              <w:pStyle w:val="a6"/>
              <w:ind w:left="0" w:right="168"/>
              <w:jc w:val="both"/>
            </w:pPr>
            <w:r w:rsidRPr="009F51FB">
              <w:rPr>
                <w:rFonts w:eastAsia="Calibri"/>
                <w:lang w:eastAsia="en-US"/>
              </w:rPr>
              <w:t>Консистентность результатов; ограничения — кластерная рандомизация, различия в идентификации пациентов, преимущественно урбанизированные районы</w:t>
            </w:r>
          </w:p>
        </w:tc>
        <w:tc>
          <w:tcPr>
            <w:tcW w:w="4678" w:type="dxa"/>
            <w:vAlign w:val="center"/>
          </w:tcPr>
          <w:p w14:paraId="45B8D41C" w14:textId="77777777" w:rsidR="00AD0853" w:rsidRPr="009F51FB" w:rsidRDefault="00AD0853" w:rsidP="000F4E51">
            <w:pPr>
              <w:pStyle w:val="a6"/>
              <w:ind w:left="0" w:right="168"/>
              <w:jc w:val="center"/>
            </w:pPr>
            <w:r w:rsidRPr="009F51FB">
              <w:rPr>
                <w:rFonts w:eastAsia="Calibri"/>
                <w:lang w:eastAsia="en-US"/>
              </w:rPr>
              <w:t>—</w:t>
            </w:r>
          </w:p>
        </w:tc>
      </w:tr>
    </w:tbl>
    <w:p w14:paraId="5766CC3A" w14:textId="77777777" w:rsidR="00AD0853" w:rsidRPr="009F51FB" w:rsidRDefault="00AD0853" w:rsidP="000F4E51">
      <w:pPr>
        <w:pStyle w:val="a6"/>
        <w:ind w:right="-284" w:firstLine="567"/>
        <w:jc w:val="both"/>
        <w:rPr>
          <w:sz w:val="28"/>
          <w:szCs w:val="28"/>
        </w:rPr>
      </w:pPr>
    </w:p>
    <w:p w14:paraId="1DB5A304" w14:textId="77777777" w:rsidR="00AD0853" w:rsidRPr="009F51FB" w:rsidRDefault="00AD0853" w:rsidP="000F4E51">
      <w:pPr>
        <w:pStyle w:val="a6"/>
        <w:ind w:right="-284" w:firstLine="567"/>
        <w:jc w:val="both"/>
        <w:rPr>
          <w:sz w:val="28"/>
          <w:szCs w:val="28"/>
        </w:rPr>
      </w:pPr>
    </w:p>
    <w:p w14:paraId="5C3B910A" w14:textId="77777777" w:rsidR="00AD0853" w:rsidRPr="009F51FB" w:rsidRDefault="00AD0853" w:rsidP="000F4E51">
      <w:pPr>
        <w:pStyle w:val="a6"/>
        <w:ind w:right="-284" w:firstLine="567"/>
        <w:jc w:val="both"/>
        <w:rPr>
          <w:sz w:val="28"/>
          <w:szCs w:val="28"/>
        </w:rPr>
        <w:sectPr w:rsidR="00AD0853" w:rsidRPr="009F51FB" w:rsidSect="00AD0853">
          <w:pgSz w:w="16838" w:h="11906" w:orient="landscape"/>
          <w:pgMar w:top="1701" w:right="1134" w:bottom="850" w:left="1134" w:header="708" w:footer="708" w:gutter="0"/>
          <w:cols w:space="708"/>
          <w:docGrid w:linePitch="360"/>
        </w:sectPr>
      </w:pPr>
    </w:p>
    <w:p w14:paraId="2F0CBCD3" w14:textId="54C7685A" w:rsidR="00AD0853" w:rsidRPr="009F51FB" w:rsidRDefault="00AD0853" w:rsidP="000F4E51">
      <w:pPr>
        <w:pStyle w:val="a6"/>
        <w:ind w:left="0" w:right="-284" w:firstLine="567"/>
        <w:jc w:val="both"/>
        <w:rPr>
          <w:sz w:val="28"/>
          <w:szCs w:val="28"/>
        </w:rPr>
      </w:pPr>
      <w:r w:rsidRPr="009F51FB">
        <w:rPr>
          <w:sz w:val="28"/>
          <w:szCs w:val="28"/>
        </w:rPr>
        <w:lastRenderedPageBreak/>
        <w:t>Обеспечение успешных переходов пациентов между уровнями оказания медицинской помощи является ключевой компетенцией медсестры. Несмотря на прогресс в оказании помощи при остром инсульте, улучшения в постостром периоде и возвращении пациентов в сообщество отстают. Неэффективные переходы часто приводят к неудовлетворённым потребностям, осложнениям и повторным госпитализациям. Медсестры играют важную роль в подготовке пациентов после инсульта и их родственников к самостоятельному уходу, реабилитации и восстановлению, используя методы, основанные на доказательной медицине</w:t>
      </w:r>
      <w:r w:rsidR="00EF60E5" w:rsidRPr="00EF60E5">
        <w:rPr>
          <w:sz w:val="28"/>
          <w:szCs w:val="28"/>
        </w:rPr>
        <w:t xml:space="preserve"> [105]</w:t>
      </w:r>
      <w:r w:rsidRPr="009F51FB">
        <w:rPr>
          <w:sz w:val="28"/>
          <w:szCs w:val="28"/>
        </w:rPr>
        <w:t>.</w:t>
      </w:r>
    </w:p>
    <w:p w14:paraId="0D039CF9" w14:textId="1E5F6226" w:rsidR="00AD0853" w:rsidRPr="009F51FB" w:rsidRDefault="00AD0853" w:rsidP="000F4E51">
      <w:pPr>
        <w:pStyle w:val="a6"/>
        <w:ind w:left="0" w:right="-284" w:firstLine="567"/>
        <w:jc w:val="both"/>
        <w:rPr>
          <w:sz w:val="28"/>
          <w:szCs w:val="28"/>
        </w:rPr>
      </w:pPr>
      <w:r w:rsidRPr="009F51FB">
        <w:rPr>
          <w:sz w:val="28"/>
          <w:szCs w:val="28"/>
        </w:rPr>
        <w:t>Для оптимизации влияния медсестры на уход за пациентами с инсультом рекомендуется: создание координированной и непрерывной системы ухода, охватывающей все этапы и сообщество; внедрение роли «медсестры-наставника» для консультативного ведения пациентов на всех этапах лечения с целью улучшения коммуникации, преемственности и последующего наблюдения; использование валидированных инструментов оценки готовности опекунов для выявления пробелов и разработки индивидуальных планов ухода; применение доказанных методов обучения и коммуникации для повышения эффективности обучения пациентов и их семей; использование технологий для улучшения ухода за пациентами с инсультом. Применение этих стратегий позволяет значительно улучшить результаты лечения и качество жизни пациентов и их семей</w:t>
      </w:r>
      <w:r w:rsidR="00EF60E5" w:rsidRPr="00EF60E5">
        <w:rPr>
          <w:sz w:val="28"/>
          <w:szCs w:val="28"/>
        </w:rPr>
        <w:t xml:space="preserve"> [106,107]</w:t>
      </w:r>
      <w:r w:rsidRPr="009F51FB">
        <w:rPr>
          <w:sz w:val="28"/>
          <w:szCs w:val="28"/>
        </w:rPr>
        <w:t xml:space="preserve">. Таблица 4 представляет собой комплексный обзор сестринских вмешательств и методов, направленных на улучшение ухода за пациентами с инсультом и поддержку их семей. </w:t>
      </w:r>
      <w:r w:rsidR="002959CC" w:rsidRPr="00741D4B">
        <w:rPr>
          <w:sz w:val="28"/>
          <w:szCs w:val="28"/>
        </w:rPr>
        <w:t xml:space="preserve">В ней выделены ключевые этапы ухода — от острейшей и острой фазы инсульта до повторных инсультов и психологической поддержки. </w:t>
      </w:r>
      <w:r w:rsidRPr="009F51FB">
        <w:rPr>
          <w:sz w:val="28"/>
          <w:szCs w:val="28"/>
        </w:rPr>
        <w:t xml:space="preserve">Особое внимание уделено: </w:t>
      </w:r>
    </w:p>
    <w:p w14:paraId="5EA9A584" w14:textId="77777777" w:rsidR="00AD0853" w:rsidRPr="009F51FB" w:rsidRDefault="00AD0853">
      <w:pPr>
        <w:pStyle w:val="a6"/>
        <w:numPr>
          <w:ilvl w:val="0"/>
          <w:numId w:val="5"/>
        </w:numPr>
        <w:ind w:left="0" w:right="-284" w:firstLine="567"/>
        <w:jc w:val="both"/>
        <w:rPr>
          <w:sz w:val="28"/>
          <w:szCs w:val="28"/>
        </w:rPr>
      </w:pPr>
      <w:r w:rsidRPr="009F51FB">
        <w:rPr>
          <w:sz w:val="28"/>
          <w:szCs w:val="28"/>
        </w:rPr>
        <w:t xml:space="preserve">Раннему выявлению и своевременному проведению тромболитической терапии; </w:t>
      </w:r>
    </w:p>
    <w:p w14:paraId="2D3FA779" w14:textId="77777777" w:rsidR="00AD0853" w:rsidRPr="009F51FB" w:rsidRDefault="00AD0853">
      <w:pPr>
        <w:pStyle w:val="a6"/>
        <w:numPr>
          <w:ilvl w:val="0"/>
          <w:numId w:val="5"/>
        </w:numPr>
        <w:ind w:left="0" w:right="-284" w:firstLine="567"/>
        <w:jc w:val="both"/>
        <w:rPr>
          <w:sz w:val="28"/>
          <w:szCs w:val="28"/>
        </w:rPr>
      </w:pPr>
      <w:r w:rsidRPr="009F51FB">
        <w:rPr>
          <w:sz w:val="28"/>
          <w:szCs w:val="28"/>
        </w:rPr>
        <w:t xml:space="preserve">Профилактике осложнений и ранней реабилитации; </w:t>
      </w:r>
    </w:p>
    <w:p w14:paraId="7E08A3B8" w14:textId="77777777" w:rsidR="00AD0853" w:rsidRPr="009F51FB" w:rsidRDefault="00AD0853">
      <w:pPr>
        <w:pStyle w:val="a6"/>
        <w:numPr>
          <w:ilvl w:val="0"/>
          <w:numId w:val="5"/>
        </w:numPr>
        <w:ind w:left="0" w:right="-284" w:firstLine="567"/>
        <w:jc w:val="both"/>
        <w:rPr>
          <w:sz w:val="28"/>
          <w:szCs w:val="28"/>
        </w:rPr>
      </w:pPr>
      <w:r w:rsidRPr="009F51FB">
        <w:rPr>
          <w:sz w:val="28"/>
          <w:szCs w:val="28"/>
        </w:rPr>
        <w:t xml:space="preserve">Образованию пациентов и их родственников, включая обучение ухаживающих; </w:t>
      </w:r>
    </w:p>
    <w:p w14:paraId="2C7DD716" w14:textId="77777777" w:rsidR="00AD0853" w:rsidRPr="009F51FB" w:rsidRDefault="00AD0853">
      <w:pPr>
        <w:pStyle w:val="a6"/>
        <w:numPr>
          <w:ilvl w:val="0"/>
          <w:numId w:val="5"/>
        </w:numPr>
        <w:ind w:left="0" w:right="-284" w:firstLine="567"/>
        <w:jc w:val="both"/>
        <w:rPr>
          <w:sz w:val="28"/>
          <w:szCs w:val="28"/>
        </w:rPr>
      </w:pPr>
      <w:r w:rsidRPr="009F51FB">
        <w:rPr>
          <w:sz w:val="28"/>
          <w:szCs w:val="28"/>
        </w:rPr>
        <w:t xml:space="preserve">Поддержке психического здоровья пациентов и уменьшение нагрузки на ухаживающих; </w:t>
      </w:r>
    </w:p>
    <w:p w14:paraId="72B1299A" w14:textId="77777777" w:rsidR="00AD0853" w:rsidRPr="009F51FB" w:rsidRDefault="00AD0853">
      <w:pPr>
        <w:pStyle w:val="a6"/>
        <w:numPr>
          <w:ilvl w:val="0"/>
          <w:numId w:val="5"/>
        </w:numPr>
        <w:ind w:left="0" w:right="-284" w:firstLine="567"/>
        <w:jc w:val="both"/>
        <w:rPr>
          <w:sz w:val="28"/>
          <w:szCs w:val="28"/>
        </w:rPr>
      </w:pPr>
      <w:r w:rsidRPr="009F51FB">
        <w:rPr>
          <w:sz w:val="28"/>
          <w:szCs w:val="28"/>
        </w:rPr>
        <w:t xml:space="preserve">Использование современных технологий (телемедицина, мобильные приложения); </w:t>
      </w:r>
    </w:p>
    <w:p w14:paraId="1195E525" w14:textId="77777777" w:rsidR="00AD0853" w:rsidRPr="009F51FB" w:rsidRDefault="00AD0853">
      <w:pPr>
        <w:pStyle w:val="a6"/>
        <w:numPr>
          <w:ilvl w:val="0"/>
          <w:numId w:val="5"/>
        </w:numPr>
        <w:ind w:left="0" w:right="-284" w:firstLine="567"/>
        <w:jc w:val="both"/>
        <w:rPr>
          <w:sz w:val="28"/>
          <w:szCs w:val="28"/>
        </w:rPr>
      </w:pPr>
      <w:r w:rsidRPr="009F51FB">
        <w:rPr>
          <w:sz w:val="28"/>
          <w:szCs w:val="28"/>
        </w:rPr>
        <w:t>Реализация проектов по улучшению качества ухода;</w:t>
      </w:r>
    </w:p>
    <w:p w14:paraId="3E847B02" w14:textId="77777777" w:rsidR="00AD0853" w:rsidRPr="009F51FB" w:rsidRDefault="00AD0853">
      <w:pPr>
        <w:pStyle w:val="a6"/>
        <w:numPr>
          <w:ilvl w:val="0"/>
          <w:numId w:val="5"/>
        </w:numPr>
        <w:ind w:left="0" w:right="-284" w:firstLine="567"/>
        <w:jc w:val="both"/>
        <w:rPr>
          <w:sz w:val="28"/>
          <w:szCs w:val="28"/>
        </w:rPr>
      </w:pPr>
      <w:r w:rsidRPr="009F51FB">
        <w:rPr>
          <w:sz w:val="28"/>
          <w:szCs w:val="28"/>
        </w:rPr>
        <w:t xml:space="preserve">Адаптации ухода под нужды уязвимых групп и культурной компетентности медсестер. </w:t>
      </w:r>
    </w:p>
    <w:p w14:paraId="7B6FC8E6" w14:textId="77777777" w:rsidR="00AD0853" w:rsidRPr="009F51FB" w:rsidRDefault="00AD0853" w:rsidP="000F4E51">
      <w:pPr>
        <w:pStyle w:val="a6"/>
        <w:ind w:left="0" w:right="-284" w:firstLine="567"/>
        <w:jc w:val="both"/>
        <w:rPr>
          <w:sz w:val="28"/>
          <w:szCs w:val="28"/>
        </w:rPr>
      </w:pPr>
      <w:r w:rsidRPr="009F51FB">
        <w:rPr>
          <w:sz w:val="28"/>
          <w:szCs w:val="28"/>
        </w:rPr>
        <w:t>Также в таблице 4 отражено отношение медсестер как ключевого участника междисциплинарной команды, который обеспечивает комплексный, основанный на доказательствах уход, направленный на улучшение клинических и социальных исходов у пациентов с инсультом и их семей.</w:t>
      </w:r>
    </w:p>
    <w:p w14:paraId="60C1A993" w14:textId="77777777" w:rsidR="00C6385D" w:rsidRDefault="00C6385D" w:rsidP="000F4E51">
      <w:pPr>
        <w:spacing w:after="0" w:line="240" w:lineRule="auto"/>
        <w:ind w:right="-284"/>
        <w:jc w:val="both"/>
        <w:rPr>
          <w:rFonts w:ascii="Times New Roman" w:hAnsi="Times New Roman" w:cs="Times New Roman"/>
          <w:sz w:val="28"/>
          <w:szCs w:val="28"/>
        </w:rPr>
      </w:pPr>
    </w:p>
    <w:p w14:paraId="287BAB26" w14:textId="77777777" w:rsidR="00C6385D" w:rsidRDefault="00C6385D" w:rsidP="000F4E51">
      <w:pPr>
        <w:spacing w:after="0" w:line="240" w:lineRule="auto"/>
        <w:ind w:right="-284"/>
        <w:jc w:val="both"/>
        <w:rPr>
          <w:rFonts w:ascii="Times New Roman" w:hAnsi="Times New Roman" w:cs="Times New Roman"/>
          <w:sz w:val="28"/>
          <w:szCs w:val="28"/>
        </w:rPr>
      </w:pPr>
    </w:p>
    <w:p w14:paraId="0A7B2335" w14:textId="7F4A75E5" w:rsidR="00AD0853" w:rsidRDefault="00C6385D" w:rsidP="000F4E51">
      <w:pPr>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lastRenderedPageBreak/>
        <w:t>Таблица 4 -</w:t>
      </w:r>
      <w:r w:rsidR="00AD0853" w:rsidRPr="009F51FB">
        <w:rPr>
          <w:rFonts w:ascii="Times New Roman" w:hAnsi="Times New Roman" w:cs="Times New Roman"/>
          <w:sz w:val="28"/>
          <w:szCs w:val="28"/>
        </w:rPr>
        <w:t xml:space="preserve"> Медсестринские вмешательства по улучшению ухода за пациентами с инсультом и их семьями</w:t>
      </w:r>
      <w:r w:rsidR="00EF60E5" w:rsidRPr="00EF60E5">
        <w:rPr>
          <w:rFonts w:ascii="Times New Roman" w:hAnsi="Times New Roman" w:cs="Times New Roman"/>
          <w:sz w:val="28"/>
          <w:szCs w:val="28"/>
        </w:rPr>
        <w:t xml:space="preserve"> [105,108].</w:t>
      </w:r>
      <w:r w:rsidR="00AD0853" w:rsidRPr="009F51FB">
        <w:rPr>
          <w:rFonts w:ascii="Times New Roman" w:hAnsi="Times New Roman" w:cs="Times New Roman"/>
          <w:sz w:val="28"/>
          <w:szCs w:val="28"/>
        </w:rPr>
        <w:t xml:space="preserve"> </w:t>
      </w:r>
    </w:p>
    <w:p w14:paraId="550F86A3" w14:textId="77777777" w:rsidR="00265619" w:rsidRDefault="00265619" w:rsidP="000F4E51">
      <w:pPr>
        <w:spacing w:after="0" w:line="240" w:lineRule="auto"/>
        <w:ind w:right="-284"/>
        <w:jc w:val="both"/>
        <w:rPr>
          <w:rFonts w:ascii="Times New Roman" w:hAnsi="Times New Roman" w:cs="Times New Roman"/>
          <w:sz w:val="28"/>
          <w:szCs w:val="28"/>
        </w:rPr>
      </w:pPr>
    </w:p>
    <w:tbl>
      <w:tblPr>
        <w:tblStyle w:val="ae"/>
        <w:tblW w:w="9634" w:type="dxa"/>
        <w:tblLook w:val="04A0" w:firstRow="1" w:lastRow="0" w:firstColumn="1" w:lastColumn="0" w:noHBand="0" w:noVBand="1"/>
      </w:tblPr>
      <w:tblGrid>
        <w:gridCol w:w="1979"/>
        <w:gridCol w:w="2184"/>
        <w:gridCol w:w="5471"/>
      </w:tblGrid>
      <w:tr w:rsidR="00265619" w:rsidRPr="00265619" w14:paraId="0EEBC7DA" w14:textId="77777777" w:rsidTr="00533899">
        <w:tc>
          <w:tcPr>
            <w:tcW w:w="1979" w:type="dxa"/>
            <w:vAlign w:val="center"/>
          </w:tcPr>
          <w:p w14:paraId="47604B2C" w14:textId="57988C14" w:rsidR="00265619" w:rsidRPr="00265619" w:rsidRDefault="00265619" w:rsidP="000F4E51">
            <w:pPr>
              <w:ind w:right="27"/>
              <w:jc w:val="both"/>
              <w:rPr>
                <w:rFonts w:ascii="Times New Roman" w:hAnsi="Times New Roman" w:cs="Times New Roman"/>
                <w:sz w:val="20"/>
                <w:szCs w:val="20"/>
              </w:rPr>
            </w:pPr>
            <w:r w:rsidRPr="00265619">
              <w:rPr>
                <w:rFonts w:ascii="Times New Roman" w:hAnsi="Times New Roman" w:cs="Times New Roman"/>
                <w:sz w:val="20"/>
                <w:szCs w:val="20"/>
              </w:rPr>
              <w:t>Категория</w:t>
            </w:r>
          </w:p>
        </w:tc>
        <w:tc>
          <w:tcPr>
            <w:tcW w:w="2184" w:type="dxa"/>
            <w:vAlign w:val="center"/>
          </w:tcPr>
          <w:p w14:paraId="5430A18A" w14:textId="1242BB8D"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Направление</w:t>
            </w:r>
          </w:p>
        </w:tc>
        <w:tc>
          <w:tcPr>
            <w:tcW w:w="5471" w:type="dxa"/>
            <w:vAlign w:val="center"/>
          </w:tcPr>
          <w:p w14:paraId="68B1FAB4" w14:textId="2521D35C"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Роль медсестры и основанные на доказательствах стратегии</w:t>
            </w:r>
          </w:p>
        </w:tc>
      </w:tr>
      <w:tr w:rsidR="00265619" w:rsidRPr="00265619" w14:paraId="61559D7D" w14:textId="77777777" w:rsidTr="00533899">
        <w:tc>
          <w:tcPr>
            <w:tcW w:w="1979" w:type="dxa"/>
            <w:vMerge w:val="restart"/>
          </w:tcPr>
          <w:p w14:paraId="065E9E5C" w14:textId="16DAC981" w:rsidR="00265619" w:rsidRPr="00265619" w:rsidRDefault="002959CC" w:rsidP="000F4E51">
            <w:pPr>
              <w:ind w:right="27"/>
              <w:jc w:val="both"/>
              <w:rPr>
                <w:rFonts w:ascii="Times New Roman" w:hAnsi="Times New Roman" w:cs="Times New Roman"/>
                <w:sz w:val="20"/>
                <w:szCs w:val="20"/>
              </w:rPr>
            </w:pPr>
            <w:r w:rsidRPr="00741D4B">
              <w:rPr>
                <w:rFonts w:ascii="Times New Roman" w:hAnsi="Times New Roman" w:cs="Times New Roman"/>
                <w:sz w:val="20"/>
                <w:szCs w:val="20"/>
              </w:rPr>
              <w:t>Острейшая фаза инсульта (0–24 ч)</w:t>
            </w:r>
          </w:p>
        </w:tc>
        <w:tc>
          <w:tcPr>
            <w:tcW w:w="2184" w:type="dxa"/>
            <w:vAlign w:val="center"/>
          </w:tcPr>
          <w:p w14:paraId="76EDF0AE" w14:textId="539B4832"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Раннее выявление и реагирование</w:t>
            </w:r>
          </w:p>
        </w:tc>
        <w:tc>
          <w:tcPr>
            <w:tcW w:w="5471" w:type="dxa"/>
            <w:vAlign w:val="center"/>
          </w:tcPr>
          <w:p w14:paraId="21374B6F" w14:textId="6E9F0BB7"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Распознавание симптомов инсульта (FAST) - Срочная активация службы скорой помощи - Подготовка к экстренной нейровизуализации (КТ/МРТ)</w:t>
            </w:r>
          </w:p>
        </w:tc>
      </w:tr>
      <w:tr w:rsidR="00265619" w:rsidRPr="00265619" w14:paraId="3F12DBDD" w14:textId="77777777" w:rsidTr="00533899">
        <w:tc>
          <w:tcPr>
            <w:tcW w:w="1979" w:type="dxa"/>
            <w:vMerge/>
          </w:tcPr>
          <w:p w14:paraId="2C87BF25" w14:textId="77777777" w:rsidR="00265619" w:rsidRPr="00265619" w:rsidRDefault="00265619" w:rsidP="000F4E51">
            <w:pPr>
              <w:ind w:right="27"/>
              <w:jc w:val="both"/>
              <w:rPr>
                <w:rFonts w:ascii="Times New Roman" w:hAnsi="Times New Roman" w:cs="Times New Roman"/>
                <w:sz w:val="20"/>
                <w:szCs w:val="20"/>
              </w:rPr>
            </w:pPr>
          </w:p>
        </w:tc>
        <w:tc>
          <w:tcPr>
            <w:tcW w:w="2184" w:type="dxa"/>
            <w:vAlign w:val="center"/>
          </w:tcPr>
          <w:p w14:paraId="6EBCB625" w14:textId="072D7A63"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Скрининг и оценка</w:t>
            </w:r>
          </w:p>
        </w:tc>
        <w:tc>
          <w:tcPr>
            <w:tcW w:w="5471" w:type="dxa"/>
            <w:vAlign w:val="center"/>
          </w:tcPr>
          <w:p w14:paraId="58A4A320" w14:textId="6691647D"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Сбор анамнеза, точное время начала симптомов - Оценка по NIHSS для мониторинга неврологического статуса - Проверка противопоказаний к тромболизису</w:t>
            </w:r>
          </w:p>
        </w:tc>
      </w:tr>
      <w:tr w:rsidR="00265619" w:rsidRPr="00265619" w14:paraId="72C771E5" w14:textId="77777777" w:rsidTr="00533899">
        <w:tc>
          <w:tcPr>
            <w:tcW w:w="1979" w:type="dxa"/>
            <w:vMerge/>
          </w:tcPr>
          <w:p w14:paraId="518993F0" w14:textId="77777777" w:rsidR="00265619" w:rsidRPr="00265619" w:rsidRDefault="00265619" w:rsidP="000F4E51">
            <w:pPr>
              <w:ind w:right="27"/>
              <w:jc w:val="both"/>
              <w:rPr>
                <w:rFonts w:ascii="Times New Roman" w:hAnsi="Times New Roman" w:cs="Times New Roman"/>
                <w:sz w:val="20"/>
                <w:szCs w:val="20"/>
              </w:rPr>
            </w:pPr>
          </w:p>
        </w:tc>
        <w:tc>
          <w:tcPr>
            <w:tcW w:w="2184" w:type="dxa"/>
            <w:vAlign w:val="center"/>
          </w:tcPr>
          <w:p w14:paraId="25FD322F" w14:textId="76BCE1BB"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Тромболитическая терапия</w:t>
            </w:r>
          </w:p>
        </w:tc>
        <w:tc>
          <w:tcPr>
            <w:tcW w:w="5471" w:type="dxa"/>
            <w:vAlign w:val="center"/>
          </w:tcPr>
          <w:p w14:paraId="7D7B004C" w14:textId="72C8F6BC"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Отбор пациентов, введение tPA согласно протоколу - Контроль АД, наблюдение за побочными эффектами (кровоизлияние, аллергия) - Частые неврологические оценки (NIHSS)</w:t>
            </w:r>
          </w:p>
        </w:tc>
      </w:tr>
      <w:tr w:rsidR="00265619" w:rsidRPr="00265619" w14:paraId="3FF65EFA" w14:textId="77777777" w:rsidTr="00533899">
        <w:tc>
          <w:tcPr>
            <w:tcW w:w="1979" w:type="dxa"/>
            <w:vMerge/>
          </w:tcPr>
          <w:p w14:paraId="68695BFE" w14:textId="77777777" w:rsidR="00265619" w:rsidRPr="00265619" w:rsidRDefault="00265619" w:rsidP="000F4E51">
            <w:pPr>
              <w:ind w:right="27"/>
              <w:jc w:val="both"/>
              <w:rPr>
                <w:rFonts w:ascii="Times New Roman" w:hAnsi="Times New Roman" w:cs="Times New Roman"/>
                <w:sz w:val="20"/>
                <w:szCs w:val="20"/>
              </w:rPr>
            </w:pPr>
          </w:p>
        </w:tc>
        <w:tc>
          <w:tcPr>
            <w:tcW w:w="2184" w:type="dxa"/>
            <w:vAlign w:val="center"/>
          </w:tcPr>
          <w:p w14:paraId="2CFB1E94" w14:textId="3359FBBC"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Поддержка жизненных функций</w:t>
            </w:r>
          </w:p>
        </w:tc>
        <w:tc>
          <w:tcPr>
            <w:tcW w:w="5471" w:type="dxa"/>
            <w:vAlign w:val="center"/>
          </w:tcPr>
          <w:p w14:paraId="38D0DE8B" w14:textId="1E1B35F6"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Обеспечение проходимости дыхательных путей - Оптимизация оксигенации - Контроль температуры и гликемии</w:t>
            </w:r>
          </w:p>
        </w:tc>
      </w:tr>
      <w:tr w:rsidR="00265619" w:rsidRPr="00265619" w14:paraId="6755394E" w14:textId="77777777" w:rsidTr="00533899">
        <w:tc>
          <w:tcPr>
            <w:tcW w:w="1979" w:type="dxa"/>
            <w:vMerge/>
          </w:tcPr>
          <w:p w14:paraId="69A6668C" w14:textId="77777777" w:rsidR="00265619" w:rsidRPr="00265619" w:rsidRDefault="00265619" w:rsidP="000F4E51">
            <w:pPr>
              <w:ind w:right="27"/>
              <w:jc w:val="both"/>
              <w:rPr>
                <w:rFonts w:ascii="Times New Roman" w:hAnsi="Times New Roman" w:cs="Times New Roman"/>
                <w:sz w:val="20"/>
                <w:szCs w:val="20"/>
              </w:rPr>
            </w:pPr>
          </w:p>
        </w:tc>
        <w:tc>
          <w:tcPr>
            <w:tcW w:w="2184" w:type="dxa"/>
            <w:vAlign w:val="center"/>
          </w:tcPr>
          <w:p w14:paraId="2FB8FEDF" w14:textId="14F1EFF8"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Эмоциональная поддержка пациента и семьи</w:t>
            </w:r>
          </w:p>
        </w:tc>
        <w:tc>
          <w:tcPr>
            <w:tcW w:w="5471" w:type="dxa"/>
            <w:vAlign w:val="center"/>
          </w:tcPr>
          <w:p w14:paraId="67168E12" w14:textId="208FA927"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Объяснение диагноза и терапии - Снижение тревоги через эмпатическое общение</w:t>
            </w:r>
          </w:p>
        </w:tc>
      </w:tr>
      <w:tr w:rsidR="00265619" w:rsidRPr="00265619" w14:paraId="22AB28FF" w14:textId="77777777" w:rsidTr="00533899">
        <w:tc>
          <w:tcPr>
            <w:tcW w:w="1979" w:type="dxa"/>
            <w:vMerge w:val="restart"/>
            <w:vAlign w:val="center"/>
          </w:tcPr>
          <w:p w14:paraId="2DFE99A1" w14:textId="0AFBA7F9" w:rsidR="00265619" w:rsidRPr="00265619" w:rsidRDefault="00265619" w:rsidP="000F4E51">
            <w:pPr>
              <w:ind w:right="27"/>
              <w:jc w:val="both"/>
              <w:rPr>
                <w:rFonts w:ascii="Times New Roman" w:hAnsi="Times New Roman" w:cs="Times New Roman"/>
                <w:sz w:val="20"/>
                <w:szCs w:val="20"/>
              </w:rPr>
            </w:pPr>
            <w:r w:rsidRPr="00265619">
              <w:rPr>
                <w:rFonts w:ascii="Times New Roman" w:hAnsi="Times New Roman" w:cs="Times New Roman"/>
                <w:sz w:val="20"/>
                <w:szCs w:val="20"/>
              </w:rPr>
              <w:t>Острая фаза инсульта (24 ч – несколько дней)</w:t>
            </w:r>
          </w:p>
        </w:tc>
        <w:tc>
          <w:tcPr>
            <w:tcW w:w="2184" w:type="dxa"/>
            <w:vAlign w:val="center"/>
          </w:tcPr>
          <w:p w14:paraId="1B588391" w14:textId="7367AA6F"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Профилактика осложнений</w:t>
            </w:r>
          </w:p>
        </w:tc>
        <w:tc>
          <w:tcPr>
            <w:tcW w:w="5471" w:type="dxa"/>
            <w:vAlign w:val="center"/>
          </w:tcPr>
          <w:p w14:paraId="2DBC0F7E" w14:textId="6B026041"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Профилактика аспирационной пневмонии (скрининг дисфагии, правильное позиционирование) - Профилактика тромбозов глубоких вен - Предотвращение пролежней и инфекций</w:t>
            </w:r>
          </w:p>
        </w:tc>
      </w:tr>
      <w:tr w:rsidR="00265619" w:rsidRPr="00265619" w14:paraId="36D76F46" w14:textId="77777777" w:rsidTr="00533899">
        <w:tc>
          <w:tcPr>
            <w:tcW w:w="1979" w:type="dxa"/>
            <w:vMerge/>
            <w:vAlign w:val="center"/>
          </w:tcPr>
          <w:p w14:paraId="1B507869" w14:textId="77777777" w:rsidR="00265619" w:rsidRPr="00265619" w:rsidRDefault="00265619" w:rsidP="000F4E51">
            <w:pPr>
              <w:ind w:right="27"/>
              <w:jc w:val="both"/>
              <w:rPr>
                <w:rFonts w:ascii="Times New Roman" w:hAnsi="Times New Roman" w:cs="Times New Roman"/>
                <w:sz w:val="20"/>
                <w:szCs w:val="20"/>
              </w:rPr>
            </w:pPr>
          </w:p>
        </w:tc>
        <w:tc>
          <w:tcPr>
            <w:tcW w:w="2184" w:type="dxa"/>
            <w:vAlign w:val="center"/>
          </w:tcPr>
          <w:p w14:paraId="79280957" w14:textId="5533883C"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Ранняя реабилитация</w:t>
            </w:r>
          </w:p>
        </w:tc>
        <w:tc>
          <w:tcPr>
            <w:tcW w:w="5471" w:type="dxa"/>
            <w:vAlign w:val="center"/>
          </w:tcPr>
          <w:p w14:paraId="0FFB4D76" w14:textId="34FE51EB"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Координация с физиотерапевтами, логопедами, эрготерапевтами - Мотивация пациента к активной реабилитации</w:t>
            </w:r>
          </w:p>
        </w:tc>
      </w:tr>
      <w:tr w:rsidR="00265619" w:rsidRPr="00265619" w14:paraId="460628B3" w14:textId="77777777" w:rsidTr="00533899">
        <w:tc>
          <w:tcPr>
            <w:tcW w:w="1979" w:type="dxa"/>
            <w:vMerge/>
            <w:vAlign w:val="center"/>
          </w:tcPr>
          <w:p w14:paraId="01D4AE3E" w14:textId="77777777" w:rsidR="00265619" w:rsidRPr="00265619" w:rsidRDefault="00265619" w:rsidP="000F4E51">
            <w:pPr>
              <w:ind w:right="27"/>
              <w:jc w:val="both"/>
              <w:rPr>
                <w:rFonts w:ascii="Times New Roman" w:hAnsi="Times New Roman" w:cs="Times New Roman"/>
                <w:sz w:val="20"/>
                <w:szCs w:val="20"/>
              </w:rPr>
            </w:pPr>
          </w:p>
        </w:tc>
        <w:tc>
          <w:tcPr>
            <w:tcW w:w="2184" w:type="dxa"/>
            <w:vAlign w:val="center"/>
          </w:tcPr>
          <w:p w14:paraId="572D43E2" w14:textId="1B998255"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Образование и взаимодействие</w:t>
            </w:r>
          </w:p>
        </w:tc>
        <w:tc>
          <w:tcPr>
            <w:tcW w:w="5471" w:type="dxa"/>
            <w:vAlign w:val="center"/>
          </w:tcPr>
          <w:p w14:paraId="7E921A41" w14:textId="6B29C82C"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Информирование пациента и семьи - Поддержка в планировании дальнейшего ухода</w:t>
            </w:r>
          </w:p>
        </w:tc>
      </w:tr>
      <w:tr w:rsidR="00265619" w:rsidRPr="00265619" w14:paraId="4D944303" w14:textId="77777777" w:rsidTr="00533899">
        <w:tc>
          <w:tcPr>
            <w:tcW w:w="1979" w:type="dxa"/>
            <w:vMerge w:val="restart"/>
            <w:vAlign w:val="center"/>
          </w:tcPr>
          <w:p w14:paraId="755422E1" w14:textId="7E11E379" w:rsidR="00265619" w:rsidRPr="00265619" w:rsidRDefault="00265619" w:rsidP="000F4E51">
            <w:pPr>
              <w:ind w:right="27"/>
              <w:jc w:val="both"/>
              <w:rPr>
                <w:rFonts w:ascii="Times New Roman" w:hAnsi="Times New Roman" w:cs="Times New Roman"/>
                <w:sz w:val="20"/>
                <w:szCs w:val="20"/>
              </w:rPr>
            </w:pPr>
            <w:r w:rsidRPr="00265619">
              <w:rPr>
                <w:rFonts w:ascii="Times New Roman" w:hAnsi="Times New Roman" w:cs="Times New Roman"/>
                <w:sz w:val="20"/>
                <w:szCs w:val="20"/>
              </w:rPr>
              <w:t>Профилактика инсульта</w:t>
            </w:r>
          </w:p>
        </w:tc>
        <w:tc>
          <w:tcPr>
            <w:tcW w:w="2184" w:type="dxa"/>
            <w:vAlign w:val="center"/>
          </w:tcPr>
          <w:p w14:paraId="37CB195C" w14:textId="0F5086F4"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Первичная профилактика</w:t>
            </w:r>
          </w:p>
        </w:tc>
        <w:tc>
          <w:tcPr>
            <w:tcW w:w="5471" w:type="dxa"/>
            <w:vAlign w:val="center"/>
          </w:tcPr>
          <w:p w14:paraId="0598AF93" w14:textId="1F560AFF"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Выявление факторов риска (АГ, диабет, курение, питание, физическая активность) - Обучение пациентов и семей по ЗОЖ и терапии - Участие в просветительских кампаниях</w:t>
            </w:r>
          </w:p>
        </w:tc>
      </w:tr>
      <w:tr w:rsidR="00265619" w:rsidRPr="00265619" w14:paraId="25436DE3" w14:textId="77777777" w:rsidTr="00533899">
        <w:tc>
          <w:tcPr>
            <w:tcW w:w="1979" w:type="dxa"/>
            <w:vMerge/>
            <w:vAlign w:val="center"/>
          </w:tcPr>
          <w:p w14:paraId="4BDBB529" w14:textId="77777777" w:rsidR="00265619" w:rsidRPr="00265619" w:rsidRDefault="00265619" w:rsidP="000F4E51">
            <w:pPr>
              <w:ind w:right="27"/>
              <w:jc w:val="both"/>
              <w:rPr>
                <w:rFonts w:ascii="Times New Roman" w:hAnsi="Times New Roman" w:cs="Times New Roman"/>
                <w:sz w:val="20"/>
                <w:szCs w:val="20"/>
              </w:rPr>
            </w:pPr>
          </w:p>
        </w:tc>
        <w:tc>
          <w:tcPr>
            <w:tcW w:w="2184" w:type="dxa"/>
            <w:vAlign w:val="center"/>
          </w:tcPr>
          <w:p w14:paraId="46C1D563" w14:textId="42F08FA2"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Вторичная профилактика</w:t>
            </w:r>
          </w:p>
        </w:tc>
        <w:tc>
          <w:tcPr>
            <w:tcW w:w="5471" w:type="dxa"/>
            <w:vAlign w:val="center"/>
          </w:tcPr>
          <w:p w14:paraId="15241B99" w14:textId="21C32021"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Обучение пациентов с инсультом по контролю АД, сахара, антиагрегантам - Применение FAST для раннего выявления - Контроль соблюдения реабилитации и визитов к врачу</w:t>
            </w:r>
          </w:p>
        </w:tc>
      </w:tr>
      <w:tr w:rsidR="00265619" w:rsidRPr="00265619" w14:paraId="02533CA7" w14:textId="77777777" w:rsidTr="00533899">
        <w:tc>
          <w:tcPr>
            <w:tcW w:w="1979" w:type="dxa"/>
            <w:vMerge w:val="restart"/>
            <w:vAlign w:val="center"/>
          </w:tcPr>
          <w:p w14:paraId="5FA06E3E" w14:textId="55B46981" w:rsidR="00265619" w:rsidRPr="00265619" w:rsidRDefault="00265619" w:rsidP="000F4E51">
            <w:pPr>
              <w:ind w:right="27"/>
              <w:jc w:val="both"/>
              <w:rPr>
                <w:rFonts w:ascii="Times New Roman" w:hAnsi="Times New Roman" w:cs="Times New Roman"/>
                <w:sz w:val="20"/>
                <w:szCs w:val="20"/>
              </w:rPr>
            </w:pPr>
            <w:r w:rsidRPr="00265619">
              <w:rPr>
                <w:rFonts w:ascii="Times New Roman" w:hAnsi="Times New Roman" w:cs="Times New Roman"/>
                <w:sz w:val="20"/>
                <w:szCs w:val="20"/>
              </w:rPr>
              <w:t>Медсестринское образование и вмешательства</w:t>
            </w:r>
          </w:p>
        </w:tc>
        <w:tc>
          <w:tcPr>
            <w:tcW w:w="2184" w:type="dxa"/>
            <w:vAlign w:val="center"/>
          </w:tcPr>
          <w:p w14:paraId="28B222C2" w14:textId="054059B3"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Профилактика повторного инсульта</w:t>
            </w:r>
          </w:p>
        </w:tc>
        <w:tc>
          <w:tcPr>
            <w:tcW w:w="5471" w:type="dxa"/>
            <w:vAlign w:val="center"/>
          </w:tcPr>
          <w:p w14:paraId="54EC24F9" w14:textId="10BDE7B8"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Мотивационное консультирование, коррекция образа жизни - Поддержка в соблюдении терапии и отказе от вредных привычек - Долгосрочное сопровождение снижает риск повторных госпитализаций</w:t>
            </w:r>
          </w:p>
        </w:tc>
      </w:tr>
      <w:tr w:rsidR="00265619" w:rsidRPr="00265619" w14:paraId="057AB4ED" w14:textId="77777777" w:rsidTr="00533899">
        <w:tc>
          <w:tcPr>
            <w:tcW w:w="1979" w:type="dxa"/>
            <w:vMerge/>
            <w:vAlign w:val="center"/>
          </w:tcPr>
          <w:p w14:paraId="4E4A7E20" w14:textId="77777777" w:rsidR="00265619" w:rsidRPr="00265619" w:rsidRDefault="00265619" w:rsidP="000F4E51">
            <w:pPr>
              <w:ind w:right="27"/>
              <w:jc w:val="both"/>
              <w:rPr>
                <w:rFonts w:ascii="Times New Roman" w:hAnsi="Times New Roman" w:cs="Times New Roman"/>
                <w:sz w:val="20"/>
                <w:szCs w:val="20"/>
              </w:rPr>
            </w:pPr>
          </w:p>
        </w:tc>
        <w:tc>
          <w:tcPr>
            <w:tcW w:w="2184" w:type="dxa"/>
            <w:vAlign w:val="center"/>
          </w:tcPr>
          <w:p w14:paraId="1AD578F5" w14:textId="606F4074"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Модификация образа жизни</w:t>
            </w:r>
          </w:p>
        </w:tc>
        <w:tc>
          <w:tcPr>
            <w:tcW w:w="5471" w:type="dxa"/>
            <w:vAlign w:val="center"/>
          </w:tcPr>
          <w:p w14:paraId="0A8E05A1" w14:textId="27088E57"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Контроль АД, ИМТ, питания, уровня физической активности - Совместное постановка реалистичных целей с пациентом</w:t>
            </w:r>
          </w:p>
        </w:tc>
      </w:tr>
      <w:tr w:rsidR="00265619" w:rsidRPr="00265619" w14:paraId="38078EF2" w14:textId="77777777" w:rsidTr="00533899">
        <w:tc>
          <w:tcPr>
            <w:tcW w:w="1979" w:type="dxa"/>
            <w:vMerge w:val="restart"/>
            <w:vAlign w:val="center"/>
          </w:tcPr>
          <w:p w14:paraId="4F7BADDB" w14:textId="0E495E2D" w:rsidR="00265619" w:rsidRPr="00265619" w:rsidRDefault="00265619" w:rsidP="000F4E51">
            <w:pPr>
              <w:ind w:right="27"/>
              <w:jc w:val="both"/>
              <w:rPr>
                <w:rFonts w:ascii="Times New Roman" w:hAnsi="Times New Roman" w:cs="Times New Roman"/>
                <w:sz w:val="20"/>
                <w:szCs w:val="20"/>
              </w:rPr>
            </w:pPr>
            <w:r w:rsidRPr="00265619">
              <w:rPr>
                <w:rFonts w:ascii="Times New Roman" w:hAnsi="Times New Roman" w:cs="Times New Roman"/>
                <w:sz w:val="20"/>
                <w:szCs w:val="20"/>
              </w:rPr>
              <w:t>Психологическое состояние после инсульта</w:t>
            </w:r>
          </w:p>
        </w:tc>
        <w:tc>
          <w:tcPr>
            <w:tcW w:w="2184" w:type="dxa"/>
            <w:vAlign w:val="center"/>
          </w:tcPr>
          <w:p w14:paraId="56C98885" w14:textId="2FAE8B29"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Депрессия и тревожность</w:t>
            </w:r>
          </w:p>
        </w:tc>
        <w:tc>
          <w:tcPr>
            <w:tcW w:w="5471" w:type="dxa"/>
            <w:vAlign w:val="center"/>
          </w:tcPr>
          <w:p w14:paraId="0C87279E" w14:textId="561D812E"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Скрининг PHQ-9, GAD-7 - Эмоциональная поддержка, направление к специалистам - Организация групп поддержки</w:t>
            </w:r>
          </w:p>
        </w:tc>
      </w:tr>
      <w:tr w:rsidR="00265619" w:rsidRPr="00265619" w14:paraId="63871EB3" w14:textId="77777777" w:rsidTr="00533899">
        <w:tc>
          <w:tcPr>
            <w:tcW w:w="1979" w:type="dxa"/>
            <w:vMerge/>
            <w:vAlign w:val="center"/>
          </w:tcPr>
          <w:p w14:paraId="1503BCBF" w14:textId="77777777" w:rsidR="00265619" w:rsidRPr="00265619" w:rsidRDefault="00265619" w:rsidP="000F4E51">
            <w:pPr>
              <w:ind w:right="27"/>
              <w:jc w:val="both"/>
              <w:rPr>
                <w:rFonts w:ascii="Times New Roman" w:hAnsi="Times New Roman" w:cs="Times New Roman"/>
                <w:sz w:val="20"/>
                <w:szCs w:val="20"/>
              </w:rPr>
            </w:pPr>
          </w:p>
        </w:tc>
        <w:tc>
          <w:tcPr>
            <w:tcW w:w="2184" w:type="dxa"/>
            <w:vAlign w:val="center"/>
          </w:tcPr>
          <w:p w14:paraId="4B6CB544" w14:textId="44F1A105"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Доказанные психосоциальные вмешательства</w:t>
            </w:r>
          </w:p>
        </w:tc>
        <w:tc>
          <w:tcPr>
            <w:tcW w:w="5471" w:type="dxa"/>
            <w:vAlign w:val="center"/>
          </w:tcPr>
          <w:p w14:paraId="2472CF4A" w14:textId="04BB1875"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Сестринские психосоциальные программы снижают тревогу и депрессию - Поведенческая активация, структурированные визиты</w:t>
            </w:r>
          </w:p>
        </w:tc>
      </w:tr>
      <w:tr w:rsidR="00265619" w:rsidRPr="00265619" w14:paraId="308F8A03" w14:textId="77777777" w:rsidTr="00533899">
        <w:tc>
          <w:tcPr>
            <w:tcW w:w="1979" w:type="dxa"/>
            <w:vMerge w:val="restart"/>
            <w:vAlign w:val="center"/>
          </w:tcPr>
          <w:p w14:paraId="51B1AA8B" w14:textId="18A5F99A" w:rsidR="00265619" w:rsidRPr="00265619" w:rsidRDefault="00265619" w:rsidP="000F4E51">
            <w:pPr>
              <w:ind w:right="27"/>
              <w:jc w:val="both"/>
              <w:rPr>
                <w:rFonts w:ascii="Times New Roman" w:hAnsi="Times New Roman" w:cs="Times New Roman"/>
                <w:sz w:val="20"/>
                <w:szCs w:val="20"/>
              </w:rPr>
            </w:pPr>
            <w:r w:rsidRPr="00265619">
              <w:rPr>
                <w:rFonts w:ascii="Times New Roman" w:hAnsi="Times New Roman" w:cs="Times New Roman"/>
                <w:sz w:val="20"/>
                <w:szCs w:val="20"/>
              </w:rPr>
              <w:t>Когнитивные нарушения и поддержка ухаживающих</w:t>
            </w:r>
          </w:p>
        </w:tc>
        <w:tc>
          <w:tcPr>
            <w:tcW w:w="2184" w:type="dxa"/>
            <w:vAlign w:val="center"/>
          </w:tcPr>
          <w:p w14:paraId="27E87775" w14:textId="32654C28"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Когнитивные нарушения</w:t>
            </w:r>
          </w:p>
        </w:tc>
        <w:tc>
          <w:tcPr>
            <w:tcW w:w="5471" w:type="dxa"/>
            <w:vAlign w:val="center"/>
          </w:tcPr>
          <w:p w14:paraId="1C3B78A1" w14:textId="732771BF"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Оценка MoCA, когнитивная стимуляция - Поддержка занятий с эрготерапевтом - Обучение семей стратегиям компенсации</w:t>
            </w:r>
          </w:p>
        </w:tc>
      </w:tr>
      <w:tr w:rsidR="00265619" w:rsidRPr="00265619" w14:paraId="7E2D2F64" w14:textId="77777777" w:rsidTr="00533899">
        <w:tc>
          <w:tcPr>
            <w:tcW w:w="1979" w:type="dxa"/>
            <w:vMerge/>
            <w:vAlign w:val="center"/>
          </w:tcPr>
          <w:p w14:paraId="0DAE608C" w14:textId="77777777" w:rsidR="00265619" w:rsidRPr="00265619" w:rsidRDefault="00265619" w:rsidP="000F4E51">
            <w:pPr>
              <w:ind w:right="27"/>
              <w:jc w:val="both"/>
              <w:rPr>
                <w:rFonts w:ascii="Times New Roman" w:hAnsi="Times New Roman" w:cs="Times New Roman"/>
                <w:sz w:val="20"/>
                <w:szCs w:val="20"/>
              </w:rPr>
            </w:pPr>
          </w:p>
        </w:tc>
        <w:tc>
          <w:tcPr>
            <w:tcW w:w="2184" w:type="dxa"/>
            <w:vAlign w:val="center"/>
          </w:tcPr>
          <w:p w14:paraId="75BA8AF6" w14:textId="4B4396B6"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Нагрузка на ухаживающих</w:t>
            </w:r>
          </w:p>
        </w:tc>
        <w:tc>
          <w:tcPr>
            <w:tcW w:w="5471" w:type="dxa"/>
            <w:vAlign w:val="center"/>
          </w:tcPr>
          <w:p w14:paraId="1071F0BD" w14:textId="7AF9945D"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Эмоциональная поддержка, организация кратковременного ухода (respite care) - Обучение и повышение уверенности в уходе</w:t>
            </w:r>
          </w:p>
        </w:tc>
      </w:tr>
      <w:tr w:rsidR="00265619" w:rsidRPr="00265619" w14:paraId="1D59DF11" w14:textId="77777777" w:rsidTr="00533899">
        <w:tc>
          <w:tcPr>
            <w:tcW w:w="1979" w:type="dxa"/>
            <w:vMerge w:val="restart"/>
            <w:vAlign w:val="center"/>
          </w:tcPr>
          <w:p w14:paraId="267FFA07" w14:textId="53BDA23B" w:rsidR="00265619" w:rsidRPr="00265619" w:rsidRDefault="00265619" w:rsidP="000F4E51">
            <w:pPr>
              <w:ind w:right="27"/>
              <w:jc w:val="both"/>
              <w:rPr>
                <w:rFonts w:ascii="Times New Roman" w:hAnsi="Times New Roman" w:cs="Times New Roman"/>
                <w:sz w:val="20"/>
                <w:szCs w:val="20"/>
              </w:rPr>
            </w:pPr>
            <w:r w:rsidRPr="00265619">
              <w:rPr>
                <w:rFonts w:ascii="Times New Roman" w:hAnsi="Times New Roman" w:cs="Times New Roman"/>
                <w:sz w:val="20"/>
                <w:szCs w:val="20"/>
              </w:rPr>
              <w:t>Нарушения речи и коммуникации</w:t>
            </w:r>
          </w:p>
        </w:tc>
        <w:tc>
          <w:tcPr>
            <w:tcW w:w="2184" w:type="dxa"/>
            <w:vAlign w:val="center"/>
          </w:tcPr>
          <w:p w14:paraId="16A7AB33" w14:textId="2D058162"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Афазия и дисфазия</w:t>
            </w:r>
          </w:p>
        </w:tc>
        <w:tc>
          <w:tcPr>
            <w:tcW w:w="5471" w:type="dxa"/>
            <w:vAlign w:val="center"/>
          </w:tcPr>
          <w:p w14:paraId="395F7009" w14:textId="47415F2C"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Использование жестов, карточек, упрощённой речи - Ранняя направленность на логопедическую помощь - Индивидуальные планы коммуникации</w:t>
            </w:r>
          </w:p>
        </w:tc>
      </w:tr>
      <w:tr w:rsidR="00265619" w:rsidRPr="00265619" w14:paraId="6CA98EC7" w14:textId="77777777" w:rsidTr="00533899">
        <w:tc>
          <w:tcPr>
            <w:tcW w:w="1979" w:type="dxa"/>
            <w:vMerge/>
            <w:vAlign w:val="center"/>
          </w:tcPr>
          <w:p w14:paraId="1BCF41D4" w14:textId="77777777" w:rsidR="00265619" w:rsidRPr="00265619" w:rsidRDefault="00265619" w:rsidP="000F4E51">
            <w:pPr>
              <w:ind w:right="27"/>
              <w:jc w:val="both"/>
              <w:rPr>
                <w:rFonts w:ascii="Times New Roman" w:hAnsi="Times New Roman" w:cs="Times New Roman"/>
                <w:sz w:val="20"/>
                <w:szCs w:val="20"/>
              </w:rPr>
            </w:pPr>
          </w:p>
        </w:tc>
        <w:tc>
          <w:tcPr>
            <w:tcW w:w="2184" w:type="dxa"/>
            <w:vAlign w:val="center"/>
          </w:tcPr>
          <w:p w14:paraId="791D33C2" w14:textId="31ECFB45"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Специализированный уход</w:t>
            </w:r>
          </w:p>
        </w:tc>
        <w:tc>
          <w:tcPr>
            <w:tcW w:w="5471" w:type="dxa"/>
            <w:vAlign w:val="center"/>
          </w:tcPr>
          <w:p w14:paraId="7057A032" w14:textId="6B704933"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Тренинги по поддержке коммуникации - Использование AAC (альтернативных и дополнительных средств коммуникации)</w:t>
            </w:r>
          </w:p>
        </w:tc>
      </w:tr>
      <w:tr w:rsidR="00265619" w:rsidRPr="00265619" w14:paraId="6F2A28C8" w14:textId="77777777" w:rsidTr="00533899">
        <w:tc>
          <w:tcPr>
            <w:tcW w:w="1979" w:type="dxa"/>
            <w:vMerge w:val="restart"/>
            <w:vAlign w:val="center"/>
          </w:tcPr>
          <w:p w14:paraId="3FD768CC" w14:textId="4DB52023" w:rsidR="00265619" w:rsidRPr="00265619" w:rsidRDefault="00265619" w:rsidP="000F4E51">
            <w:pPr>
              <w:ind w:right="27"/>
              <w:jc w:val="both"/>
              <w:rPr>
                <w:rFonts w:ascii="Times New Roman" w:hAnsi="Times New Roman" w:cs="Times New Roman"/>
                <w:sz w:val="20"/>
                <w:szCs w:val="20"/>
              </w:rPr>
            </w:pPr>
            <w:r w:rsidRPr="00265619">
              <w:rPr>
                <w:rFonts w:ascii="Times New Roman" w:hAnsi="Times New Roman" w:cs="Times New Roman"/>
                <w:sz w:val="20"/>
                <w:szCs w:val="20"/>
              </w:rPr>
              <w:lastRenderedPageBreak/>
              <w:t>Технологии в уходе</w:t>
            </w:r>
          </w:p>
        </w:tc>
        <w:tc>
          <w:tcPr>
            <w:tcW w:w="2184" w:type="dxa"/>
            <w:vAlign w:val="center"/>
          </w:tcPr>
          <w:p w14:paraId="45DC215E" w14:textId="389ECD3C"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Телемедицина и телеуход</w:t>
            </w:r>
          </w:p>
        </w:tc>
        <w:tc>
          <w:tcPr>
            <w:tcW w:w="5471" w:type="dxa"/>
            <w:vAlign w:val="center"/>
          </w:tcPr>
          <w:p w14:paraId="28F8E306" w14:textId="3F344D90"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Онлайн-консультации - Поддержка после выписки - Снижение повторных госпитализаций</w:t>
            </w:r>
          </w:p>
        </w:tc>
      </w:tr>
      <w:tr w:rsidR="00265619" w:rsidRPr="00265619" w14:paraId="4DAE64AC" w14:textId="77777777" w:rsidTr="00533899">
        <w:tc>
          <w:tcPr>
            <w:tcW w:w="1979" w:type="dxa"/>
            <w:vMerge/>
            <w:vAlign w:val="center"/>
          </w:tcPr>
          <w:p w14:paraId="3F6B650F" w14:textId="77777777" w:rsidR="00265619" w:rsidRPr="00265619" w:rsidRDefault="00265619" w:rsidP="000F4E51">
            <w:pPr>
              <w:ind w:right="27"/>
              <w:jc w:val="both"/>
              <w:rPr>
                <w:rFonts w:ascii="Times New Roman" w:hAnsi="Times New Roman" w:cs="Times New Roman"/>
                <w:sz w:val="20"/>
                <w:szCs w:val="20"/>
              </w:rPr>
            </w:pPr>
          </w:p>
        </w:tc>
        <w:tc>
          <w:tcPr>
            <w:tcW w:w="2184" w:type="dxa"/>
            <w:vAlign w:val="center"/>
          </w:tcPr>
          <w:p w14:paraId="1610D994" w14:textId="54907430"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Мобильные приложения (mHealth)</w:t>
            </w:r>
          </w:p>
        </w:tc>
        <w:tc>
          <w:tcPr>
            <w:tcW w:w="5471" w:type="dxa"/>
            <w:vAlign w:val="center"/>
          </w:tcPr>
          <w:p w14:paraId="1F77B02D" w14:textId="44C63E56"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Контроль параметров, напоминания, упражнения - Повышение вовлечённости и самоконтроля</w:t>
            </w:r>
          </w:p>
        </w:tc>
      </w:tr>
      <w:tr w:rsidR="00265619" w:rsidRPr="00265619" w14:paraId="189A9CA6" w14:textId="77777777" w:rsidTr="00533899">
        <w:tc>
          <w:tcPr>
            <w:tcW w:w="1979" w:type="dxa"/>
            <w:vMerge w:val="restart"/>
            <w:vAlign w:val="center"/>
          </w:tcPr>
          <w:p w14:paraId="6BCF91D4" w14:textId="7E783F54" w:rsidR="00265619" w:rsidRPr="00265619" w:rsidRDefault="00265619" w:rsidP="000F4E51">
            <w:pPr>
              <w:ind w:right="27"/>
              <w:jc w:val="both"/>
              <w:rPr>
                <w:rFonts w:ascii="Times New Roman" w:hAnsi="Times New Roman" w:cs="Times New Roman"/>
                <w:sz w:val="20"/>
                <w:szCs w:val="20"/>
              </w:rPr>
            </w:pPr>
            <w:r w:rsidRPr="00265619">
              <w:rPr>
                <w:rFonts w:ascii="Times New Roman" w:hAnsi="Times New Roman" w:cs="Times New Roman"/>
                <w:sz w:val="20"/>
                <w:szCs w:val="20"/>
              </w:rPr>
              <w:t>Уязвимые группы</w:t>
            </w:r>
          </w:p>
        </w:tc>
        <w:tc>
          <w:tcPr>
            <w:tcW w:w="2184" w:type="dxa"/>
            <w:vAlign w:val="center"/>
          </w:tcPr>
          <w:p w14:paraId="151A65EF" w14:textId="66226E1A"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Неравенство в уходе</w:t>
            </w:r>
          </w:p>
        </w:tc>
        <w:tc>
          <w:tcPr>
            <w:tcW w:w="5471" w:type="dxa"/>
            <w:vAlign w:val="center"/>
          </w:tcPr>
          <w:p w14:paraId="30C5354D" w14:textId="51E6CD8F"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Адаптация материалов для уязвимых групп - Просветительская работа - Адвокация равного доступа</w:t>
            </w:r>
          </w:p>
        </w:tc>
      </w:tr>
      <w:tr w:rsidR="00265619" w:rsidRPr="00265619" w14:paraId="19256E8F" w14:textId="77777777" w:rsidTr="00533899">
        <w:tc>
          <w:tcPr>
            <w:tcW w:w="1979" w:type="dxa"/>
            <w:vMerge/>
          </w:tcPr>
          <w:p w14:paraId="59CF41D9" w14:textId="77777777" w:rsidR="00265619" w:rsidRPr="00265619" w:rsidRDefault="00265619" w:rsidP="000F4E51">
            <w:pPr>
              <w:ind w:right="27"/>
              <w:jc w:val="both"/>
              <w:rPr>
                <w:rFonts w:ascii="Times New Roman" w:hAnsi="Times New Roman" w:cs="Times New Roman"/>
                <w:sz w:val="20"/>
                <w:szCs w:val="20"/>
              </w:rPr>
            </w:pPr>
          </w:p>
        </w:tc>
        <w:tc>
          <w:tcPr>
            <w:tcW w:w="2184" w:type="dxa"/>
            <w:vAlign w:val="center"/>
          </w:tcPr>
          <w:p w14:paraId="7F1E1345" w14:textId="4C0F15B4"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Культурная компетентность</w:t>
            </w:r>
          </w:p>
        </w:tc>
        <w:tc>
          <w:tcPr>
            <w:tcW w:w="5471" w:type="dxa"/>
            <w:vAlign w:val="center"/>
          </w:tcPr>
          <w:p w14:paraId="3FD63E6B" w14:textId="79C0653E"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Использование переводчиков, вовлечение семьи - Повышение удовлетворённости и соблюдения рекомендаций</w:t>
            </w:r>
          </w:p>
        </w:tc>
      </w:tr>
      <w:tr w:rsidR="00265619" w:rsidRPr="00265619" w14:paraId="37A55870" w14:textId="77777777" w:rsidTr="00533899">
        <w:tc>
          <w:tcPr>
            <w:tcW w:w="1979" w:type="dxa"/>
            <w:vAlign w:val="center"/>
          </w:tcPr>
          <w:p w14:paraId="50FB81D9" w14:textId="5D3E9E45" w:rsidR="00265619" w:rsidRPr="00265619" w:rsidRDefault="00265619" w:rsidP="000F4E51">
            <w:pPr>
              <w:ind w:right="27"/>
              <w:jc w:val="both"/>
              <w:rPr>
                <w:rFonts w:ascii="Times New Roman" w:hAnsi="Times New Roman" w:cs="Times New Roman"/>
                <w:sz w:val="20"/>
                <w:szCs w:val="20"/>
              </w:rPr>
            </w:pPr>
            <w:r w:rsidRPr="00265619">
              <w:rPr>
                <w:rFonts w:ascii="Times New Roman" w:hAnsi="Times New Roman" w:cs="Times New Roman"/>
                <w:sz w:val="20"/>
                <w:szCs w:val="20"/>
              </w:rPr>
              <w:t>Проекты по улучшению качества (QI)</w:t>
            </w:r>
          </w:p>
        </w:tc>
        <w:tc>
          <w:tcPr>
            <w:tcW w:w="2184" w:type="dxa"/>
            <w:vAlign w:val="center"/>
          </w:tcPr>
          <w:p w14:paraId="5BB13EBE" w14:textId="464AB840"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Медсестринские инициативы</w:t>
            </w:r>
          </w:p>
        </w:tc>
        <w:tc>
          <w:tcPr>
            <w:tcW w:w="5471" w:type="dxa"/>
            <w:vAlign w:val="center"/>
          </w:tcPr>
          <w:p w14:paraId="39C0E1DB" w14:textId="3B8B3A67"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Улучшение скрининга дисфагии, сокращение «дверь-игла» - Повышение информированности и профилактики пролежней - Анализ данных, постановка целей, внедрение улучшений - Рост координации, эффективности и удовлетворённости</w:t>
            </w:r>
          </w:p>
        </w:tc>
      </w:tr>
      <w:tr w:rsidR="00265619" w:rsidRPr="00265619" w14:paraId="7A6AE05C" w14:textId="77777777" w:rsidTr="00533899">
        <w:tc>
          <w:tcPr>
            <w:tcW w:w="1979" w:type="dxa"/>
            <w:vMerge w:val="restart"/>
            <w:vAlign w:val="center"/>
          </w:tcPr>
          <w:p w14:paraId="0AAE5728" w14:textId="712E3383" w:rsidR="00265619" w:rsidRPr="00265619" w:rsidRDefault="00265619" w:rsidP="000F4E51">
            <w:pPr>
              <w:ind w:right="27"/>
              <w:jc w:val="both"/>
              <w:rPr>
                <w:rFonts w:ascii="Times New Roman" w:hAnsi="Times New Roman" w:cs="Times New Roman"/>
                <w:sz w:val="20"/>
                <w:szCs w:val="20"/>
              </w:rPr>
            </w:pPr>
            <w:r w:rsidRPr="00265619">
              <w:rPr>
                <w:rFonts w:ascii="Times New Roman" w:hAnsi="Times New Roman" w:cs="Times New Roman"/>
                <w:sz w:val="20"/>
                <w:szCs w:val="20"/>
              </w:rPr>
              <w:t>Семейная и социальная поддержка</w:t>
            </w:r>
          </w:p>
        </w:tc>
        <w:tc>
          <w:tcPr>
            <w:tcW w:w="2184" w:type="dxa"/>
            <w:vAlign w:val="center"/>
          </w:tcPr>
          <w:p w14:paraId="5D5249A2" w14:textId="147B1FCE"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Поддержка семьи и ухаживающих</w:t>
            </w:r>
          </w:p>
        </w:tc>
        <w:tc>
          <w:tcPr>
            <w:tcW w:w="5471" w:type="dxa"/>
            <w:vAlign w:val="center"/>
          </w:tcPr>
          <w:p w14:paraId="38DFBD38" w14:textId="527FD503"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Обучение по уходу, лекарствам, эффектам инсульта - Вовлечение в планирование выписки - Эмоциональная поддержка, направление к соцслужбам</w:t>
            </w:r>
          </w:p>
        </w:tc>
      </w:tr>
      <w:tr w:rsidR="00265619" w:rsidRPr="00265619" w14:paraId="5D01A946" w14:textId="77777777" w:rsidTr="00533899">
        <w:tc>
          <w:tcPr>
            <w:tcW w:w="1979" w:type="dxa"/>
            <w:vMerge/>
            <w:vAlign w:val="center"/>
          </w:tcPr>
          <w:p w14:paraId="21014789" w14:textId="77777777" w:rsidR="00265619" w:rsidRPr="00265619" w:rsidRDefault="00265619" w:rsidP="000F4E51">
            <w:pPr>
              <w:ind w:right="-284"/>
              <w:jc w:val="both"/>
              <w:rPr>
                <w:rFonts w:ascii="Times New Roman" w:hAnsi="Times New Roman" w:cs="Times New Roman"/>
                <w:sz w:val="20"/>
                <w:szCs w:val="20"/>
              </w:rPr>
            </w:pPr>
          </w:p>
        </w:tc>
        <w:tc>
          <w:tcPr>
            <w:tcW w:w="2184" w:type="dxa"/>
            <w:vAlign w:val="center"/>
          </w:tcPr>
          <w:p w14:paraId="49222471" w14:textId="23C7D48C"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Влияние сестринских вмешательств</w:t>
            </w:r>
          </w:p>
        </w:tc>
        <w:tc>
          <w:tcPr>
            <w:tcW w:w="5471" w:type="dxa"/>
            <w:vAlign w:val="center"/>
          </w:tcPr>
          <w:p w14:paraId="3DDCDC71" w14:textId="4431CAD6"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Снижение тревожности и выгорания ухаживающих - Повышение уверенности и поддержка самозаботы</w:t>
            </w:r>
          </w:p>
        </w:tc>
      </w:tr>
      <w:tr w:rsidR="00265619" w:rsidRPr="00265619" w14:paraId="1A123A51" w14:textId="77777777" w:rsidTr="00533899">
        <w:tc>
          <w:tcPr>
            <w:tcW w:w="1979" w:type="dxa"/>
            <w:vMerge/>
            <w:vAlign w:val="center"/>
          </w:tcPr>
          <w:p w14:paraId="48DA9A92" w14:textId="77777777" w:rsidR="00265619" w:rsidRPr="00265619" w:rsidRDefault="00265619" w:rsidP="000F4E51">
            <w:pPr>
              <w:ind w:right="-284"/>
              <w:jc w:val="both"/>
              <w:rPr>
                <w:rFonts w:ascii="Times New Roman" w:hAnsi="Times New Roman" w:cs="Times New Roman"/>
                <w:sz w:val="20"/>
                <w:szCs w:val="20"/>
              </w:rPr>
            </w:pPr>
          </w:p>
        </w:tc>
        <w:tc>
          <w:tcPr>
            <w:tcW w:w="2184" w:type="dxa"/>
            <w:vAlign w:val="center"/>
          </w:tcPr>
          <w:p w14:paraId="0568AD08" w14:textId="48540466" w:rsidR="00265619" w:rsidRPr="00265619" w:rsidRDefault="00265619" w:rsidP="000F4E51">
            <w:pPr>
              <w:ind w:right="104"/>
              <w:jc w:val="both"/>
              <w:rPr>
                <w:rFonts w:ascii="Times New Roman" w:hAnsi="Times New Roman" w:cs="Times New Roman"/>
                <w:sz w:val="20"/>
                <w:szCs w:val="20"/>
              </w:rPr>
            </w:pPr>
            <w:r w:rsidRPr="00265619">
              <w:rPr>
                <w:rFonts w:ascii="Times New Roman" w:hAnsi="Times New Roman" w:cs="Times New Roman"/>
                <w:sz w:val="20"/>
                <w:szCs w:val="20"/>
              </w:rPr>
              <w:t>Эффективные стратегии поддержки</w:t>
            </w:r>
          </w:p>
        </w:tc>
        <w:tc>
          <w:tcPr>
            <w:tcW w:w="5471" w:type="dxa"/>
            <w:vAlign w:val="center"/>
          </w:tcPr>
          <w:p w14:paraId="1BC2C527" w14:textId="5A39A820" w:rsidR="00265619" w:rsidRPr="00265619" w:rsidRDefault="00265619" w:rsidP="000F4E51">
            <w:pPr>
              <w:ind w:right="44"/>
              <w:jc w:val="both"/>
              <w:rPr>
                <w:rFonts w:ascii="Times New Roman" w:hAnsi="Times New Roman" w:cs="Times New Roman"/>
                <w:sz w:val="20"/>
                <w:szCs w:val="20"/>
              </w:rPr>
            </w:pPr>
            <w:r w:rsidRPr="00265619">
              <w:rPr>
                <w:rFonts w:ascii="Times New Roman" w:hAnsi="Times New Roman" w:cs="Times New Roman"/>
                <w:sz w:val="20"/>
                <w:szCs w:val="20"/>
              </w:rPr>
              <w:t>- Индивидуальное обучение, тренинги до выписки - Группы поддержки, цифровые материалы - Расширение прав и возможностей ухаживающих</w:t>
            </w:r>
          </w:p>
        </w:tc>
      </w:tr>
    </w:tbl>
    <w:p w14:paraId="42B0FD8D" w14:textId="77777777" w:rsidR="00265619" w:rsidRDefault="00265619" w:rsidP="000F4E51">
      <w:pPr>
        <w:spacing w:after="0" w:line="240" w:lineRule="auto"/>
        <w:ind w:right="-284"/>
        <w:jc w:val="both"/>
        <w:rPr>
          <w:rFonts w:ascii="Times New Roman" w:hAnsi="Times New Roman" w:cs="Times New Roman"/>
          <w:sz w:val="28"/>
          <w:szCs w:val="28"/>
        </w:rPr>
      </w:pPr>
    </w:p>
    <w:p w14:paraId="066E09E9" w14:textId="77777777" w:rsidR="00AD0853" w:rsidRPr="009F51FB" w:rsidRDefault="00AD0853">
      <w:pPr>
        <w:pStyle w:val="a6"/>
        <w:numPr>
          <w:ilvl w:val="1"/>
          <w:numId w:val="16"/>
        </w:numPr>
        <w:ind w:left="0" w:right="-284" w:firstLine="567"/>
        <w:jc w:val="both"/>
        <w:rPr>
          <w:sz w:val="28"/>
          <w:szCs w:val="28"/>
        </w:rPr>
      </w:pPr>
      <w:r w:rsidRPr="009F51FB">
        <w:rPr>
          <w:b/>
          <w:bCs/>
          <w:sz w:val="28"/>
          <w:szCs w:val="28"/>
        </w:rPr>
        <w:t>Организация и совершенствование инсультной службы в Республике Казахстан</w:t>
      </w:r>
    </w:p>
    <w:p w14:paraId="0A272D1B" w14:textId="24C5620D" w:rsidR="00AD0853" w:rsidRPr="009F51FB" w:rsidRDefault="00AD0853" w:rsidP="000F4E51">
      <w:pPr>
        <w:pStyle w:val="a6"/>
        <w:ind w:left="0" w:right="-284" w:firstLine="567"/>
        <w:jc w:val="both"/>
        <w:rPr>
          <w:rFonts w:eastAsia="Calibri"/>
          <w:sz w:val="28"/>
          <w:szCs w:val="28"/>
          <w:lang w:eastAsia="en-US"/>
        </w:rPr>
      </w:pPr>
      <w:r w:rsidRPr="009F51FB">
        <w:rPr>
          <w:rFonts w:eastAsia="Calibri"/>
          <w:sz w:val="28"/>
          <w:szCs w:val="28"/>
          <w:lang w:eastAsia="en-US"/>
        </w:rPr>
        <w:t xml:space="preserve">В </w:t>
      </w:r>
      <w:r w:rsidR="00A05E6F">
        <w:rPr>
          <w:rFonts w:eastAsia="Calibri"/>
          <w:sz w:val="28"/>
          <w:szCs w:val="28"/>
          <w:lang w:eastAsia="en-US"/>
        </w:rPr>
        <w:t>Республике Казахстан (РК) с</w:t>
      </w:r>
      <w:r w:rsidRPr="009F51FB">
        <w:rPr>
          <w:rFonts w:eastAsia="Calibri"/>
          <w:sz w:val="28"/>
          <w:szCs w:val="28"/>
          <w:lang w:eastAsia="en-US"/>
        </w:rPr>
        <w:t xml:space="preserve"> 2014–2019 годах наблюдались значительные региональные различия в заболеваемости и смертности от инсульта: наибольшие показатели фиксировались в центральных, северных и восточных регионах, что связано со старением населения, высокой распространённостью сопутствующих заболеваний и ограниченным доступом к медицинской помощи. С 2011 по 2020 год заболеваемость инсультом выросла в 2,3 раза — с 189 до 433,7 случаев на 100000 населения, при этом максимальные показатели зарегистрированы в Восточно-Казахстанской области (625 на 100000), минимальные — в Атырауской, Актюбинской и Алматинской областях. Несмотря на рост заболеваемости, смертность снизилась на 15% — с 92,36 до 78,49 на 100 000 населения</w:t>
      </w:r>
      <w:r w:rsidR="00EF60E5" w:rsidRPr="00EF60E5">
        <w:rPr>
          <w:rFonts w:eastAsia="Calibri"/>
          <w:sz w:val="28"/>
          <w:szCs w:val="28"/>
          <w:lang w:eastAsia="en-US"/>
        </w:rPr>
        <w:t xml:space="preserve"> [15]</w:t>
      </w:r>
      <w:r w:rsidRPr="009F51FB">
        <w:rPr>
          <w:rFonts w:eastAsia="Calibri"/>
          <w:sz w:val="28"/>
          <w:szCs w:val="28"/>
          <w:lang w:eastAsia="en-US"/>
        </w:rPr>
        <w:t>.</w:t>
      </w:r>
    </w:p>
    <w:p w14:paraId="1BFA1391" w14:textId="6784D91F" w:rsidR="00AD0853" w:rsidRPr="009F51FB" w:rsidRDefault="00AD0853" w:rsidP="000F4E51">
      <w:pPr>
        <w:pStyle w:val="a6"/>
        <w:ind w:left="0" w:right="-284" w:firstLine="567"/>
        <w:jc w:val="both"/>
        <w:rPr>
          <w:rFonts w:eastAsia="Calibri"/>
          <w:sz w:val="28"/>
          <w:szCs w:val="28"/>
          <w:lang w:eastAsia="en-US"/>
        </w:rPr>
      </w:pPr>
      <w:r w:rsidRPr="009F51FB">
        <w:rPr>
          <w:rFonts w:eastAsia="Calibri"/>
          <w:sz w:val="28"/>
          <w:szCs w:val="28"/>
          <w:lang w:eastAsia="en-US"/>
        </w:rPr>
        <w:t>Анализ данных 79 инсультных центров выявил значительные догоспитальные задержки (120–180 минут) и увеличенные интервалы «door-to-needle», что подчёркивает необходимость совершенствования догоспитальной помощи и внедрения современных технологий. Основная цель ухода родственников</w:t>
      </w:r>
      <w:r w:rsidR="00255EE1" w:rsidRPr="00255EE1">
        <w:rPr>
          <w:rFonts w:eastAsia="Calibri"/>
          <w:sz w:val="28"/>
          <w:szCs w:val="28"/>
          <w:lang w:eastAsia="en-US"/>
        </w:rPr>
        <w:t>,</w:t>
      </w:r>
      <w:r w:rsidRPr="009F51FB">
        <w:rPr>
          <w:rFonts w:eastAsia="Calibri"/>
          <w:sz w:val="28"/>
          <w:szCs w:val="28"/>
          <w:lang w:eastAsia="en-US"/>
        </w:rPr>
        <w:t xml:space="preserve"> восстановление двигательной активности (58%), при этом до 49,5% испытывают трудности из-за недостаточной информированности и непонимания рекомендаций медперсонала. Эмоциональное состояние ухаживающих тесно связано с состоянием пациента, а люди с высшим образованием проявляют большую устойчивость к стрессу</w:t>
      </w:r>
      <w:r w:rsidR="00EF60E5" w:rsidRPr="00EF60E5">
        <w:rPr>
          <w:rFonts w:eastAsia="Calibri"/>
          <w:sz w:val="28"/>
          <w:szCs w:val="28"/>
          <w:lang w:eastAsia="en-US"/>
        </w:rPr>
        <w:t xml:space="preserve"> [16]</w:t>
      </w:r>
      <w:r w:rsidRPr="009F51FB">
        <w:rPr>
          <w:rFonts w:eastAsia="Calibri"/>
          <w:sz w:val="28"/>
          <w:szCs w:val="28"/>
          <w:lang w:eastAsia="en-US"/>
        </w:rPr>
        <w:t>.</w:t>
      </w:r>
    </w:p>
    <w:p w14:paraId="63CD6256" w14:textId="618B74F5" w:rsidR="00AD0853" w:rsidRPr="009F51FB" w:rsidRDefault="00AD0853" w:rsidP="000F4E51">
      <w:pPr>
        <w:pStyle w:val="a6"/>
        <w:ind w:left="0" w:right="-284" w:firstLine="567"/>
        <w:jc w:val="both"/>
        <w:rPr>
          <w:rFonts w:eastAsia="Calibri"/>
          <w:sz w:val="28"/>
          <w:szCs w:val="28"/>
          <w:lang w:eastAsia="en-US"/>
        </w:rPr>
      </w:pPr>
      <w:r w:rsidRPr="009F51FB">
        <w:rPr>
          <w:rFonts w:eastAsia="Calibri"/>
          <w:sz w:val="28"/>
          <w:szCs w:val="28"/>
          <w:lang w:eastAsia="en-US"/>
        </w:rPr>
        <w:t xml:space="preserve">Ретроспективное исследование 2018–2020 годов в Нур-Султане и Алматы показало, что всего госпитализировано 19 463 пациента с острыми нарушениями мозгового кровообращения. Средний возраст составил 62,2±11,9 лет, мужчин — 59,8%, женщин — 40,2%, средний ИМТ — 27,6±4,5. Степень тяжести инсульта и уровень инвалидизации снижались к моменту выписки, указывая на </w:t>
      </w:r>
      <w:r w:rsidRPr="009F51FB">
        <w:rPr>
          <w:rFonts w:eastAsia="Calibri"/>
          <w:sz w:val="28"/>
          <w:szCs w:val="28"/>
          <w:lang w:eastAsia="en-US"/>
        </w:rPr>
        <w:lastRenderedPageBreak/>
        <w:t>положительный эффект лечения. Неблагоприятные исходы связаны с аритмией и повышенным NLR</w:t>
      </w:r>
      <w:r w:rsidR="00EF60E5">
        <w:rPr>
          <w:rFonts w:eastAsia="Calibri"/>
          <w:sz w:val="28"/>
          <w:szCs w:val="28"/>
          <w:lang w:val="kk-KZ" w:eastAsia="en-US"/>
        </w:rPr>
        <w:t xml:space="preserve"> </w:t>
      </w:r>
      <w:r w:rsidR="00EF60E5" w:rsidRPr="00EF60E5">
        <w:rPr>
          <w:rFonts w:eastAsia="Calibri"/>
          <w:sz w:val="28"/>
          <w:szCs w:val="28"/>
          <w:lang w:eastAsia="en-US"/>
        </w:rPr>
        <w:t>[110-112]</w:t>
      </w:r>
      <w:r w:rsidRPr="009F51FB">
        <w:rPr>
          <w:rFonts w:eastAsia="Calibri"/>
          <w:sz w:val="28"/>
          <w:szCs w:val="28"/>
          <w:lang w:eastAsia="en-US"/>
        </w:rPr>
        <w:t>.</w:t>
      </w:r>
    </w:p>
    <w:p w14:paraId="59427414" w14:textId="77777777" w:rsidR="00AD0853" w:rsidRPr="009F51FB" w:rsidRDefault="00AD0853" w:rsidP="000F4E51">
      <w:pPr>
        <w:pStyle w:val="a6"/>
        <w:ind w:left="0" w:right="-284" w:firstLine="567"/>
        <w:jc w:val="both"/>
        <w:rPr>
          <w:rFonts w:eastAsia="Calibri"/>
          <w:sz w:val="28"/>
          <w:szCs w:val="28"/>
          <w:lang w:eastAsia="en-US"/>
        </w:rPr>
      </w:pPr>
      <w:r w:rsidRPr="009F51FB">
        <w:rPr>
          <w:rFonts w:eastAsia="Calibri"/>
          <w:sz w:val="28"/>
          <w:szCs w:val="28"/>
          <w:lang w:eastAsia="en-US"/>
        </w:rPr>
        <w:t>Проблемы инсульта включены в приоритетные направления здравоохранения, для их решения регулярно обновляются Дорожные карты, охватывающие организационные, диагностические, лечебные, реабилитационные и профилактические мероприятия, включая мониторинг, обучение специалистов, совершенствование протоколов и развитие инфраструктуры.</w:t>
      </w:r>
    </w:p>
    <w:p w14:paraId="656C0040" w14:textId="6904A3E5" w:rsidR="00AD0853" w:rsidRPr="009F51FB" w:rsidRDefault="00AD0853" w:rsidP="000F4E51">
      <w:pPr>
        <w:pStyle w:val="a6"/>
        <w:ind w:left="0" w:right="-284" w:firstLine="567"/>
        <w:jc w:val="both"/>
        <w:rPr>
          <w:rFonts w:eastAsia="Calibri"/>
          <w:sz w:val="28"/>
          <w:szCs w:val="28"/>
          <w:lang w:eastAsia="en-US"/>
        </w:rPr>
      </w:pPr>
      <w:r w:rsidRPr="009F51FB">
        <w:rPr>
          <w:rFonts w:eastAsia="Calibri"/>
          <w:sz w:val="28"/>
          <w:szCs w:val="28"/>
          <w:lang w:eastAsia="en-US"/>
        </w:rPr>
        <w:t xml:space="preserve">Республиканский координационный центр по проблемам инсульта </w:t>
      </w:r>
      <w:r w:rsidR="00255EE1">
        <w:rPr>
          <w:rFonts w:eastAsia="Calibri"/>
          <w:sz w:val="28"/>
          <w:szCs w:val="28"/>
          <w:lang w:eastAsia="en-US"/>
        </w:rPr>
        <w:t>(</w:t>
      </w:r>
      <w:r w:rsidR="00255EE1" w:rsidRPr="009F51FB">
        <w:rPr>
          <w:rFonts w:eastAsia="Calibri"/>
          <w:sz w:val="28"/>
          <w:szCs w:val="28"/>
          <w:lang w:eastAsia="en-US"/>
        </w:rPr>
        <w:t>РКЦПИ</w:t>
      </w:r>
      <w:r w:rsidR="00255EE1">
        <w:rPr>
          <w:rFonts w:eastAsia="Calibri"/>
          <w:sz w:val="28"/>
          <w:szCs w:val="28"/>
          <w:lang w:eastAsia="en-US"/>
        </w:rPr>
        <w:t xml:space="preserve">) </w:t>
      </w:r>
      <w:r w:rsidRPr="009F51FB">
        <w:rPr>
          <w:rFonts w:eastAsia="Calibri"/>
          <w:sz w:val="28"/>
          <w:szCs w:val="28"/>
          <w:lang w:eastAsia="en-US"/>
        </w:rPr>
        <w:t>создан в 2016 году в составе АО «Национальный центр нейрохирургии», в 2023 году вошёл в состав Национального координационного центра экстренной медицины. Центр выполняет организационно-методические, клинические, научные и образовательные функции, проводит мониторинг, телемедицинские консультации и санитарные вылеты, обучает специалистов и разрабатывает клинические протоколы</w:t>
      </w:r>
      <w:r w:rsidR="00EF60E5" w:rsidRPr="00EF60E5">
        <w:rPr>
          <w:rFonts w:eastAsia="Calibri"/>
          <w:sz w:val="28"/>
          <w:szCs w:val="28"/>
          <w:lang w:eastAsia="en-US"/>
        </w:rPr>
        <w:t xml:space="preserve"> [113]</w:t>
      </w:r>
      <w:r w:rsidRPr="009F51FB">
        <w:rPr>
          <w:rFonts w:eastAsia="Calibri"/>
          <w:sz w:val="28"/>
          <w:szCs w:val="28"/>
          <w:lang w:eastAsia="en-US"/>
        </w:rPr>
        <w:t>.</w:t>
      </w:r>
    </w:p>
    <w:p w14:paraId="7B52810C" w14:textId="77777777" w:rsidR="00AD0853" w:rsidRPr="009F51FB" w:rsidRDefault="00AD0853" w:rsidP="000F4E51">
      <w:pPr>
        <w:pStyle w:val="a6"/>
        <w:ind w:left="0" w:right="-284" w:firstLine="567"/>
        <w:jc w:val="both"/>
        <w:rPr>
          <w:rFonts w:eastAsia="Calibri"/>
          <w:sz w:val="28"/>
          <w:szCs w:val="28"/>
          <w:lang w:eastAsia="en-US"/>
        </w:rPr>
      </w:pPr>
      <w:r w:rsidRPr="009F51FB">
        <w:rPr>
          <w:rFonts w:eastAsia="Calibri"/>
          <w:sz w:val="28"/>
          <w:szCs w:val="28"/>
          <w:lang w:eastAsia="en-US"/>
        </w:rPr>
        <w:t>Ежегодно проводятся конференции, круглые столы, образовательные кампании, социальные ролики и пособия по домашней реабилитации. Центр участвует в проектах «Fast Heroes», разработке Дорожной карты по атеросклерозу и продвижении здорового питания совместно с ВОЗ. В Казахстане функционирует 81 инсультный центр. В рамках Концепции развития здравоохранения до 2026 года реализуются меры по повышению качества и доступности медицинских услуг, включая дистанционные сервисы, «24/7 Telestroke-центр», стандарты госпитального сервиса, оценку удовлетворенности населения, расширение сети инсультных центров, совершенствование стандартов и профилактическую работу по цереброваскулярным заболеваниям.</w:t>
      </w:r>
    </w:p>
    <w:p w14:paraId="7A001D18" w14:textId="66F5DE01" w:rsidR="00255EE1" w:rsidRDefault="00255EE1" w:rsidP="000F4E51">
      <w:pPr>
        <w:pStyle w:val="a6"/>
        <w:ind w:left="0" w:right="-284" w:firstLine="567"/>
        <w:jc w:val="both"/>
        <w:rPr>
          <w:rFonts w:eastAsia="Calibri"/>
          <w:sz w:val="28"/>
          <w:szCs w:val="28"/>
          <w:lang w:eastAsia="en-US"/>
        </w:rPr>
      </w:pPr>
      <w:r>
        <w:rPr>
          <w:rFonts w:eastAsia="Calibri"/>
          <w:sz w:val="28"/>
          <w:szCs w:val="28"/>
          <w:lang w:eastAsia="en-US"/>
        </w:rPr>
        <w:t xml:space="preserve">Таким образом, литературный обзор показывает, что </w:t>
      </w:r>
      <w:r w:rsidR="004D4630">
        <w:rPr>
          <w:rFonts w:eastAsia="Calibri"/>
          <w:sz w:val="28"/>
          <w:szCs w:val="28"/>
          <w:lang w:eastAsia="en-US"/>
        </w:rPr>
        <w:t>БСК</w:t>
      </w:r>
      <w:r w:rsidR="00AD0853" w:rsidRPr="009F51FB">
        <w:rPr>
          <w:rFonts w:eastAsia="Calibri"/>
          <w:sz w:val="28"/>
          <w:szCs w:val="28"/>
          <w:lang w:eastAsia="en-US"/>
        </w:rPr>
        <w:t xml:space="preserve"> остаются ведущей причиной смертности в мире, на их долю приходится около 32% всех летальных исходов, включая инфаркты и инсульты. Инсульт, преимущественно ишемический, чаще </w:t>
      </w:r>
      <w:r w:rsidRPr="009F51FB">
        <w:rPr>
          <w:rFonts w:eastAsia="Calibri"/>
          <w:sz w:val="28"/>
          <w:szCs w:val="28"/>
          <w:lang w:eastAsia="en-US"/>
        </w:rPr>
        <w:t xml:space="preserve">встречается </w:t>
      </w:r>
      <w:r w:rsidR="00AD0853" w:rsidRPr="009F51FB">
        <w:rPr>
          <w:rFonts w:eastAsia="Calibri"/>
          <w:sz w:val="28"/>
          <w:szCs w:val="28"/>
          <w:lang w:eastAsia="en-US"/>
        </w:rPr>
        <w:t>с</w:t>
      </w:r>
      <w:r>
        <w:rPr>
          <w:rFonts w:eastAsia="Calibri"/>
          <w:sz w:val="28"/>
          <w:szCs w:val="28"/>
          <w:lang w:eastAsia="en-US"/>
        </w:rPr>
        <w:t xml:space="preserve"> СНСД и обусловлен </w:t>
      </w:r>
      <w:r w:rsidRPr="00255EE1">
        <w:rPr>
          <w:rFonts w:eastAsia="Calibri"/>
          <w:sz w:val="28"/>
          <w:szCs w:val="28"/>
          <w:lang w:eastAsia="en-US"/>
        </w:rPr>
        <w:t>сочетанием модифицируемых (артериальная гипертония, сахарный диабет, дислипидемия, курение, ожирение, низкая физическая активность) и немодифицируемых факторов риска.</w:t>
      </w:r>
      <w:r>
        <w:rPr>
          <w:rFonts w:eastAsia="Calibri"/>
          <w:sz w:val="28"/>
          <w:szCs w:val="28"/>
          <w:lang w:eastAsia="en-US"/>
        </w:rPr>
        <w:t xml:space="preserve"> </w:t>
      </w:r>
    </w:p>
    <w:p w14:paraId="2F9A041C" w14:textId="3CC39B91" w:rsidR="00AD0853" w:rsidRPr="009F51FB" w:rsidRDefault="00255EE1" w:rsidP="000F4E51">
      <w:pPr>
        <w:pStyle w:val="a6"/>
        <w:ind w:left="0" w:right="-284" w:firstLine="567"/>
        <w:jc w:val="both"/>
        <w:rPr>
          <w:rFonts w:eastAsia="Calibri"/>
          <w:sz w:val="28"/>
          <w:szCs w:val="28"/>
          <w:lang w:eastAsia="en-US"/>
        </w:rPr>
      </w:pPr>
      <w:r w:rsidRPr="00255EE1">
        <w:rPr>
          <w:rFonts w:eastAsia="Calibri"/>
          <w:sz w:val="28"/>
          <w:szCs w:val="28"/>
          <w:lang w:eastAsia="en-US"/>
        </w:rPr>
        <w:t xml:space="preserve">Отмечается рост заболеваемости среди лиц молодого возраста, высокая частота рецидивов и осложнений, а также неблагоприятное влияние COVID-19 на риск развития и тяжесть течения инсульта. Экономическое бремя инсульта остаётся крайне высоким, достигая сотен миллиардов долларов ежегодно. Эффективная профилактика, ранняя диагностика и своевременное лечение являются ключевыми направлениями снижения смертности и инвалидизации. Существенную роль в системе оказания помощи играют медицинские сестры, обеспечивающие координацию ухода и реабилитации пациентов. Использование мобильных инсультных бригад позволяет сократить время до проведения тромболитической терапии и улучшить функциональные исходы, однако их внедрение ограничено высокой стоимостью. </w:t>
      </w:r>
    </w:p>
    <w:p w14:paraId="429C7EF6" w14:textId="77777777" w:rsidR="00AD0853" w:rsidRPr="009F51FB" w:rsidRDefault="00AD0853" w:rsidP="000F4E51">
      <w:pPr>
        <w:pStyle w:val="a6"/>
        <w:ind w:left="0" w:right="-284" w:firstLine="567"/>
        <w:jc w:val="both"/>
        <w:rPr>
          <w:rFonts w:eastAsia="Calibri"/>
          <w:sz w:val="28"/>
          <w:szCs w:val="28"/>
          <w:lang w:eastAsia="en-US"/>
        </w:rPr>
      </w:pPr>
      <w:r w:rsidRPr="009F51FB">
        <w:rPr>
          <w:rFonts w:eastAsia="Calibri"/>
          <w:sz w:val="28"/>
          <w:szCs w:val="28"/>
          <w:lang w:eastAsia="en-US"/>
        </w:rPr>
        <w:lastRenderedPageBreak/>
        <w:t>В Казахстане растёт заболеваемость инсультом при снижении смертности, с выраженными региональными различиями и проблемами догоспитальной помощи. В стране обновляются Дорожные карты, включающие организационные, лечебные, реабилитационные и профилактические меры. РКЦПИ координирует работу инсультной службы, обучает специалистов, разрабатывает клинические протоколы, проводит мониторинг и обеспечивает телемедицинские консультации.</w:t>
      </w:r>
    </w:p>
    <w:p w14:paraId="08BF8693" w14:textId="695D8B18" w:rsidR="00AD0853" w:rsidRPr="009F51FB" w:rsidRDefault="00AD0853" w:rsidP="000F4E51">
      <w:pPr>
        <w:pStyle w:val="a6"/>
        <w:ind w:left="0" w:right="-284" w:firstLine="567"/>
        <w:jc w:val="both"/>
        <w:rPr>
          <w:rFonts w:eastAsia="Calibri"/>
          <w:sz w:val="28"/>
          <w:szCs w:val="28"/>
          <w:lang w:eastAsia="en-US"/>
        </w:rPr>
      </w:pPr>
      <w:r w:rsidRPr="009F51FB">
        <w:rPr>
          <w:rFonts w:eastAsia="Calibri"/>
          <w:sz w:val="28"/>
          <w:szCs w:val="28"/>
          <w:lang w:eastAsia="en-US"/>
        </w:rPr>
        <w:t xml:space="preserve">Приоритетным направлением является рассмотрение внедрения MSU в Казахстане. Их интеграция с </w:t>
      </w:r>
      <w:r w:rsidR="00255EE1">
        <w:rPr>
          <w:rFonts w:eastAsia="Calibri"/>
          <w:sz w:val="28"/>
          <w:szCs w:val="28"/>
          <w:lang w:eastAsia="en-US"/>
        </w:rPr>
        <w:t>экстренной службой</w:t>
      </w:r>
      <w:r w:rsidRPr="009F51FB">
        <w:rPr>
          <w:rFonts w:eastAsia="Calibri"/>
          <w:sz w:val="28"/>
          <w:szCs w:val="28"/>
          <w:lang w:eastAsia="en-US"/>
        </w:rPr>
        <w:t xml:space="preserve"> и телемедициной позволит сократить время до терапии, повысить эффективность системы оказания помощи, снизить тяжесть инсультов и долгосрочную инвалидизацию. Параллельно необходимо усиление профилактических программ, системное обучение специалистов и информирование населения о признаках инсульта. Комплексный подход обеспечит современное и эффективное управление инсультами в стране.</w:t>
      </w:r>
    </w:p>
    <w:p w14:paraId="369A7BC3" w14:textId="77777777" w:rsidR="00AD0853" w:rsidRPr="009F51FB" w:rsidRDefault="00AD0853" w:rsidP="000F4E51">
      <w:pPr>
        <w:pStyle w:val="a6"/>
        <w:ind w:left="0" w:right="-284" w:firstLine="567"/>
        <w:jc w:val="both"/>
        <w:rPr>
          <w:sz w:val="28"/>
          <w:szCs w:val="28"/>
        </w:rPr>
      </w:pPr>
    </w:p>
    <w:p w14:paraId="599FD4F3" w14:textId="77777777" w:rsidR="00F50E2E" w:rsidRDefault="00F50E2E" w:rsidP="000F4E51">
      <w:pPr>
        <w:spacing w:after="0" w:line="240" w:lineRule="auto"/>
        <w:ind w:right="-284" w:firstLine="567"/>
        <w:jc w:val="both"/>
        <w:rPr>
          <w:rFonts w:ascii="Times New Roman" w:hAnsi="Times New Roman" w:cs="Times New Roman"/>
          <w:sz w:val="28"/>
          <w:szCs w:val="28"/>
        </w:rPr>
        <w:sectPr w:rsidR="00F50E2E" w:rsidSect="00AD0853">
          <w:pgSz w:w="11906" w:h="16838"/>
          <w:pgMar w:top="1134" w:right="850" w:bottom="1134" w:left="1701" w:header="708" w:footer="708" w:gutter="0"/>
          <w:cols w:space="708"/>
          <w:docGrid w:linePitch="360"/>
        </w:sectPr>
      </w:pPr>
    </w:p>
    <w:p w14:paraId="413430A1" w14:textId="5FE9B98C" w:rsidR="00F50E2E" w:rsidRPr="00F50E2E" w:rsidRDefault="00FC4DAE" w:rsidP="00C6385D">
      <w:pPr>
        <w:spacing w:after="0" w:line="240" w:lineRule="auto"/>
        <w:ind w:right="-1135" w:firstLine="567"/>
        <w:jc w:val="center"/>
        <w:rPr>
          <w:rFonts w:ascii="Times New Roman" w:hAnsi="Times New Roman" w:cs="Times New Roman"/>
          <w:b/>
          <w:bCs/>
          <w:noProof/>
          <w:color w:val="000000"/>
          <w:sz w:val="28"/>
          <w:szCs w:val="28"/>
        </w:rPr>
      </w:pPr>
      <w:r>
        <w:rPr>
          <w:rFonts w:ascii="Times New Roman" w:hAnsi="Times New Roman" w:cs="Times New Roman"/>
          <w:b/>
          <w:bCs/>
          <w:noProof/>
          <w:color w:val="000000"/>
          <w:sz w:val="28"/>
          <w:szCs w:val="28"/>
        </w:rPr>
        <w:lastRenderedPageBreak/>
        <w:t xml:space="preserve">2 </w:t>
      </w:r>
      <w:r w:rsidRPr="00317136">
        <w:rPr>
          <w:rFonts w:ascii="Times New Roman" w:hAnsi="Times New Roman" w:cs="Times New Roman"/>
          <w:b/>
          <w:bCs/>
          <w:sz w:val="28"/>
          <w:szCs w:val="28"/>
        </w:rPr>
        <w:t>МАТЕРИАЛЫ И МЕТОДЫ ИССЛЕДОВАНИЯ</w:t>
      </w:r>
    </w:p>
    <w:p w14:paraId="0A3A5BDF" w14:textId="77777777" w:rsidR="00F50E2E" w:rsidRPr="00F50E2E" w:rsidRDefault="00F50E2E" w:rsidP="00C6385D">
      <w:pPr>
        <w:spacing w:after="0" w:line="240" w:lineRule="auto"/>
        <w:ind w:right="-1135" w:firstLine="567"/>
        <w:jc w:val="both"/>
        <w:rPr>
          <w:rFonts w:ascii="Times New Roman" w:hAnsi="Times New Roman" w:cs="Times New Roman"/>
          <w:noProof/>
          <w:color w:val="000000"/>
          <w:sz w:val="28"/>
          <w:szCs w:val="28"/>
        </w:rPr>
      </w:pPr>
    </w:p>
    <w:p w14:paraId="7BE32325" w14:textId="7AE1E19D" w:rsidR="00F50E2E" w:rsidRPr="00F50E2E" w:rsidRDefault="00F50E2E" w:rsidP="00C6385D">
      <w:pPr>
        <w:spacing w:after="0" w:line="240" w:lineRule="auto"/>
        <w:ind w:right="-1135"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Настоящее исследование выполнено с использованием комплексного междисциплинарного дизайна, сочетающего аналитические, эпидемиологические, экономические и качественные методы. Методологическую основу составили системный и аналитический подходы, позволяющие рассмотреть организацию оказания помощи </w:t>
      </w:r>
      <w:r w:rsidR="006227E1">
        <w:rPr>
          <w:rFonts w:ascii="Times New Roman" w:hAnsi="Times New Roman" w:cs="Times New Roman"/>
          <w:sz w:val="28"/>
          <w:szCs w:val="28"/>
        </w:rPr>
        <w:t>больным</w:t>
      </w:r>
      <w:r w:rsidRPr="00F50E2E">
        <w:rPr>
          <w:rFonts w:ascii="Times New Roman" w:hAnsi="Times New Roman" w:cs="Times New Roman"/>
          <w:noProof/>
          <w:color w:val="000000"/>
          <w:sz w:val="28"/>
          <w:szCs w:val="28"/>
        </w:rPr>
        <w:t xml:space="preserve"> с ОНМК в г. Алматы в контексте современных научных данных, клинических рекомендаций и принципов здравоохранения.</w:t>
      </w:r>
    </w:p>
    <w:p w14:paraId="53C837EE" w14:textId="77777777" w:rsidR="00F50E2E" w:rsidRPr="00F50E2E" w:rsidRDefault="00F50E2E" w:rsidP="00C6385D">
      <w:pPr>
        <w:spacing w:after="0" w:line="240" w:lineRule="auto"/>
        <w:ind w:right="-1135"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Исследование включало несколько взаимодополняющих этапов: </w:t>
      </w:r>
    </w:p>
    <w:p w14:paraId="4316781B" w14:textId="77777777" w:rsidR="00F50E2E" w:rsidRPr="00F50E2E" w:rsidRDefault="00F50E2E" w:rsidP="00C6385D">
      <w:pPr>
        <w:spacing w:after="0" w:line="240" w:lineRule="auto"/>
        <w:ind w:right="-1135"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1) обзор и обобщение литературы; </w:t>
      </w:r>
    </w:p>
    <w:p w14:paraId="500A8B0F" w14:textId="77777777" w:rsidR="00F50E2E" w:rsidRPr="00F50E2E" w:rsidRDefault="00F50E2E" w:rsidP="00C6385D">
      <w:pPr>
        <w:spacing w:after="0" w:line="240" w:lineRule="auto"/>
        <w:ind w:right="-1135"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2) анализ официальной эпидемиологической статистики (2012–2024 гг.);</w:t>
      </w:r>
    </w:p>
    <w:p w14:paraId="3F85A3D4" w14:textId="77777777" w:rsidR="00F50E2E" w:rsidRPr="00F50E2E" w:rsidRDefault="00F50E2E" w:rsidP="00C6385D">
      <w:pPr>
        <w:spacing w:after="0" w:line="240" w:lineRule="auto"/>
        <w:ind w:right="-1135"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3) оценку предотвратимой смертности и её экономического бремени (2014–2024 гг.);</w:t>
      </w:r>
    </w:p>
    <w:p w14:paraId="04EACCA4" w14:textId="77777777" w:rsidR="00F50E2E" w:rsidRPr="00F50E2E" w:rsidRDefault="00F50E2E" w:rsidP="00C6385D">
      <w:pPr>
        <w:spacing w:after="0" w:line="240" w:lineRule="auto"/>
        <w:ind w:right="-1135"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4) анализ госпитализаций и исходов лечения ОНМК (2012–2024 гг.);</w:t>
      </w:r>
    </w:p>
    <w:p w14:paraId="3EB97423" w14:textId="5FBBE8EF" w:rsidR="00F50E2E" w:rsidRPr="00F50E2E" w:rsidRDefault="00F50E2E" w:rsidP="00C6385D">
      <w:pPr>
        <w:spacing w:after="0" w:line="240" w:lineRule="auto"/>
        <w:ind w:right="-1135"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5) качественное исследование среди медицинских специалистов и </w:t>
      </w:r>
      <w:r w:rsidR="006227E1">
        <w:rPr>
          <w:rFonts w:ascii="Times New Roman" w:hAnsi="Times New Roman" w:cs="Times New Roman"/>
          <w:sz w:val="28"/>
          <w:szCs w:val="28"/>
        </w:rPr>
        <w:t>больных с ОНМК</w:t>
      </w:r>
      <w:r w:rsidRPr="00F50E2E">
        <w:rPr>
          <w:rFonts w:ascii="Times New Roman" w:hAnsi="Times New Roman" w:cs="Times New Roman"/>
          <w:noProof/>
          <w:color w:val="000000"/>
          <w:sz w:val="28"/>
          <w:szCs w:val="28"/>
        </w:rPr>
        <w:t xml:space="preserve"> (2025 г.);</w:t>
      </w:r>
    </w:p>
    <w:p w14:paraId="6BA94445" w14:textId="63216EC4" w:rsidR="00F50E2E" w:rsidRPr="00F50E2E" w:rsidRDefault="00F50E2E" w:rsidP="00C6385D">
      <w:pPr>
        <w:spacing w:after="0" w:line="240" w:lineRule="auto"/>
        <w:ind w:right="-1135"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6) клинико-экономическое моделирование и финансовая оценка внедрения MSU. Такой дизайн обеспечил сопоставление популяционных трендов, клинических результатов и организационных барьеров, а также обоснование управленческих решений (таблица 5).</w:t>
      </w:r>
    </w:p>
    <w:p w14:paraId="4C3AE015" w14:textId="77777777" w:rsidR="002D4B8F" w:rsidRDefault="00F50E2E" w:rsidP="00C6385D">
      <w:pPr>
        <w:spacing w:after="0" w:line="240" w:lineRule="auto"/>
        <w:ind w:right="-1135"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Методологическую основу исследования составили системный и аналитический подходы, позволяющие рассмотреть проблему оказания медицинской помощи </w:t>
      </w:r>
      <w:r w:rsidR="002D4B8F">
        <w:rPr>
          <w:rFonts w:ascii="Times New Roman" w:hAnsi="Times New Roman" w:cs="Times New Roman"/>
          <w:noProof/>
          <w:color w:val="000000"/>
          <w:sz w:val="28"/>
          <w:szCs w:val="28"/>
        </w:rPr>
        <w:t>больным</w:t>
      </w:r>
      <w:r w:rsidRPr="00F50E2E">
        <w:rPr>
          <w:rFonts w:ascii="Times New Roman" w:hAnsi="Times New Roman" w:cs="Times New Roman"/>
          <w:noProof/>
          <w:color w:val="000000"/>
          <w:sz w:val="28"/>
          <w:szCs w:val="28"/>
        </w:rPr>
        <w:t xml:space="preserve"> с ОНМК в контексте современных научных данных, клинических рекомендаций и организационных принципов здраовохранения.</w:t>
      </w:r>
    </w:p>
    <w:p w14:paraId="57ACF7F0" w14:textId="6751FEAC" w:rsidR="00F50E2E" w:rsidRPr="00F50E2E" w:rsidRDefault="00F50E2E" w:rsidP="00C6385D">
      <w:pPr>
        <w:spacing w:after="0" w:line="240" w:lineRule="auto"/>
        <w:ind w:right="-1135"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Для достижения поставленной цели проведена систематизация и обобщение научных данных, опубликованных в отечественных и зарубежных источниках. Поиск литературы осуществлялся в базах данных PubMed, Google Scholar, eLIBRARY, РИНЦ и других научно-информационных ресурсах. В процессе поиска использовались ключевые слова и их комбинации: «инсульт», «острое нарушение мозгового кровообращения или ОНМК», «эпидемиология инсульта», «факторы риска инсульта», «сестринская помощь при инсульте», «организация медицинской помощи при инсульте», «догоспитальная помощь», «новые технологии лечения инсульта», «стоимость лечения </w:t>
      </w:r>
      <w:r w:rsidRPr="00967575">
        <w:rPr>
          <w:rFonts w:ascii="Times New Roman" w:hAnsi="Times New Roman" w:cs="Times New Roman"/>
          <w:noProof/>
          <w:color w:val="000000"/>
          <w:sz w:val="28"/>
          <w:szCs w:val="28"/>
        </w:rPr>
        <w:t>инсульта», «клинические протоколы и рекомендации». Всего было проанализировано более 1</w:t>
      </w:r>
      <w:r w:rsidR="00967575" w:rsidRPr="00317136">
        <w:rPr>
          <w:rFonts w:ascii="Times New Roman" w:hAnsi="Times New Roman" w:cs="Times New Roman"/>
          <w:noProof/>
          <w:color w:val="000000"/>
          <w:sz w:val="28"/>
          <w:szCs w:val="28"/>
        </w:rPr>
        <w:t>74</w:t>
      </w:r>
      <w:r w:rsidRPr="00967575">
        <w:rPr>
          <w:rFonts w:ascii="Times New Roman" w:hAnsi="Times New Roman" w:cs="Times New Roman"/>
          <w:noProof/>
          <w:color w:val="000000"/>
          <w:sz w:val="28"/>
          <w:szCs w:val="28"/>
        </w:rPr>
        <w:t xml:space="preserve"> источников научной и нормативной литературы. В результате исследования выделены ключевые направления и современные тенденции</w:t>
      </w:r>
      <w:r w:rsidRPr="00F50E2E">
        <w:rPr>
          <w:rFonts w:ascii="Times New Roman" w:hAnsi="Times New Roman" w:cs="Times New Roman"/>
          <w:noProof/>
          <w:color w:val="000000"/>
          <w:sz w:val="28"/>
          <w:szCs w:val="28"/>
        </w:rPr>
        <w:t xml:space="preserve"> в организации медицинской помощи </w:t>
      </w:r>
      <w:r w:rsidR="002D4B8F">
        <w:rPr>
          <w:rFonts w:ascii="Times New Roman" w:hAnsi="Times New Roman" w:cs="Times New Roman"/>
          <w:noProof/>
          <w:color w:val="000000"/>
          <w:sz w:val="28"/>
          <w:szCs w:val="28"/>
        </w:rPr>
        <w:t>больным</w:t>
      </w:r>
      <w:r w:rsidRPr="00F50E2E">
        <w:rPr>
          <w:rFonts w:ascii="Times New Roman" w:hAnsi="Times New Roman" w:cs="Times New Roman"/>
          <w:noProof/>
          <w:color w:val="000000"/>
          <w:sz w:val="28"/>
          <w:szCs w:val="28"/>
        </w:rPr>
        <w:t xml:space="preserve"> с ОНМК, а также определены актуальные проблемы и перспективы развития совершенствования догоспитального и стационарного этапов оказания помощи пациентам с инсультом (глава 1).</w:t>
      </w:r>
    </w:p>
    <w:p w14:paraId="21B0892E" w14:textId="77777777" w:rsidR="00F50E2E" w:rsidRPr="00F50E2E" w:rsidRDefault="00F50E2E" w:rsidP="00C6385D">
      <w:pPr>
        <w:spacing w:after="0" w:line="240" w:lineRule="auto"/>
        <w:ind w:right="-1135" w:firstLine="567"/>
        <w:jc w:val="both"/>
        <w:rPr>
          <w:rFonts w:ascii="Times New Roman" w:hAnsi="Times New Roman" w:cs="Times New Roman"/>
          <w:noProof/>
          <w:color w:val="000000"/>
          <w:sz w:val="28"/>
          <w:szCs w:val="28"/>
        </w:rPr>
      </w:pPr>
    </w:p>
    <w:p w14:paraId="0C8B7F22" w14:textId="77777777" w:rsidR="00F50E2E" w:rsidRPr="00F50E2E" w:rsidRDefault="00F50E2E" w:rsidP="000F4E51">
      <w:pPr>
        <w:spacing w:after="0" w:line="240" w:lineRule="auto"/>
        <w:ind w:left="851" w:right="-1135" w:firstLine="567"/>
        <w:jc w:val="both"/>
        <w:rPr>
          <w:rFonts w:ascii="Times New Roman" w:hAnsi="Times New Roman" w:cs="Times New Roman"/>
          <w:noProof/>
          <w:color w:val="000000"/>
          <w:sz w:val="28"/>
          <w:szCs w:val="28"/>
        </w:rPr>
        <w:sectPr w:rsidR="00F50E2E" w:rsidRPr="00F50E2E" w:rsidSect="00C6385D">
          <w:footerReference w:type="default" r:id="rId14"/>
          <w:pgSz w:w="11906" w:h="16838"/>
          <w:pgMar w:top="1134" w:right="1701" w:bottom="1134" w:left="1701" w:header="708" w:footer="708" w:gutter="0"/>
          <w:cols w:space="708"/>
          <w:docGrid w:linePitch="360"/>
        </w:sectPr>
      </w:pPr>
    </w:p>
    <w:p w14:paraId="5E98F186" w14:textId="3682FEC7" w:rsid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lastRenderedPageBreak/>
        <w:t xml:space="preserve">Таблица </w:t>
      </w:r>
      <w:r>
        <w:rPr>
          <w:rFonts w:ascii="Times New Roman" w:hAnsi="Times New Roman" w:cs="Times New Roman"/>
          <w:noProof/>
          <w:color w:val="000000"/>
          <w:sz w:val="28"/>
          <w:szCs w:val="28"/>
        </w:rPr>
        <w:t>5</w:t>
      </w:r>
      <w:r w:rsidR="00C6385D">
        <w:rPr>
          <w:rFonts w:ascii="Times New Roman" w:hAnsi="Times New Roman" w:cs="Times New Roman"/>
          <w:noProof/>
          <w:color w:val="000000"/>
          <w:sz w:val="28"/>
          <w:szCs w:val="28"/>
        </w:rPr>
        <w:t xml:space="preserve"> -</w:t>
      </w:r>
      <w:r w:rsidRPr="00F50E2E">
        <w:rPr>
          <w:rFonts w:ascii="Times New Roman" w:hAnsi="Times New Roman" w:cs="Times New Roman"/>
          <w:noProof/>
          <w:color w:val="000000"/>
          <w:sz w:val="28"/>
          <w:szCs w:val="28"/>
        </w:rPr>
        <w:t xml:space="preserve"> Этапы исследования, источники данных и методы</w:t>
      </w:r>
    </w:p>
    <w:p w14:paraId="5A74F3EE" w14:textId="77777777" w:rsidR="00C6385D" w:rsidRPr="00F50E2E" w:rsidRDefault="00C6385D" w:rsidP="000F4E51">
      <w:pPr>
        <w:spacing w:after="0" w:line="240" w:lineRule="auto"/>
        <w:ind w:left="851" w:right="-1135" w:firstLine="567"/>
        <w:jc w:val="both"/>
        <w:rPr>
          <w:rFonts w:ascii="Times New Roman" w:hAnsi="Times New Roman" w:cs="Times New Roman"/>
          <w:noProof/>
          <w:color w:val="000000"/>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560"/>
        <w:gridCol w:w="3525"/>
        <w:gridCol w:w="1719"/>
      </w:tblGrid>
      <w:tr w:rsidR="002A06BD" w:rsidRPr="00F50E2E" w14:paraId="16CE27E8" w14:textId="77777777" w:rsidTr="00FC4DAE">
        <w:trPr>
          <w:trHeight w:val="382"/>
        </w:trPr>
        <w:tc>
          <w:tcPr>
            <w:tcW w:w="2835" w:type="dxa"/>
            <w:vAlign w:val="center"/>
            <w:hideMark/>
          </w:tcPr>
          <w:p w14:paraId="2C768809" w14:textId="54CAF929" w:rsidR="002A06BD" w:rsidRPr="008F3AE1" w:rsidRDefault="002A06BD" w:rsidP="000F4E51">
            <w:pPr>
              <w:spacing w:after="0" w:line="240" w:lineRule="auto"/>
              <w:ind w:right="60"/>
              <w:jc w:val="center"/>
              <w:rPr>
                <w:rFonts w:ascii="Times New Roman" w:hAnsi="Times New Roman" w:cs="Times New Roman"/>
                <w:color w:val="000000"/>
                <w:sz w:val="24"/>
                <w:szCs w:val="24"/>
              </w:rPr>
            </w:pPr>
            <w:r w:rsidRPr="008F3AE1">
              <w:rPr>
                <w:rFonts w:ascii="Times New Roman" w:hAnsi="Times New Roman" w:cs="Times New Roman"/>
                <w:color w:val="000000"/>
                <w:sz w:val="24"/>
                <w:szCs w:val="24"/>
              </w:rPr>
              <w:t>Задача</w:t>
            </w:r>
          </w:p>
        </w:tc>
        <w:tc>
          <w:tcPr>
            <w:tcW w:w="1560" w:type="dxa"/>
          </w:tcPr>
          <w:p w14:paraId="7169DD65" w14:textId="47BB1BDA" w:rsidR="002A06BD" w:rsidRPr="00F50E2E" w:rsidRDefault="003D2670" w:rsidP="000F4E51">
            <w:pPr>
              <w:spacing w:after="0" w:line="240" w:lineRule="auto"/>
              <w:ind w:right="60"/>
              <w:jc w:val="center"/>
              <w:rPr>
                <w:rFonts w:ascii="Times New Roman" w:hAnsi="Times New Roman" w:cs="Times New Roman"/>
                <w:color w:val="000000"/>
              </w:rPr>
            </w:pPr>
            <w:r>
              <w:rPr>
                <w:rFonts w:ascii="Times New Roman" w:hAnsi="Times New Roman" w:cs="Times New Roman"/>
                <w:color w:val="000000"/>
              </w:rPr>
              <w:t>Этапы</w:t>
            </w:r>
          </w:p>
        </w:tc>
        <w:tc>
          <w:tcPr>
            <w:tcW w:w="3525" w:type="dxa"/>
            <w:vAlign w:val="center"/>
            <w:hideMark/>
          </w:tcPr>
          <w:p w14:paraId="6936CD0A" w14:textId="56DEE6EC" w:rsidR="002A06BD" w:rsidRPr="00F50E2E" w:rsidRDefault="003D2670" w:rsidP="000F4E51">
            <w:pPr>
              <w:spacing w:after="0" w:line="240" w:lineRule="auto"/>
              <w:ind w:right="60"/>
              <w:jc w:val="center"/>
              <w:rPr>
                <w:rFonts w:ascii="Times New Roman" w:hAnsi="Times New Roman" w:cs="Times New Roman"/>
                <w:color w:val="000000"/>
              </w:rPr>
            </w:pPr>
            <w:r>
              <w:rPr>
                <w:rFonts w:ascii="Times New Roman" w:hAnsi="Times New Roman" w:cs="Times New Roman"/>
                <w:color w:val="000000"/>
              </w:rPr>
              <w:t>М</w:t>
            </w:r>
            <w:r w:rsidR="002A06BD" w:rsidRPr="00F50E2E">
              <w:rPr>
                <w:rFonts w:ascii="Times New Roman" w:hAnsi="Times New Roman" w:cs="Times New Roman"/>
                <w:color w:val="000000"/>
              </w:rPr>
              <w:t>етоды</w:t>
            </w:r>
          </w:p>
        </w:tc>
        <w:tc>
          <w:tcPr>
            <w:tcW w:w="1719" w:type="dxa"/>
            <w:vAlign w:val="center"/>
            <w:hideMark/>
          </w:tcPr>
          <w:p w14:paraId="7664DF0F" w14:textId="77777777" w:rsidR="002A06BD" w:rsidRPr="00F50E2E" w:rsidRDefault="002A06BD" w:rsidP="000F4E51">
            <w:pPr>
              <w:spacing w:after="0" w:line="240" w:lineRule="auto"/>
              <w:ind w:right="60"/>
              <w:jc w:val="center"/>
              <w:rPr>
                <w:rFonts w:ascii="Times New Roman" w:hAnsi="Times New Roman" w:cs="Times New Roman"/>
                <w:color w:val="000000"/>
              </w:rPr>
            </w:pPr>
            <w:r w:rsidRPr="00F50E2E">
              <w:rPr>
                <w:rFonts w:ascii="Times New Roman" w:hAnsi="Times New Roman" w:cs="Times New Roman"/>
                <w:color w:val="000000"/>
              </w:rPr>
              <w:t>Основной результат / раздел</w:t>
            </w:r>
          </w:p>
        </w:tc>
      </w:tr>
      <w:tr w:rsidR="002A06BD" w:rsidRPr="00F50E2E" w14:paraId="1AF782AF" w14:textId="77777777" w:rsidTr="00FC4DAE">
        <w:trPr>
          <w:trHeight w:val="404"/>
        </w:trPr>
        <w:tc>
          <w:tcPr>
            <w:tcW w:w="2835" w:type="dxa"/>
            <w:vAlign w:val="center"/>
            <w:hideMark/>
          </w:tcPr>
          <w:p w14:paraId="7DDDA0A8" w14:textId="15736138" w:rsidR="002A06BD" w:rsidRPr="008F3AE1" w:rsidRDefault="002A06BD" w:rsidP="000F4E51">
            <w:pPr>
              <w:tabs>
                <w:tab w:val="left" w:pos="851"/>
                <w:tab w:val="left" w:pos="1134"/>
              </w:tabs>
              <w:spacing w:after="0" w:line="240" w:lineRule="auto"/>
              <w:ind w:right="60"/>
              <w:jc w:val="both"/>
              <w:rPr>
                <w:rFonts w:ascii="Times New Roman" w:hAnsi="Times New Roman" w:cs="Times New Roman"/>
                <w:color w:val="000000"/>
                <w:sz w:val="24"/>
                <w:szCs w:val="24"/>
              </w:rPr>
            </w:pPr>
            <w:r w:rsidRPr="008F3AE1">
              <w:rPr>
                <w:rFonts w:ascii="Times New Roman" w:hAnsi="Times New Roman" w:cs="Times New Roman"/>
                <w:bCs/>
                <w:iCs/>
                <w:sz w:val="24"/>
                <w:szCs w:val="24"/>
              </w:rPr>
              <w:t xml:space="preserve">Проанализировать научные данные и нормативно-правовые акты, регламентирующие организацию оказания медицинской помощи </w:t>
            </w:r>
            <w:r w:rsidRPr="002A06BD">
              <w:rPr>
                <w:rFonts w:ascii="Times New Roman" w:hAnsi="Times New Roman" w:cs="Times New Roman"/>
                <w:bCs/>
                <w:iCs/>
                <w:sz w:val="24"/>
                <w:szCs w:val="24"/>
              </w:rPr>
              <w:t>больным с ОНМК</w:t>
            </w:r>
            <w:r w:rsidRPr="008F3AE1">
              <w:rPr>
                <w:rFonts w:ascii="Times New Roman" w:hAnsi="Times New Roman" w:cs="Times New Roman"/>
                <w:bCs/>
                <w:iCs/>
                <w:sz w:val="24"/>
                <w:szCs w:val="24"/>
              </w:rPr>
              <w:t xml:space="preserve">. </w:t>
            </w:r>
          </w:p>
        </w:tc>
        <w:tc>
          <w:tcPr>
            <w:tcW w:w="1560" w:type="dxa"/>
          </w:tcPr>
          <w:p w14:paraId="386A858F" w14:textId="13E02F16"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Обзор литературы</w:t>
            </w:r>
            <w:r>
              <w:rPr>
                <w:rFonts w:ascii="Times New Roman" w:hAnsi="Times New Roman" w:cs="Times New Roman"/>
                <w:color w:val="000000"/>
              </w:rPr>
              <w:t>:</w:t>
            </w:r>
          </w:p>
        </w:tc>
        <w:tc>
          <w:tcPr>
            <w:tcW w:w="3525" w:type="dxa"/>
            <w:vAlign w:val="center"/>
            <w:hideMark/>
          </w:tcPr>
          <w:p w14:paraId="4B4F5521" w14:textId="4F1C8326" w:rsidR="002A06BD" w:rsidRPr="002A06BD" w:rsidRDefault="002A06BD" w:rsidP="000F4E51">
            <w:pPr>
              <w:spacing w:after="0" w:line="240" w:lineRule="auto"/>
              <w:ind w:right="60"/>
              <w:jc w:val="both"/>
              <w:rPr>
                <w:rFonts w:ascii="Times New Roman" w:hAnsi="Times New Roman" w:cs="Times New Roman"/>
                <w:color w:val="000000"/>
                <w:lang w:val="en-US"/>
              </w:rPr>
            </w:pPr>
            <w:r w:rsidRPr="00967575">
              <w:rPr>
                <w:rFonts w:ascii="Times New Roman" w:hAnsi="Times New Roman" w:cs="Times New Roman"/>
                <w:color w:val="000000"/>
                <w:lang w:val="en-US"/>
              </w:rPr>
              <w:t>PubMed</w:t>
            </w:r>
            <w:r w:rsidRPr="002A06BD">
              <w:rPr>
                <w:rFonts w:ascii="Times New Roman" w:hAnsi="Times New Roman" w:cs="Times New Roman"/>
                <w:color w:val="000000"/>
                <w:lang w:val="en-US"/>
              </w:rPr>
              <w:t xml:space="preserve">, </w:t>
            </w:r>
            <w:r w:rsidRPr="00967575">
              <w:rPr>
                <w:rFonts w:ascii="Times New Roman" w:hAnsi="Times New Roman" w:cs="Times New Roman"/>
                <w:color w:val="000000"/>
                <w:lang w:val="en-US"/>
              </w:rPr>
              <w:t>Google</w:t>
            </w:r>
            <w:r w:rsidRPr="002A06BD">
              <w:rPr>
                <w:rFonts w:ascii="Times New Roman" w:hAnsi="Times New Roman" w:cs="Times New Roman"/>
                <w:color w:val="000000"/>
                <w:lang w:val="en-US"/>
              </w:rPr>
              <w:t xml:space="preserve"> </w:t>
            </w:r>
            <w:r w:rsidRPr="00967575">
              <w:rPr>
                <w:rFonts w:ascii="Times New Roman" w:hAnsi="Times New Roman" w:cs="Times New Roman"/>
                <w:color w:val="000000"/>
                <w:lang w:val="en-US"/>
              </w:rPr>
              <w:t>Scholar</w:t>
            </w:r>
            <w:r w:rsidRPr="002A06BD">
              <w:rPr>
                <w:rFonts w:ascii="Times New Roman" w:hAnsi="Times New Roman" w:cs="Times New Roman"/>
                <w:color w:val="000000"/>
                <w:lang w:val="en-US"/>
              </w:rPr>
              <w:t xml:space="preserve">, </w:t>
            </w:r>
            <w:r w:rsidRPr="00967575">
              <w:rPr>
                <w:rFonts w:ascii="Times New Roman" w:hAnsi="Times New Roman" w:cs="Times New Roman"/>
                <w:color w:val="000000"/>
                <w:lang w:val="en-US"/>
              </w:rPr>
              <w:t>eLIBRARY</w:t>
            </w:r>
            <w:r w:rsidRPr="002A06BD">
              <w:rPr>
                <w:rFonts w:ascii="Times New Roman" w:hAnsi="Times New Roman" w:cs="Times New Roman"/>
                <w:color w:val="000000"/>
                <w:lang w:val="en-US"/>
              </w:rPr>
              <w:t xml:space="preserve">, </w:t>
            </w:r>
            <w:r w:rsidRPr="00967575">
              <w:rPr>
                <w:rFonts w:ascii="Times New Roman" w:hAnsi="Times New Roman" w:cs="Times New Roman"/>
                <w:color w:val="000000"/>
              </w:rPr>
              <w:t>РИНЦ</w:t>
            </w:r>
            <w:r w:rsidRPr="002A06BD">
              <w:rPr>
                <w:rFonts w:ascii="Times New Roman" w:hAnsi="Times New Roman" w:cs="Times New Roman"/>
                <w:color w:val="000000"/>
                <w:lang w:val="en-US"/>
              </w:rPr>
              <w:t xml:space="preserve"> </w:t>
            </w:r>
            <w:r w:rsidRPr="00967575">
              <w:rPr>
                <w:rFonts w:ascii="Times New Roman" w:hAnsi="Times New Roman" w:cs="Times New Roman"/>
                <w:color w:val="000000"/>
              </w:rPr>
              <w:t>и</w:t>
            </w:r>
            <w:r w:rsidRPr="002A06BD">
              <w:rPr>
                <w:rFonts w:ascii="Times New Roman" w:hAnsi="Times New Roman" w:cs="Times New Roman"/>
                <w:color w:val="000000"/>
                <w:lang w:val="en-US"/>
              </w:rPr>
              <w:t xml:space="preserve"> </w:t>
            </w:r>
            <w:r w:rsidRPr="00967575">
              <w:rPr>
                <w:rFonts w:ascii="Times New Roman" w:hAnsi="Times New Roman" w:cs="Times New Roman"/>
                <w:color w:val="000000"/>
              </w:rPr>
              <w:t>др</w:t>
            </w:r>
            <w:r w:rsidRPr="002A06BD">
              <w:rPr>
                <w:rFonts w:ascii="Times New Roman" w:hAnsi="Times New Roman" w:cs="Times New Roman"/>
                <w:color w:val="000000"/>
                <w:lang w:val="en-US"/>
              </w:rPr>
              <w:t xml:space="preserve">.; &gt;174 </w:t>
            </w:r>
            <w:r w:rsidRPr="00967575">
              <w:rPr>
                <w:rFonts w:ascii="Times New Roman" w:hAnsi="Times New Roman" w:cs="Times New Roman"/>
                <w:color w:val="000000"/>
              </w:rPr>
              <w:t>источников</w:t>
            </w:r>
            <w:r w:rsidRPr="002A06BD">
              <w:rPr>
                <w:rFonts w:ascii="Times New Roman" w:hAnsi="Times New Roman" w:cs="Times New Roman"/>
                <w:color w:val="000000"/>
                <w:lang w:val="en-US"/>
              </w:rPr>
              <w:t>:</w:t>
            </w:r>
          </w:p>
          <w:p w14:paraId="730CFC67" w14:textId="05F60CA2"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Систематизация и обобщение; аналитический обзор</w:t>
            </w:r>
          </w:p>
        </w:tc>
        <w:tc>
          <w:tcPr>
            <w:tcW w:w="1719" w:type="dxa"/>
            <w:vAlign w:val="center"/>
            <w:hideMark/>
          </w:tcPr>
          <w:p w14:paraId="543BF374" w14:textId="77777777"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Современные тенденции и проблемы инсультной помощи (гл. 1)</w:t>
            </w:r>
          </w:p>
        </w:tc>
      </w:tr>
      <w:tr w:rsidR="002A06BD" w:rsidRPr="00F50E2E" w14:paraId="38B17FC0" w14:textId="77777777" w:rsidTr="00FC4DAE">
        <w:trPr>
          <w:trHeight w:val="873"/>
        </w:trPr>
        <w:tc>
          <w:tcPr>
            <w:tcW w:w="2835" w:type="dxa"/>
            <w:vMerge w:val="restart"/>
            <w:vAlign w:val="center"/>
          </w:tcPr>
          <w:p w14:paraId="364B1CC9" w14:textId="77777777" w:rsidR="002A06BD" w:rsidRPr="008F3AE1" w:rsidRDefault="002A06BD" w:rsidP="000F4E51">
            <w:pPr>
              <w:tabs>
                <w:tab w:val="left" w:pos="567"/>
              </w:tabs>
              <w:spacing w:after="0" w:line="240" w:lineRule="auto"/>
              <w:ind w:right="60"/>
              <w:jc w:val="both"/>
              <w:rPr>
                <w:rFonts w:ascii="Times New Roman" w:hAnsi="Times New Roman" w:cs="Times New Roman"/>
                <w:bCs/>
                <w:iCs/>
                <w:sz w:val="24"/>
                <w:szCs w:val="24"/>
              </w:rPr>
            </w:pPr>
            <w:r w:rsidRPr="008F3AE1">
              <w:rPr>
                <w:rFonts w:ascii="Times New Roman" w:hAnsi="Times New Roman" w:cs="Times New Roman"/>
                <w:bCs/>
                <w:iCs/>
                <w:sz w:val="24"/>
                <w:szCs w:val="24"/>
              </w:rPr>
              <w:t xml:space="preserve">Изучить динамику и экономическое значение болезней системы кровообращения в городе Алматы в 2012-2024гг. </w:t>
            </w:r>
          </w:p>
          <w:p w14:paraId="245D2960" w14:textId="6811380F" w:rsidR="002A06BD" w:rsidRPr="008F3AE1" w:rsidRDefault="002A06BD" w:rsidP="000F4E51">
            <w:pPr>
              <w:spacing w:after="0" w:line="240" w:lineRule="auto"/>
              <w:ind w:right="60"/>
              <w:jc w:val="both"/>
              <w:rPr>
                <w:rFonts w:ascii="Times New Roman" w:hAnsi="Times New Roman" w:cs="Times New Roman"/>
                <w:color w:val="000000"/>
                <w:sz w:val="24"/>
                <w:szCs w:val="24"/>
              </w:rPr>
            </w:pPr>
          </w:p>
        </w:tc>
        <w:tc>
          <w:tcPr>
            <w:tcW w:w="1560" w:type="dxa"/>
          </w:tcPr>
          <w:p w14:paraId="3901E349" w14:textId="0DCEEE5D"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Эпидемиологический анализ</w:t>
            </w:r>
            <w:r>
              <w:rPr>
                <w:rFonts w:ascii="Times New Roman" w:hAnsi="Times New Roman" w:cs="Times New Roman"/>
                <w:color w:val="000000"/>
              </w:rPr>
              <w:t>:</w:t>
            </w:r>
          </w:p>
        </w:tc>
        <w:tc>
          <w:tcPr>
            <w:tcW w:w="3525" w:type="dxa"/>
            <w:vAlign w:val="center"/>
            <w:hideMark/>
          </w:tcPr>
          <w:p w14:paraId="7F97241E" w14:textId="3179195E" w:rsidR="002A06BD" w:rsidRPr="00967575" w:rsidRDefault="002A06BD" w:rsidP="000F4E51">
            <w:pPr>
              <w:spacing w:after="0" w:line="240" w:lineRule="auto"/>
              <w:ind w:right="60"/>
              <w:jc w:val="both"/>
              <w:rPr>
                <w:rFonts w:ascii="Times New Roman" w:hAnsi="Times New Roman" w:cs="Times New Roman"/>
                <w:color w:val="000000"/>
              </w:rPr>
            </w:pPr>
            <w:r w:rsidRPr="00967575">
              <w:rPr>
                <w:rFonts w:ascii="Times New Roman" w:hAnsi="Times New Roman" w:cs="Times New Roman"/>
                <w:color w:val="000000"/>
              </w:rPr>
              <w:t>Статсборник «Здоровье населения РК…», г. Алматы, 2012–2024</w:t>
            </w:r>
          </w:p>
          <w:p w14:paraId="6706A1B0" w14:textId="770E6DCC"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Описательный анализ временных рядов; расчёт заболеваемости/смертности на 100 000</w:t>
            </w:r>
          </w:p>
        </w:tc>
        <w:tc>
          <w:tcPr>
            <w:tcW w:w="1719" w:type="dxa"/>
            <w:vAlign w:val="center"/>
            <w:hideMark/>
          </w:tcPr>
          <w:p w14:paraId="0475DD25" w14:textId="77777777"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Тренды БСК/ЦВЗ и смертности от БСК/инсульта (гл. 3.1)</w:t>
            </w:r>
          </w:p>
        </w:tc>
      </w:tr>
      <w:tr w:rsidR="002A06BD" w:rsidRPr="00F50E2E" w14:paraId="72B9C0A1" w14:textId="77777777" w:rsidTr="00FC4DAE">
        <w:trPr>
          <w:trHeight w:val="278"/>
        </w:trPr>
        <w:tc>
          <w:tcPr>
            <w:tcW w:w="2835" w:type="dxa"/>
            <w:vMerge/>
            <w:vAlign w:val="center"/>
            <w:hideMark/>
          </w:tcPr>
          <w:p w14:paraId="0C7EC225" w14:textId="2BE111C0" w:rsidR="002A06BD" w:rsidRPr="008F3AE1" w:rsidRDefault="002A06BD" w:rsidP="000F4E51">
            <w:pPr>
              <w:spacing w:after="0" w:line="240" w:lineRule="auto"/>
              <w:ind w:right="60"/>
              <w:jc w:val="both"/>
              <w:rPr>
                <w:rFonts w:ascii="Times New Roman" w:hAnsi="Times New Roman" w:cs="Times New Roman"/>
                <w:color w:val="000000"/>
                <w:sz w:val="24"/>
                <w:szCs w:val="24"/>
              </w:rPr>
            </w:pPr>
          </w:p>
        </w:tc>
        <w:tc>
          <w:tcPr>
            <w:tcW w:w="1560" w:type="dxa"/>
          </w:tcPr>
          <w:p w14:paraId="00068A00" w14:textId="442D4D9E"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Предотвратимая смертность и экономическое бремя</w:t>
            </w:r>
            <w:r>
              <w:rPr>
                <w:rFonts w:ascii="Times New Roman" w:hAnsi="Times New Roman" w:cs="Times New Roman"/>
                <w:color w:val="000000"/>
              </w:rPr>
              <w:t>:</w:t>
            </w:r>
          </w:p>
        </w:tc>
        <w:tc>
          <w:tcPr>
            <w:tcW w:w="3525" w:type="dxa"/>
            <w:vAlign w:val="center"/>
            <w:hideMark/>
          </w:tcPr>
          <w:p w14:paraId="3271518C" w14:textId="282C3D02"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ННЦРЗ, 2014–2024; МКБ-10 коды; стандартизация ОЭСР</w:t>
            </w:r>
          </w:p>
          <w:p w14:paraId="47075517" w14:textId="7DF81CAF"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Ретроспективный анализ; стандартизация 0–74 лет; абсолютные/относительные изменения; СПИ; VSL-подход (3 сценария)</w:t>
            </w:r>
          </w:p>
        </w:tc>
        <w:tc>
          <w:tcPr>
            <w:tcW w:w="1719" w:type="dxa"/>
            <w:vAlign w:val="center"/>
            <w:hideMark/>
          </w:tcPr>
          <w:p w14:paraId="7F581F67" w14:textId="77777777"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Предотвратимая смертность и экономические потери (гл. 3.2)</w:t>
            </w:r>
          </w:p>
        </w:tc>
      </w:tr>
      <w:tr w:rsidR="002A06BD" w:rsidRPr="00F50E2E" w14:paraId="2CCBB464" w14:textId="77777777" w:rsidTr="00FC4DAE">
        <w:trPr>
          <w:trHeight w:val="1128"/>
        </w:trPr>
        <w:tc>
          <w:tcPr>
            <w:tcW w:w="2835" w:type="dxa"/>
            <w:vMerge/>
            <w:vAlign w:val="center"/>
            <w:hideMark/>
          </w:tcPr>
          <w:p w14:paraId="5B1FD766" w14:textId="404DB596" w:rsidR="002A06BD" w:rsidRPr="008F3AE1" w:rsidRDefault="002A06BD" w:rsidP="000F4E51">
            <w:pPr>
              <w:spacing w:after="0" w:line="240" w:lineRule="auto"/>
              <w:ind w:right="60"/>
              <w:jc w:val="both"/>
              <w:rPr>
                <w:rFonts w:ascii="Times New Roman" w:hAnsi="Times New Roman" w:cs="Times New Roman"/>
                <w:color w:val="000000"/>
                <w:sz w:val="24"/>
                <w:szCs w:val="24"/>
              </w:rPr>
            </w:pPr>
          </w:p>
        </w:tc>
        <w:tc>
          <w:tcPr>
            <w:tcW w:w="1560" w:type="dxa"/>
          </w:tcPr>
          <w:p w14:paraId="21ED8881" w14:textId="624E83C9"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Госпитализации и исходы ОНМК</w:t>
            </w:r>
            <w:r>
              <w:rPr>
                <w:rFonts w:ascii="Times New Roman" w:hAnsi="Times New Roman" w:cs="Times New Roman"/>
                <w:color w:val="000000"/>
              </w:rPr>
              <w:t>:</w:t>
            </w:r>
          </w:p>
        </w:tc>
        <w:tc>
          <w:tcPr>
            <w:tcW w:w="3525" w:type="dxa"/>
            <w:vAlign w:val="center"/>
            <w:hideMark/>
          </w:tcPr>
          <w:p w14:paraId="2B9DDB47" w14:textId="22D7AAD5" w:rsidR="002A06BD" w:rsidRPr="00F50E2E" w:rsidRDefault="00FC4DAE" w:rsidP="000F4E51">
            <w:pPr>
              <w:spacing w:after="0" w:line="240" w:lineRule="auto"/>
              <w:ind w:right="60"/>
              <w:jc w:val="both"/>
              <w:rPr>
                <w:rFonts w:ascii="Times New Roman" w:hAnsi="Times New Roman" w:cs="Times New Roman"/>
                <w:color w:val="000000"/>
              </w:rPr>
            </w:pPr>
            <w:r>
              <w:rPr>
                <w:rFonts w:ascii="Times New Roman" w:hAnsi="Times New Roman" w:cs="Times New Roman"/>
                <w:color w:val="000000"/>
              </w:rPr>
              <w:t>ННЦРЗ</w:t>
            </w:r>
            <w:r w:rsidR="002A06BD">
              <w:rPr>
                <w:rFonts w:ascii="Times New Roman" w:hAnsi="Times New Roman" w:cs="Times New Roman"/>
                <w:color w:val="000000"/>
              </w:rPr>
              <w:t xml:space="preserve">, </w:t>
            </w:r>
            <w:r w:rsidR="002A06BD" w:rsidRPr="00F50E2E">
              <w:rPr>
                <w:rFonts w:ascii="Times New Roman" w:hAnsi="Times New Roman" w:cs="Times New Roman"/>
                <w:color w:val="000000"/>
              </w:rPr>
              <w:t>данные стационаров Алматы, 2012–2024</w:t>
            </w:r>
          </w:p>
          <w:p w14:paraId="19B53A47" w14:textId="6E436C47"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Ретроспективное обсервационное исследование; описательная статистика (Mean±SD, n/%); LOS; тип госпитализации; исходы</w:t>
            </w:r>
          </w:p>
        </w:tc>
        <w:tc>
          <w:tcPr>
            <w:tcW w:w="1719" w:type="dxa"/>
            <w:vAlign w:val="center"/>
            <w:hideMark/>
          </w:tcPr>
          <w:p w14:paraId="588977F4" w14:textId="77777777"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Динамика госпитализаций и исходов лечения (гл. 3.3)</w:t>
            </w:r>
          </w:p>
        </w:tc>
      </w:tr>
      <w:tr w:rsidR="002A06BD" w:rsidRPr="00F50E2E" w14:paraId="5F855E20" w14:textId="77777777" w:rsidTr="00FC4DAE">
        <w:trPr>
          <w:trHeight w:val="987"/>
        </w:trPr>
        <w:tc>
          <w:tcPr>
            <w:tcW w:w="2835" w:type="dxa"/>
            <w:vAlign w:val="center"/>
          </w:tcPr>
          <w:p w14:paraId="1DD4379F" w14:textId="57759CD9" w:rsidR="002A06BD" w:rsidRPr="008F3AE1" w:rsidRDefault="002A06BD" w:rsidP="000F4E51">
            <w:pPr>
              <w:tabs>
                <w:tab w:val="left" w:pos="567"/>
              </w:tabs>
              <w:spacing w:after="0" w:line="240" w:lineRule="auto"/>
              <w:ind w:right="60"/>
              <w:jc w:val="both"/>
              <w:rPr>
                <w:rFonts w:ascii="Times New Roman" w:hAnsi="Times New Roman" w:cs="Times New Roman"/>
                <w:color w:val="000000"/>
                <w:sz w:val="24"/>
                <w:szCs w:val="24"/>
              </w:rPr>
            </w:pPr>
            <w:r w:rsidRPr="008F3AE1">
              <w:rPr>
                <w:rFonts w:ascii="Times New Roman" w:hAnsi="Times New Roman" w:cs="Times New Roman"/>
                <w:bCs/>
                <w:iCs/>
                <w:sz w:val="24"/>
                <w:szCs w:val="24"/>
              </w:rPr>
              <w:t xml:space="preserve">Изучить уровень готовности медицинских специалистов различных профилей к оказанию помощи </w:t>
            </w:r>
            <w:r w:rsidRPr="002A06BD">
              <w:rPr>
                <w:rFonts w:ascii="Times New Roman" w:hAnsi="Times New Roman" w:cs="Times New Roman"/>
                <w:bCs/>
                <w:iCs/>
                <w:sz w:val="24"/>
                <w:szCs w:val="24"/>
              </w:rPr>
              <w:t>больным с ОНМК</w:t>
            </w:r>
            <w:r>
              <w:rPr>
                <w:rFonts w:ascii="Times New Roman" w:hAnsi="Times New Roman" w:cs="Times New Roman"/>
                <w:bCs/>
                <w:iCs/>
                <w:sz w:val="24"/>
                <w:szCs w:val="24"/>
              </w:rPr>
              <w:t xml:space="preserve"> </w:t>
            </w:r>
            <w:r w:rsidRPr="008F3AE1">
              <w:rPr>
                <w:rFonts w:ascii="Times New Roman" w:hAnsi="Times New Roman" w:cs="Times New Roman"/>
                <w:bCs/>
                <w:iCs/>
                <w:sz w:val="24"/>
                <w:szCs w:val="24"/>
              </w:rPr>
              <w:t>в гАлматы.</w:t>
            </w:r>
          </w:p>
        </w:tc>
        <w:tc>
          <w:tcPr>
            <w:tcW w:w="1560" w:type="dxa"/>
          </w:tcPr>
          <w:p w14:paraId="2FBB6464" w14:textId="54DC0AF0"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Качественное исследование</w:t>
            </w:r>
            <w:r>
              <w:rPr>
                <w:rFonts w:ascii="Times New Roman" w:hAnsi="Times New Roman" w:cs="Times New Roman"/>
                <w:color w:val="000000"/>
              </w:rPr>
              <w:t xml:space="preserve"> - врачи</w:t>
            </w:r>
          </w:p>
        </w:tc>
        <w:tc>
          <w:tcPr>
            <w:tcW w:w="3525" w:type="dxa"/>
            <w:vAlign w:val="center"/>
            <w:hideMark/>
          </w:tcPr>
          <w:p w14:paraId="2D0EB9EE" w14:textId="13D071BE"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95 специалистов (СМП, неврологи, реаниматологи, реабилитологи, нейрохирурги)</w:t>
            </w:r>
          </w:p>
          <w:p w14:paraId="0822E75B" w14:textId="4A54AA1B"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 xml:space="preserve">Полуструктурированные интервью; контент- и тематический анализ </w:t>
            </w:r>
          </w:p>
        </w:tc>
        <w:tc>
          <w:tcPr>
            <w:tcW w:w="1719" w:type="dxa"/>
            <w:vAlign w:val="center"/>
            <w:hideMark/>
          </w:tcPr>
          <w:p w14:paraId="3E124F9F" w14:textId="77777777"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Готовность системы и барьеры по профилям (гл. 4.1)</w:t>
            </w:r>
          </w:p>
        </w:tc>
      </w:tr>
      <w:tr w:rsidR="004150A1" w:rsidRPr="00F50E2E" w14:paraId="2C44DBAA" w14:textId="77777777" w:rsidTr="00FC4DAE">
        <w:trPr>
          <w:trHeight w:val="696"/>
        </w:trPr>
        <w:tc>
          <w:tcPr>
            <w:tcW w:w="2835" w:type="dxa"/>
            <w:vAlign w:val="center"/>
          </w:tcPr>
          <w:p w14:paraId="1A78E9E3" w14:textId="079E7E83" w:rsidR="004150A1" w:rsidRPr="002D4B8F" w:rsidRDefault="004150A1" w:rsidP="004150A1">
            <w:pPr>
              <w:tabs>
                <w:tab w:val="left" w:pos="567"/>
              </w:tabs>
              <w:spacing w:after="0" w:line="240" w:lineRule="auto"/>
              <w:ind w:right="60"/>
              <w:jc w:val="both"/>
              <w:rPr>
                <w:rFonts w:ascii="Times New Roman" w:hAnsi="Times New Roman" w:cs="Times New Roman"/>
                <w:color w:val="EE0000"/>
                <w:sz w:val="24"/>
                <w:szCs w:val="24"/>
              </w:rPr>
            </w:pPr>
            <w:r w:rsidRPr="00741D4B">
              <w:rPr>
                <w:rFonts w:ascii="Times New Roman" w:hAnsi="Times New Roman" w:cs="Times New Roman"/>
                <w:bCs/>
                <w:iCs/>
                <w:color w:val="000000" w:themeColor="text1"/>
                <w:sz w:val="24"/>
                <w:szCs w:val="24"/>
              </w:rPr>
              <w:t>Выявить ключевые барьеры оказания помощи при инсульте на догоспитальном и стационарном этапах на основе отзывов пациентов.</w:t>
            </w:r>
          </w:p>
        </w:tc>
        <w:tc>
          <w:tcPr>
            <w:tcW w:w="1560" w:type="dxa"/>
          </w:tcPr>
          <w:p w14:paraId="043D0D0E" w14:textId="1C53A549" w:rsidR="004150A1" w:rsidRDefault="004150A1" w:rsidP="004150A1">
            <w:pPr>
              <w:spacing w:after="0" w:line="240" w:lineRule="auto"/>
              <w:ind w:right="60"/>
              <w:jc w:val="both"/>
              <w:rPr>
                <w:rFonts w:ascii="Times New Roman" w:hAnsi="Times New Roman" w:cs="Times New Roman"/>
                <w:noProof/>
                <w:color w:val="000000"/>
                <w:sz w:val="24"/>
                <w:szCs w:val="24"/>
                <w:highlight w:val="yellow"/>
              </w:rPr>
            </w:pPr>
            <w:r w:rsidRPr="00741D4B">
              <w:rPr>
                <w:rFonts w:ascii="Times New Roman" w:hAnsi="Times New Roman" w:cs="Times New Roman"/>
                <w:noProof/>
                <w:color w:val="000000" w:themeColor="text1"/>
                <w:sz w:val="24"/>
                <w:szCs w:val="24"/>
              </w:rPr>
              <w:t>Смешанный метод</w:t>
            </w:r>
          </w:p>
        </w:tc>
        <w:tc>
          <w:tcPr>
            <w:tcW w:w="3525" w:type="dxa"/>
            <w:vAlign w:val="center"/>
            <w:hideMark/>
          </w:tcPr>
          <w:p w14:paraId="515817EA" w14:textId="00EE2BCE" w:rsidR="004150A1" w:rsidRPr="002D4B8F" w:rsidRDefault="004150A1" w:rsidP="004150A1">
            <w:pPr>
              <w:spacing w:after="0" w:line="240" w:lineRule="auto"/>
              <w:ind w:right="60"/>
              <w:jc w:val="both"/>
              <w:rPr>
                <w:rFonts w:ascii="Times New Roman" w:hAnsi="Times New Roman" w:cs="Times New Roman"/>
                <w:color w:val="EE0000"/>
              </w:rPr>
            </w:pPr>
            <w:r w:rsidRPr="00741D4B">
              <w:rPr>
                <w:rFonts w:ascii="Times New Roman" w:hAnsi="Times New Roman" w:cs="Times New Roman"/>
                <w:noProof/>
                <w:color w:val="000000" w:themeColor="text1"/>
                <w:sz w:val="24"/>
                <w:szCs w:val="24"/>
              </w:rPr>
              <w:t>Разработан авторский опросник, включающий закрытые и открытые вопросы</w:t>
            </w:r>
            <w:r w:rsidRPr="00741D4B">
              <w:rPr>
                <w:rFonts w:ascii="Times New Roman" w:hAnsi="Times New Roman" w:cs="Times New Roman"/>
                <w:color w:val="000000" w:themeColor="text1"/>
              </w:rPr>
              <w:t xml:space="preserve">. </w:t>
            </w:r>
            <w:r w:rsidRPr="00741D4B">
              <w:rPr>
                <w:rFonts w:ascii="Times New Roman" w:hAnsi="Times New Roman" w:cs="Times New Roman"/>
                <w:color w:val="000000" w:themeColor="text1"/>
                <w:sz w:val="24"/>
                <w:szCs w:val="24"/>
              </w:rPr>
              <w:t>61 пациент</w:t>
            </w:r>
          </w:p>
        </w:tc>
        <w:tc>
          <w:tcPr>
            <w:tcW w:w="1719" w:type="dxa"/>
            <w:vAlign w:val="center"/>
            <w:hideMark/>
          </w:tcPr>
          <w:p w14:paraId="3B9A5F40" w14:textId="70EC3C9A" w:rsidR="004150A1" w:rsidRPr="00F50E2E" w:rsidRDefault="004150A1" w:rsidP="004150A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Барьеры и рекомендации со стороны пациентов (гл. 4.2)</w:t>
            </w:r>
          </w:p>
        </w:tc>
      </w:tr>
      <w:tr w:rsidR="002A06BD" w:rsidRPr="00F50E2E" w14:paraId="08DB9ECD" w14:textId="77777777" w:rsidTr="00FC4DAE">
        <w:trPr>
          <w:trHeight w:val="977"/>
        </w:trPr>
        <w:tc>
          <w:tcPr>
            <w:tcW w:w="2835" w:type="dxa"/>
            <w:vMerge w:val="restart"/>
            <w:vAlign w:val="center"/>
          </w:tcPr>
          <w:p w14:paraId="68ABD22F" w14:textId="04566A5B" w:rsidR="002A06BD" w:rsidRPr="008F3AE1" w:rsidRDefault="002A06BD" w:rsidP="000F4E51">
            <w:pPr>
              <w:tabs>
                <w:tab w:val="left" w:pos="567"/>
              </w:tabs>
              <w:spacing w:after="0" w:line="240" w:lineRule="auto"/>
              <w:ind w:right="60"/>
              <w:jc w:val="both"/>
              <w:rPr>
                <w:rFonts w:ascii="Times New Roman" w:hAnsi="Times New Roman" w:cs="Times New Roman"/>
                <w:color w:val="000000"/>
                <w:sz w:val="24"/>
                <w:szCs w:val="24"/>
              </w:rPr>
            </w:pPr>
            <w:r w:rsidRPr="008F3AE1">
              <w:rPr>
                <w:rFonts w:ascii="Times New Roman" w:hAnsi="Times New Roman" w:cs="Times New Roman"/>
                <w:bCs/>
                <w:iCs/>
                <w:sz w:val="24"/>
                <w:szCs w:val="24"/>
              </w:rPr>
              <w:t xml:space="preserve">Разработать проект модели оптимизации помощи </w:t>
            </w:r>
            <w:r w:rsidRPr="002A06BD">
              <w:rPr>
                <w:rFonts w:ascii="Times New Roman" w:hAnsi="Times New Roman" w:cs="Times New Roman"/>
                <w:bCs/>
                <w:iCs/>
                <w:sz w:val="24"/>
                <w:szCs w:val="24"/>
              </w:rPr>
              <w:t>больным с ОНМК</w:t>
            </w:r>
            <w:r w:rsidRPr="008F3AE1">
              <w:rPr>
                <w:rFonts w:ascii="Times New Roman" w:hAnsi="Times New Roman" w:cs="Times New Roman"/>
                <w:bCs/>
                <w:iCs/>
                <w:sz w:val="24"/>
                <w:szCs w:val="24"/>
              </w:rPr>
              <w:t xml:space="preserve"> с применением современных технологий (</w:t>
            </w:r>
            <w:r>
              <w:rPr>
                <w:rFonts w:ascii="Times New Roman" w:hAnsi="Times New Roman" w:cs="Times New Roman"/>
                <w:bCs/>
                <w:iCs/>
                <w:sz w:val="24"/>
                <w:szCs w:val="24"/>
                <w:lang w:val="en-US"/>
              </w:rPr>
              <w:t>MSU</w:t>
            </w:r>
            <w:r w:rsidRPr="008F3AE1">
              <w:rPr>
                <w:rFonts w:ascii="Times New Roman" w:hAnsi="Times New Roman" w:cs="Times New Roman"/>
                <w:bCs/>
                <w:iCs/>
                <w:sz w:val="24"/>
                <w:szCs w:val="24"/>
              </w:rPr>
              <w:t xml:space="preserve">) </w:t>
            </w:r>
          </w:p>
        </w:tc>
        <w:tc>
          <w:tcPr>
            <w:tcW w:w="1560" w:type="dxa"/>
          </w:tcPr>
          <w:p w14:paraId="3DD0DA46" w14:textId="662FEDB2"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Клинико-экономическое моделирование MSU</w:t>
            </w:r>
          </w:p>
        </w:tc>
        <w:tc>
          <w:tcPr>
            <w:tcW w:w="3525" w:type="dxa"/>
            <w:vAlign w:val="center"/>
            <w:hideMark/>
          </w:tcPr>
          <w:p w14:paraId="631B2877" w14:textId="477B43B7"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Параметры из публикаций, тарифов РК, пособий, WTP (ВОЗ), входные параметры модели</w:t>
            </w:r>
          </w:p>
          <w:p w14:paraId="21FED5F3" w14:textId="07BFC5FD"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 xml:space="preserve">Когортная марковская модель, горизонт 25 лет; дисконт 4%; ΔQALY, ΔCost, ICER; PSA Монте-Карло </w:t>
            </w:r>
          </w:p>
        </w:tc>
        <w:tc>
          <w:tcPr>
            <w:tcW w:w="1719" w:type="dxa"/>
            <w:vAlign w:val="center"/>
            <w:hideMark/>
          </w:tcPr>
          <w:p w14:paraId="4862942F" w14:textId="77777777"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Обоснование эффективности/доминирования MSU (гл. 5)</w:t>
            </w:r>
          </w:p>
        </w:tc>
      </w:tr>
      <w:tr w:rsidR="002A06BD" w:rsidRPr="00F50E2E" w14:paraId="486EB90D" w14:textId="77777777" w:rsidTr="00FC4DAE">
        <w:trPr>
          <w:trHeight w:val="70"/>
        </w:trPr>
        <w:tc>
          <w:tcPr>
            <w:tcW w:w="2835" w:type="dxa"/>
            <w:vMerge/>
            <w:vAlign w:val="center"/>
            <w:hideMark/>
          </w:tcPr>
          <w:p w14:paraId="6C67DC23" w14:textId="325F5A47" w:rsidR="002A06BD" w:rsidRPr="00F50E2E" w:rsidRDefault="002A06BD" w:rsidP="000F4E51">
            <w:pPr>
              <w:spacing w:after="0" w:line="240" w:lineRule="auto"/>
              <w:ind w:right="60"/>
              <w:jc w:val="both"/>
              <w:rPr>
                <w:rFonts w:ascii="Times New Roman" w:hAnsi="Times New Roman" w:cs="Times New Roman"/>
                <w:color w:val="000000"/>
              </w:rPr>
            </w:pPr>
          </w:p>
        </w:tc>
        <w:tc>
          <w:tcPr>
            <w:tcW w:w="1560" w:type="dxa"/>
          </w:tcPr>
          <w:p w14:paraId="4A37E46D" w14:textId="3BA89CE9"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Финансовая оценка проекта MSU</w:t>
            </w:r>
          </w:p>
        </w:tc>
        <w:tc>
          <w:tcPr>
            <w:tcW w:w="3525" w:type="dxa"/>
            <w:vAlign w:val="center"/>
            <w:hideMark/>
          </w:tcPr>
          <w:p w14:paraId="75073CD8" w14:textId="49E0AE0E"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инфляция, индексация зарплат, доход/эффект; ставка дисконтирования 4%</w:t>
            </w:r>
          </w:p>
          <w:p w14:paraId="120E0CF3" w14:textId="789E8953"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NPV на горизонте 7 лет + ликвидационная стоимость; однофакторный анализ чувствительности</w:t>
            </w:r>
          </w:p>
        </w:tc>
        <w:tc>
          <w:tcPr>
            <w:tcW w:w="1719" w:type="dxa"/>
            <w:vAlign w:val="center"/>
            <w:hideMark/>
          </w:tcPr>
          <w:p w14:paraId="401388AA" w14:textId="77777777" w:rsidR="002A06BD" w:rsidRPr="00F50E2E" w:rsidRDefault="002A06BD" w:rsidP="000F4E51">
            <w:pPr>
              <w:spacing w:after="0" w:line="240" w:lineRule="auto"/>
              <w:ind w:right="60"/>
              <w:jc w:val="both"/>
              <w:rPr>
                <w:rFonts w:ascii="Times New Roman" w:hAnsi="Times New Roman" w:cs="Times New Roman"/>
                <w:color w:val="000000"/>
              </w:rPr>
            </w:pPr>
            <w:r w:rsidRPr="00F50E2E">
              <w:rPr>
                <w:rFonts w:ascii="Times New Roman" w:hAnsi="Times New Roman" w:cs="Times New Roman"/>
                <w:color w:val="000000"/>
              </w:rPr>
              <w:t>Инвестиционная целесообразность проекта (гл. 5)</w:t>
            </w:r>
          </w:p>
        </w:tc>
      </w:tr>
    </w:tbl>
    <w:p w14:paraId="5ABDF2A6" w14:textId="77777777" w:rsidR="00F50E2E" w:rsidRPr="00F50E2E" w:rsidRDefault="00F50E2E" w:rsidP="000F4E51">
      <w:pPr>
        <w:spacing w:after="0" w:line="240" w:lineRule="auto"/>
        <w:ind w:left="851" w:right="-1135" w:firstLine="567"/>
        <w:jc w:val="both"/>
        <w:rPr>
          <w:rFonts w:ascii="Times New Roman" w:hAnsi="Times New Roman" w:cs="Times New Roman"/>
          <w:noProof/>
          <w:color w:val="000000"/>
          <w:sz w:val="28"/>
          <w:szCs w:val="28"/>
        </w:rPr>
      </w:pPr>
    </w:p>
    <w:p w14:paraId="1DDEC6B2"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 xml:space="preserve">Для решение </w:t>
      </w:r>
      <w:r w:rsidRPr="00F50E2E">
        <w:rPr>
          <w:rFonts w:ascii="Times New Roman" w:hAnsi="Times New Roman" w:cs="Times New Roman"/>
          <w:i/>
          <w:iCs/>
          <w:sz w:val="28"/>
          <w:szCs w:val="28"/>
        </w:rPr>
        <w:t>второй задачи</w:t>
      </w:r>
      <w:r w:rsidRPr="00F50E2E">
        <w:rPr>
          <w:rFonts w:ascii="Times New Roman" w:hAnsi="Times New Roman" w:cs="Times New Roman"/>
          <w:sz w:val="28"/>
          <w:szCs w:val="28"/>
        </w:rPr>
        <w:t xml:space="preserve"> эпидемиологические данные были получены из официального статистического издания «Здоровье населения Республики Казахстан и деятельность организаций здравоохранения» за период 2012–2024 гг. Этот источник содержит ежегодные данные по г. Алматы, такие как: заболеваемости болезни системы кровообращения (БСК), включая цереброваскулярные заболевания (ЦВЗ), и смертности от БСК и инсульта. Важно отметить, что в статистических ежегодниках не было отдельных данных о заболеваемости инсультом. Заболеваемость, связанная с инсультом, учитывалась только в рамках более широкой категории ЦВЗ.</w:t>
      </w:r>
    </w:p>
    <w:p w14:paraId="06796B11"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Показатели заболеваемости представлены в виде показателей заболеваемости на 100000 населения для: БСК и ЦВЗ. Показатели смертности были доступны в виде коэффициентов смертности по конкретным причинам на 100000 населения для БСК и инсульта.</w:t>
      </w:r>
    </w:p>
    <w:p w14:paraId="7B0D1AD4"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Показатель заболеваемости и смертности рассчитывался по стандартной эпидемиологической формуле:</w:t>
      </w:r>
    </w:p>
    <w:p w14:paraId="40CB24F0"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 xml:space="preserve">Показатель заболеваемости </w:t>
      </w:r>
      <w:r w:rsidRPr="00F50E2E">
        <w:rPr>
          <w:rFonts w:ascii="Times New Roman" w:hAnsi="Times New Roman" w:cs="Times New Roman"/>
          <w:sz w:val="28"/>
          <w:szCs w:val="28"/>
          <w:vertAlign w:val="subscript"/>
        </w:rPr>
        <w:t xml:space="preserve">t  </w:t>
      </w:r>
      <w:r w:rsidRPr="00F50E2E">
        <w:rPr>
          <w:rFonts w:ascii="Times New Roman" w:hAnsi="Times New Roman" w:cs="Times New Roman"/>
          <w:sz w:val="28"/>
          <w:szCs w:val="28"/>
        </w:rPr>
        <w:t xml:space="preserve">= (N </w:t>
      </w:r>
      <w:r w:rsidRPr="00F50E2E">
        <w:rPr>
          <w:rFonts w:ascii="Times New Roman" w:hAnsi="Times New Roman" w:cs="Times New Roman"/>
          <w:sz w:val="28"/>
          <w:szCs w:val="28"/>
          <w:vertAlign w:val="subscript"/>
        </w:rPr>
        <w:t xml:space="preserve">новые случаи,t </w:t>
      </w:r>
      <w:r w:rsidRPr="00F50E2E">
        <w:rPr>
          <w:rFonts w:ascii="Times New Roman" w:hAnsi="Times New Roman" w:cs="Times New Roman"/>
          <w:sz w:val="28"/>
          <w:szCs w:val="28"/>
        </w:rPr>
        <w:t xml:space="preserve">/ N </w:t>
      </w:r>
      <w:r w:rsidRPr="00F50E2E">
        <w:rPr>
          <w:rFonts w:ascii="Times New Roman" w:hAnsi="Times New Roman" w:cs="Times New Roman"/>
          <w:sz w:val="28"/>
          <w:szCs w:val="28"/>
          <w:vertAlign w:val="subscript"/>
        </w:rPr>
        <w:t xml:space="preserve">население,t </w:t>
      </w:r>
      <w:r w:rsidRPr="00F50E2E">
        <w:rPr>
          <w:rFonts w:ascii="Times New Roman" w:hAnsi="Times New Roman" w:cs="Times New Roman"/>
          <w:sz w:val="28"/>
          <w:szCs w:val="28"/>
        </w:rPr>
        <w:t>) ×100 000</w:t>
      </w:r>
    </w:p>
    <w:p w14:paraId="4C54D0A5"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 xml:space="preserve">Коэффициент смертности </w:t>
      </w:r>
      <w:r w:rsidRPr="00F50E2E">
        <w:rPr>
          <w:rFonts w:ascii="Times New Roman" w:hAnsi="Times New Roman" w:cs="Times New Roman"/>
          <w:sz w:val="28"/>
          <w:szCs w:val="28"/>
          <w:vertAlign w:val="subscript"/>
        </w:rPr>
        <w:t xml:space="preserve">t </w:t>
      </w:r>
      <w:r w:rsidRPr="00F50E2E">
        <w:rPr>
          <w:rFonts w:ascii="Times New Roman" w:hAnsi="Times New Roman" w:cs="Times New Roman"/>
          <w:sz w:val="28"/>
          <w:szCs w:val="28"/>
        </w:rPr>
        <w:t xml:space="preserve">= (N </w:t>
      </w:r>
      <w:r w:rsidRPr="00F50E2E">
        <w:rPr>
          <w:rFonts w:ascii="Times New Roman" w:hAnsi="Times New Roman" w:cs="Times New Roman"/>
          <w:sz w:val="28"/>
          <w:szCs w:val="28"/>
          <w:vertAlign w:val="subscript"/>
        </w:rPr>
        <w:t>смертей, t</w:t>
      </w:r>
      <w:r w:rsidRPr="00F50E2E">
        <w:rPr>
          <w:rFonts w:ascii="Times New Roman" w:hAnsi="Times New Roman" w:cs="Times New Roman"/>
          <w:sz w:val="28"/>
          <w:szCs w:val="28"/>
        </w:rPr>
        <w:t xml:space="preserve"> / N </w:t>
      </w:r>
      <w:r w:rsidRPr="00F50E2E">
        <w:rPr>
          <w:rFonts w:ascii="Times New Roman" w:hAnsi="Times New Roman" w:cs="Times New Roman"/>
          <w:sz w:val="28"/>
          <w:szCs w:val="28"/>
          <w:vertAlign w:val="subscript"/>
        </w:rPr>
        <w:t>населения,t</w:t>
      </w:r>
      <w:r w:rsidRPr="00F50E2E">
        <w:rPr>
          <w:rFonts w:ascii="Times New Roman" w:hAnsi="Times New Roman" w:cs="Times New Roman"/>
          <w:sz w:val="28"/>
          <w:szCs w:val="28"/>
        </w:rPr>
        <w:t xml:space="preserve"> ) ×100 000</w:t>
      </w:r>
    </w:p>
    <w:p w14:paraId="6CD53264"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где:</w:t>
      </w:r>
    </w:p>
    <w:p w14:paraId="49FB081C"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vertAlign w:val="subscript"/>
        </w:rPr>
      </w:pPr>
      <w:r w:rsidRPr="00F50E2E">
        <w:rPr>
          <w:rFonts w:ascii="Times New Roman" w:hAnsi="Times New Roman" w:cs="Times New Roman"/>
          <w:sz w:val="28"/>
          <w:szCs w:val="28"/>
        </w:rPr>
        <w:t xml:space="preserve"> N </w:t>
      </w:r>
      <w:r w:rsidRPr="00F50E2E">
        <w:rPr>
          <w:rFonts w:ascii="Times New Roman" w:hAnsi="Times New Roman" w:cs="Times New Roman"/>
          <w:sz w:val="28"/>
          <w:szCs w:val="28"/>
          <w:vertAlign w:val="subscript"/>
        </w:rPr>
        <w:t xml:space="preserve">новые случаи,t  </w:t>
      </w:r>
      <w:r w:rsidRPr="00F50E2E">
        <w:rPr>
          <w:rFonts w:ascii="Times New Roman" w:hAnsi="Times New Roman" w:cs="Times New Roman"/>
          <w:sz w:val="28"/>
          <w:szCs w:val="28"/>
        </w:rPr>
        <w:t>— количество вновь зарегистрированных случаев в году</w:t>
      </w:r>
    </w:p>
    <w:p w14:paraId="3E72F5A9"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vertAlign w:val="subscript"/>
        </w:rPr>
      </w:pPr>
      <w:r w:rsidRPr="00F50E2E">
        <w:rPr>
          <w:rFonts w:ascii="Times New Roman" w:hAnsi="Times New Roman" w:cs="Times New Roman"/>
          <w:sz w:val="28"/>
          <w:szCs w:val="28"/>
        </w:rPr>
        <w:t xml:space="preserve">N </w:t>
      </w:r>
      <w:r w:rsidRPr="00F50E2E">
        <w:rPr>
          <w:rFonts w:ascii="Times New Roman" w:hAnsi="Times New Roman" w:cs="Times New Roman"/>
          <w:sz w:val="28"/>
          <w:szCs w:val="28"/>
          <w:vertAlign w:val="subscript"/>
        </w:rPr>
        <w:t xml:space="preserve">население,t  </w:t>
      </w:r>
      <w:r w:rsidRPr="00F50E2E">
        <w:rPr>
          <w:rFonts w:ascii="Times New Roman" w:hAnsi="Times New Roman" w:cs="Times New Roman"/>
          <w:sz w:val="28"/>
          <w:szCs w:val="28"/>
        </w:rPr>
        <w:t>— численность населения Алматы на середину года t.</w:t>
      </w:r>
    </w:p>
    <w:p w14:paraId="5B4725EA"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 xml:space="preserve">N </w:t>
      </w:r>
      <w:r w:rsidRPr="00F50E2E">
        <w:rPr>
          <w:rFonts w:ascii="Times New Roman" w:hAnsi="Times New Roman" w:cs="Times New Roman"/>
          <w:sz w:val="28"/>
          <w:szCs w:val="28"/>
          <w:vertAlign w:val="subscript"/>
        </w:rPr>
        <w:t>смертей, t</w:t>
      </w:r>
      <w:r w:rsidRPr="00F50E2E">
        <w:rPr>
          <w:rFonts w:ascii="Times New Roman" w:hAnsi="Times New Roman" w:cs="Times New Roman"/>
          <w:sz w:val="28"/>
          <w:szCs w:val="28"/>
        </w:rPr>
        <w:t xml:space="preserve"> — количество смертей, отнесенных к конкретной причине в году t.</w:t>
      </w:r>
    </w:p>
    <w:p w14:paraId="538673D3"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Был проведен описательный анализ временных рядов для оценки тенденций заболеваемости и смертности в период с 2012 по 2024 год. Для каждого показателя: абсолютные значения были представлены в табличной форме по годам; временные тенденции оценивались визуально и описательно. Основное методологическое ограничение: главным ограничением эпидемиологического анализа является отсутствие данных о заболеваемости инсультом, что препятствовало прямой оценке заболеваемости инсультом и требовало опоры на категории ЦВЗ и статистику смертности (глава 3.1).</w:t>
      </w:r>
    </w:p>
    <w:p w14:paraId="68163C1E" w14:textId="7E4F7341" w:rsidR="00F50E2E" w:rsidRPr="00317136" w:rsidRDefault="00F50E2E" w:rsidP="00C6385D">
      <w:pPr>
        <w:tabs>
          <w:tab w:val="left" w:pos="2400"/>
        </w:tabs>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sz w:val="28"/>
          <w:szCs w:val="28"/>
        </w:rPr>
        <w:t xml:space="preserve">Для оценки предотвратимой смертности и ее </w:t>
      </w:r>
      <w:r w:rsidRPr="00F50E2E">
        <w:rPr>
          <w:rFonts w:ascii="Times New Roman" w:hAnsi="Times New Roman" w:cs="Times New Roman"/>
          <w:noProof/>
          <w:color w:val="000000"/>
          <w:sz w:val="28"/>
          <w:szCs w:val="28"/>
        </w:rPr>
        <w:t>экономическое влияние было проведено ретроспекти</w:t>
      </w:r>
      <w:r w:rsidR="006227E1">
        <w:rPr>
          <w:rFonts w:ascii="Times New Roman" w:hAnsi="Times New Roman" w:cs="Times New Roman"/>
          <w:noProof/>
          <w:color w:val="000000"/>
          <w:sz w:val="28"/>
          <w:szCs w:val="28"/>
        </w:rPr>
        <w:t>а</w:t>
      </w:r>
      <w:r w:rsidRPr="00F50E2E">
        <w:rPr>
          <w:rFonts w:ascii="Times New Roman" w:hAnsi="Times New Roman" w:cs="Times New Roman"/>
          <w:noProof/>
          <w:color w:val="000000"/>
          <w:sz w:val="28"/>
          <w:szCs w:val="28"/>
        </w:rPr>
        <w:t>вное исследование с использованием данных, полученных из Национального научного центра развития здравоохранения им. С. Зекеновой (ННЦРЗ) в г. Алматы, Республика Казахстан. Случаи были выявлены и классифицированы в соответствии с Международной классификацией болезней 10-го пересмотра (МК</w:t>
      </w:r>
      <w:r w:rsidRPr="00967575">
        <w:rPr>
          <w:rFonts w:ascii="Times New Roman" w:hAnsi="Times New Roman" w:cs="Times New Roman"/>
          <w:noProof/>
          <w:color w:val="000000"/>
          <w:sz w:val="28"/>
          <w:szCs w:val="28"/>
        </w:rPr>
        <w:t>Б-10).</w:t>
      </w:r>
      <w:r w:rsidRPr="00F50E2E">
        <w:rPr>
          <w:rFonts w:ascii="Times New Roman" w:hAnsi="Times New Roman" w:cs="Times New Roman"/>
          <w:noProof/>
          <w:color w:val="000000"/>
          <w:sz w:val="28"/>
          <w:szCs w:val="28"/>
        </w:rPr>
        <w:t xml:space="preserve"> Для анализа предотвратимой смертности данные были собраны за период с 2014 по 2024 год. В этом исследовании мы использовали определение предотвратимой смертности </w:t>
      </w:r>
      <w:r w:rsidRPr="00F50E2E">
        <w:rPr>
          <w:rFonts w:ascii="Times New Roman" w:hAnsi="Times New Roman" w:cs="Times New Roman"/>
          <w:noProof/>
          <w:color w:val="000000"/>
          <w:sz w:val="28"/>
          <w:szCs w:val="28"/>
        </w:rPr>
        <w:lastRenderedPageBreak/>
        <w:t>Организации экономического сотрудничества и развития (ОЭСР)</w:t>
      </w:r>
      <w:r w:rsidR="00846CF8" w:rsidRPr="00846CF8">
        <w:rPr>
          <w:rFonts w:ascii="Times New Roman" w:hAnsi="Times New Roman" w:cs="Times New Roman"/>
          <w:noProof/>
          <w:color w:val="000000"/>
          <w:sz w:val="28"/>
          <w:szCs w:val="28"/>
        </w:rPr>
        <w:t xml:space="preserve"> [114]</w:t>
      </w:r>
      <w:r w:rsidRPr="00F50E2E">
        <w:rPr>
          <w:rFonts w:ascii="Times New Roman" w:hAnsi="Times New Roman" w:cs="Times New Roman"/>
          <w:noProof/>
          <w:color w:val="000000"/>
          <w:sz w:val="28"/>
          <w:szCs w:val="28"/>
        </w:rPr>
        <w:t xml:space="preserve">. Оно включает </w:t>
      </w:r>
      <w:r w:rsidRPr="00F50E2E">
        <w:rPr>
          <w:rFonts w:ascii="Times New Roman" w:hAnsi="Times New Roman" w:cs="Times New Roman"/>
          <w:i/>
          <w:iCs/>
          <w:noProof/>
          <w:color w:val="000000"/>
          <w:sz w:val="28"/>
          <w:szCs w:val="28"/>
        </w:rPr>
        <w:t>превентивную смертность</w:t>
      </w:r>
      <w:r w:rsidRPr="00F50E2E">
        <w:rPr>
          <w:rFonts w:ascii="Times New Roman" w:hAnsi="Times New Roman" w:cs="Times New Roman"/>
          <w:noProof/>
          <w:color w:val="000000"/>
          <w:sz w:val="28"/>
          <w:szCs w:val="28"/>
        </w:rPr>
        <w:t xml:space="preserve">, определяемую как все случаи смерти, которых можно было избежать с помощью профилактических мероприятий или услуг, и </w:t>
      </w:r>
      <w:r w:rsidRPr="00F50E2E">
        <w:rPr>
          <w:rFonts w:ascii="Times New Roman" w:hAnsi="Times New Roman" w:cs="Times New Roman"/>
          <w:i/>
          <w:iCs/>
          <w:noProof/>
          <w:color w:val="000000"/>
          <w:sz w:val="28"/>
          <w:szCs w:val="28"/>
        </w:rPr>
        <w:t>излечимую смертность</w:t>
      </w:r>
      <w:r w:rsidRPr="00F50E2E">
        <w:rPr>
          <w:rFonts w:ascii="Times New Roman" w:hAnsi="Times New Roman" w:cs="Times New Roman"/>
          <w:noProof/>
          <w:color w:val="000000"/>
          <w:sz w:val="28"/>
          <w:szCs w:val="28"/>
        </w:rPr>
        <w:t xml:space="preserve">, определяемую как все случаи смерти, которых можно было избежать с помощью своевременной и эффективной медицинской помощи. Стандартизированные по возрасту показатели смертности населения были взяты из ОЭСР 2015 года. Мы проанализировали предотвратимые смерти от БСК в соответствии со списками превентивных и излечимых причин смерти ОЭСР/Евростата. Для расчета предотвратимой смертности населения в возрасте 0–74 лет данные были классифицированы по полу и по пятилетним возрастным категориям (например, 0, 1–4, 5–9, 10–14,…, 74). Расчет проведен в соответствии следующей формулы:  </w:t>
      </w:r>
    </w:p>
    <w:p w14:paraId="1651DC42" w14:textId="1A5F8228" w:rsidR="00967575" w:rsidRPr="00317136" w:rsidRDefault="0005389E" w:rsidP="00C6385D">
      <w:pPr>
        <w:spacing w:after="0" w:line="240" w:lineRule="auto"/>
        <w:ind w:firstLine="567"/>
        <w:jc w:val="center"/>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t</m:t>
            </m:r>
          </m:e>
          <m:sub>
            <m:r>
              <w:rPr>
                <w:rFonts w:ascii="Cambria Math" w:eastAsia="Cambria Math" w:hAnsi="Cambria Math" w:cs="Times New Roman"/>
                <w:sz w:val="28"/>
                <w:szCs w:val="28"/>
              </w:rPr>
              <m:t>пре</m:t>
            </m:r>
            <m:r>
              <w:rPr>
                <w:rFonts w:ascii="Cambria Math" w:eastAsia="Cambria Math" w:hAnsi="Cambria Math" w:cs="Times New Roman"/>
                <w:sz w:val="28"/>
                <w:szCs w:val="28"/>
                <w:lang w:val="kk-KZ"/>
              </w:rPr>
              <m:t>вентивный</m:t>
            </m:r>
          </m:sub>
        </m:sSub>
        <m:r>
          <w:rPr>
            <w:rFonts w:ascii="Cambria Math" w:eastAsia="Cambria Math" w:hAnsi="Cambria Math" w:cs="Times New Roman"/>
            <w:sz w:val="28"/>
            <w:szCs w:val="28"/>
          </w:rPr>
          <m:t>=</m:t>
        </m:r>
        <m:nary>
          <m:naryPr>
            <m:chr m:val="∑"/>
            <m:ctrlPr>
              <w:rPr>
                <w:rFonts w:ascii="Cambria Math" w:eastAsia="Cambria Math" w:hAnsi="Cambria Math" w:cs="Times New Roman"/>
                <w:sz w:val="28"/>
                <w:szCs w:val="28"/>
              </w:rPr>
            </m:ctrlPr>
          </m:naryPr>
          <m:sub>
            <m:r>
              <w:rPr>
                <w:rFonts w:ascii="Cambria Math" w:eastAsia="Cambria Math" w:hAnsi="Cambria Math" w:cs="Times New Roman"/>
                <w:sz w:val="28"/>
                <w:szCs w:val="28"/>
              </w:rPr>
              <m:t>i=1</m:t>
            </m:r>
          </m:sub>
          <m:sup>
            <m:r>
              <w:rPr>
                <w:rFonts w:ascii="Cambria Math" w:eastAsia="Cambria Math" w:hAnsi="Cambria Math" w:cs="Times New Roman"/>
                <w:sz w:val="28"/>
                <w:szCs w:val="28"/>
              </w:rPr>
              <m:t>m</m:t>
            </m:r>
          </m:sup>
          <m:e>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t</m:t>
                </m:r>
              </m:e>
              <m:sub>
                <m:r>
                  <w:rPr>
                    <w:rFonts w:ascii="Cambria Math" w:eastAsia="Cambria Math" w:hAnsi="Cambria Math" w:cs="Times New Roman"/>
                    <w:sz w:val="28"/>
                    <w:szCs w:val="28"/>
                  </w:rPr>
                  <m:t>s</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t</m:t>
                    </m:r>
                  </m:e>
                  <m:sub>
                    <m:r>
                      <w:rPr>
                        <w:rFonts w:ascii="Cambria Math" w:eastAsia="Cambria Math" w:hAnsi="Cambria Math" w:cs="Times New Roman"/>
                        <w:sz w:val="28"/>
                        <w:szCs w:val="28"/>
                      </w:rPr>
                      <m:t>i</m:t>
                    </m:r>
                  </m:sub>
                </m:sSub>
              </m:sub>
            </m:sSub>
          </m:e>
        </m:nary>
      </m:oMath>
      <w:r w:rsidR="00967575" w:rsidRPr="00317136">
        <w:rPr>
          <w:rFonts w:ascii="Times New Roman" w:eastAsia="Times New Roman" w:hAnsi="Times New Roman" w:cs="Times New Roman"/>
          <w:sz w:val="28"/>
          <w:szCs w:val="28"/>
        </w:rPr>
        <w:t xml:space="preserve"> </w:t>
      </w:r>
    </w:p>
    <w:p w14:paraId="679F7D1A" w14:textId="77777777" w:rsidR="00967575" w:rsidRPr="003B02F4" w:rsidRDefault="00967575" w:rsidP="00C6385D">
      <w:pPr>
        <w:spacing w:after="0" w:line="240" w:lineRule="auto"/>
        <w:rPr>
          <w:rFonts w:ascii="Times New Roman" w:eastAsia="Times New Roman" w:hAnsi="Times New Roman" w:cs="Times New Roman"/>
          <w:sz w:val="28"/>
          <w:szCs w:val="28"/>
        </w:rPr>
      </w:pPr>
      <w:r w:rsidRPr="003B02F4">
        <w:rPr>
          <w:rFonts w:ascii="Times New Roman" w:eastAsia="Times New Roman" w:hAnsi="Times New Roman" w:cs="Times New Roman"/>
          <w:sz w:val="28"/>
          <w:szCs w:val="28"/>
        </w:rPr>
        <w:t>для i=1..m причины смерти, включенные как преждевременные</w:t>
      </w:r>
    </w:p>
    <w:p w14:paraId="6C8F3F5C" w14:textId="77777777" w:rsidR="00967575" w:rsidRPr="003B02F4" w:rsidRDefault="00967575" w:rsidP="00C6385D">
      <w:pPr>
        <w:spacing w:after="0" w:line="240" w:lineRule="auto"/>
        <w:ind w:firstLine="567"/>
        <w:jc w:val="center"/>
        <w:rPr>
          <w:rFonts w:ascii="Times New Roman" w:eastAsia="Times New Roman" w:hAnsi="Times New Roman" w:cs="Times New Roman"/>
          <w:sz w:val="28"/>
          <w:szCs w:val="28"/>
        </w:rPr>
      </w:pPr>
    </w:p>
    <w:p w14:paraId="4E7EA25C" w14:textId="77777777" w:rsidR="00967575" w:rsidRPr="003B02F4" w:rsidRDefault="0005389E" w:rsidP="00C6385D">
      <w:pPr>
        <w:spacing w:after="0" w:line="240" w:lineRule="auto"/>
        <w:ind w:firstLine="567"/>
        <w:jc w:val="center"/>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t</m:t>
            </m:r>
          </m:e>
          <m:sub>
            <m:r>
              <w:rPr>
                <w:rFonts w:ascii="Cambria Math" w:eastAsia="Cambria Math" w:hAnsi="Cambria Math" w:cs="Times New Roman"/>
                <w:sz w:val="28"/>
                <w:szCs w:val="28"/>
              </w:rPr>
              <m:t>излечимый</m:t>
            </m:r>
          </m:sub>
        </m:sSub>
        <m:r>
          <w:rPr>
            <w:rFonts w:ascii="Cambria Math" w:eastAsia="Cambria Math" w:hAnsi="Cambria Math" w:cs="Times New Roman"/>
            <w:sz w:val="28"/>
            <w:szCs w:val="28"/>
          </w:rPr>
          <m:t>=</m:t>
        </m:r>
        <m:nary>
          <m:naryPr>
            <m:chr m:val="∑"/>
            <m:ctrlPr>
              <w:rPr>
                <w:rFonts w:ascii="Cambria Math" w:eastAsia="Cambria Math" w:hAnsi="Cambria Math" w:cs="Times New Roman"/>
                <w:sz w:val="28"/>
                <w:szCs w:val="28"/>
              </w:rPr>
            </m:ctrlPr>
          </m:naryPr>
          <m:sub>
            <m:r>
              <w:rPr>
                <w:rFonts w:ascii="Cambria Math" w:eastAsia="Cambria Math" w:hAnsi="Cambria Math" w:cs="Times New Roman"/>
                <w:sz w:val="28"/>
                <w:szCs w:val="28"/>
              </w:rPr>
              <m:t>i=1</m:t>
            </m:r>
          </m:sub>
          <m:sup>
            <m:r>
              <w:rPr>
                <w:rFonts w:ascii="Cambria Math" w:eastAsia="Cambria Math" w:hAnsi="Cambria Math" w:cs="Times New Roman"/>
                <w:sz w:val="28"/>
                <w:szCs w:val="28"/>
              </w:rPr>
              <m:t>m</m:t>
            </m:r>
          </m:sup>
          <m:e>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t</m:t>
                </m:r>
              </m:e>
              <m:sub>
                <m:r>
                  <w:rPr>
                    <w:rFonts w:ascii="Cambria Math" w:eastAsia="Cambria Math" w:hAnsi="Cambria Math" w:cs="Times New Roman"/>
                    <w:sz w:val="28"/>
                    <w:szCs w:val="28"/>
                  </w:rPr>
                  <m:t>s</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t</m:t>
                    </m:r>
                  </m:e>
                  <m:sub>
                    <m:r>
                      <w:rPr>
                        <w:rFonts w:ascii="Cambria Math" w:eastAsia="Cambria Math" w:hAnsi="Cambria Math" w:cs="Times New Roman"/>
                        <w:sz w:val="28"/>
                        <w:szCs w:val="28"/>
                      </w:rPr>
                      <m:t>i</m:t>
                    </m:r>
                  </m:sub>
                </m:sSub>
              </m:sub>
            </m:sSub>
          </m:e>
        </m:nary>
      </m:oMath>
      <w:r w:rsidR="00967575" w:rsidRPr="003B02F4">
        <w:rPr>
          <w:rFonts w:ascii="Times New Roman" w:eastAsia="Times New Roman" w:hAnsi="Times New Roman" w:cs="Times New Roman"/>
          <w:sz w:val="28"/>
          <w:szCs w:val="28"/>
        </w:rPr>
        <w:t xml:space="preserve"> </w:t>
      </w:r>
    </w:p>
    <w:p w14:paraId="64734B38" w14:textId="77777777" w:rsidR="00967575" w:rsidRPr="003B02F4" w:rsidRDefault="00967575" w:rsidP="00C6385D">
      <w:pPr>
        <w:spacing w:after="0" w:line="240" w:lineRule="auto"/>
        <w:rPr>
          <w:rFonts w:ascii="Times New Roman" w:eastAsia="Times New Roman" w:hAnsi="Times New Roman" w:cs="Times New Roman"/>
          <w:sz w:val="28"/>
          <w:szCs w:val="28"/>
        </w:rPr>
      </w:pPr>
      <w:r w:rsidRPr="003B02F4">
        <w:rPr>
          <w:rFonts w:ascii="Times New Roman" w:eastAsia="Times New Roman" w:hAnsi="Times New Roman" w:cs="Times New Roman"/>
          <w:sz w:val="28"/>
          <w:szCs w:val="28"/>
        </w:rPr>
        <w:t>для i=1..m причины смерти, включенные как излечимые</w:t>
      </w:r>
    </w:p>
    <w:p w14:paraId="361982E1" w14:textId="77777777" w:rsidR="00967575" w:rsidRPr="003B02F4" w:rsidRDefault="00967575" w:rsidP="00C6385D">
      <w:pPr>
        <w:spacing w:after="0" w:line="240" w:lineRule="auto"/>
        <w:ind w:firstLine="567"/>
        <w:jc w:val="center"/>
        <w:rPr>
          <w:rFonts w:ascii="Times New Roman" w:eastAsia="Times New Roman" w:hAnsi="Times New Roman" w:cs="Times New Roman"/>
          <w:sz w:val="28"/>
          <w:szCs w:val="28"/>
        </w:rPr>
      </w:pPr>
    </w:p>
    <w:p w14:paraId="0BBEBBEC" w14:textId="77777777" w:rsidR="00967575" w:rsidRPr="003B02F4" w:rsidRDefault="0005389E" w:rsidP="00C6385D">
      <w:pPr>
        <w:spacing w:after="0" w:line="240" w:lineRule="auto"/>
        <w:ind w:firstLine="567"/>
        <w:jc w:val="center"/>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t</m:t>
            </m:r>
          </m:e>
          <m:sub>
            <m:r>
              <w:rPr>
                <w:rFonts w:ascii="Cambria Math" w:eastAsia="Cambria Math" w:hAnsi="Cambria Math" w:cs="Times New Roman"/>
                <w:sz w:val="28"/>
                <w:szCs w:val="28"/>
              </w:rPr>
              <m:t>предотвратимый</m:t>
            </m:r>
          </m:sub>
        </m:sSub>
        <m:r>
          <w:rPr>
            <w:rFonts w:ascii="Cambria Math" w:eastAsia="Cambria Math" w:hAnsi="Cambria Math" w:cs="Times New Roman"/>
            <w:sz w:val="28"/>
            <w:szCs w:val="28"/>
          </w:rPr>
          <m:t>=</m:t>
        </m:r>
        <m:nary>
          <m:naryPr>
            <m:chr m:val="∑"/>
            <m:ctrlPr>
              <w:rPr>
                <w:rFonts w:ascii="Cambria Math" w:eastAsia="Cambria Math" w:hAnsi="Cambria Math" w:cs="Times New Roman"/>
                <w:sz w:val="28"/>
                <w:szCs w:val="28"/>
              </w:rPr>
            </m:ctrlPr>
          </m:naryPr>
          <m:sub>
            <m:r>
              <w:rPr>
                <w:rFonts w:ascii="Cambria Math" w:eastAsia="Cambria Math" w:hAnsi="Cambria Math" w:cs="Times New Roman"/>
                <w:sz w:val="28"/>
                <w:szCs w:val="28"/>
              </w:rPr>
              <m:t>i=1</m:t>
            </m:r>
          </m:sub>
          <m:sup>
            <m:r>
              <w:rPr>
                <w:rFonts w:ascii="Cambria Math" w:eastAsia="Cambria Math" w:hAnsi="Cambria Math" w:cs="Times New Roman"/>
                <w:sz w:val="28"/>
                <w:szCs w:val="28"/>
              </w:rPr>
              <m:t>m</m:t>
            </m:r>
          </m:sup>
          <m:e>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t</m:t>
                </m:r>
              </m:e>
              <m:sub>
                <m:r>
                  <w:rPr>
                    <w:rFonts w:ascii="Cambria Math" w:eastAsia="Cambria Math" w:hAnsi="Cambria Math" w:cs="Times New Roman"/>
                    <w:sz w:val="28"/>
                    <w:szCs w:val="28"/>
                  </w:rPr>
                  <m:t>s</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t</m:t>
                    </m:r>
                  </m:e>
                  <m:sub>
                    <m:r>
                      <w:rPr>
                        <w:rFonts w:ascii="Cambria Math" w:eastAsia="Cambria Math" w:hAnsi="Cambria Math" w:cs="Times New Roman"/>
                        <w:sz w:val="28"/>
                        <w:szCs w:val="28"/>
                      </w:rPr>
                      <m:t>i</m:t>
                    </m:r>
                  </m:sub>
                </m:sSub>
              </m:sub>
            </m:sSub>
          </m:e>
        </m:nary>
      </m:oMath>
      <w:r w:rsidR="00967575" w:rsidRPr="003B02F4">
        <w:rPr>
          <w:rFonts w:ascii="Times New Roman" w:eastAsia="Times New Roman" w:hAnsi="Times New Roman" w:cs="Times New Roman"/>
          <w:sz w:val="28"/>
          <w:szCs w:val="28"/>
        </w:rPr>
        <w:t xml:space="preserve"> </w:t>
      </w:r>
    </w:p>
    <w:p w14:paraId="2ADE34EE" w14:textId="77777777" w:rsidR="00967575" w:rsidRPr="003B02F4" w:rsidRDefault="00967575" w:rsidP="00C6385D">
      <w:pPr>
        <w:spacing w:after="0" w:line="240" w:lineRule="auto"/>
        <w:rPr>
          <w:rFonts w:ascii="Times New Roman" w:eastAsia="Times New Roman" w:hAnsi="Times New Roman" w:cs="Times New Roman"/>
          <w:sz w:val="28"/>
          <w:szCs w:val="28"/>
        </w:rPr>
      </w:pPr>
      <w:r w:rsidRPr="003B02F4">
        <w:rPr>
          <w:rFonts w:ascii="Times New Roman" w:eastAsia="Times New Roman" w:hAnsi="Times New Roman" w:cs="Times New Roman"/>
          <w:sz w:val="28"/>
          <w:szCs w:val="28"/>
        </w:rPr>
        <w:t>для i=1..m причины смерти, включенные как предотвратимые</w:t>
      </w:r>
    </w:p>
    <w:p w14:paraId="786770EA" w14:textId="77777777" w:rsidR="00967575" w:rsidRPr="00317136" w:rsidRDefault="00967575" w:rsidP="00C6385D">
      <w:pPr>
        <w:spacing w:after="0" w:line="240" w:lineRule="auto"/>
        <w:ind w:firstLine="567"/>
        <w:jc w:val="both"/>
        <w:rPr>
          <w:rFonts w:ascii="Times New Roman" w:hAnsi="Times New Roman" w:cs="Times New Roman"/>
          <w:noProof/>
          <w:color w:val="000000"/>
          <w:sz w:val="28"/>
          <w:szCs w:val="28"/>
        </w:rPr>
      </w:pPr>
    </w:p>
    <w:p w14:paraId="6ECDCFB9" w14:textId="20B26F60"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Было изучено среднегодовое процентное изменение (СПИ), отражающее средний темп изменения показателя за год в анализируемом периоде и рассчитывался как </w:t>
      </w:r>
    </w:p>
    <w:p w14:paraId="68A6CFEF"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p>
    <w:p w14:paraId="43A38328" w14:textId="77777777" w:rsidR="00967575" w:rsidRPr="00F50E2E" w:rsidRDefault="00967575" w:rsidP="00C6385D">
      <w:pPr>
        <w:spacing w:after="0" w:line="240" w:lineRule="auto"/>
        <w:ind w:firstLine="567"/>
        <w:jc w:val="both"/>
        <w:rPr>
          <w:rFonts w:ascii="Times New Roman" w:hAnsi="Times New Roman" w:cs="Times New Roman"/>
          <w:noProof/>
          <w:color w:val="000000"/>
          <w:sz w:val="28"/>
          <w:szCs w:val="28"/>
        </w:rPr>
      </w:pPr>
      <m:oMathPara>
        <m:oMath>
          <m:r>
            <w:rPr>
              <w:rFonts w:ascii="Cambria Math" w:hAnsi="Cambria Math" w:cs="Times New Roman"/>
              <w:noProof/>
              <w:color w:val="000000"/>
              <w:sz w:val="28"/>
              <w:szCs w:val="28"/>
            </w:rPr>
            <m:t xml:space="preserve">СПИ = </m:t>
          </m:r>
          <m:f>
            <m:fPr>
              <m:ctrlPr>
                <w:rPr>
                  <w:rFonts w:ascii="Cambria Math" w:hAnsi="Cambria Math" w:cs="Times New Roman"/>
                  <w:i/>
                  <w:noProof/>
                  <w:color w:val="000000"/>
                  <w:sz w:val="28"/>
                  <w:szCs w:val="28"/>
                </w:rPr>
              </m:ctrlPr>
            </m:fPr>
            <m:num>
              <m:sSub>
                <m:sSubPr>
                  <m:ctrlPr>
                    <w:rPr>
                      <w:rFonts w:ascii="Cambria Math" w:hAnsi="Cambria Math" w:cs="Times New Roman"/>
                      <w:i/>
                      <w:noProof/>
                      <w:color w:val="000000"/>
                      <w:sz w:val="28"/>
                      <w:szCs w:val="28"/>
                    </w:rPr>
                  </m:ctrlPr>
                </m:sSubPr>
                <m:e>
                  <m:r>
                    <w:rPr>
                      <w:rFonts w:ascii="Cambria Math" w:hAnsi="Cambria Math" w:cs="Times New Roman"/>
                      <w:noProof/>
                      <w:color w:val="000000"/>
                      <w:sz w:val="28"/>
                      <w:szCs w:val="28"/>
                    </w:rPr>
                    <m:t>R</m:t>
                  </m:r>
                </m:e>
                <m:sub>
                  <m:r>
                    <w:rPr>
                      <w:rFonts w:ascii="Cambria Math" w:hAnsi="Cambria Math" w:cs="Times New Roman"/>
                      <w:noProof/>
                      <w:color w:val="000000"/>
                      <w:sz w:val="28"/>
                      <w:szCs w:val="28"/>
                      <w:vertAlign w:val="subscript"/>
                    </w:rPr>
                    <m:t>t1</m:t>
                  </m:r>
                </m:sub>
              </m:sSub>
              <m:r>
                <w:rPr>
                  <w:rFonts w:ascii="Cambria Math" w:hAnsi="Cambria Math" w:cs="Times New Roman"/>
                  <w:noProof/>
                  <w:color w:val="000000"/>
                  <w:sz w:val="28"/>
                  <w:szCs w:val="28"/>
                  <w:vertAlign w:val="subscript"/>
                </w:rPr>
                <m:t xml:space="preserve"> - </m:t>
              </m:r>
              <m:sSub>
                <m:sSubPr>
                  <m:ctrlPr>
                    <w:rPr>
                      <w:rFonts w:ascii="Cambria Math" w:hAnsi="Cambria Math" w:cs="Times New Roman"/>
                      <w:i/>
                      <w:noProof/>
                      <w:color w:val="000000"/>
                      <w:sz w:val="28"/>
                      <w:szCs w:val="28"/>
                    </w:rPr>
                  </m:ctrlPr>
                </m:sSubPr>
                <m:e>
                  <m:r>
                    <w:rPr>
                      <w:rFonts w:ascii="Cambria Math" w:hAnsi="Cambria Math" w:cs="Times New Roman"/>
                      <w:noProof/>
                      <w:color w:val="000000"/>
                      <w:sz w:val="28"/>
                      <w:szCs w:val="28"/>
                    </w:rPr>
                    <m:t>R</m:t>
                  </m:r>
                </m:e>
                <m:sub>
                  <m:r>
                    <w:rPr>
                      <w:rFonts w:ascii="Cambria Math" w:hAnsi="Cambria Math" w:cs="Times New Roman"/>
                      <w:noProof/>
                      <w:color w:val="000000"/>
                      <w:sz w:val="28"/>
                      <w:szCs w:val="28"/>
                      <w:vertAlign w:val="subscript"/>
                    </w:rPr>
                    <m:t>t2</m:t>
                  </m:r>
                </m:sub>
              </m:sSub>
              <m:r>
                <w:rPr>
                  <w:rFonts w:ascii="Cambria Math" w:hAnsi="Cambria Math" w:cs="Times New Roman"/>
                  <w:noProof/>
                  <w:color w:val="000000"/>
                  <w:sz w:val="28"/>
                  <w:szCs w:val="28"/>
                  <w:vertAlign w:val="subscript"/>
                </w:rPr>
                <m:t xml:space="preserve"> </m:t>
              </m:r>
            </m:num>
            <m:den>
              <m:r>
                <w:rPr>
                  <w:rFonts w:ascii="Cambria Math" w:hAnsi="Cambria Math" w:cs="Times New Roman"/>
                  <w:noProof/>
                  <w:color w:val="000000"/>
                  <w:sz w:val="28"/>
                  <w:szCs w:val="28"/>
                  <w:lang w:val="en-US"/>
                </w:rPr>
                <m:t>n</m:t>
              </m:r>
            </m:den>
          </m:f>
        </m:oMath>
      </m:oMathPara>
    </w:p>
    <w:p w14:paraId="19AC3E7E"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где </w:t>
      </w:r>
    </w:p>
    <w:p w14:paraId="7FE62F7A"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СПИ - среднегодовое процентное изменение</w:t>
      </w:r>
    </w:p>
    <w:p w14:paraId="3CB85501"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R</w:t>
      </w:r>
      <w:r w:rsidRPr="00F50E2E">
        <w:rPr>
          <w:rFonts w:ascii="Times New Roman" w:hAnsi="Times New Roman" w:cs="Times New Roman"/>
          <w:noProof/>
          <w:color w:val="000000"/>
          <w:sz w:val="28"/>
          <w:szCs w:val="28"/>
          <w:vertAlign w:val="subscript"/>
        </w:rPr>
        <w:t>t1</w:t>
      </w:r>
      <w:r w:rsidRPr="00F50E2E">
        <w:rPr>
          <w:rFonts w:ascii="Times New Roman" w:hAnsi="Times New Roman" w:cs="Times New Roman"/>
          <w:noProof/>
          <w:color w:val="000000"/>
          <w:sz w:val="28"/>
          <w:szCs w:val="28"/>
        </w:rPr>
        <w:t xml:space="preserve"> - уровень предотвратимой смертности в конечный год периода</w:t>
      </w:r>
    </w:p>
    <w:p w14:paraId="06A1E09B"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R</w:t>
      </w:r>
      <w:r w:rsidRPr="00F50E2E">
        <w:rPr>
          <w:rFonts w:ascii="Times New Roman" w:hAnsi="Times New Roman" w:cs="Times New Roman"/>
          <w:noProof/>
          <w:color w:val="000000"/>
          <w:sz w:val="28"/>
          <w:szCs w:val="28"/>
          <w:vertAlign w:val="subscript"/>
        </w:rPr>
        <w:t>t2</w:t>
      </w:r>
      <w:r w:rsidRPr="00F50E2E">
        <w:rPr>
          <w:rFonts w:ascii="Times New Roman" w:hAnsi="Times New Roman" w:cs="Times New Roman"/>
          <w:noProof/>
          <w:color w:val="000000"/>
          <w:sz w:val="28"/>
          <w:szCs w:val="28"/>
        </w:rPr>
        <w:t xml:space="preserve"> - уровень предотвратимой смертности в начальный год</w:t>
      </w:r>
    </w:p>
    <w:p w14:paraId="0B325A9A"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N – число лет между начальным и конечным годами</w:t>
      </w:r>
    </w:p>
    <w:p w14:paraId="25CA7394"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p>
    <w:p w14:paraId="62C0BFFE"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В дополнение мы рассчитали абсолютную и относительную разницу в уровне предотвратимой смертности с 2014 по 2023 год по полу. Мы применили следующую формулу:</w:t>
      </w:r>
    </w:p>
    <w:p w14:paraId="17925B34"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Абсолютное изменение смертности отражает разницу между уровнем смертности в конце и в начале анализируемого периода и рассчитывалось по формуле:</w:t>
      </w:r>
    </w:p>
    <w:p w14:paraId="64C18AE4" w14:textId="77777777" w:rsidR="00F50E2E" w:rsidRPr="00F50E2E" w:rsidRDefault="00F50E2E" w:rsidP="00C6385D">
      <w:pPr>
        <w:spacing w:after="0" w:line="240" w:lineRule="auto"/>
        <w:ind w:firstLine="567"/>
        <w:jc w:val="center"/>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ΔМ=М</w:t>
      </w:r>
      <w:r w:rsidRPr="00F50E2E">
        <w:rPr>
          <w:rFonts w:ascii="Times New Roman" w:hAnsi="Times New Roman" w:cs="Times New Roman"/>
          <w:noProof/>
          <w:color w:val="000000"/>
          <w:sz w:val="28"/>
          <w:szCs w:val="28"/>
          <w:vertAlign w:val="superscript"/>
        </w:rPr>
        <w:t xml:space="preserve">t2 </w:t>
      </w:r>
      <w:r w:rsidRPr="00F50E2E">
        <w:rPr>
          <w:rFonts w:ascii="Times New Roman" w:hAnsi="Times New Roman" w:cs="Times New Roman"/>
          <w:noProof/>
          <w:color w:val="000000"/>
          <w:sz w:val="28"/>
          <w:szCs w:val="28"/>
        </w:rPr>
        <w:t xml:space="preserve"> - М</w:t>
      </w:r>
      <w:r w:rsidRPr="00F50E2E">
        <w:rPr>
          <w:rFonts w:ascii="Times New Roman" w:hAnsi="Times New Roman" w:cs="Times New Roman"/>
          <w:noProof/>
          <w:color w:val="000000"/>
          <w:sz w:val="28"/>
          <w:szCs w:val="28"/>
          <w:vertAlign w:val="superscript"/>
        </w:rPr>
        <w:t>t1</w:t>
      </w:r>
    </w:p>
    <w:p w14:paraId="6FFA4516" w14:textId="77777777" w:rsidR="00F50E2E" w:rsidRPr="00F50E2E" w:rsidRDefault="00F50E2E" w:rsidP="00C6385D">
      <w:pPr>
        <w:spacing w:after="0" w:line="240" w:lineRule="auto"/>
        <w:ind w:firstLine="567"/>
        <w:jc w:val="center"/>
        <w:rPr>
          <w:rFonts w:ascii="Times New Roman" w:hAnsi="Times New Roman" w:cs="Times New Roman"/>
          <w:noProof/>
          <w:color w:val="000000"/>
          <w:sz w:val="28"/>
          <w:szCs w:val="28"/>
        </w:rPr>
      </w:pPr>
    </w:p>
    <w:p w14:paraId="6F394B49"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где </w:t>
      </w:r>
    </w:p>
    <w:p w14:paraId="040A17C0"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ΔМ – абсолютное изменение уровня предотвратимой смертности;</w:t>
      </w:r>
    </w:p>
    <w:p w14:paraId="123DC757"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М</w:t>
      </w:r>
      <w:r w:rsidRPr="00F50E2E">
        <w:rPr>
          <w:rFonts w:ascii="Times New Roman" w:hAnsi="Times New Roman" w:cs="Times New Roman"/>
          <w:noProof/>
          <w:color w:val="000000"/>
          <w:sz w:val="28"/>
          <w:szCs w:val="28"/>
          <w:vertAlign w:val="superscript"/>
        </w:rPr>
        <w:t xml:space="preserve">t2 </w:t>
      </w:r>
      <w:r w:rsidRPr="00F50E2E">
        <w:rPr>
          <w:rFonts w:ascii="Times New Roman" w:hAnsi="Times New Roman" w:cs="Times New Roman"/>
          <w:noProof/>
          <w:color w:val="000000"/>
          <w:sz w:val="28"/>
          <w:szCs w:val="28"/>
        </w:rPr>
        <w:t xml:space="preserve">  - уровень предотвратимой смертности в начальный год периода (2014)</w:t>
      </w:r>
    </w:p>
    <w:p w14:paraId="67151CFC"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lastRenderedPageBreak/>
        <w:t>М</w:t>
      </w:r>
      <w:r w:rsidRPr="00F50E2E">
        <w:rPr>
          <w:rFonts w:ascii="Times New Roman" w:hAnsi="Times New Roman" w:cs="Times New Roman"/>
          <w:noProof/>
          <w:color w:val="000000"/>
          <w:sz w:val="28"/>
          <w:szCs w:val="28"/>
          <w:vertAlign w:val="superscript"/>
        </w:rPr>
        <w:t xml:space="preserve">t1 </w:t>
      </w:r>
      <w:r w:rsidRPr="00F50E2E">
        <w:rPr>
          <w:rFonts w:ascii="Times New Roman" w:hAnsi="Times New Roman" w:cs="Times New Roman"/>
          <w:noProof/>
          <w:color w:val="000000"/>
          <w:sz w:val="28"/>
          <w:szCs w:val="28"/>
        </w:rPr>
        <w:t>- уровень предотвратимой смертности в начальный год периода (2024)</w:t>
      </w:r>
    </w:p>
    <w:p w14:paraId="3005DB38"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p>
    <w:p w14:paraId="6BB7CDDB"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Относительное изменение смертности характеризует темп изменения смертности за анализируемый период и рассчитывалось как процентное изменение относительно базового года: </w:t>
      </w:r>
    </w:p>
    <w:p w14:paraId="05613496"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p>
    <w:p w14:paraId="7D2B12DD" w14:textId="77777777" w:rsidR="00F50E2E" w:rsidRPr="00F50E2E" w:rsidRDefault="00F50E2E" w:rsidP="00C6385D">
      <w:pPr>
        <w:spacing w:after="0" w:line="240" w:lineRule="auto"/>
        <w:ind w:firstLine="567"/>
        <w:jc w:val="center"/>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%ΔМ=(М</w:t>
      </w:r>
      <w:r w:rsidRPr="00F50E2E">
        <w:rPr>
          <w:rFonts w:ascii="Times New Roman" w:hAnsi="Times New Roman" w:cs="Times New Roman"/>
          <w:noProof/>
          <w:color w:val="000000"/>
          <w:sz w:val="28"/>
          <w:szCs w:val="28"/>
          <w:vertAlign w:val="subscript"/>
        </w:rPr>
        <w:t>t2</w:t>
      </w:r>
      <w:r w:rsidRPr="00F50E2E">
        <w:rPr>
          <w:rFonts w:ascii="Times New Roman" w:hAnsi="Times New Roman" w:cs="Times New Roman"/>
          <w:noProof/>
          <w:color w:val="000000"/>
          <w:sz w:val="28"/>
          <w:szCs w:val="28"/>
          <w:vertAlign w:val="superscript"/>
        </w:rPr>
        <w:t xml:space="preserve"> </w:t>
      </w:r>
      <w:r w:rsidRPr="00F50E2E">
        <w:rPr>
          <w:rFonts w:ascii="Times New Roman" w:hAnsi="Times New Roman" w:cs="Times New Roman"/>
          <w:noProof/>
          <w:color w:val="000000"/>
          <w:sz w:val="28"/>
          <w:szCs w:val="28"/>
        </w:rPr>
        <w:t xml:space="preserve"> - М</w:t>
      </w:r>
      <w:r w:rsidRPr="00F50E2E">
        <w:rPr>
          <w:rFonts w:ascii="Times New Roman" w:hAnsi="Times New Roman" w:cs="Times New Roman"/>
          <w:noProof/>
          <w:color w:val="000000"/>
          <w:sz w:val="28"/>
          <w:szCs w:val="28"/>
          <w:vertAlign w:val="subscript"/>
        </w:rPr>
        <w:t>t1</w:t>
      </w:r>
      <w:r w:rsidRPr="00F50E2E">
        <w:rPr>
          <w:rFonts w:ascii="Times New Roman" w:hAnsi="Times New Roman" w:cs="Times New Roman"/>
          <w:noProof/>
          <w:color w:val="000000"/>
          <w:sz w:val="28"/>
          <w:szCs w:val="28"/>
        </w:rPr>
        <w:t>/ М</w:t>
      </w:r>
      <w:r w:rsidRPr="00F50E2E">
        <w:rPr>
          <w:rFonts w:ascii="Times New Roman" w:hAnsi="Times New Roman" w:cs="Times New Roman"/>
          <w:noProof/>
          <w:color w:val="000000"/>
          <w:sz w:val="28"/>
          <w:szCs w:val="28"/>
          <w:vertAlign w:val="subscript"/>
        </w:rPr>
        <w:t>t1</w:t>
      </w:r>
      <w:r w:rsidRPr="00F50E2E">
        <w:rPr>
          <w:rFonts w:ascii="Times New Roman" w:hAnsi="Times New Roman" w:cs="Times New Roman"/>
          <w:noProof/>
          <w:color w:val="000000"/>
          <w:sz w:val="28"/>
          <w:szCs w:val="28"/>
        </w:rPr>
        <w:t>) * 100%</w:t>
      </w:r>
    </w:p>
    <w:p w14:paraId="787FA736"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где </w:t>
      </w:r>
    </w:p>
    <w:p w14:paraId="543EB76E"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%ΔМ – относительное изменение уровня предотвратимой смертности;</w:t>
      </w:r>
    </w:p>
    <w:p w14:paraId="050FD7B3"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М</w:t>
      </w:r>
      <w:r w:rsidRPr="00F50E2E">
        <w:rPr>
          <w:rFonts w:ascii="Times New Roman" w:hAnsi="Times New Roman" w:cs="Times New Roman"/>
          <w:noProof/>
          <w:color w:val="000000"/>
          <w:sz w:val="28"/>
          <w:szCs w:val="28"/>
          <w:vertAlign w:val="subscript"/>
        </w:rPr>
        <w:t xml:space="preserve">t1 </w:t>
      </w:r>
      <w:r w:rsidRPr="00F50E2E">
        <w:rPr>
          <w:rFonts w:ascii="Times New Roman" w:hAnsi="Times New Roman" w:cs="Times New Roman"/>
          <w:noProof/>
          <w:color w:val="000000"/>
          <w:sz w:val="28"/>
          <w:szCs w:val="28"/>
        </w:rPr>
        <w:t xml:space="preserve">  - уровень предотвратимой смертности в начальный год (2014)</w:t>
      </w:r>
    </w:p>
    <w:p w14:paraId="4BD28E3F"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М</w:t>
      </w:r>
      <w:r w:rsidRPr="00F50E2E">
        <w:rPr>
          <w:rFonts w:ascii="Times New Roman" w:hAnsi="Times New Roman" w:cs="Times New Roman"/>
          <w:noProof/>
          <w:color w:val="000000"/>
          <w:sz w:val="28"/>
          <w:szCs w:val="28"/>
          <w:vertAlign w:val="subscript"/>
        </w:rPr>
        <w:t xml:space="preserve">t2 </w:t>
      </w:r>
      <w:r w:rsidRPr="00F50E2E">
        <w:rPr>
          <w:rFonts w:ascii="Times New Roman" w:hAnsi="Times New Roman" w:cs="Times New Roman"/>
          <w:noProof/>
          <w:color w:val="000000"/>
          <w:sz w:val="28"/>
          <w:szCs w:val="28"/>
        </w:rPr>
        <w:t>- уровень предотвратимой смертности в конечный год периода (2024)</w:t>
      </w:r>
    </w:p>
    <w:p w14:paraId="67A7E4C5"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p>
    <w:p w14:paraId="2F004A43"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Положительное значение относительного изменения указывало на рост смертности, отрицательное на ее снижение.</w:t>
      </w:r>
    </w:p>
    <w:p w14:paraId="392DA702"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Экономический анализ проводился с использованием MS Excel и SPSS Statistics 13.0 (IBM Corporation, Армонк, штат Нью-Йорк, США).</w:t>
      </w:r>
    </w:p>
    <w:p w14:paraId="276CDA2F" w14:textId="6C66A6A2"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Для расчета экономического эффекта предотвратимой смертности мы использовали показатель статистической продолжительности жизни (VSL). VSL — это понятие, используемое для количественной оценки денежной стоимости снижения риска смерти.[</w:t>
      </w:r>
      <w:r w:rsidR="00846CF8" w:rsidRPr="00846CF8">
        <w:rPr>
          <w:rFonts w:ascii="Times New Roman" w:hAnsi="Times New Roman" w:cs="Times New Roman"/>
          <w:noProof/>
          <w:color w:val="000000"/>
          <w:sz w:val="28"/>
          <w:szCs w:val="28"/>
        </w:rPr>
        <w:t>115</w:t>
      </w:r>
      <w:r w:rsidRPr="00F50E2E">
        <w:rPr>
          <w:rFonts w:ascii="Times New Roman" w:hAnsi="Times New Roman" w:cs="Times New Roman"/>
          <w:noProof/>
          <w:color w:val="000000"/>
          <w:sz w:val="28"/>
          <w:szCs w:val="28"/>
        </w:rPr>
        <w:t xml:space="preserve">] Sweis </w:t>
      </w:r>
      <w:r w:rsidR="00846CF8" w:rsidRPr="00846CF8">
        <w:rPr>
          <w:rFonts w:ascii="Times New Roman" w:hAnsi="Times New Roman" w:cs="Times New Roman"/>
          <w:noProof/>
          <w:color w:val="000000"/>
          <w:sz w:val="28"/>
          <w:szCs w:val="28"/>
        </w:rPr>
        <w:t xml:space="preserve">[116] </w:t>
      </w:r>
      <w:r w:rsidRPr="00F50E2E">
        <w:rPr>
          <w:rFonts w:ascii="Times New Roman" w:hAnsi="Times New Roman" w:cs="Times New Roman"/>
          <w:noProof/>
          <w:color w:val="000000"/>
          <w:sz w:val="28"/>
          <w:szCs w:val="28"/>
        </w:rPr>
        <w:t xml:space="preserve">рассчитал VSL для Казахстана, используя три значения γ: 0,1, 0,5 и 1, и определил: в миллионах долларов США </w:t>
      </w:r>
    </w:p>
    <w:p w14:paraId="15FB0A7A"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VSL (γ = 0,1, r = 5%) — 4,8;</w:t>
      </w:r>
    </w:p>
    <w:p w14:paraId="5ACDB625"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VSL (γ = 1, r = 5%) — 0,5; и</w:t>
      </w:r>
    </w:p>
    <w:p w14:paraId="20D1A2C1"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VSL (γ = 0,5, r = 5%) — 0,9.[] </w:t>
      </w:r>
    </w:p>
    <w:p w14:paraId="255D7C83" w14:textId="77777777" w:rsidR="00F50E2E" w:rsidRPr="00F50E2E" w:rsidRDefault="00F50E2E" w:rsidP="00C6385D">
      <w:pPr>
        <w:tabs>
          <w:tab w:val="left" w:pos="2400"/>
        </w:tabs>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Экономический эффект рассчитывался путем умножения общего показателя предотвратимой смертности на дисконтированную VSL. Три различных значения VSL использовались для отражения различных уровней выгод, которые люди могут получить от инвестиций в здоровье и продления своей жизни (глава 3.2).</w:t>
      </w:r>
    </w:p>
    <w:p w14:paraId="0E7E827D" w14:textId="03A9E78F"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 xml:space="preserve">Для изучения госпитализированных случаев, был проведен ретроспективный обсервационный анализ с использованием административных данных больниц г.Алматы о </w:t>
      </w:r>
      <w:r w:rsidR="006227E1">
        <w:rPr>
          <w:rFonts w:ascii="Times New Roman" w:hAnsi="Times New Roman" w:cs="Times New Roman"/>
          <w:sz w:val="28"/>
          <w:szCs w:val="28"/>
        </w:rPr>
        <w:t>больных</w:t>
      </w:r>
      <w:r w:rsidRPr="00F50E2E">
        <w:rPr>
          <w:rFonts w:ascii="Times New Roman" w:hAnsi="Times New Roman" w:cs="Times New Roman"/>
          <w:sz w:val="28"/>
          <w:szCs w:val="28"/>
        </w:rPr>
        <w:t xml:space="preserve">, госпитализированных с острыми цереброваскулярными событиями в период с 2012 по 2024 год. Набор данных включал всех взрослых </w:t>
      </w:r>
      <w:r w:rsidR="006227E1">
        <w:rPr>
          <w:rFonts w:ascii="Times New Roman" w:hAnsi="Times New Roman" w:cs="Times New Roman"/>
          <w:sz w:val="28"/>
          <w:szCs w:val="28"/>
        </w:rPr>
        <w:t>больных</w:t>
      </w:r>
      <w:r w:rsidRPr="00F50E2E">
        <w:rPr>
          <w:rFonts w:ascii="Times New Roman" w:hAnsi="Times New Roman" w:cs="Times New Roman"/>
          <w:sz w:val="28"/>
          <w:szCs w:val="28"/>
        </w:rPr>
        <w:t xml:space="preserve">, госпитализированных в стационары г.Алматы в течение периода наблюдения, пола, места жительства по г.Алматы или типа госпитализации. Для каждого года были извлечены следующие переменные: количество госпитализаций (N); возраст </w:t>
      </w:r>
      <w:r w:rsidR="006227E1">
        <w:rPr>
          <w:rFonts w:ascii="Times New Roman" w:hAnsi="Times New Roman" w:cs="Times New Roman"/>
          <w:sz w:val="28"/>
          <w:szCs w:val="28"/>
        </w:rPr>
        <w:t>больного</w:t>
      </w:r>
      <w:r w:rsidRPr="00F50E2E">
        <w:rPr>
          <w:rFonts w:ascii="Times New Roman" w:hAnsi="Times New Roman" w:cs="Times New Roman"/>
          <w:sz w:val="28"/>
          <w:szCs w:val="28"/>
        </w:rPr>
        <w:t xml:space="preserve"> при поступлении; длительность пребывания в стационаре (LOS); тип госпитализации (экстренная или плановая); результаты лечения.</w:t>
      </w:r>
    </w:p>
    <w:p w14:paraId="2660A12C" w14:textId="77777777" w:rsidR="00F50E2E" w:rsidRPr="00967575" w:rsidRDefault="00F50E2E" w:rsidP="00C6385D">
      <w:pPr>
        <w:tabs>
          <w:tab w:val="left" w:pos="2400"/>
        </w:tabs>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 xml:space="preserve">Непрерывные переменные (возраст и длительность пребывания в стационаре) были представлены в виде средних значений и стандартного отклонения (среднее ± SD). Категориальные переменные представлены в виде </w:t>
      </w:r>
      <w:r w:rsidRPr="00967575">
        <w:rPr>
          <w:rFonts w:ascii="Times New Roman" w:hAnsi="Times New Roman" w:cs="Times New Roman"/>
          <w:sz w:val="28"/>
          <w:szCs w:val="28"/>
        </w:rPr>
        <w:t>абсолютных чисел (n) и процентов (%).</w:t>
      </w:r>
    </w:p>
    <w:p w14:paraId="44D22676" w14:textId="77777777" w:rsidR="00967575" w:rsidRDefault="00967575" w:rsidP="00C6385D">
      <w:pPr>
        <w:tabs>
          <w:tab w:val="left" w:pos="2400"/>
        </w:tabs>
        <w:spacing w:after="0" w:line="240" w:lineRule="auto"/>
        <w:ind w:firstLine="567"/>
        <w:jc w:val="both"/>
        <w:rPr>
          <w:rFonts w:ascii="Times New Roman" w:hAnsi="Times New Roman" w:cs="Times New Roman"/>
          <w:sz w:val="28"/>
          <w:szCs w:val="28"/>
          <w:lang w:val="kk-KZ"/>
        </w:rPr>
      </w:pPr>
    </w:p>
    <w:p w14:paraId="709378F5" w14:textId="2BD5D17B" w:rsidR="00967575" w:rsidRPr="00967575" w:rsidRDefault="00967575" w:rsidP="00C6385D">
      <w:pPr>
        <w:tabs>
          <w:tab w:val="left" w:pos="2400"/>
        </w:tabs>
        <w:spacing w:after="0" w:line="240" w:lineRule="auto"/>
        <w:ind w:firstLine="567"/>
        <w:jc w:val="both"/>
        <w:rPr>
          <w:rFonts w:ascii="Times New Roman" w:hAnsi="Times New Roman" w:cs="Times New Roman"/>
          <w:i/>
          <w:sz w:val="28"/>
          <w:szCs w:val="28"/>
        </w:rPr>
      </w:pPr>
      <w:r w:rsidRPr="00967575">
        <w:rPr>
          <w:rFonts w:ascii="Times New Roman" w:hAnsi="Times New Roman" w:cs="Times New Roman"/>
          <w:sz w:val="28"/>
          <w:szCs w:val="28"/>
        </w:rPr>
        <w:lastRenderedPageBreak/>
        <w:t>Формула для среднего значения:</w:t>
      </w:r>
      <w:r w:rsidRPr="00967575">
        <w:rPr>
          <w:rFonts w:ascii="Times New Roman" w:hAnsi="Times New Roman" w:cs="Times New Roman"/>
          <w:sz w:val="28"/>
          <w:szCs w:val="28"/>
          <w:lang w:val="kk-KZ"/>
        </w:rPr>
        <w:t xml:space="preserve"> </w:t>
      </w:r>
      <m:oMath>
        <m:acc>
          <m:accPr>
            <m:chr m:val="̅"/>
            <m:ctrlPr>
              <w:rPr>
                <w:rFonts w:ascii="Cambria Math" w:hAnsi="Cambria Math" w:cs="Times New Roman"/>
                <w:i/>
                <w:sz w:val="28"/>
                <w:szCs w:val="28"/>
              </w:rPr>
            </m:ctrlPr>
          </m:accPr>
          <m:e>
            <m:r>
              <w:rPr>
                <w:rFonts w:ascii="Cambria Math" w:hAnsi="Cambria Math" w:cs="Times New Roman"/>
                <w:sz w:val="28"/>
                <w:szCs w:val="28"/>
              </w:rPr>
              <m:t>x</m:t>
            </m:r>
          </m:e>
        </m:acc>
        <m:r>
          <w:rPr>
            <w:rFonts w:ascii="Cambria Math" w:hAnsi="Cambria Math" w:cs="Times New Roman"/>
            <w:sz w:val="28"/>
            <w:szCs w:val="28"/>
            <w:lang w:val="kk-KZ"/>
          </w:rPr>
          <m:t>=</m:t>
        </m:r>
        <m:f>
          <m:fPr>
            <m:ctrlPr>
              <w:rPr>
                <w:rFonts w:ascii="Cambria Math" w:hAnsi="Cambria Math" w:cs="Times New Roman"/>
                <w:i/>
                <w:sz w:val="28"/>
                <w:szCs w:val="28"/>
                <w:lang w:val="kk-KZ"/>
              </w:rPr>
            </m:ctrlPr>
          </m:fPr>
          <m:num>
            <m:nary>
              <m:naryPr>
                <m:chr m:val="∑"/>
                <m:ctrlPr>
                  <w:rPr>
                    <w:rFonts w:ascii="Cambria Math" w:hAnsi="Cambria Math" w:cs="Times New Roman"/>
                    <w:i/>
                    <w:sz w:val="28"/>
                    <w:szCs w:val="28"/>
                    <w:lang w:val="kk-KZ"/>
                  </w:rPr>
                </m:ctrlPr>
              </m:naryPr>
              <m:sub>
                <m:r>
                  <w:rPr>
                    <w:rFonts w:ascii="Cambria Math" w:hAnsi="Cambria Math" w:cs="Times New Roman"/>
                    <w:sz w:val="28"/>
                    <w:szCs w:val="28"/>
                    <w:lang w:val="kk-KZ"/>
                  </w:rPr>
                  <m:t>i=1</m:t>
                </m:r>
              </m:sub>
              <m:sup>
                <m:r>
                  <w:rPr>
                    <w:rFonts w:ascii="Cambria Math" w:hAnsi="Cambria Math" w:cs="Times New Roman"/>
                    <w:sz w:val="28"/>
                    <w:szCs w:val="28"/>
                    <w:lang w:val="kk-KZ"/>
                  </w:rPr>
                  <m:t>k</m:t>
                </m:r>
              </m:sup>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i</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e>
            </m:nary>
          </m:num>
          <m:den>
            <m:r>
              <w:rPr>
                <w:rFonts w:ascii="Cambria Math" w:hAnsi="Cambria Math" w:cs="Times New Roman"/>
                <w:sz w:val="28"/>
                <w:szCs w:val="28"/>
                <w:lang w:val="kk-KZ"/>
              </w:rPr>
              <m:t>n</m:t>
            </m:r>
          </m:den>
        </m:f>
      </m:oMath>
    </w:p>
    <w:p w14:paraId="3E2EFE12" w14:textId="77777777" w:rsidR="00967575" w:rsidRDefault="00967575" w:rsidP="00C6385D">
      <w:pPr>
        <w:tabs>
          <w:tab w:val="left" w:pos="2400"/>
        </w:tabs>
        <w:spacing w:after="0" w:line="240" w:lineRule="auto"/>
        <w:ind w:firstLine="567"/>
        <w:jc w:val="both"/>
        <w:rPr>
          <w:rFonts w:ascii="Times New Roman" w:hAnsi="Times New Roman" w:cs="Times New Roman"/>
          <w:sz w:val="28"/>
          <w:szCs w:val="28"/>
          <w:lang w:val="kk-KZ"/>
        </w:rPr>
      </w:pPr>
    </w:p>
    <w:p w14:paraId="27F1BE8A" w14:textId="64B2E603" w:rsidR="00967575" w:rsidRPr="00730229" w:rsidRDefault="00967575" w:rsidP="00C6385D">
      <w:pPr>
        <w:tabs>
          <w:tab w:val="left" w:pos="2400"/>
        </w:tabs>
        <w:spacing w:after="0" w:line="240" w:lineRule="auto"/>
        <w:ind w:firstLine="567"/>
        <w:jc w:val="both"/>
        <w:rPr>
          <w:rFonts w:ascii="Times New Roman" w:eastAsiaTheme="minorEastAsia" w:hAnsi="Times New Roman" w:cs="Times New Roman"/>
          <w:sz w:val="28"/>
          <w:szCs w:val="28"/>
          <w:lang w:val="kk-KZ"/>
        </w:rPr>
      </w:pPr>
      <w:r w:rsidRPr="00967575">
        <w:rPr>
          <w:rFonts w:ascii="Times New Roman" w:hAnsi="Times New Roman" w:cs="Times New Roman"/>
          <w:sz w:val="28"/>
          <w:szCs w:val="28"/>
          <w:lang w:val="kk-KZ"/>
        </w:rPr>
        <w:t xml:space="preserve"> </w:t>
      </w:r>
      <w:r w:rsidRPr="00967575">
        <w:rPr>
          <w:rFonts w:ascii="Times New Roman" w:hAnsi="Times New Roman" w:cs="Times New Roman"/>
          <w:sz w:val="28"/>
          <w:szCs w:val="28"/>
        </w:rPr>
        <w:t xml:space="preserve">Формула для стандартного отклонения:  </w:t>
      </w:r>
      <m:oMath>
        <m:r>
          <w:rPr>
            <w:rFonts w:ascii="Cambria Math" w:hAnsi="Cambria Math" w:cs="Times New Roman"/>
            <w:color w:val="000000" w:themeColor="text1"/>
            <w:sz w:val="28"/>
            <w:szCs w:val="28"/>
            <w:lang w:val="kk-KZ"/>
          </w:rPr>
          <m:t>S=</m:t>
        </m:r>
        <m:rad>
          <m:radPr>
            <m:degHide m:val="1"/>
            <m:ctrlPr>
              <w:rPr>
                <w:rFonts w:ascii="Cambria Math" w:hAnsi="Cambria Math" w:cs="Times New Roman"/>
                <w:i/>
                <w:color w:val="000000" w:themeColor="text1"/>
                <w:sz w:val="28"/>
                <w:szCs w:val="28"/>
                <w:lang w:val="kk-KZ"/>
              </w:rPr>
            </m:ctrlPr>
          </m:radPr>
          <m:deg/>
          <m:e>
            <m:f>
              <m:fPr>
                <m:ctrlPr>
                  <w:rPr>
                    <w:rFonts w:ascii="Cambria Math" w:hAnsi="Cambria Math" w:cs="Times New Roman"/>
                    <w:i/>
                    <w:color w:val="000000" w:themeColor="text1"/>
                    <w:sz w:val="28"/>
                    <w:szCs w:val="28"/>
                    <w:lang w:val="kk-KZ"/>
                  </w:rPr>
                </m:ctrlPr>
              </m:fPr>
              <m:num>
                <m:nary>
                  <m:naryPr>
                    <m:chr m:val="∑"/>
                    <m:ctrlPr>
                      <w:rPr>
                        <w:rFonts w:ascii="Cambria Math" w:hAnsi="Cambria Math" w:cs="Times New Roman"/>
                        <w:i/>
                        <w:color w:val="000000" w:themeColor="text1"/>
                        <w:sz w:val="28"/>
                        <w:szCs w:val="28"/>
                        <w:lang w:val="kk-KZ"/>
                      </w:rPr>
                    </m:ctrlPr>
                  </m:naryPr>
                  <m:sub>
                    <m:r>
                      <w:rPr>
                        <w:rFonts w:ascii="Cambria Math" w:hAnsi="Cambria Math" w:cs="Times New Roman"/>
                        <w:color w:val="000000" w:themeColor="text1"/>
                        <w:sz w:val="28"/>
                        <w:szCs w:val="28"/>
                        <w:lang w:val="kk-KZ"/>
                      </w:rPr>
                      <m:t>i=1</m:t>
                    </m:r>
                  </m:sub>
                  <m:sup>
                    <m:r>
                      <w:rPr>
                        <w:rFonts w:ascii="Cambria Math" w:hAnsi="Cambria Math" w:cs="Times New Roman"/>
                        <w:color w:val="000000" w:themeColor="text1"/>
                        <w:sz w:val="28"/>
                        <w:szCs w:val="28"/>
                        <w:lang w:val="kk-KZ"/>
                      </w:rPr>
                      <m:t>n</m:t>
                    </m:r>
                  </m:sup>
                  <m:e>
                    <m:r>
                      <w:rPr>
                        <w:rFonts w:ascii="Cambria Math" w:hAnsi="Cambria Math" w:cs="Times New Roman"/>
                        <w:color w:val="000000" w:themeColor="text1"/>
                        <w:sz w:val="28"/>
                        <w:szCs w:val="28"/>
                        <w:lang w:val="kk-KZ"/>
                      </w:rPr>
                      <m:t>(</m:t>
                    </m:r>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x</m:t>
                        </m:r>
                      </m:e>
                      <m:sub>
                        <m:r>
                          <w:rPr>
                            <w:rFonts w:ascii="Cambria Math" w:hAnsi="Cambria Math" w:cs="Times New Roman"/>
                            <w:color w:val="000000" w:themeColor="text1"/>
                            <w:sz w:val="28"/>
                            <w:szCs w:val="28"/>
                            <w:lang w:val="kk-KZ"/>
                          </w:rPr>
                          <m:t>i</m:t>
                        </m:r>
                      </m:sub>
                    </m:sSub>
                    <m:r>
                      <w:rPr>
                        <w:rFonts w:ascii="Cambria Math" w:hAnsi="Cambria Math" w:cs="Times New Roman"/>
                        <w:color w:val="000000" w:themeColor="text1"/>
                        <w:sz w:val="28"/>
                        <w:szCs w:val="28"/>
                        <w:lang w:val="kk-KZ"/>
                      </w:rPr>
                      <m:t>-</m:t>
                    </m:r>
                    <m:acc>
                      <m:accPr>
                        <m:chr m:val="̅"/>
                        <m:ctrlPr>
                          <w:rPr>
                            <w:rFonts w:ascii="Cambria Math" w:hAnsi="Cambria Math" w:cs="Times New Roman"/>
                            <w:i/>
                            <w:color w:val="000000" w:themeColor="text1"/>
                            <w:sz w:val="28"/>
                            <w:szCs w:val="28"/>
                            <w:lang w:val="kk-KZ"/>
                          </w:rPr>
                        </m:ctrlPr>
                      </m:accPr>
                      <m:e>
                        <m:r>
                          <w:rPr>
                            <w:rFonts w:ascii="Cambria Math" w:hAnsi="Cambria Math" w:cs="Times New Roman"/>
                            <w:color w:val="000000" w:themeColor="text1"/>
                            <w:sz w:val="28"/>
                            <w:szCs w:val="28"/>
                            <w:lang w:val="kk-KZ"/>
                          </w:rPr>
                          <m:t>x</m:t>
                        </m:r>
                      </m:e>
                    </m:acc>
                    <m:sSup>
                      <m:sSupPr>
                        <m:ctrlPr>
                          <w:rPr>
                            <w:rFonts w:ascii="Cambria Math" w:hAnsi="Cambria Math" w:cs="Times New Roman"/>
                            <w:i/>
                            <w:color w:val="000000" w:themeColor="text1"/>
                            <w:sz w:val="28"/>
                            <w:szCs w:val="28"/>
                            <w:lang w:val="kk-KZ"/>
                          </w:rPr>
                        </m:ctrlPr>
                      </m:sSupPr>
                      <m:e>
                        <m:r>
                          <w:rPr>
                            <w:rFonts w:ascii="Cambria Math" w:hAnsi="Cambria Math" w:cs="Times New Roman"/>
                            <w:color w:val="000000" w:themeColor="text1"/>
                            <w:sz w:val="28"/>
                            <w:szCs w:val="28"/>
                            <w:lang w:val="kk-KZ"/>
                          </w:rPr>
                          <m:t>)</m:t>
                        </m:r>
                      </m:e>
                      <m:sup>
                        <m:r>
                          <w:rPr>
                            <w:rFonts w:ascii="Cambria Math" w:hAnsi="Cambria Math" w:cs="Times New Roman"/>
                            <w:color w:val="000000" w:themeColor="text1"/>
                            <w:sz w:val="28"/>
                            <w:szCs w:val="28"/>
                            <w:lang w:val="kk-KZ"/>
                          </w:rPr>
                          <m:t>2</m:t>
                        </m:r>
                      </m:sup>
                    </m:sSup>
                  </m:e>
                </m:nary>
              </m:num>
              <m:den>
                <m:r>
                  <w:rPr>
                    <w:rFonts w:ascii="Cambria Math" w:hAnsi="Cambria Math" w:cs="Times New Roman"/>
                    <w:color w:val="000000" w:themeColor="text1"/>
                    <w:sz w:val="28"/>
                    <w:szCs w:val="28"/>
                    <w:lang w:val="kk-KZ"/>
                  </w:rPr>
                  <m:t>n-1</m:t>
                </m:r>
              </m:den>
            </m:f>
          </m:e>
        </m:rad>
      </m:oMath>
    </w:p>
    <w:p w14:paraId="1111A682" w14:textId="77777777" w:rsidR="00F50E2E" w:rsidRPr="00967575" w:rsidRDefault="00F50E2E" w:rsidP="00C6385D">
      <w:pPr>
        <w:tabs>
          <w:tab w:val="left" w:pos="2400"/>
        </w:tabs>
        <w:spacing w:after="0" w:line="240" w:lineRule="auto"/>
        <w:ind w:firstLine="567"/>
        <w:jc w:val="both"/>
        <w:rPr>
          <w:rFonts w:ascii="Times New Roman" w:hAnsi="Times New Roman" w:cs="Times New Roman"/>
          <w:sz w:val="28"/>
          <w:szCs w:val="28"/>
          <w:lang w:val="kk-KZ"/>
        </w:rPr>
      </w:pPr>
    </w:p>
    <w:p w14:paraId="6D2D81F2"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Ежегодные тенденции числа госпитализаций оценивались описательно для выявления изменений во времени. Доля экстренных госпитализаций рассчитывалась ежегодно по следующей формуле:</w:t>
      </w:r>
    </w:p>
    <w:p w14:paraId="05DF0E03"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rPr>
      </w:pPr>
    </w:p>
    <w:p w14:paraId="0B382A2B" w14:textId="77777777" w:rsidR="00967575" w:rsidRPr="00730229" w:rsidRDefault="00967575" w:rsidP="00C6385D">
      <w:pPr>
        <w:tabs>
          <w:tab w:val="left" w:pos="2400"/>
        </w:tabs>
        <w:spacing w:after="0" w:line="240" w:lineRule="auto"/>
        <w:jc w:val="both"/>
        <w:rPr>
          <w:rFonts w:ascii="Times New Roman" w:hAnsi="Times New Roman" w:cs="Times New Roman"/>
          <w:sz w:val="26"/>
          <w:szCs w:val="26"/>
        </w:rPr>
      </w:pPr>
      <m:oMathPara>
        <m:oMath>
          <m:r>
            <w:rPr>
              <w:rFonts w:ascii="Cambria Math" w:hAnsi="Cambria Math" w:cs="Times New Roman"/>
              <w:sz w:val="26"/>
              <w:szCs w:val="26"/>
            </w:rPr>
            <m:t xml:space="preserve">Показатель экстренной госпитализации </m:t>
          </m:r>
          <m:d>
            <m:dPr>
              <m:ctrlPr>
                <w:rPr>
                  <w:rFonts w:ascii="Cambria Math" w:hAnsi="Cambria Math" w:cs="Times New Roman"/>
                  <w:i/>
                  <w:sz w:val="26"/>
                  <w:szCs w:val="26"/>
                </w:rPr>
              </m:ctrlPr>
            </m:dPr>
            <m:e>
              <m:r>
                <w:rPr>
                  <w:rFonts w:ascii="Cambria Math" w:hAnsi="Cambria Math" w:cs="Times New Roman"/>
                  <w:sz w:val="26"/>
                  <w:szCs w:val="26"/>
                </w:rPr>
                <m:t>%</m:t>
              </m:r>
            </m:e>
          </m:d>
          <m:r>
            <w:rPr>
              <w:rFonts w:ascii="Cambria Math" w:hAnsi="Cambria Math" w:cs="Times New Roman"/>
              <w:sz w:val="26"/>
              <w:szCs w:val="26"/>
            </w:rPr>
            <m:t>=</m:t>
          </m:r>
          <m:f>
            <m:fPr>
              <m:ctrlPr>
                <w:rPr>
                  <w:rFonts w:ascii="Cambria Math" w:hAnsi="Cambria Math" w:cs="Times New Roman"/>
                  <w:i/>
                  <w:sz w:val="26"/>
                  <w:szCs w:val="26"/>
                  <w:lang w:val="en-US"/>
                </w:rPr>
              </m:ctrlPr>
            </m:fPr>
            <m:num>
              <m:sSub>
                <m:sSubPr>
                  <m:ctrlPr>
                    <w:rPr>
                      <w:rFonts w:ascii="Cambria Math" w:hAnsi="Cambria Math" w:cs="Times New Roman"/>
                      <w:i/>
                      <w:sz w:val="26"/>
                      <w:szCs w:val="26"/>
                    </w:rPr>
                  </m:ctrlPr>
                </m:sSubPr>
                <m:e>
                  <m:r>
                    <w:rPr>
                      <w:rFonts w:ascii="Cambria Math" w:hAnsi="Cambria Math" w:cs="Times New Roman"/>
                      <w:sz w:val="26"/>
                      <w:szCs w:val="26"/>
                    </w:rPr>
                    <m:t>N</m:t>
                  </m:r>
                </m:e>
                <m:sub>
                  <m:r>
                    <w:rPr>
                      <w:rFonts w:ascii="Cambria Math" w:hAnsi="Cambria Math" w:cs="Times New Roman"/>
                      <w:sz w:val="26"/>
                      <w:szCs w:val="26"/>
                      <w:vertAlign w:val="subscript"/>
                    </w:rPr>
                    <m:t>экстренная госпитализация</m:t>
                  </m:r>
                </m:sub>
              </m:sSub>
            </m:num>
            <m:den>
              <m:sSub>
                <m:sSubPr>
                  <m:ctrlPr>
                    <w:rPr>
                      <w:rFonts w:ascii="Cambria Math" w:hAnsi="Cambria Math" w:cs="Times New Roman"/>
                      <w:i/>
                      <w:sz w:val="26"/>
                      <w:szCs w:val="26"/>
                    </w:rPr>
                  </m:ctrlPr>
                </m:sSubPr>
                <m:e>
                  <m:r>
                    <w:rPr>
                      <w:rFonts w:ascii="Cambria Math" w:hAnsi="Cambria Math" w:cs="Times New Roman"/>
                      <w:sz w:val="26"/>
                      <w:szCs w:val="26"/>
                    </w:rPr>
                    <m:t>N</m:t>
                  </m:r>
                </m:e>
                <m:sub>
                  <m:r>
                    <w:rPr>
                      <w:rFonts w:ascii="Cambria Math" w:hAnsi="Cambria Math" w:cs="Times New Roman"/>
                      <w:sz w:val="26"/>
                      <w:szCs w:val="26"/>
                      <w:vertAlign w:val="subscript"/>
                    </w:rPr>
                    <m:t>общее количество</m:t>
                  </m:r>
                </m:sub>
              </m:sSub>
            </m:den>
          </m:f>
          <m:r>
            <w:rPr>
              <w:rFonts w:ascii="Cambria Math" w:hAnsi="Cambria Math" w:cs="Times New Roman"/>
              <w:sz w:val="26"/>
              <w:szCs w:val="26"/>
            </w:rPr>
            <m:t xml:space="preserve"> ×100</m:t>
          </m:r>
        </m:oMath>
      </m:oMathPara>
    </w:p>
    <w:p w14:paraId="04B67483" w14:textId="77777777" w:rsidR="00967575" w:rsidRPr="00967575" w:rsidRDefault="00967575" w:rsidP="00C6385D">
      <w:pPr>
        <w:tabs>
          <w:tab w:val="left" w:pos="2400"/>
        </w:tabs>
        <w:spacing w:after="0" w:line="240" w:lineRule="auto"/>
        <w:ind w:firstLine="567"/>
        <w:jc w:val="both"/>
        <w:rPr>
          <w:rFonts w:ascii="Times New Roman" w:hAnsi="Times New Roman" w:cs="Times New Roman"/>
          <w:sz w:val="28"/>
          <w:szCs w:val="28"/>
          <w:lang w:val="en-US"/>
        </w:rPr>
      </w:pPr>
    </w:p>
    <w:p w14:paraId="1A5AE319" w14:textId="77777777" w:rsidR="00F50E2E" w:rsidRPr="00967575" w:rsidRDefault="00F50E2E" w:rsidP="00C6385D">
      <w:pPr>
        <w:tabs>
          <w:tab w:val="left" w:pos="2400"/>
        </w:tabs>
        <w:spacing w:after="0" w:line="240" w:lineRule="auto"/>
        <w:ind w:firstLine="567"/>
        <w:jc w:val="both"/>
        <w:rPr>
          <w:rFonts w:ascii="Times New Roman" w:hAnsi="Times New Roman" w:cs="Times New Roman"/>
          <w:sz w:val="28"/>
          <w:szCs w:val="28"/>
        </w:rPr>
      </w:pPr>
      <w:r w:rsidRPr="00967575">
        <w:rPr>
          <w:rFonts w:ascii="Times New Roman" w:hAnsi="Times New Roman" w:cs="Times New Roman"/>
          <w:sz w:val="28"/>
          <w:szCs w:val="28"/>
        </w:rPr>
        <w:t>Средняя длительность пребывания в больнице (LOS) рассчитывалась для каждого года и для всего периода исследования как среднее арифметическое количества койко-дней.</w:t>
      </w:r>
    </w:p>
    <w:p w14:paraId="4A65C92B" w14:textId="77777777" w:rsidR="00967575" w:rsidRPr="00967575" w:rsidRDefault="00967575" w:rsidP="00C6385D">
      <w:pPr>
        <w:tabs>
          <w:tab w:val="left" w:pos="2400"/>
        </w:tabs>
        <w:spacing w:after="0" w:line="240" w:lineRule="auto"/>
        <w:ind w:firstLine="567"/>
        <w:jc w:val="both"/>
        <w:rPr>
          <w:rFonts w:ascii="Times New Roman" w:eastAsiaTheme="minorEastAsia" w:hAnsi="Times New Roman" w:cs="Times New Roman"/>
          <w:sz w:val="28"/>
          <w:szCs w:val="28"/>
          <w:lang w:val="en-US"/>
        </w:rPr>
      </w:pPr>
      <m:oMathPara>
        <m:oMath>
          <m:r>
            <w:rPr>
              <w:rFonts w:ascii="Cambria Math" w:hAnsi="Cambria Math" w:cs="Times New Roman"/>
              <w:sz w:val="28"/>
              <w:szCs w:val="28"/>
              <w:lang w:val="en-US"/>
            </w:rPr>
            <m:t>LOS=</m:t>
          </m:r>
          <m:f>
            <m:fPr>
              <m:ctrlPr>
                <w:rPr>
                  <w:rFonts w:ascii="Cambria Math" w:hAnsi="Cambria Math" w:cs="Times New Roman"/>
                  <w:i/>
                  <w:sz w:val="28"/>
                  <w:szCs w:val="28"/>
                  <w:lang w:val="en-US"/>
                </w:rPr>
              </m:ctrlPr>
            </m:fPr>
            <m:num>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i</m:t>
                      </m:r>
                    </m:sub>
                  </m:sSub>
                </m:e>
              </m:nary>
            </m:num>
            <m:den>
              <m:r>
                <w:rPr>
                  <w:rFonts w:ascii="Cambria Math" w:hAnsi="Cambria Math" w:cs="Times New Roman"/>
                  <w:sz w:val="28"/>
                  <w:szCs w:val="28"/>
                  <w:lang w:val="en-US"/>
                </w:rPr>
                <m:t>n</m:t>
              </m:r>
            </m:den>
          </m:f>
        </m:oMath>
      </m:oMathPara>
    </w:p>
    <w:p w14:paraId="3DE34A51" w14:textId="77777777" w:rsidR="00967575" w:rsidRPr="00967575" w:rsidRDefault="00967575" w:rsidP="00C6385D">
      <w:pPr>
        <w:tabs>
          <w:tab w:val="left" w:pos="2400"/>
        </w:tabs>
        <w:spacing w:after="0" w:line="240" w:lineRule="auto"/>
        <w:jc w:val="both"/>
        <w:rPr>
          <w:rFonts w:ascii="Times New Roman" w:eastAsiaTheme="minorEastAsia" w:hAnsi="Times New Roman" w:cs="Times New Roman"/>
          <w:sz w:val="28"/>
          <w:szCs w:val="28"/>
        </w:rPr>
      </w:pPr>
      <w:r w:rsidRPr="00967575">
        <w:rPr>
          <w:rFonts w:ascii="Times New Roman" w:hAnsi="Times New Roman" w:cs="Times New Roman"/>
          <w:sz w:val="28"/>
          <w:szCs w:val="28"/>
        </w:rPr>
        <w:t>где:</w:t>
      </w:r>
    </w:p>
    <w:p w14:paraId="53A6DB25" w14:textId="3E7C365F" w:rsidR="00967575" w:rsidRPr="00967575" w:rsidRDefault="0005389E" w:rsidP="00C6385D">
      <w:pPr>
        <w:tabs>
          <w:tab w:val="left" w:pos="2400"/>
        </w:tabs>
        <w:spacing w:after="0" w:line="240" w:lineRule="auto"/>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i</m:t>
            </m:r>
          </m:sub>
        </m:sSub>
      </m:oMath>
      <w:r w:rsidR="00967575" w:rsidRPr="00967575">
        <w:rPr>
          <w:rFonts w:ascii="Times New Roman" w:hAnsi="Times New Roman" w:cs="Times New Roman"/>
          <w:sz w:val="28"/>
          <w:szCs w:val="28"/>
        </w:rPr>
        <w:t xml:space="preserve"> — число койко-дней у i-го </w:t>
      </w:r>
      <w:r w:rsidR="006227E1">
        <w:rPr>
          <w:rFonts w:ascii="Times New Roman" w:hAnsi="Times New Roman" w:cs="Times New Roman"/>
          <w:sz w:val="28"/>
          <w:szCs w:val="28"/>
        </w:rPr>
        <w:t>больного</w:t>
      </w:r>
      <w:r w:rsidR="00967575" w:rsidRPr="00967575">
        <w:rPr>
          <w:rFonts w:ascii="Times New Roman" w:hAnsi="Times New Roman" w:cs="Times New Roman"/>
          <w:sz w:val="28"/>
          <w:szCs w:val="28"/>
        </w:rPr>
        <w:t>,</w:t>
      </w:r>
    </w:p>
    <w:p w14:paraId="4331EC7D" w14:textId="067CF3AA" w:rsidR="00967575" w:rsidRPr="00967575" w:rsidRDefault="00967575" w:rsidP="00C6385D">
      <w:pPr>
        <w:tabs>
          <w:tab w:val="left" w:pos="2400"/>
        </w:tabs>
        <w:spacing w:after="0" w:line="240" w:lineRule="auto"/>
        <w:jc w:val="both"/>
        <w:rPr>
          <w:rFonts w:ascii="Times New Roman" w:hAnsi="Times New Roman" w:cs="Times New Roman"/>
          <w:sz w:val="28"/>
          <w:szCs w:val="28"/>
        </w:rPr>
      </w:pPr>
      <w:r w:rsidRPr="00967575">
        <w:rPr>
          <w:rFonts w:ascii="Times New Roman" w:hAnsi="Times New Roman" w:cs="Times New Roman"/>
          <w:sz w:val="28"/>
          <w:szCs w:val="28"/>
        </w:rPr>
        <w:t xml:space="preserve">n — общее число госпитализированных </w:t>
      </w:r>
      <w:r w:rsidR="006227E1">
        <w:rPr>
          <w:rFonts w:ascii="Times New Roman" w:hAnsi="Times New Roman" w:cs="Times New Roman"/>
          <w:sz w:val="28"/>
          <w:szCs w:val="28"/>
        </w:rPr>
        <w:t>больных</w:t>
      </w:r>
      <w:r w:rsidRPr="00967575">
        <w:rPr>
          <w:rFonts w:ascii="Times New Roman" w:hAnsi="Times New Roman" w:cs="Times New Roman"/>
          <w:sz w:val="28"/>
          <w:szCs w:val="28"/>
        </w:rPr>
        <w:t xml:space="preserve"> за рассматриваемый период,</w:t>
      </w:r>
    </w:p>
    <w:p w14:paraId="6D4A4D47" w14:textId="77777777" w:rsidR="00967575" w:rsidRPr="00967575" w:rsidRDefault="00967575" w:rsidP="00C6385D">
      <w:pPr>
        <w:tabs>
          <w:tab w:val="left" w:pos="2400"/>
        </w:tabs>
        <w:spacing w:after="0" w:line="240" w:lineRule="auto"/>
        <w:jc w:val="both"/>
        <w:rPr>
          <w:rFonts w:ascii="Times New Roman" w:hAnsi="Times New Roman" w:cs="Times New Roman"/>
          <w:sz w:val="28"/>
          <w:szCs w:val="28"/>
        </w:rPr>
      </w:pPr>
      <w:r w:rsidRPr="00967575">
        <w:rPr>
          <w:rFonts w:ascii="Times New Roman" w:hAnsi="Times New Roman" w:cs="Times New Roman"/>
          <w:sz w:val="28"/>
          <w:szCs w:val="28"/>
        </w:rPr>
        <w:t>LOS — средняя длительность пребывания в стационаре.</w:t>
      </w:r>
    </w:p>
    <w:p w14:paraId="0C703CCB" w14:textId="77777777" w:rsidR="00F50E2E" w:rsidRPr="00967575" w:rsidRDefault="00F50E2E" w:rsidP="00C6385D">
      <w:pPr>
        <w:tabs>
          <w:tab w:val="left" w:pos="2400"/>
        </w:tabs>
        <w:spacing w:after="0" w:line="240" w:lineRule="auto"/>
        <w:ind w:firstLine="567"/>
        <w:jc w:val="both"/>
        <w:rPr>
          <w:rFonts w:ascii="Times New Roman" w:hAnsi="Times New Roman" w:cs="Times New Roman"/>
          <w:sz w:val="28"/>
          <w:szCs w:val="28"/>
        </w:rPr>
      </w:pPr>
    </w:p>
    <w:p w14:paraId="48D8E77A"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rPr>
      </w:pPr>
      <w:r w:rsidRPr="00967575">
        <w:rPr>
          <w:rFonts w:ascii="Times New Roman" w:hAnsi="Times New Roman" w:cs="Times New Roman"/>
          <w:sz w:val="28"/>
          <w:szCs w:val="28"/>
        </w:rPr>
        <w:t>Результаты леч</w:t>
      </w:r>
      <w:r w:rsidRPr="00F50E2E">
        <w:rPr>
          <w:rFonts w:ascii="Times New Roman" w:hAnsi="Times New Roman" w:cs="Times New Roman"/>
          <w:sz w:val="28"/>
          <w:szCs w:val="28"/>
        </w:rPr>
        <w:t>ения были разделены на четыре взаимоисключающие категории: смертность; выздоровление; отсутствие изменений в состоянии; ухудшение.</w:t>
      </w:r>
    </w:p>
    <w:p w14:paraId="443501D8"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rPr>
      </w:pPr>
    </w:p>
    <w:p w14:paraId="4094A318"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Для каждого года рассчитывались пропорции по конкретным исходам:</w:t>
      </w:r>
    </w:p>
    <w:p w14:paraId="2141B194"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rPr>
      </w:pPr>
    </w:p>
    <w:p w14:paraId="411021CE" w14:textId="77777777" w:rsidR="00967575" w:rsidRPr="00F50E2E" w:rsidRDefault="00967575" w:rsidP="00C6385D">
      <w:pPr>
        <w:tabs>
          <w:tab w:val="left" w:pos="2400"/>
        </w:tabs>
        <w:spacing w:after="0" w:line="240" w:lineRule="auto"/>
        <w:ind w:firstLine="567"/>
        <w:jc w:val="both"/>
        <w:rPr>
          <w:rFonts w:ascii="Times New Roman" w:hAnsi="Times New Roman" w:cs="Times New Roman"/>
          <w:sz w:val="28"/>
          <w:szCs w:val="28"/>
        </w:rPr>
      </w:pPr>
      <m:oMathPara>
        <m:oMath>
          <m:r>
            <w:rPr>
              <w:rFonts w:ascii="Cambria Math" w:hAnsi="Cambria Math" w:cs="Times New Roman"/>
              <w:sz w:val="28"/>
              <w:szCs w:val="28"/>
            </w:rPr>
            <m:t xml:space="preserve">Пропорция исхода (%)= </m:t>
          </m:r>
          <m:f>
            <m:fPr>
              <m:ctrlPr>
                <w:rPr>
                  <w:rFonts w:ascii="Cambria Math" w:hAnsi="Cambria Math" w:cs="Times New Roman"/>
                  <w:i/>
                  <w:sz w:val="26"/>
                  <w:szCs w:val="26"/>
                  <w:lang w:val="en-US"/>
                </w:rPr>
              </m:ctrlPr>
            </m:fPr>
            <m:num>
              <m:sSub>
                <m:sSubPr>
                  <m:ctrlPr>
                    <w:rPr>
                      <w:rFonts w:ascii="Cambria Math" w:hAnsi="Cambria Math" w:cs="Times New Roman"/>
                      <w:i/>
                      <w:sz w:val="26"/>
                      <w:szCs w:val="26"/>
                    </w:rPr>
                  </m:ctrlPr>
                </m:sSubPr>
                <m:e>
                  <m:r>
                    <w:rPr>
                      <w:rFonts w:ascii="Cambria Math" w:hAnsi="Cambria Math" w:cs="Times New Roman"/>
                      <w:sz w:val="26"/>
                      <w:szCs w:val="26"/>
                    </w:rPr>
                    <m:t>N</m:t>
                  </m:r>
                </m:e>
                <m:sub>
                  <m:r>
                    <w:rPr>
                      <w:rFonts w:ascii="Cambria Math" w:hAnsi="Cambria Math" w:cs="Times New Roman"/>
                      <w:sz w:val="26"/>
                      <w:szCs w:val="26"/>
                      <w:vertAlign w:val="subscript"/>
                    </w:rPr>
                    <m:t>и</m:t>
                  </m:r>
                  <m:r>
                    <w:rPr>
                      <w:rFonts w:ascii="Cambria Math" w:hAnsi="Cambria Math" w:cs="Times New Roman"/>
                      <w:sz w:val="26"/>
                      <w:szCs w:val="26"/>
                      <w:vertAlign w:val="subscript"/>
                      <w:lang w:val="kk-KZ"/>
                    </w:rPr>
                    <m:t>сход</m:t>
                  </m:r>
                </m:sub>
              </m:sSub>
            </m:num>
            <m:den>
              <m:sSub>
                <m:sSubPr>
                  <m:ctrlPr>
                    <w:rPr>
                      <w:rFonts w:ascii="Cambria Math" w:hAnsi="Cambria Math" w:cs="Times New Roman"/>
                      <w:i/>
                      <w:sz w:val="26"/>
                      <w:szCs w:val="26"/>
                    </w:rPr>
                  </m:ctrlPr>
                </m:sSubPr>
                <m:e>
                  <m:r>
                    <w:rPr>
                      <w:rFonts w:ascii="Cambria Math" w:hAnsi="Cambria Math" w:cs="Times New Roman"/>
                      <w:sz w:val="26"/>
                      <w:szCs w:val="26"/>
                    </w:rPr>
                    <m:t>N</m:t>
                  </m:r>
                </m:e>
                <m:sub>
                  <m:r>
                    <w:rPr>
                      <w:rFonts w:ascii="Cambria Math" w:hAnsi="Cambria Math" w:cs="Times New Roman"/>
                      <w:sz w:val="26"/>
                      <w:szCs w:val="26"/>
                      <w:vertAlign w:val="subscript"/>
                    </w:rPr>
                    <m:t>в</m:t>
                  </m:r>
                  <m:r>
                    <w:rPr>
                      <w:rFonts w:ascii="Cambria Math" w:hAnsi="Cambria Math" w:cs="Times New Roman"/>
                      <w:sz w:val="26"/>
                      <w:szCs w:val="26"/>
                      <w:vertAlign w:val="subscript"/>
                      <w:lang w:val="kk-KZ"/>
                    </w:rPr>
                    <m:t>сего</m:t>
                  </m:r>
                </m:sub>
              </m:sSub>
            </m:den>
          </m:f>
          <m:r>
            <w:rPr>
              <w:rFonts w:ascii="Cambria Math" w:hAnsi="Cambria Math" w:cs="Times New Roman"/>
              <w:sz w:val="26"/>
              <w:szCs w:val="26"/>
            </w:rPr>
            <m:t xml:space="preserve"> ×100</m:t>
          </m:r>
        </m:oMath>
      </m:oMathPara>
    </w:p>
    <w:p w14:paraId="50B08374" w14:textId="77777777" w:rsidR="00F50E2E" w:rsidRPr="00F50E2E" w:rsidRDefault="00F50E2E" w:rsidP="00C6385D">
      <w:pPr>
        <w:tabs>
          <w:tab w:val="left" w:pos="2400"/>
        </w:tabs>
        <w:spacing w:after="0" w:line="240" w:lineRule="auto"/>
        <w:ind w:firstLine="567"/>
        <w:jc w:val="both"/>
        <w:rPr>
          <w:rFonts w:ascii="Times New Roman" w:hAnsi="Times New Roman" w:cs="Times New Roman"/>
          <w:sz w:val="28"/>
          <w:szCs w:val="28"/>
        </w:rPr>
      </w:pPr>
    </w:p>
    <w:p w14:paraId="1EAFC917" w14:textId="77777777" w:rsidR="00F50E2E" w:rsidRPr="00F50E2E" w:rsidRDefault="00F50E2E" w:rsidP="00C6385D">
      <w:pPr>
        <w:tabs>
          <w:tab w:val="left" w:pos="2400"/>
        </w:tabs>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Анализ данных проводился с использованием программы SPSS 13.</w:t>
      </w:r>
    </w:p>
    <w:p w14:paraId="58C249ED"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p>
    <w:p w14:paraId="309AE962" w14:textId="14FB675A"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С целью изучения барьеров и перспективы оказания помощи при ОНМК было проведено </w:t>
      </w:r>
      <w:r w:rsidR="003D2670">
        <w:rPr>
          <w:rFonts w:ascii="Times New Roman" w:hAnsi="Times New Roman" w:cs="Times New Roman"/>
          <w:noProof/>
          <w:color w:val="000000"/>
          <w:sz w:val="28"/>
          <w:szCs w:val="28"/>
        </w:rPr>
        <w:t>смешанное</w:t>
      </w:r>
      <w:r w:rsidRPr="00F50E2E">
        <w:rPr>
          <w:rFonts w:ascii="Times New Roman" w:hAnsi="Times New Roman" w:cs="Times New Roman"/>
          <w:noProof/>
          <w:color w:val="000000"/>
          <w:sz w:val="28"/>
          <w:szCs w:val="28"/>
        </w:rPr>
        <w:t xml:space="preserve"> исследование с использованием полуструктурированных интервью среди медицинских специалистов и пациентов, перенесших инсульт (</w:t>
      </w:r>
      <w:r w:rsidRPr="00F50E2E">
        <w:rPr>
          <w:rFonts w:ascii="Times New Roman" w:hAnsi="Times New Roman" w:cs="Times New Roman"/>
          <w:i/>
          <w:iCs/>
          <w:noProof/>
          <w:color w:val="000000"/>
          <w:sz w:val="28"/>
          <w:szCs w:val="28"/>
        </w:rPr>
        <w:t>задача 3</w:t>
      </w:r>
      <w:r w:rsidRPr="00F50E2E">
        <w:rPr>
          <w:rFonts w:ascii="Times New Roman" w:hAnsi="Times New Roman" w:cs="Times New Roman"/>
          <w:noProof/>
          <w:color w:val="000000"/>
          <w:sz w:val="28"/>
          <w:szCs w:val="28"/>
        </w:rPr>
        <w:t xml:space="preserve">). </w:t>
      </w:r>
    </w:p>
    <w:p w14:paraId="41F817BD" w14:textId="0D4285B0"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i/>
          <w:iCs/>
          <w:noProof/>
          <w:color w:val="000000"/>
          <w:sz w:val="28"/>
          <w:szCs w:val="28"/>
        </w:rPr>
        <w:t>Качественное исследование среди медицинских специалистов</w:t>
      </w:r>
      <w:r w:rsidRPr="00F50E2E">
        <w:rPr>
          <w:rFonts w:ascii="Times New Roman" w:hAnsi="Times New Roman" w:cs="Times New Roman"/>
          <w:noProof/>
          <w:color w:val="000000"/>
          <w:sz w:val="28"/>
          <w:szCs w:val="28"/>
        </w:rPr>
        <w:t xml:space="preserve">. Качественное исследование, направленное на оценку готовности медицинских специалистов различных профилей к оказанию помощи </w:t>
      </w:r>
      <w:r w:rsidR="002D4B8F">
        <w:rPr>
          <w:rFonts w:ascii="Times New Roman" w:hAnsi="Times New Roman" w:cs="Times New Roman"/>
          <w:noProof/>
          <w:color w:val="000000"/>
          <w:sz w:val="28"/>
          <w:szCs w:val="28"/>
        </w:rPr>
        <w:t>больным</w:t>
      </w:r>
      <w:r w:rsidRPr="00F50E2E">
        <w:rPr>
          <w:rFonts w:ascii="Times New Roman" w:hAnsi="Times New Roman" w:cs="Times New Roman"/>
          <w:noProof/>
          <w:color w:val="000000"/>
          <w:sz w:val="28"/>
          <w:szCs w:val="28"/>
        </w:rPr>
        <w:t xml:space="preserve"> с ОНМК, проводилось с февраля по июнь 2025 года в г. Алматы. Для организации исследования было направлено официальное письмо в управление общественного здравоохранения г.Алматы, что обеспечило взаимодействие с </w:t>
      </w:r>
      <w:r w:rsidRPr="00F50E2E">
        <w:rPr>
          <w:rFonts w:ascii="Times New Roman" w:hAnsi="Times New Roman" w:cs="Times New Roman"/>
          <w:noProof/>
          <w:color w:val="000000"/>
          <w:sz w:val="28"/>
          <w:szCs w:val="28"/>
        </w:rPr>
        <w:lastRenderedPageBreak/>
        <w:t>руководителями медицинских организаций и позволило привлечь специалистов, непосредственно участвующих в маршрутизации и лечения пациентов с инсультом.</w:t>
      </w:r>
    </w:p>
    <w:p w14:paraId="65B37DE8" w14:textId="355B688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В исследовании приняли участие 95 врачей-специалистов, распределенных по ключевым профессиональным группам: врачи скорой помощи — 10; неврологи — 12; реаниматологи — 22; специалисты по реабилитации — 32; нейрохирурги — 24. Такое распределение выборки носило целенаправленный (purposive sampling) характер и было обусловлено ролью каждой специальности в системе оказания </w:t>
      </w:r>
      <w:r w:rsidRPr="002D4B8F">
        <w:rPr>
          <w:rFonts w:ascii="Times New Roman" w:hAnsi="Times New Roman" w:cs="Times New Roman"/>
          <w:noProof/>
          <w:color w:val="000000"/>
          <w:sz w:val="28"/>
          <w:szCs w:val="28"/>
        </w:rPr>
        <w:t xml:space="preserve">помощи </w:t>
      </w:r>
      <w:r w:rsidRPr="002D4B8F">
        <w:rPr>
          <w:rFonts w:ascii="Times New Roman" w:hAnsi="Times New Roman" w:cs="Times New Roman"/>
          <w:noProof/>
          <w:sz w:val="28"/>
          <w:szCs w:val="28"/>
        </w:rPr>
        <w:t xml:space="preserve">при ОНМК. </w:t>
      </w:r>
    </w:p>
    <w:p w14:paraId="31F21BBA"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Критерии включения: медицинская специальность, непосредственно связанная с оказанием помощи пациентам с инсультом (неотложная медицинская помощь, неврология, интенсивная терапия, нейрохирургия, реабилитация); не менее 1 года практического опыта работы; текущая клиническая практика в медицинских организациях Алматы; участие в диагностике, лечении, транспортировке или реабилитации пациентов с инсультом; добровольное информированное согласие на участие в исследовании.</w:t>
      </w:r>
    </w:p>
    <w:p w14:paraId="301E7E5F"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Критерии исключения: специалисты без практического опыта работы с пациентами с инсультом; отказ от участия в интервью или прерывание интервью до его завершения; повторные интервью с тем же участником.</w:t>
      </w:r>
    </w:p>
    <w:p w14:paraId="1CE2C726"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Прокотол исследования и вопросы полуструктурированного интервью были предварительно экспертно согласованы с представителями каждой профессиональной группы (по одному эксперту каждой специализации), участвующими в маршрутизации и лечении пациентов с ОНМК (приложение А). </w:t>
      </w:r>
    </w:p>
    <w:p w14:paraId="42FEBEF7"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Темы интервью включали: готовность к оказанию помощи при инсульте, доступность ресурсов, частота и формы обучения специалистов; восприятие уровня осведомленности населения о симптомах инсульта; основные проблемы и задержки в оказании помощи пациентам с ОНМК. </w:t>
      </w:r>
    </w:p>
    <w:p w14:paraId="41F0F27B" w14:textId="0F66B45F"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Сбор и анализ данных: Сбор данных осуществлялся в форме телефонных интервью, продолжительностью </w:t>
      </w:r>
      <w:r w:rsidR="00FB1543">
        <w:rPr>
          <w:rFonts w:ascii="Times New Roman" w:hAnsi="Times New Roman" w:cs="Times New Roman"/>
          <w:noProof/>
          <w:color w:val="000000"/>
          <w:sz w:val="28"/>
          <w:szCs w:val="28"/>
        </w:rPr>
        <w:t>30</w:t>
      </w:r>
      <w:r w:rsidRPr="00F50E2E">
        <w:rPr>
          <w:rFonts w:ascii="Times New Roman" w:hAnsi="Times New Roman" w:cs="Times New Roman"/>
          <w:noProof/>
          <w:color w:val="000000"/>
          <w:sz w:val="28"/>
          <w:szCs w:val="28"/>
        </w:rPr>
        <w:t>–</w:t>
      </w:r>
      <w:r w:rsidR="00FB1543">
        <w:rPr>
          <w:rFonts w:ascii="Times New Roman" w:hAnsi="Times New Roman" w:cs="Times New Roman"/>
          <w:noProof/>
          <w:color w:val="000000"/>
          <w:sz w:val="28"/>
          <w:szCs w:val="28"/>
        </w:rPr>
        <w:t>4</w:t>
      </w:r>
      <w:r w:rsidRPr="00F50E2E">
        <w:rPr>
          <w:rFonts w:ascii="Times New Roman" w:hAnsi="Times New Roman" w:cs="Times New Roman"/>
          <w:noProof/>
          <w:color w:val="000000"/>
          <w:sz w:val="28"/>
          <w:szCs w:val="28"/>
        </w:rPr>
        <w:t>0 минут. Интервью записывались вручную, затем транскрибировались и переносились в электронные таблицы эксель для последующего анализа. Анализ данных проводился вручную с применением методов качественного контент-анализа и тематического анализа и включал три последовательных этапа: открытая кодировка, в ходе которой выделялись повторяющиеся смысловые единицы (слов, фраз и выражений) в ответах респондентов; осевая кодировка, обьединении первичных кодов в концептуальные категории по смысловому сходству; на заключительном этапе выполнялась селективная кодировка, которая позволила сформировать обобщённые тематические направления, отражающие барьеры и перспективы оказания помощи при ОНМК.</w:t>
      </w:r>
    </w:p>
    <w:p w14:paraId="53932FF9"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В результате анализа были сформированы следующие аналитические категории: </w:t>
      </w:r>
    </w:p>
    <w:p w14:paraId="50A454BF" w14:textId="77777777" w:rsidR="00F50E2E" w:rsidRPr="00F50E2E" w:rsidRDefault="00F50E2E" w:rsidP="00C6385D">
      <w:pPr>
        <w:tabs>
          <w:tab w:val="num" w:pos="720"/>
        </w:tabs>
        <w:spacing w:after="0" w:line="240" w:lineRule="auto"/>
        <w:ind w:firstLine="567"/>
        <w:jc w:val="both"/>
        <w:rPr>
          <w:rFonts w:ascii="Times New Roman" w:hAnsi="Times New Roman" w:cs="Times New Roman"/>
          <w:noProof/>
          <w:sz w:val="28"/>
          <w:szCs w:val="28"/>
        </w:rPr>
      </w:pPr>
      <w:r w:rsidRPr="00F50E2E">
        <w:rPr>
          <w:rFonts w:ascii="Times New Roman" w:hAnsi="Times New Roman" w:cs="Times New Roman"/>
          <w:noProof/>
          <w:color w:val="000000"/>
          <w:sz w:val="28"/>
          <w:szCs w:val="28"/>
        </w:rPr>
        <w:lastRenderedPageBreak/>
        <w:t xml:space="preserve">кадровые и организационные </w:t>
      </w:r>
      <w:r w:rsidRPr="00F50E2E">
        <w:rPr>
          <w:rFonts w:ascii="Times New Roman" w:hAnsi="Times New Roman" w:cs="Times New Roman"/>
          <w:noProof/>
          <w:sz w:val="28"/>
          <w:szCs w:val="28"/>
        </w:rPr>
        <w:t>барьеры: «нехватка персонала», «дефицит специалистов», «высокая нагрузка», «недостаток обучения», «недостаточная координация»;</w:t>
      </w:r>
    </w:p>
    <w:p w14:paraId="4B5415CD" w14:textId="77777777" w:rsidR="00F50E2E" w:rsidRPr="00F50E2E" w:rsidRDefault="00F50E2E" w:rsidP="00C6385D">
      <w:pPr>
        <w:tabs>
          <w:tab w:val="num" w:pos="720"/>
        </w:tabs>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материально-технические и инфраструктурные ограничения: «нехватка оборудования», «отсутствие КТ/МРТ», «ограниченные ресурсы», «старое оборудование»;</w:t>
      </w:r>
    </w:p>
    <w:p w14:paraId="73D54152" w14:textId="77777777" w:rsidR="00F50E2E" w:rsidRPr="00F50E2E" w:rsidRDefault="00F50E2E" w:rsidP="00C6385D">
      <w:pPr>
        <w:tabs>
          <w:tab w:val="num" w:pos="720"/>
        </w:tabs>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образовательные аспекты: «обучение», «повышение квалификации», «вебинары», «курсы», «необходимость регулярного обучения»;</w:t>
      </w:r>
    </w:p>
    <w:p w14:paraId="5737DD8D" w14:textId="77777777" w:rsidR="00F50E2E" w:rsidRPr="00F50E2E" w:rsidRDefault="00F50E2E" w:rsidP="00C6385D">
      <w:pPr>
        <w:tabs>
          <w:tab w:val="num" w:pos="720"/>
        </w:tabs>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информационные и коммуникационные барьеры: «низкая информированность населения», «пациенты не распознают симптомы», «отсутствие кампаний», «недостаток просвещения», «нет информационных материалов»;</w:t>
      </w:r>
    </w:p>
    <w:p w14:paraId="153B4051" w14:textId="77777777" w:rsidR="00F50E2E" w:rsidRPr="00F50E2E" w:rsidRDefault="00F50E2E" w:rsidP="00C6385D">
      <w:pPr>
        <w:tabs>
          <w:tab w:val="num" w:pos="720"/>
        </w:tabs>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пациент-ориентированные проблемы: «позднее обращение», «низкая мотивация пациентов», «пожилые пациенты не знают симптомы»;</w:t>
      </w:r>
    </w:p>
    <w:p w14:paraId="1D1F31F4" w14:textId="77777777" w:rsidR="00F50E2E" w:rsidRPr="00F50E2E" w:rsidRDefault="00F50E2E" w:rsidP="00C6385D">
      <w:pPr>
        <w:tabs>
          <w:tab w:val="num" w:pos="720"/>
        </w:tabs>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перспективы и рекомендации: «повышение квалификации», «обучение», «телемедицина», «VR-терапия», «реабилитация», «взаимодействие служб», «качественная маршрутизация» (глава 4.1).</w:t>
      </w:r>
    </w:p>
    <w:p w14:paraId="3F044DDC" w14:textId="1044D850" w:rsidR="00593215" w:rsidRPr="002959CC" w:rsidRDefault="00D8068E" w:rsidP="00C6385D">
      <w:pPr>
        <w:spacing w:after="0" w:line="240" w:lineRule="auto"/>
        <w:ind w:firstLine="567"/>
        <w:jc w:val="both"/>
        <w:rPr>
          <w:rFonts w:ascii="Times New Roman" w:hAnsi="Times New Roman" w:cs="Times New Roman"/>
          <w:noProof/>
          <w:color w:val="000000"/>
          <w:sz w:val="28"/>
          <w:szCs w:val="28"/>
        </w:rPr>
      </w:pPr>
      <w:r w:rsidRPr="002959CC">
        <w:rPr>
          <w:rFonts w:ascii="Times New Roman" w:hAnsi="Times New Roman" w:cs="Times New Roman"/>
          <w:noProof/>
          <w:color w:val="000000"/>
          <w:sz w:val="28"/>
          <w:szCs w:val="28"/>
        </w:rPr>
        <w:t xml:space="preserve">С целью изучения опыта получения медицинской помощи при ОНМК у пациентов, перенесших инсульт, </w:t>
      </w:r>
      <w:r w:rsidR="00593215" w:rsidRPr="002959CC">
        <w:rPr>
          <w:rFonts w:ascii="Times New Roman" w:hAnsi="Times New Roman" w:cs="Times New Roman"/>
          <w:noProof/>
          <w:color w:val="000000"/>
          <w:sz w:val="28"/>
          <w:szCs w:val="28"/>
        </w:rPr>
        <w:t>был разработан авторский опросник, включающий количественные и качественные методы сбора данных</w:t>
      </w:r>
      <w:r w:rsidR="0010256F" w:rsidRPr="002959CC">
        <w:rPr>
          <w:rFonts w:ascii="Times New Roman" w:hAnsi="Times New Roman" w:cs="Times New Roman"/>
          <w:noProof/>
          <w:color w:val="000000"/>
          <w:sz w:val="28"/>
          <w:szCs w:val="28"/>
        </w:rPr>
        <w:t xml:space="preserve"> (Приложение Б)</w:t>
      </w:r>
      <w:r w:rsidR="00593215" w:rsidRPr="002959CC">
        <w:rPr>
          <w:rFonts w:ascii="Times New Roman" w:hAnsi="Times New Roman" w:cs="Times New Roman"/>
          <w:noProof/>
          <w:color w:val="000000"/>
          <w:sz w:val="28"/>
          <w:szCs w:val="28"/>
        </w:rPr>
        <w:t>. Структура инструмента сочетала закрытые вопросы с фиксированными вариантами ответов (для последующего статистического анализа) и открытые вопросы, направленные на получение развернутых описаний личного опыта пациентов. Такой комбинированный подход позволил комплексно оценить как объективные характеристики респондентов (возраст, социальный статус, наличие хронических заболеваний, особенности маршрутизации пациента), так и субъективное восприятие своевременности, качества и доступности медицинской помощи.</w:t>
      </w:r>
    </w:p>
    <w:p w14:paraId="232BB58F" w14:textId="77777777" w:rsidR="00593215" w:rsidRPr="002959CC" w:rsidRDefault="00593215" w:rsidP="00C6385D">
      <w:pPr>
        <w:spacing w:after="0" w:line="240" w:lineRule="auto"/>
        <w:ind w:firstLine="567"/>
        <w:jc w:val="both"/>
        <w:rPr>
          <w:rFonts w:ascii="Times New Roman" w:hAnsi="Times New Roman" w:cs="Times New Roman"/>
          <w:noProof/>
          <w:color w:val="000000"/>
          <w:sz w:val="28"/>
          <w:szCs w:val="28"/>
        </w:rPr>
      </w:pPr>
      <w:r w:rsidRPr="002959CC">
        <w:rPr>
          <w:rFonts w:ascii="Times New Roman" w:hAnsi="Times New Roman" w:cs="Times New Roman"/>
          <w:noProof/>
          <w:color w:val="000000"/>
          <w:sz w:val="28"/>
          <w:szCs w:val="28"/>
        </w:rPr>
        <w:t>Опросник состоял из 10 тематических разделов и охватывал демографические данные, клинические характеристики инсульта, особенности образа жизни до заболевания, уровень осведомлённости о симптомах, опыт обращения за неотложной помощью, госпитальный этап лечения, реабилитацию, оценку результатов восстановления, вопросы профилактики и информированности населения, а также отношение к телемедицине и цифровым технологиям. Закрытые вопросы использовались для количественного анализа частот и распределений, тогда как открытые вопросы позволили выявить индивидуальные барьеры, потребности и предложения пациентов по совершенствованию системы помощи при инсульте.</w:t>
      </w:r>
    </w:p>
    <w:p w14:paraId="5EE0F11C" w14:textId="77777777" w:rsidR="00593215" w:rsidRPr="002959CC" w:rsidRDefault="00593215" w:rsidP="00C6385D">
      <w:pPr>
        <w:spacing w:after="0" w:line="240" w:lineRule="auto"/>
        <w:ind w:firstLine="567"/>
        <w:jc w:val="both"/>
        <w:rPr>
          <w:rFonts w:ascii="Times New Roman" w:hAnsi="Times New Roman" w:cs="Times New Roman"/>
          <w:noProof/>
          <w:color w:val="000000"/>
          <w:sz w:val="28"/>
          <w:szCs w:val="28"/>
        </w:rPr>
      </w:pPr>
      <w:r w:rsidRPr="002959CC">
        <w:rPr>
          <w:rFonts w:ascii="Times New Roman" w:hAnsi="Times New Roman" w:cs="Times New Roman"/>
          <w:noProof/>
          <w:color w:val="000000"/>
          <w:sz w:val="28"/>
          <w:szCs w:val="28"/>
        </w:rPr>
        <w:t xml:space="preserve">Исследование проводилось в г. Алматы в период с мая по июль 2025 года на базе многопрофильных стационаров, имеющих инсультные центры. Критерии включения: возраст ≥ 18 лет; подтверждённый диагноз инсульта; клиническая стабильность на момент интервью; сохранённая способность к вербальному общению и пониманию вопросов (самостоятельно или с минимальной помощью); наличие информированного согласия на участие в исследовании. </w:t>
      </w:r>
      <w:r w:rsidRPr="002959CC">
        <w:rPr>
          <w:rFonts w:ascii="Times New Roman" w:hAnsi="Times New Roman" w:cs="Times New Roman"/>
          <w:noProof/>
          <w:color w:val="000000"/>
          <w:sz w:val="28"/>
          <w:szCs w:val="28"/>
        </w:rPr>
        <w:lastRenderedPageBreak/>
        <w:t>Критерии исключения: тяжёлые когнитивные нарушения, препятствующие участию в интервью; тяжёлое общее состояние или острые осложнения; отказ пациента от участия; повторное интервьюирование одного и того же пациента.</w:t>
      </w:r>
    </w:p>
    <w:p w14:paraId="768EA7EB" w14:textId="77777777" w:rsidR="00593215" w:rsidRPr="002959CC" w:rsidRDefault="00593215" w:rsidP="00C6385D">
      <w:pPr>
        <w:spacing w:after="0" w:line="240" w:lineRule="auto"/>
        <w:ind w:firstLine="567"/>
        <w:jc w:val="both"/>
        <w:rPr>
          <w:rFonts w:ascii="Times New Roman" w:hAnsi="Times New Roman" w:cs="Times New Roman"/>
          <w:noProof/>
          <w:color w:val="000000"/>
          <w:sz w:val="28"/>
          <w:szCs w:val="28"/>
        </w:rPr>
      </w:pPr>
      <w:r w:rsidRPr="002959CC">
        <w:rPr>
          <w:rFonts w:ascii="Times New Roman" w:hAnsi="Times New Roman" w:cs="Times New Roman"/>
          <w:noProof/>
          <w:color w:val="000000"/>
          <w:sz w:val="28"/>
          <w:szCs w:val="28"/>
        </w:rPr>
        <w:t>Всего было госпитализировано 79 пациентов с ОНМК. Из них 11 не соответствовали критериям включения в связи с тяжестью состояния, а 7 пациентов отказались от участия в исследовании на этапе проведения интервью. Таким образом, в итоговый анализ были включены 61 респондент. Сбор данных осуществлялся докторантом лично посредством полуструктурированного интервью. Средняя продолжительность одного интервью составляла 30–40 минут.</w:t>
      </w:r>
    </w:p>
    <w:p w14:paraId="59CCE006" w14:textId="77777777" w:rsidR="00593215" w:rsidRPr="002959CC" w:rsidRDefault="00593215" w:rsidP="00C6385D">
      <w:pPr>
        <w:spacing w:after="0" w:line="240" w:lineRule="auto"/>
        <w:ind w:firstLine="567"/>
        <w:jc w:val="both"/>
        <w:rPr>
          <w:rFonts w:ascii="Times New Roman" w:hAnsi="Times New Roman" w:cs="Times New Roman"/>
          <w:noProof/>
          <w:color w:val="000000"/>
          <w:sz w:val="28"/>
          <w:szCs w:val="28"/>
        </w:rPr>
      </w:pPr>
      <w:r w:rsidRPr="002959CC">
        <w:rPr>
          <w:rFonts w:ascii="Times New Roman" w:hAnsi="Times New Roman" w:cs="Times New Roman"/>
          <w:noProof/>
          <w:color w:val="000000"/>
          <w:sz w:val="28"/>
          <w:szCs w:val="28"/>
        </w:rPr>
        <w:t>Количественные данные анализировались с использованием программы SPSS (версия указать при необходимости). Качественный анализ открытых вопросов проводился в три последовательных этапа кодирования. На этапе открытой кодировки были выделены ключевые смысловые единицы: демографические характеристики, история инсульта, хронические заболевания, образ жизни, осведомлённость о симптомах, реакции на их появление, догоспитальная и госпитальная помощь, реабилитация, профилактика, телемедицина, психологическая поддержка и рекомендации пациентов. На этапе осевой кодировки повторяющиеся смысловые единицы были объединены в концептуальные категории: осведомлённость и раннее распознавание инсульта; доступность и качество экстренной помощи; реабилитация и восстановление; взаимодействие с медицинским персоналом; профилактика и образ жизни; телемедицина; психологическая поддержка и мотивация. На этапе селективной кодировки данные были интегрированы вокруг центрального феномена исследования: эффективность лечения и восстановления после инсульта определяется комплексным взаимодействием уровня информированности пациентов, своевременности экстренной помощи, качества коммуникации с медицинским персоналом, доступности реабилитации и наличия психологической поддержки.</w:t>
      </w:r>
    </w:p>
    <w:p w14:paraId="23BB378C" w14:textId="77777777" w:rsidR="00593215" w:rsidRPr="002959CC" w:rsidRDefault="00593215" w:rsidP="00C6385D">
      <w:pPr>
        <w:spacing w:after="0" w:line="240" w:lineRule="auto"/>
        <w:ind w:firstLine="567"/>
        <w:jc w:val="both"/>
        <w:rPr>
          <w:rFonts w:ascii="Times New Roman" w:hAnsi="Times New Roman" w:cs="Times New Roman"/>
          <w:noProof/>
          <w:color w:val="000000"/>
          <w:sz w:val="28"/>
          <w:szCs w:val="28"/>
        </w:rPr>
      </w:pPr>
      <w:r w:rsidRPr="002959CC">
        <w:rPr>
          <w:rFonts w:ascii="Times New Roman" w:hAnsi="Times New Roman" w:cs="Times New Roman"/>
          <w:noProof/>
          <w:color w:val="000000"/>
          <w:sz w:val="28"/>
          <w:szCs w:val="28"/>
        </w:rPr>
        <w:t>Анализ выявил ключевые барьеры и факторы, влияющие на исход инсульта, включая низкую осведомлённость о симптомах, задержки в экстренной помощи, ограниченный доступ к реабилитации и недостаток психологической поддержки. Это позволило определить стратегические направления для улучшения профилактики, лечения и восстановления пациентов (глава 4.2.).</w:t>
      </w:r>
    </w:p>
    <w:p w14:paraId="6192D6DF" w14:textId="77777777" w:rsidR="00F50E2E" w:rsidRPr="00F50E2E" w:rsidRDefault="00F50E2E" w:rsidP="00C6385D">
      <w:pPr>
        <w:spacing w:after="0" w:line="240" w:lineRule="auto"/>
        <w:ind w:firstLine="567"/>
        <w:jc w:val="both"/>
        <w:rPr>
          <w:rFonts w:ascii="Times New Roman" w:hAnsi="Times New Roman" w:cs="Times New Roman"/>
          <w:sz w:val="28"/>
          <w:szCs w:val="28"/>
        </w:rPr>
      </w:pPr>
      <w:r w:rsidRPr="002959CC">
        <w:rPr>
          <w:rFonts w:ascii="Times New Roman" w:hAnsi="Times New Roman" w:cs="Times New Roman"/>
          <w:sz w:val="28"/>
          <w:szCs w:val="28"/>
        </w:rPr>
        <w:t>Параметры клинической эффективности, смертности, переходов между состояниями и затрат были получены из опубликованных клинических исследований мобильных инсультных бригад (Mobile Stroke Unit, MSU), международных источников данных о течении постинсультных состояний, национальных тарифов медицинской помощи, а также выплаты специального государственного пособия в Республике Казахстан. Дополнительно использовались значения порогов готовности платить (willingness-to-pay, WTP), определенные в соответствии с рекомендациями Всемирной организации здравоохранения.</w:t>
      </w:r>
      <w:r w:rsidRPr="00F50E2E">
        <w:rPr>
          <w:rFonts w:ascii="Times New Roman" w:hAnsi="Times New Roman" w:cs="Times New Roman"/>
          <w:sz w:val="28"/>
          <w:szCs w:val="28"/>
        </w:rPr>
        <w:t xml:space="preserve"> </w:t>
      </w:r>
    </w:p>
    <w:p w14:paraId="594A1834" w14:textId="4D090B73" w:rsidR="00F50E2E" w:rsidRPr="00F50E2E" w:rsidRDefault="00F50E2E" w:rsidP="00C6385D">
      <w:pPr>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lastRenderedPageBreak/>
        <w:t xml:space="preserve">Для сравнения эффективности MSU и стандартного лечения острого ишемического инсульта применялась когортная марковская модель. В модель включались пациенты со средним возрастом 70 лет на момент начала моделирования. Риски смертности, вероятность повторного инсульта, функциональные исходы и показатели полезности (QALY) определялись на основе опубликованных источников и представлены в таблице </w:t>
      </w:r>
      <w:r>
        <w:rPr>
          <w:rFonts w:ascii="Times New Roman" w:hAnsi="Times New Roman" w:cs="Times New Roman"/>
          <w:sz w:val="28"/>
          <w:szCs w:val="28"/>
        </w:rPr>
        <w:t>6</w:t>
      </w:r>
      <w:r w:rsidRPr="00F50E2E">
        <w:rPr>
          <w:rFonts w:ascii="Times New Roman" w:hAnsi="Times New Roman" w:cs="Times New Roman"/>
          <w:sz w:val="28"/>
          <w:szCs w:val="28"/>
        </w:rPr>
        <w:t xml:space="preserve">. </w:t>
      </w:r>
    </w:p>
    <w:p w14:paraId="1793B832" w14:textId="77777777" w:rsidR="00F50E2E" w:rsidRDefault="00F50E2E" w:rsidP="000F4E51">
      <w:pPr>
        <w:spacing w:after="0" w:line="240" w:lineRule="auto"/>
        <w:ind w:right="-284" w:firstLine="567"/>
        <w:jc w:val="both"/>
        <w:rPr>
          <w:rFonts w:ascii="Times New Roman" w:hAnsi="Times New Roman" w:cs="Times New Roman"/>
          <w:sz w:val="28"/>
          <w:szCs w:val="28"/>
        </w:rPr>
      </w:pPr>
    </w:p>
    <w:p w14:paraId="0A8F7203" w14:textId="1F2EF8C7" w:rsidR="00F50E2E" w:rsidRDefault="00F50E2E" w:rsidP="000F4E51">
      <w:pPr>
        <w:spacing w:after="0" w:line="240" w:lineRule="auto"/>
        <w:ind w:right="-284" w:firstLine="567"/>
        <w:jc w:val="both"/>
        <w:rPr>
          <w:rFonts w:ascii="Times New Roman" w:hAnsi="Times New Roman" w:cs="Times New Roman"/>
          <w:sz w:val="28"/>
          <w:szCs w:val="28"/>
        </w:rPr>
      </w:pPr>
      <w:r w:rsidRPr="00F50E2E">
        <w:rPr>
          <w:rFonts w:ascii="Times New Roman" w:hAnsi="Times New Roman" w:cs="Times New Roman"/>
          <w:sz w:val="28"/>
          <w:szCs w:val="28"/>
        </w:rPr>
        <w:t xml:space="preserve">Таблица </w:t>
      </w:r>
      <w:r>
        <w:rPr>
          <w:rFonts w:ascii="Times New Roman" w:hAnsi="Times New Roman" w:cs="Times New Roman"/>
          <w:sz w:val="28"/>
          <w:szCs w:val="28"/>
        </w:rPr>
        <w:t>6</w:t>
      </w:r>
      <w:r w:rsidR="00C6385D">
        <w:rPr>
          <w:rFonts w:ascii="Times New Roman" w:hAnsi="Times New Roman" w:cs="Times New Roman"/>
          <w:sz w:val="28"/>
          <w:szCs w:val="28"/>
        </w:rPr>
        <w:t xml:space="preserve"> - </w:t>
      </w:r>
      <w:r w:rsidRPr="00F50E2E">
        <w:rPr>
          <w:rFonts w:ascii="Times New Roman" w:hAnsi="Times New Roman" w:cs="Times New Roman"/>
          <w:sz w:val="28"/>
          <w:szCs w:val="28"/>
        </w:rPr>
        <w:t>Входные параметры модели Маркова</w:t>
      </w:r>
      <w:r w:rsidR="00932A85" w:rsidRPr="00932A85">
        <w:rPr>
          <w:rFonts w:ascii="Times New Roman" w:hAnsi="Times New Roman" w:cs="Times New Roman"/>
          <w:sz w:val="28"/>
          <w:szCs w:val="28"/>
        </w:rPr>
        <w:t xml:space="preserve"> </w:t>
      </w:r>
      <w:r w:rsidR="00932A85" w:rsidRPr="00967575">
        <w:rPr>
          <w:rFonts w:ascii="Times New Roman" w:hAnsi="Times New Roman" w:cs="Times New Roman"/>
          <w:sz w:val="28"/>
          <w:szCs w:val="28"/>
        </w:rPr>
        <w:t>[117-122]</w:t>
      </w:r>
    </w:p>
    <w:p w14:paraId="680AA569" w14:textId="77777777" w:rsidR="00C6385D" w:rsidRPr="00967575" w:rsidRDefault="00C6385D" w:rsidP="000F4E51">
      <w:pPr>
        <w:spacing w:after="0" w:line="240" w:lineRule="auto"/>
        <w:ind w:right="-284" w:firstLine="567"/>
        <w:jc w:val="both"/>
        <w:rPr>
          <w:rFonts w:ascii="Times New Roman" w:hAnsi="Times New Roman" w:cs="Times New Roman"/>
          <w:sz w:val="28"/>
          <w:szCs w:val="28"/>
        </w:rPr>
      </w:pPr>
    </w:p>
    <w:tbl>
      <w:tblPr>
        <w:tblStyle w:val="ae"/>
        <w:tblW w:w="9634" w:type="dxa"/>
        <w:tblLook w:val="04A0" w:firstRow="1" w:lastRow="0" w:firstColumn="1" w:lastColumn="0" w:noHBand="0" w:noVBand="1"/>
      </w:tblPr>
      <w:tblGrid>
        <w:gridCol w:w="2336"/>
        <w:gridCol w:w="4747"/>
        <w:gridCol w:w="2551"/>
      </w:tblGrid>
      <w:tr w:rsidR="00F50E2E" w:rsidRPr="00F50E2E" w14:paraId="3FBA5B8E" w14:textId="77777777" w:rsidTr="00C6385D">
        <w:tc>
          <w:tcPr>
            <w:tcW w:w="2336" w:type="dxa"/>
          </w:tcPr>
          <w:p w14:paraId="247CE3A6" w14:textId="77777777" w:rsidR="00F50E2E" w:rsidRPr="00F50E2E" w:rsidRDefault="00F50E2E" w:rsidP="000F4E51">
            <w:pPr>
              <w:ind w:left="22" w:right="117" w:hanging="22"/>
              <w:rPr>
                <w:rFonts w:ascii="Times New Roman" w:hAnsi="Times New Roman" w:cs="Times New Roman"/>
                <w:sz w:val="24"/>
                <w:szCs w:val="24"/>
              </w:rPr>
            </w:pPr>
            <w:r w:rsidRPr="00F50E2E">
              <w:rPr>
                <w:rFonts w:ascii="Times New Roman" w:hAnsi="Times New Roman" w:cs="Times New Roman"/>
                <w:sz w:val="24"/>
                <w:szCs w:val="24"/>
              </w:rPr>
              <w:t>Категория</w:t>
            </w:r>
          </w:p>
        </w:tc>
        <w:tc>
          <w:tcPr>
            <w:tcW w:w="4747" w:type="dxa"/>
          </w:tcPr>
          <w:p w14:paraId="66361CD6"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Параметр</w:t>
            </w:r>
          </w:p>
        </w:tc>
        <w:tc>
          <w:tcPr>
            <w:tcW w:w="2551" w:type="dxa"/>
          </w:tcPr>
          <w:p w14:paraId="44FD2D29" w14:textId="77777777" w:rsidR="00F50E2E" w:rsidRPr="00F50E2E" w:rsidRDefault="00F50E2E" w:rsidP="000F4E51">
            <w:pPr>
              <w:ind w:right="-1135" w:firstLine="31"/>
              <w:rPr>
                <w:rFonts w:ascii="Times New Roman" w:hAnsi="Times New Roman" w:cs="Times New Roman"/>
                <w:sz w:val="24"/>
                <w:szCs w:val="24"/>
              </w:rPr>
            </w:pPr>
            <w:r w:rsidRPr="00F50E2E">
              <w:rPr>
                <w:rFonts w:ascii="Times New Roman" w:hAnsi="Times New Roman" w:cs="Times New Roman"/>
                <w:sz w:val="24"/>
                <w:szCs w:val="24"/>
              </w:rPr>
              <w:t>Значение</w:t>
            </w:r>
          </w:p>
        </w:tc>
      </w:tr>
      <w:tr w:rsidR="00F50E2E" w:rsidRPr="00F50E2E" w14:paraId="684D7B00" w14:textId="77777777" w:rsidTr="00C6385D">
        <w:tc>
          <w:tcPr>
            <w:tcW w:w="2336" w:type="dxa"/>
          </w:tcPr>
          <w:p w14:paraId="6B57325F" w14:textId="77777777" w:rsidR="00F50E2E" w:rsidRPr="00F50E2E" w:rsidRDefault="00F50E2E" w:rsidP="000F4E51">
            <w:pPr>
              <w:ind w:left="22" w:right="117" w:hanging="22"/>
              <w:rPr>
                <w:rFonts w:ascii="Times New Roman" w:hAnsi="Times New Roman" w:cs="Times New Roman"/>
                <w:sz w:val="24"/>
                <w:szCs w:val="24"/>
              </w:rPr>
            </w:pPr>
            <w:r w:rsidRPr="00F50E2E">
              <w:rPr>
                <w:rFonts w:ascii="Times New Roman" w:hAnsi="Times New Roman" w:cs="Times New Roman"/>
                <w:sz w:val="24"/>
                <w:szCs w:val="24"/>
              </w:rPr>
              <w:t>Демография</w:t>
            </w:r>
          </w:p>
        </w:tc>
        <w:tc>
          <w:tcPr>
            <w:tcW w:w="4747" w:type="dxa"/>
          </w:tcPr>
          <w:p w14:paraId="0B3453E9"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Возраст пациентов при входе в модель, лет</w:t>
            </w:r>
          </w:p>
        </w:tc>
        <w:tc>
          <w:tcPr>
            <w:tcW w:w="2551" w:type="dxa"/>
          </w:tcPr>
          <w:p w14:paraId="7183CC9C" w14:textId="09C227D1" w:rsidR="00F50E2E" w:rsidRPr="00F50E2E" w:rsidRDefault="00F50E2E" w:rsidP="000F4E51">
            <w:pPr>
              <w:ind w:right="-1135" w:firstLine="31"/>
              <w:rPr>
                <w:rFonts w:ascii="Times New Roman" w:hAnsi="Times New Roman" w:cs="Times New Roman"/>
                <w:sz w:val="24"/>
                <w:szCs w:val="24"/>
                <w:lang w:val="en-US"/>
              </w:rPr>
            </w:pPr>
            <w:r w:rsidRPr="00F50E2E">
              <w:rPr>
                <w:rFonts w:ascii="Times New Roman" w:hAnsi="Times New Roman" w:cs="Times New Roman"/>
                <w:sz w:val="24"/>
                <w:szCs w:val="24"/>
              </w:rPr>
              <w:t xml:space="preserve">70 (68-74 лет) </w:t>
            </w:r>
          </w:p>
        </w:tc>
      </w:tr>
      <w:tr w:rsidR="00F50E2E" w:rsidRPr="00F50E2E" w14:paraId="61BEB97E" w14:textId="77777777" w:rsidTr="00C6385D">
        <w:tc>
          <w:tcPr>
            <w:tcW w:w="2336" w:type="dxa"/>
            <w:vMerge w:val="restart"/>
          </w:tcPr>
          <w:p w14:paraId="7F74926D" w14:textId="77777777" w:rsidR="00F50E2E" w:rsidRPr="00F50E2E" w:rsidRDefault="00F50E2E" w:rsidP="000F4E51">
            <w:pPr>
              <w:ind w:left="22" w:right="117" w:hanging="22"/>
              <w:rPr>
                <w:rFonts w:ascii="Times New Roman" w:hAnsi="Times New Roman" w:cs="Times New Roman"/>
                <w:sz w:val="24"/>
                <w:szCs w:val="24"/>
              </w:rPr>
            </w:pPr>
            <w:r w:rsidRPr="00F50E2E">
              <w:rPr>
                <w:rFonts w:ascii="Times New Roman" w:hAnsi="Times New Roman" w:cs="Times New Roman"/>
                <w:sz w:val="24"/>
                <w:szCs w:val="24"/>
              </w:rPr>
              <w:t>Риски смертности</w:t>
            </w:r>
          </w:p>
        </w:tc>
        <w:tc>
          <w:tcPr>
            <w:tcW w:w="4747" w:type="dxa"/>
          </w:tcPr>
          <w:p w14:paraId="36226139"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Отношение рисков смерти спустя &gt;1 года для независимых пациентов (mRS 0-2)*</w:t>
            </w:r>
          </w:p>
        </w:tc>
        <w:tc>
          <w:tcPr>
            <w:tcW w:w="2551" w:type="dxa"/>
          </w:tcPr>
          <w:p w14:paraId="5FF8AAD6" w14:textId="787E23CF" w:rsidR="00F50E2E" w:rsidRPr="00F50E2E" w:rsidRDefault="00F50E2E" w:rsidP="000F4E51">
            <w:pPr>
              <w:ind w:right="-1135" w:firstLine="31"/>
              <w:rPr>
                <w:rFonts w:ascii="Times New Roman" w:hAnsi="Times New Roman" w:cs="Times New Roman"/>
                <w:sz w:val="24"/>
                <w:szCs w:val="24"/>
                <w:lang w:val="en-US"/>
              </w:rPr>
            </w:pPr>
            <w:r w:rsidRPr="00F50E2E">
              <w:rPr>
                <w:rFonts w:ascii="Times New Roman" w:hAnsi="Times New Roman" w:cs="Times New Roman"/>
                <w:sz w:val="24"/>
                <w:szCs w:val="24"/>
              </w:rPr>
              <w:t>1,04 (0,89-1,30)</w:t>
            </w:r>
            <w:r w:rsidRPr="00F50E2E">
              <w:rPr>
                <w:rFonts w:ascii="Times New Roman" w:hAnsi="Times New Roman" w:cs="Times New Roman"/>
                <w:sz w:val="24"/>
                <w:szCs w:val="24"/>
                <w:lang w:val="en-US"/>
              </w:rPr>
              <w:t xml:space="preserve"> </w:t>
            </w:r>
          </w:p>
        </w:tc>
      </w:tr>
      <w:tr w:rsidR="00F50E2E" w:rsidRPr="00F50E2E" w14:paraId="37DCBC03" w14:textId="77777777" w:rsidTr="00C6385D">
        <w:tc>
          <w:tcPr>
            <w:tcW w:w="2336" w:type="dxa"/>
            <w:vMerge/>
          </w:tcPr>
          <w:p w14:paraId="6CDF0A3C" w14:textId="77777777" w:rsidR="00F50E2E" w:rsidRPr="00F50E2E" w:rsidRDefault="00F50E2E" w:rsidP="000F4E51">
            <w:pPr>
              <w:ind w:left="22" w:right="117" w:hanging="22"/>
              <w:rPr>
                <w:rFonts w:ascii="Times New Roman" w:hAnsi="Times New Roman" w:cs="Times New Roman"/>
                <w:sz w:val="24"/>
                <w:szCs w:val="24"/>
              </w:rPr>
            </w:pPr>
          </w:p>
        </w:tc>
        <w:tc>
          <w:tcPr>
            <w:tcW w:w="4747" w:type="dxa"/>
          </w:tcPr>
          <w:p w14:paraId="43989C7A"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Отношение рисков смерти спустя &gt;1 года для зависимых пациентов (mRS 3-5)*</w:t>
            </w:r>
          </w:p>
        </w:tc>
        <w:tc>
          <w:tcPr>
            <w:tcW w:w="2551" w:type="dxa"/>
          </w:tcPr>
          <w:p w14:paraId="50B7D7C0" w14:textId="5C481B43" w:rsidR="00F50E2E" w:rsidRPr="00F50E2E" w:rsidRDefault="00F50E2E" w:rsidP="000F4E51">
            <w:pPr>
              <w:ind w:right="-1135" w:firstLine="31"/>
              <w:rPr>
                <w:rFonts w:ascii="Times New Roman" w:hAnsi="Times New Roman" w:cs="Times New Roman"/>
                <w:sz w:val="24"/>
                <w:szCs w:val="24"/>
                <w:lang w:val="en-US"/>
              </w:rPr>
            </w:pPr>
            <w:r w:rsidRPr="00F50E2E">
              <w:rPr>
                <w:rFonts w:ascii="Times New Roman" w:hAnsi="Times New Roman" w:cs="Times New Roman"/>
                <w:sz w:val="24"/>
                <w:szCs w:val="24"/>
              </w:rPr>
              <w:t>1,78 (1,02-2,84)</w:t>
            </w:r>
          </w:p>
        </w:tc>
      </w:tr>
      <w:tr w:rsidR="00F50E2E" w:rsidRPr="00F50E2E" w14:paraId="4EEB60FD" w14:textId="77777777" w:rsidTr="00C6385D">
        <w:tc>
          <w:tcPr>
            <w:tcW w:w="2336" w:type="dxa"/>
            <w:vMerge w:val="restart"/>
          </w:tcPr>
          <w:p w14:paraId="2A25A212" w14:textId="77777777" w:rsidR="00F50E2E" w:rsidRPr="00F50E2E" w:rsidRDefault="00F50E2E" w:rsidP="000F4E51">
            <w:pPr>
              <w:ind w:left="22" w:right="117" w:hanging="22"/>
              <w:rPr>
                <w:rFonts w:ascii="Times New Roman" w:hAnsi="Times New Roman" w:cs="Times New Roman"/>
                <w:sz w:val="24"/>
                <w:szCs w:val="24"/>
              </w:rPr>
            </w:pPr>
            <w:r w:rsidRPr="00F50E2E">
              <w:rPr>
                <w:rFonts w:ascii="Times New Roman" w:hAnsi="Times New Roman" w:cs="Times New Roman"/>
                <w:sz w:val="24"/>
                <w:szCs w:val="24"/>
              </w:rPr>
              <w:t>Повторный инсульт</w:t>
            </w:r>
          </w:p>
        </w:tc>
        <w:tc>
          <w:tcPr>
            <w:tcW w:w="4747" w:type="dxa"/>
          </w:tcPr>
          <w:p w14:paraId="00C7645C"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Годовой риск повторного инсульта</w:t>
            </w:r>
          </w:p>
        </w:tc>
        <w:tc>
          <w:tcPr>
            <w:tcW w:w="2551" w:type="dxa"/>
          </w:tcPr>
          <w:p w14:paraId="7C61CC66" w14:textId="77777777" w:rsidR="00F50E2E" w:rsidRPr="00F50E2E" w:rsidRDefault="00F50E2E" w:rsidP="000F4E51">
            <w:pPr>
              <w:ind w:right="-1135" w:firstLine="31"/>
              <w:rPr>
                <w:rFonts w:ascii="Times New Roman" w:hAnsi="Times New Roman" w:cs="Times New Roman"/>
                <w:sz w:val="24"/>
                <w:szCs w:val="24"/>
              </w:rPr>
            </w:pPr>
            <w:r w:rsidRPr="00F50E2E">
              <w:rPr>
                <w:rFonts w:ascii="Times New Roman" w:hAnsi="Times New Roman" w:cs="Times New Roman"/>
                <w:sz w:val="24"/>
                <w:szCs w:val="24"/>
              </w:rPr>
              <w:t>0,05 (0,036-0,067)</w:t>
            </w:r>
          </w:p>
        </w:tc>
      </w:tr>
      <w:tr w:rsidR="00F50E2E" w:rsidRPr="00F50E2E" w14:paraId="3F97D2C6" w14:textId="77777777" w:rsidTr="00C6385D">
        <w:tc>
          <w:tcPr>
            <w:tcW w:w="2336" w:type="dxa"/>
            <w:vMerge/>
          </w:tcPr>
          <w:p w14:paraId="36F4998F" w14:textId="77777777" w:rsidR="00F50E2E" w:rsidRPr="00F50E2E" w:rsidRDefault="00F50E2E" w:rsidP="000F4E51">
            <w:pPr>
              <w:ind w:left="22" w:right="117" w:hanging="22"/>
              <w:rPr>
                <w:rFonts w:ascii="Times New Roman" w:hAnsi="Times New Roman" w:cs="Times New Roman"/>
                <w:sz w:val="24"/>
                <w:szCs w:val="24"/>
              </w:rPr>
            </w:pPr>
          </w:p>
        </w:tc>
        <w:tc>
          <w:tcPr>
            <w:tcW w:w="4747" w:type="dxa"/>
          </w:tcPr>
          <w:p w14:paraId="60B3E002"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Летальность при повторном инсульте (0-90 дней)</w:t>
            </w:r>
          </w:p>
        </w:tc>
        <w:tc>
          <w:tcPr>
            <w:tcW w:w="2551" w:type="dxa"/>
          </w:tcPr>
          <w:p w14:paraId="6FA59D7E" w14:textId="2639207C" w:rsidR="00F50E2E" w:rsidRPr="00F50E2E" w:rsidRDefault="00F50E2E" w:rsidP="000F4E51">
            <w:pPr>
              <w:ind w:right="-1135" w:firstLine="31"/>
              <w:rPr>
                <w:rFonts w:ascii="Times New Roman" w:hAnsi="Times New Roman" w:cs="Times New Roman"/>
                <w:sz w:val="24"/>
                <w:szCs w:val="24"/>
                <w:lang w:val="en-US"/>
              </w:rPr>
            </w:pPr>
            <w:r w:rsidRPr="00F50E2E">
              <w:rPr>
                <w:rFonts w:ascii="Times New Roman" w:hAnsi="Times New Roman" w:cs="Times New Roman"/>
                <w:sz w:val="24"/>
                <w:szCs w:val="24"/>
              </w:rPr>
              <w:t>0,19 (0,152-0,228)</w:t>
            </w:r>
            <w:r w:rsidRPr="00F50E2E">
              <w:rPr>
                <w:rFonts w:ascii="Times New Roman" w:hAnsi="Times New Roman" w:cs="Times New Roman"/>
                <w:sz w:val="24"/>
                <w:szCs w:val="24"/>
                <w:lang w:val="en-US"/>
              </w:rPr>
              <w:t xml:space="preserve"> </w:t>
            </w:r>
          </w:p>
        </w:tc>
      </w:tr>
      <w:tr w:rsidR="00F50E2E" w:rsidRPr="00F50E2E" w14:paraId="1A35FEB1" w14:textId="77777777" w:rsidTr="00C6385D">
        <w:tc>
          <w:tcPr>
            <w:tcW w:w="2336" w:type="dxa"/>
            <w:vMerge w:val="restart"/>
          </w:tcPr>
          <w:p w14:paraId="3E7DD444" w14:textId="77777777" w:rsidR="00F50E2E" w:rsidRPr="00F50E2E" w:rsidRDefault="00F50E2E" w:rsidP="000F4E51">
            <w:pPr>
              <w:ind w:left="22" w:right="117" w:hanging="22"/>
              <w:rPr>
                <w:rFonts w:ascii="Times New Roman" w:hAnsi="Times New Roman" w:cs="Times New Roman"/>
                <w:sz w:val="24"/>
                <w:szCs w:val="24"/>
              </w:rPr>
            </w:pPr>
            <w:r w:rsidRPr="00F50E2E">
              <w:rPr>
                <w:rFonts w:ascii="Times New Roman" w:hAnsi="Times New Roman" w:cs="Times New Roman"/>
                <w:sz w:val="24"/>
                <w:szCs w:val="24"/>
              </w:rPr>
              <w:t>Функциональные исходы</w:t>
            </w:r>
          </w:p>
        </w:tc>
        <w:tc>
          <w:tcPr>
            <w:tcW w:w="4747" w:type="dxa"/>
          </w:tcPr>
          <w:p w14:paraId="7C45027A"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Доля независимых среди выживших (после инсульта)</w:t>
            </w:r>
          </w:p>
        </w:tc>
        <w:tc>
          <w:tcPr>
            <w:tcW w:w="2551" w:type="dxa"/>
          </w:tcPr>
          <w:p w14:paraId="7E7CF0FC" w14:textId="77777777" w:rsidR="00F50E2E" w:rsidRPr="00F50E2E" w:rsidRDefault="00F50E2E" w:rsidP="000F4E51">
            <w:pPr>
              <w:ind w:right="-1135" w:firstLine="31"/>
              <w:rPr>
                <w:rFonts w:ascii="Times New Roman" w:hAnsi="Times New Roman" w:cs="Times New Roman"/>
                <w:sz w:val="24"/>
                <w:szCs w:val="24"/>
              </w:rPr>
            </w:pPr>
            <w:r w:rsidRPr="00F50E2E">
              <w:rPr>
                <w:rFonts w:ascii="Times New Roman" w:hAnsi="Times New Roman" w:cs="Times New Roman"/>
                <w:sz w:val="24"/>
                <w:szCs w:val="24"/>
              </w:rPr>
              <w:t>0,500 (0,35-0,65)</w:t>
            </w:r>
          </w:p>
        </w:tc>
      </w:tr>
      <w:tr w:rsidR="00F50E2E" w:rsidRPr="00F50E2E" w14:paraId="5E79B286" w14:textId="77777777" w:rsidTr="00C6385D">
        <w:tc>
          <w:tcPr>
            <w:tcW w:w="2336" w:type="dxa"/>
            <w:vMerge/>
          </w:tcPr>
          <w:p w14:paraId="24788B9E" w14:textId="77777777" w:rsidR="00F50E2E" w:rsidRPr="00F50E2E" w:rsidRDefault="00F50E2E" w:rsidP="000F4E51">
            <w:pPr>
              <w:ind w:left="22" w:right="117" w:hanging="22"/>
              <w:rPr>
                <w:rFonts w:ascii="Times New Roman" w:hAnsi="Times New Roman" w:cs="Times New Roman"/>
                <w:sz w:val="24"/>
                <w:szCs w:val="24"/>
              </w:rPr>
            </w:pPr>
          </w:p>
        </w:tc>
        <w:tc>
          <w:tcPr>
            <w:tcW w:w="4747" w:type="dxa"/>
          </w:tcPr>
          <w:p w14:paraId="3F90F288"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Переход из зависимого в независимое состояние (только в первый год, реабилитационное восстановление)</w:t>
            </w:r>
          </w:p>
        </w:tc>
        <w:tc>
          <w:tcPr>
            <w:tcW w:w="2551" w:type="dxa"/>
          </w:tcPr>
          <w:p w14:paraId="36B525D8" w14:textId="77777777" w:rsidR="00F50E2E" w:rsidRPr="00F50E2E" w:rsidRDefault="00F50E2E" w:rsidP="000F4E51">
            <w:pPr>
              <w:ind w:right="-1135" w:firstLine="31"/>
              <w:rPr>
                <w:rFonts w:ascii="Times New Roman" w:hAnsi="Times New Roman" w:cs="Times New Roman"/>
                <w:sz w:val="24"/>
                <w:szCs w:val="24"/>
              </w:rPr>
            </w:pPr>
            <w:r w:rsidRPr="00F50E2E">
              <w:rPr>
                <w:rFonts w:ascii="Times New Roman" w:hAnsi="Times New Roman" w:cs="Times New Roman"/>
                <w:sz w:val="24"/>
                <w:szCs w:val="24"/>
              </w:rPr>
              <w:t>0,110 (0,078-0,144)</w:t>
            </w:r>
          </w:p>
        </w:tc>
      </w:tr>
      <w:tr w:rsidR="00F50E2E" w:rsidRPr="00F50E2E" w14:paraId="1D6DCB95" w14:textId="77777777" w:rsidTr="00C6385D">
        <w:tc>
          <w:tcPr>
            <w:tcW w:w="2336" w:type="dxa"/>
            <w:vMerge w:val="restart"/>
          </w:tcPr>
          <w:p w14:paraId="7DC29D76" w14:textId="77777777" w:rsidR="00F50E2E" w:rsidRPr="00F50E2E" w:rsidRDefault="00F50E2E" w:rsidP="000F4E51">
            <w:pPr>
              <w:ind w:left="22" w:right="117" w:hanging="22"/>
              <w:rPr>
                <w:rFonts w:ascii="Times New Roman" w:hAnsi="Times New Roman" w:cs="Times New Roman"/>
                <w:sz w:val="24"/>
                <w:szCs w:val="24"/>
              </w:rPr>
            </w:pPr>
            <w:r w:rsidRPr="00F50E2E">
              <w:rPr>
                <w:rFonts w:ascii="Times New Roman" w:hAnsi="Times New Roman" w:cs="Times New Roman"/>
                <w:sz w:val="24"/>
                <w:szCs w:val="24"/>
              </w:rPr>
              <w:t>Полезности (QALY)</w:t>
            </w:r>
          </w:p>
        </w:tc>
        <w:tc>
          <w:tcPr>
            <w:tcW w:w="4747" w:type="dxa"/>
          </w:tcPr>
          <w:p w14:paraId="2E1FAF74"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Для независимого состояния (mRS 0-2)</w:t>
            </w:r>
          </w:p>
        </w:tc>
        <w:tc>
          <w:tcPr>
            <w:tcW w:w="2551" w:type="dxa"/>
          </w:tcPr>
          <w:p w14:paraId="109ACB16" w14:textId="56F86942" w:rsidR="00F50E2E" w:rsidRPr="00F50E2E" w:rsidRDefault="00F50E2E" w:rsidP="000F4E51">
            <w:pPr>
              <w:ind w:right="-1135" w:firstLine="31"/>
              <w:rPr>
                <w:rFonts w:ascii="Times New Roman" w:hAnsi="Times New Roman" w:cs="Times New Roman"/>
                <w:sz w:val="24"/>
                <w:szCs w:val="24"/>
                <w:lang w:val="en-US"/>
              </w:rPr>
            </w:pPr>
            <w:r w:rsidRPr="00F50E2E">
              <w:rPr>
                <w:rFonts w:ascii="Times New Roman" w:hAnsi="Times New Roman" w:cs="Times New Roman"/>
                <w:sz w:val="24"/>
                <w:szCs w:val="24"/>
              </w:rPr>
              <w:t>0,74 (0,70-,077)</w:t>
            </w:r>
            <w:r w:rsidRPr="00F50E2E">
              <w:rPr>
                <w:rFonts w:ascii="Times New Roman" w:hAnsi="Times New Roman" w:cs="Times New Roman"/>
                <w:sz w:val="24"/>
                <w:szCs w:val="24"/>
                <w:lang w:val="en-US"/>
              </w:rPr>
              <w:t xml:space="preserve"> </w:t>
            </w:r>
          </w:p>
        </w:tc>
      </w:tr>
      <w:tr w:rsidR="00F50E2E" w:rsidRPr="00F50E2E" w14:paraId="2182503E" w14:textId="77777777" w:rsidTr="00C6385D">
        <w:tc>
          <w:tcPr>
            <w:tcW w:w="2336" w:type="dxa"/>
            <w:vMerge/>
          </w:tcPr>
          <w:p w14:paraId="1827DCA3" w14:textId="77777777" w:rsidR="00F50E2E" w:rsidRPr="00F50E2E" w:rsidRDefault="00F50E2E" w:rsidP="000F4E51">
            <w:pPr>
              <w:ind w:left="22" w:right="117" w:hanging="22"/>
              <w:rPr>
                <w:rFonts w:ascii="Times New Roman" w:hAnsi="Times New Roman" w:cs="Times New Roman"/>
                <w:sz w:val="24"/>
                <w:szCs w:val="24"/>
              </w:rPr>
            </w:pPr>
          </w:p>
        </w:tc>
        <w:tc>
          <w:tcPr>
            <w:tcW w:w="4747" w:type="dxa"/>
          </w:tcPr>
          <w:p w14:paraId="4C4813F5"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Для зависимого состояния (mRS 3-5)</w:t>
            </w:r>
          </w:p>
        </w:tc>
        <w:tc>
          <w:tcPr>
            <w:tcW w:w="2551" w:type="dxa"/>
          </w:tcPr>
          <w:p w14:paraId="0432876F" w14:textId="12EAE55E" w:rsidR="00F50E2E" w:rsidRPr="00F50E2E" w:rsidRDefault="00F50E2E" w:rsidP="000F4E51">
            <w:pPr>
              <w:ind w:right="-1135" w:firstLine="31"/>
              <w:rPr>
                <w:rFonts w:ascii="Times New Roman" w:hAnsi="Times New Roman" w:cs="Times New Roman"/>
                <w:sz w:val="24"/>
                <w:szCs w:val="24"/>
                <w:lang w:val="en-US"/>
              </w:rPr>
            </w:pPr>
            <w:r w:rsidRPr="00F50E2E">
              <w:rPr>
                <w:rFonts w:ascii="Times New Roman" w:hAnsi="Times New Roman" w:cs="Times New Roman"/>
                <w:sz w:val="24"/>
                <w:szCs w:val="24"/>
              </w:rPr>
              <w:t>0,38 (0,29-0,47)</w:t>
            </w:r>
            <w:r w:rsidRPr="00F50E2E">
              <w:rPr>
                <w:rFonts w:ascii="Times New Roman" w:hAnsi="Times New Roman" w:cs="Times New Roman"/>
                <w:sz w:val="24"/>
                <w:szCs w:val="24"/>
                <w:lang w:val="en-US"/>
              </w:rPr>
              <w:t xml:space="preserve"> </w:t>
            </w:r>
          </w:p>
        </w:tc>
      </w:tr>
      <w:tr w:rsidR="00F50E2E" w:rsidRPr="00F50E2E" w14:paraId="6FFDE496" w14:textId="77777777" w:rsidTr="00C6385D">
        <w:tc>
          <w:tcPr>
            <w:tcW w:w="2336" w:type="dxa"/>
          </w:tcPr>
          <w:p w14:paraId="1F4D26BA" w14:textId="77777777" w:rsidR="00F50E2E" w:rsidRPr="00F50E2E" w:rsidRDefault="00F50E2E" w:rsidP="000F4E51">
            <w:pPr>
              <w:ind w:left="22" w:right="117" w:hanging="22"/>
              <w:rPr>
                <w:rFonts w:ascii="Times New Roman" w:hAnsi="Times New Roman" w:cs="Times New Roman"/>
                <w:sz w:val="24"/>
                <w:szCs w:val="24"/>
              </w:rPr>
            </w:pPr>
            <w:r w:rsidRPr="00F50E2E">
              <w:rPr>
                <w:rFonts w:ascii="Times New Roman" w:hAnsi="Times New Roman" w:cs="Times New Roman"/>
                <w:sz w:val="24"/>
                <w:szCs w:val="24"/>
              </w:rPr>
              <w:t>Дисконтирование</w:t>
            </w:r>
          </w:p>
        </w:tc>
        <w:tc>
          <w:tcPr>
            <w:tcW w:w="4747" w:type="dxa"/>
          </w:tcPr>
          <w:p w14:paraId="6DD37CFE"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Ставка дисконтирования</w:t>
            </w:r>
          </w:p>
        </w:tc>
        <w:tc>
          <w:tcPr>
            <w:tcW w:w="2551" w:type="dxa"/>
          </w:tcPr>
          <w:p w14:paraId="656F0ACA" w14:textId="77777777" w:rsidR="00F50E2E" w:rsidRPr="00F50E2E" w:rsidRDefault="00F50E2E" w:rsidP="000F4E51">
            <w:pPr>
              <w:ind w:right="-1135" w:firstLine="31"/>
              <w:rPr>
                <w:rFonts w:ascii="Times New Roman" w:hAnsi="Times New Roman" w:cs="Times New Roman"/>
                <w:sz w:val="24"/>
                <w:szCs w:val="24"/>
              </w:rPr>
            </w:pPr>
            <w:r w:rsidRPr="00F50E2E">
              <w:rPr>
                <w:rFonts w:ascii="Times New Roman" w:hAnsi="Times New Roman" w:cs="Times New Roman"/>
                <w:sz w:val="24"/>
                <w:szCs w:val="24"/>
              </w:rPr>
              <w:t>0,04 в год</w:t>
            </w:r>
          </w:p>
        </w:tc>
      </w:tr>
      <w:tr w:rsidR="00F50E2E" w:rsidRPr="00F50E2E" w14:paraId="57F9C70D" w14:textId="77777777" w:rsidTr="00C6385D">
        <w:tc>
          <w:tcPr>
            <w:tcW w:w="2336" w:type="dxa"/>
            <w:vMerge w:val="restart"/>
          </w:tcPr>
          <w:p w14:paraId="7A373C55" w14:textId="77777777" w:rsidR="00F50E2E" w:rsidRPr="00F50E2E" w:rsidRDefault="00F50E2E" w:rsidP="000F4E51">
            <w:pPr>
              <w:ind w:left="22" w:right="117" w:hanging="22"/>
              <w:rPr>
                <w:rFonts w:ascii="Times New Roman" w:hAnsi="Times New Roman" w:cs="Times New Roman"/>
                <w:sz w:val="24"/>
                <w:szCs w:val="24"/>
              </w:rPr>
            </w:pPr>
            <w:r w:rsidRPr="00F50E2E">
              <w:rPr>
                <w:rFonts w:ascii="Times New Roman" w:hAnsi="Times New Roman" w:cs="Times New Roman"/>
                <w:sz w:val="24"/>
                <w:szCs w:val="24"/>
              </w:rPr>
              <w:t>Затраты</w:t>
            </w:r>
          </w:p>
        </w:tc>
        <w:tc>
          <w:tcPr>
            <w:tcW w:w="4747" w:type="dxa"/>
          </w:tcPr>
          <w:p w14:paraId="3412942C"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Вызов СМП</w:t>
            </w:r>
          </w:p>
        </w:tc>
        <w:tc>
          <w:tcPr>
            <w:tcW w:w="2551" w:type="dxa"/>
          </w:tcPr>
          <w:p w14:paraId="47CB293C" w14:textId="586DF933" w:rsidR="00F50E2E" w:rsidRPr="00F50E2E" w:rsidRDefault="00F50E2E" w:rsidP="000F4E51">
            <w:pPr>
              <w:ind w:right="-1135" w:firstLine="31"/>
              <w:rPr>
                <w:rFonts w:ascii="Times New Roman" w:hAnsi="Times New Roman" w:cs="Times New Roman"/>
                <w:sz w:val="24"/>
                <w:szCs w:val="24"/>
                <w:lang w:val="en-US"/>
              </w:rPr>
            </w:pPr>
            <w:r w:rsidRPr="00F50E2E">
              <w:rPr>
                <w:rFonts w:ascii="Times New Roman" w:hAnsi="Times New Roman" w:cs="Times New Roman"/>
                <w:sz w:val="24"/>
                <w:szCs w:val="24"/>
              </w:rPr>
              <w:t>6 255</w:t>
            </w:r>
            <w:r w:rsidRPr="00F50E2E">
              <w:rPr>
                <w:rFonts w:ascii="Times New Roman" w:hAnsi="Times New Roman" w:cs="Times New Roman"/>
                <w:sz w:val="24"/>
                <w:szCs w:val="24"/>
                <w:lang w:val="en-US"/>
              </w:rPr>
              <w:t xml:space="preserve"> </w:t>
            </w:r>
          </w:p>
        </w:tc>
      </w:tr>
      <w:tr w:rsidR="00F50E2E" w:rsidRPr="00F50E2E" w14:paraId="3551D510" w14:textId="77777777" w:rsidTr="00C6385D">
        <w:tc>
          <w:tcPr>
            <w:tcW w:w="2336" w:type="dxa"/>
            <w:vMerge/>
            <w:vAlign w:val="bottom"/>
          </w:tcPr>
          <w:p w14:paraId="245618EA" w14:textId="77777777" w:rsidR="00F50E2E" w:rsidRPr="00F50E2E" w:rsidRDefault="00F50E2E" w:rsidP="000F4E51">
            <w:pPr>
              <w:ind w:left="22" w:right="117" w:hanging="22"/>
              <w:rPr>
                <w:rFonts w:ascii="Times New Roman" w:hAnsi="Times New Roman" w:cs="Times New Roman"/>
                <w:sz w:val="24"/>
                <w:szCs w:val="24"/>
              </w:rPr>
            </w:pPr>
          </w:p>
        </w:tc>
        <w:tc>
          <w:tcPr>
            <w:tcW w:w="4747" w:type="dxa"/>
            <w:vAlign w:val="bottom"/>
          </w:tcPr>
          <w:p w14:paraId="16067EA9"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Средняя стоимость стационарного лечения инсульта</w:t>
            </w:r>
          </w:p>
        </w:tc>
        <w:tc>
          <w:tcPr>
            <w:tcW w:w="2551" w:type="dxa"/>
            <w:vAlign w:val="bottom"/>
          </w:tcPr>
          <w:p w14:paraId="1235CEF9" w14:textId="77777777" w:rsidR="00F50E2E" w:rsidRPr="00F50E2E" w:rsidRDefault="00F50E2E" w:rsidP="000F4E51">
            <w:pPr>
              <w:ind w:right="-1135" w:firstLine="31"/>
              <w:rPr>
                <w:rFonts w:ascii="Times New Roman" w:hAnsi="Times New Roman" w:cs="Times New Roman"/>
                <w:sz w:val="24"/>
                <w:szCs w:val="24"/>
              </w:rPr>
            </w:pPr>
            <w:r w:rsidRPr="00F50E2E">
              <w:rPr>
                <w:rFonts w:ascii="Times New Roman" w:hAnsi="Times New Roman" w:cs="Times New Roman"/>
                <w:sz w:val="24"/>
                <w:szCs w:val="24"/>
              </w:rPr>
              <w:t>582 263</w:t>
            </w:r>
          </w:p>
        </w:tc>
      </w:tr>
      <w:tr w:rsidR="00F50E2E" w:rsidRPr="00F50E2E" w14:paraId="055FB4D7" w14:textId="77777777" w:rsidTr="00C6385D">
        <w:tc>
          <w:tcPr>
            <w:tcW w:w="2336" w:type="dxa"/>
            <w:vMerge/>
            <w:vAlign w:val="bottom"/>
          </w:tcPr>
          <w:p w14:paraId="1F679FE8" w14:textId="77777777" w:rsidR="00F50E2E" w:rsidRPr="00F50E2E" w:rsidRDefault="00F50E2E" w:rsidP="000F4E51">
            <w:pPr>
              <w:ind w:left="22" w:right="117" w:hanging="22"/>
              <w:rPr>
                <w:rFonts w:ascii="Times New Roman" w:hAnsi="Times New Roman" w:cs="Times New Roman"/>
                <w:sz w:val="24"/>
                <w:szCs w:val="24"/>
              </w:rPr>
            </w:pPr>
          </w:p>
        </w:tc>
        <w:tc>
          <w:tcPr>
            <w:tcW w:w="4747" w:type="dxa"/>
            <w:vAlign w:val="bottom"/>
          </w:tcPr>
          <w:p w14:paraId="656E39A2"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Средний размер пособия по инвалидности, ₸/год</w:t>
            </w:r>
          </w:p>
        </w:tc>
        <w:tc>
          <w:tcPr>
            <w:tcW w:w="2551" w:type="dxa"/>
            <w:vAlign w:val="bottom"/>
          </w:tcPr>
          <w:p w14:paraId="50A5D816" w14:textId="0DFE0042" w:rsidR="00F50E2E" w:rsidRPr="00F50E2E" w:rsidRDefault="00F50E2E" w:rsidP="000F4E51">
            <w:pPr>
              <w:ind w:right="-1135" w:firstLine="31"/>
              <w:rPr>
                <w:rFonts w:ascii="Times New Roman" w:hAnsi="Times New Roman" w:cs="Times New Roman"/>
                <w:sz w:val="24"/>
                <w:szCs w:val="24"/>
                <w:lang w:val="en-US"/>
              </w:rPr>
            </w:pPr>
            <w:r w:rsidRPr="00F50E2E">
              <w:rPr>
                <w:rFonts w:ascii="Times New Roman" w:hAnsi="Times New Roman" w:cs="Times New Roman"/>
                <w:sz w:val="24"/>
                <w:szCs w:val="24"/>
              </w:rPr>
              <w:t>170 156</w:t>
            </w:r>
            <w:r w:rsidRPr="00F50E2E">
              <w:rPr>
                <w:rFonts w:ascii="Times New Roman" w:hAnsi="Times New Roman" w:cs="Times New Roman"/>
                <w:sz w:val="24"/>
                <w:szCs w:val="24"/>
                <w:lang w:val="en-US"/>
              </w:rPr>
              <w:t xml:space="preserve"> </w:t>
            </w:r>
          </w:p>
        </w:tc>
      </w:tr>
      <w:tr w:rsidR="00F50E2E" w:rsidRPr="00F50E2E" w14:paraId="0BE722E1" w14:textId="77777777" w:rsidTr="00C6385D">
        <w:tc>
          <w:tcPr>
            <w:tcW w:w="2336" w:type="dxa"/>
            <w:vMerge/>
            <w:vAlign w:val="bottom"/>
          </w:tcPr>
          <w:p w14:paraId="43A93E59" w14:textId="77777777" w:rsidR="00F50E2E" w:rsidRPr="00F50E2E" w:rsidRDefault="00F50E2E" w:rsidP="000F4E51">
            <w:pPr>
              <w:ind w:left="22" w:right="117" w:hanging="22"/>
              <w:rPr>
                <w:rFonts w:ascii="Times New Roman" w:hAnsi="Times New Roman" w:cs="Times New Roman"/>
                <w:sz w:val="24"/>
                <w:szCs w:val="24"/>
              </w:rPr>
            </w:pPr>
          </w:p>
        </w:tc>
        <w:tc>
          <w:tcPr>
            <w:tcW w:w="4747" w:type="dxa"/>
            <w:vAlign w:val="bottom"/>
          </w:tcPr>
          <w:p w14:paraId="4EC9B68C"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2-й этап реабилитации</w:t>
            </w:r>
          </w:p>
        </w:tc>
        <w:tc>
          <w:tcPr>
            <w:tcW w:w="2551" w:type="dxa"/>
            <w:vAlign w:val="bottom"/>
          </w:tcPr>
          <w:p w14:paraId="2B6CE703" w14:textId="77777777" w:rsidR="00F50E2E" w:rsidRPr="00F50E2E" w:rsidRDefault="00F50E2E" w:rsidP="000F4E51">
            <w:pPr>
              <w:ind w:right="-1135" w:firstLine="31"/>
              <w:rPr>
                <w:rFonts w:ascii="Times New Roman" w:hAnsi="Times New Roman" w:cs="Times New Roman"/>
                <w:sz w:val="24"/>
                <w:szCs w:val="24"/>
              </w:rPr>
            </w:pPr>
            <w:r w:rsidRPr="00F50E2E">
              <w:rPr>
                <w:rFonts w:ascii="Times New Roman" w:hAnsi="Times New Roman" w:cs="Times New Roman"/>
                <w:sz w:val="24"/>
                <w:szCs w:val="24"/>
              </w:rPr>
              <w:t>311 547</w:t>
            </w:r>
          </w:p>
        </w:tc>
      </w:tr>
      <w:tr w:rsidR="00F50E2E" w:rsidRPr="00F50E2E" w14:paraId="5DCD5350" w14:textId="77777777" w:rsidTr="00C6385D">
        <w:tc>
          <w:tcPr>
            <w:tcW w:w="2336" w:type="dxa"/>
            <w:vMerge/>
            <w:vAlign w:val="bottom"/>
          </w:tcPr>
          <w:p w14:paraId="3D31BB79" w14:textId="77777777" w:rsidR="00F50E2E" w:rsidRPr="00F50E2E" w:rsidRDefault="00F50E2E" w:rsidP="000F4E51">
            <w:pPr>
              <w:ind w:left="22" w:right="117" w:hanging="22"/>
              <w:rPr>
                <w:rFonts w:ascii="Times New Roman" w:hAnsi="Times New Roman" w:cs="Times New Roman"/>
                <w:sz w:val="24"/>
                <w:szCs w:val="24"/>
              </w:rPr>
            </w:pPr>
          </w:p>
        </w:tc>
        <w:tc>
          <w:tcPr>
            <w:tcW w:w="4747" w:type="dxa"/>
            <w:vAlign w:val="bottom"/>
          </w:tcPr>
          <w:p w14:paraId="37F1F177"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Обучение персонала, единовременно</w:t>
            </w:r>
          </w:p>
        </w:tc>
        <w:tc>
          <w:tcPr>
            <w:tcW w:w="2551" w:type="dxa"/>
            <w:vAlign w:val="bottom"/>
          </w:tcPr>
          <w:p w14:paraId="57C93A45" w14:textId="645C9893" w:rsidR="00F50E2E" w:rsidRPr="00F50E2E" w:rsidRDefault="00F50E2E" w:rsidP="000F4E51">
            <w:pPr>
              <w:ind w:right="-1135" w:firstLine="31"/>
              <w:rPr>
                <w:rFonts w:ascii="Times New Roman" w:hAnsi="Times New Roman" w:cs="Times New Roman"/>
                <w:sz w:val="24"/>
                <w:szCs w:val="24"/>
                <w:lang w:val="en-US"/>
              </w:rPr>
            </w:pPr>
            <w:r w:rsidRPr="00F50E2E">
              <w:rPr>
                <w:rFonts w:ascii="Times New Roman" w:hAnsi="Times New Roman" w:cs="Times New Roman"/>
                <w:sz w:val="24"/>
                <w:szCs w:val="24"/>
              </w:rPr>
              <w:t>846 000</w:t>
            </w:r>
            <w:r w:rsidRPr="00F50E2E">
              <w:rPr>
                <w:rFonts w:ascii="Times New Roman" w:hAnsi="Times New Roman" w:cs="Times New Roman"/>
                <w:sz w:val="24"/>
                <w:szCs w:val="24"/>
                <w:lang w:val="en-US"/>
              </w:rPr>
              <w:t xml:space="preserve"> </w:t>
            </w:r>
          </w:p>
        </w:tc>
      </w:tr>
      <w:tr w:rsidR="00F50E2E" w:rsidRPr="00F50E2E" w14:paraId="076B83EB" w14:textId="77777777" w:rsidTr="00C6385D">
        <w:tc>
          <w:tcPr>
            <w:tcW w:w="2336" w:type="dxa"/>
            <w:vMerge/>
            <w:vAlign w:val="bottom"/>
          </w:tcPr>
          <w:p w14:paraId="290213A2" w14:textId="77777777" w:rsidR="00F50E2E" w:rsidRPr="00F50E2E" w:rsidRDefault="00F50E2E" w:rsidP="000F4E51">
            <w:pPr>
              <w:ind w:left="22" w:right="117" w:hanging="22"/>
              <w:rPr>
                <w:rFonts w:ascii="Times New Roman" w:hAnsi="Times New Roman" w:cs="Times New Roman"/>
                <w:sz w:val="24"/>
                <w:szCs w:val="24"/>
              </w:rPr>
            </w:pPr>
          </w:p>
        </w:tc>
        <w:tc>
          <w:tcPr>
            <w:tcW w:w="4747" w:type="dxa"/>
            <w:vAlign w:val="bottom"/>
          </w:tcPr>
          <w:p w14:paraId="4FB7F316"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Фонд оплаты труда</w:t>
            </w:r>
          </w:p>
        </w:tc>
        <w:tc>
          <w:tcPr>
            <w:tcW w:w="2551" w:type="dxa"/>
            <w:vAlign w:val="bottom"/>
          </w:tcPr>
          <w:p w14:paraId="5EF56689" w14:textId="1DCBB546" w:rsidR="00F50E2E" w:rsidRPr="00F50E2E" w:rsidRDefault="00F50E2E" w:rsidP="000F4E51">
            <w:pPr>
              <w:ind w:right="-1135" w:firstLine="31"/>
              <w:rPr>
                <w:rFonts w:ascii="Times New Roman" w:hAnsi="Times New Roman" w:cs="Times New Roman"/>
                <w:sz w:val="24"/>
                <w:szCs w:val="24"/>
                <w:lang w:val="en-US"/>
              </w:rPr>
            </w:pPr>
            <w:r w:rsidRPr="00F50E2E">
              <w:rPr>
                <w:rFonts w:ascii="Times New Roman" w:hAnsi="Times New Roman" w:cs="Times New Roman"/>
                <w:sz w:val="24"/>
                <w:szCs w:val="24"/>
              </w:rPr>
              <w:t>64 921 506</w:t>
            </w:r>
            <w:r w:rsidRPr="00F50E2E">
              <w:rPr>
                <w:rFonts w:ascii="Times New Roman" w:hAnsi="Times New Roman" w:cs="Times New Roman"/>
                <w:sz w:val="24"/>
                <w:szCs w:val="24"/>
                <w:lang w:val="en-US"/>
              </w:rPr>
              <w:t xml:space="preserve"> </w:t>
            </w:r>
          </w:p>
        </w:tc>
      </w:tr>
      <w:tr w:rsidR="00F50E2E" w:rsidRPr="00F50E2E" w14:paraId="4EB62E0E" w14:textId="77777777" w:rsidTr="00C6385D">
        <w:tc>
          <w:tcPr>
            <w:tcW w:w="2336" w:type="dxa"/>
            <w:vMerge/>
            <w:vAlign w:val="bottom"/>
          </w:tcPr>
          <w:p w14:paraId="42B0824C" w14:textId="77777777" w:rsidR="00F50E2E" w:rsidRPr="00F50E2E" w:rsidRDefault="00F50E2E" w:rsidP="000F4E51">
            <w:pPr>
              <w:ind w:left="22" w:right="117" w:hanging="22"/>
              <w:rPr>
                <w:rFonts w:ascii="Times New Roman" w:hAnsi="Times New Roman" w:cs="Times New Roman"/>
                <w:sz w:val="24"/>
                <w:szCs w:val="24"/>
              </w:rPr>
            </w:pPr>
          </w:p>
        </w:tc>
        <w:tc>
          <w:tcPr>
            <w:tcW w:w="4747" w:type="dxa"/>
            <w:vAlign w:val="bottom"/>
          </w:tcPr>
          <w:p w14:paraId="088372BB"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Срок амортизации капитальных затрат, лет</w:t>
            </w:r>
          </w:p>
        </w:tc>
        <w:tc>
          <w:tcPr>
            <w:tcW w:w="2551" w:type="dxa"/>
            <w:vAlign w:val="bottom"/>
          </w:tcPr>
          <w:p w14:paraId="35D53099" w14:textId="77777777" w:rsidR="00F50E2E" w:rsidRPr="00F50E2E" w:rsidRDefault="00F50E2E" w:rsidP="000F4E51">
            <w:pPr>
              <w:ind w:right="-1135" w:firstLine="31"/>
              <w:rPr>
                <w:rFonts w:ascii="Times New Roman" w:hAnsi="Times New Roman" w:cs="Times New Roman"/>
                <w:sz w:val="24"/>
                <w:szCs w:val="24"/>
              </w:rPr>
            </w:pPr>
            <w:r w:rsidRPr="00F50E2E">
              <w:rPr>
                <w:rFonts w:ascii="Times New Roman" w:hAnsi="Times New Roman" w:cs="Times New Roman"/>
                <w:sz w:val="24"/>
                <w:szCs w:val="24"/>
              </w:rPr>
              <w:t>9</w:t>
            </w:r>
          </w:p>
        </w:tc>
      </w:tr>
      <w:tr w:rsidR="00F50E2E" w:rsidRPr="00F50E2E" w14:paraId="3A5AD8BF" w14:textId="77777777" w:rsidTr="00C6385D">
        <w:tc>
          <w:tcPr>
            <w:tcW w:w="2336" w:type="dxa"/>
            <w:vMerge w:val="restart"/>
            <w:vAlign w:val="bottom"/>
          </w:tcPr>
          <w:p w14:paraId="3E11AC13" w14:textId="77777777" w:rsidR="00F50E2E" w:rsidRPr="00F50E2E" w:rsidRDefault="00F50E2E" w:rsidP="000F4E51">
            <w:pPr>
              <w:ind w:left="22" w:right="117" w:hanging="22"/>
              <w:rPr>
                <w:rFonts w:ascii="Times New Roman" w:hAnsi="Times New Roman" w:cs="Times New Roman"/>
                <w:sz w:val="24"/>
                <w:szCs w:val="24"/>
              </w:rPr>
            </w:pPr>
            <w:r w:rsidRPr="00F50E2E">
              <w:rPr>
                <w:rFonts w:ascii="Times New Roman" w:hAnsi="Times New Roman" w:cs="Times New Roman"/>
                <w:sz w:val="24"/>
                <w:szCs w:val="24"/>
              </w:rPr>
              <w:t>Порог готовности платить (WTP)</w:t>
            </w:r>
          </w:p>
        </w:tc>
        <w:tc>
          <w:tcPr>
            <w:tcW w:w="4747" w:type="dxa"/>
            <w:vAlign w:val="bottom"/>
          </w:tcPr>
          <w:p w14:paraId="47031856"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 xml:space="preserve">WTP = 1× ВВП, ₸/QALY </w:t>
            </w:r>
          </w:p>
        </w:tc>
        <w:tc>
          <w:tcPr>
            <w:tcW w:w="2551" w:type="dxa"/>
            <w:vAlign w:val="bottom"/>
          </w:tcPr>
          <w:p w14:paraId="5CC9875D" w14:textId="0F467A3A" w:rsidR="00F50E2E" w:rsidRPr="00F50E2E" w:rsidRDefault="00F50E2E" w:rsidP="000F4E51">
            <w:pPr>
              <w:ind w:right="-1135" w:firstLine="31"/>
              <w:rPr>
                <w:rFonts w:ascii="Times New Roman" w:hAnsi="Times New Roman" w:cs="Times New Roman"/>
                <w:sz w:val="24"/>
                <w:szCs w:val="24"/>
                <w:lang w:val="en-US"/>
              </w:rPr>
            </w:pPr>
            <w:r w:rsidRPr="00F50E2E">
              <w:rPr>
                <w:rFonts w:ascii="Times New Roman" w:hAnsi="Times New Roman" w:cs="Times New Roman"/>
                <w:sz w:val="24"/>
                <w:szCs w:val="24"/>
              </w:rPr>
              <w:t>1 500 200</w:t>
            </w:r>
            <w:r w:rsidRPr="00F50E2E">
              <w:rPr>
                <w:rFonts w:ascii="Times New Roman" w:hAnsi="Times New Roman" w:cs="Times New Roman"/>
                <w:sz w:val="24"/>
                <w:szCs w:val="24"/>
                <w:lang w:val="en-US"/>
              </w:rPr>
              <w:t xml:space="preserve"> </w:t>
            </w:r>
          </w:p>
        </w:tc>
      </w:tr>
      <w:tr w:rsidR="00F50E2E" w:rsidRPr="00F50E2E" w14:paraId="20968A9F" w14:textId="77777777" w:rsidTr="00C6385D">
        <w:tc>
          <w:tcPr>
            <w:tcW w:w="2336" w:type="dxa"/>
            <w:vMerge/>
            <w:vAlign w:val="bottom"/>
          </w:tcPr>
          <w:p w14:paraId="4A39E8AF" w14:textId="77777777" w:rsidR="00F50E2E" w:rsidRPr="00F50E2E" w:rsidRDefault="00F50E2E" w:rsidP="000F4E51">
            <w:pPr>
              <w:ind w:left="22" w:right="117" w:hanging="22"/>
              <w:rPr>
                <w:rFonts w:ascii="Times New Roman" w:hAnsi="Times New Roman" w:cs="Times New Roman"/>
                <w:sz w:val="24"/>
                <w:szCs w:val="24"/>
              </w:rPr>
            </w:pPr>
          </w:p>
        </w:tc>
        <w:tc>
          <w:tcPr>
            <w:tcW w:w="4747" w:type="dxa"/>
            <w:vAlign w:val="bottom"/>
          </w:tcPr>
          <w:p w14:paraId="2AA05E7D" w14:textId="77777777" w:rsidR="00F50E2E" w:rsidRPr="00F50E2E" w:rsidRDefault="00F50E2E" w:rsidP="000F4E51">
            <w:pPr>
              <w:ind w:right="312"/>
              <w:rPr>
                <w:rFonts w:ascii="Times New Roman" w:hAnsi="Times New Roman" w:cs="Times New Roman"/>
                <w:sz w:val="24"/>
                <w:szCs w:val="24"/>
              </w:rPr>
            </w:pPr>
            <w:r w:rsidRPr="00F50E2E">
              <w:rPr>
                <w:rFonts w:ascii="Times New Roman" w:hAnsi="Times New Roman" w:cs="Times New Roman"/>
                <w:sz w:val="24"/>
                <w:szCs w:val="24"/>
              </w:rPr>
              <w:t>WTP = 3× ВВП, ₸/QALY</w:t>
            </w:r>
          </w:p>
        </w:tc>
        <w:tc>
          <w:tcPr>
            <w:tcW w:w="2551" w:type="dxa"/>
            <w:vAlign w:val="bottom"/>
          </w:tcPr>
          <w:p w14:paraId="65559DE0" w14:textId="77777777" w:rsidR="00F50E2E" w:rsidRPr="00F50E2E" w:rsidRDefault="00F50E2E" w:rsidP="000F4E51">
            <w:pPr>
              <w:ind w:right="-1135" w:firstLine="31"/>
              <w:rPr>
                <w:rFonts w:ascii="Times New Roman" w:hAnsi="Times New Roman" w:cs="Times New Roman"/>
                <w:sz w:val="24"/>
                <w:szCs w:val="24"/>
              </w:rPr>
            </w:pPr>
            <w:r w:rsidRPr="00F50E2E">
              <w:rPr>
                <w:rFonts w:ascii="Times New Roman" w:hAnsi="Times New Roman" w:cs="Times New Roman"/>
                <w:sz w:val="24"/>
                <w:szCs w:val="24"/>
              </w:rPr>
              <w:t>4 500 600</w:t>
            </w:r>
          </w:p>
        </w:tc>
      </w:tr>
      <w:tr w:rsidR="00F50E2E" w:rsidRPr="00F50E2E" w14:paraId="4C26DBEE" w14:textId="77777777" w:rsidTr="00C6385D">
        <w:tc>
          <w:tcPr>
            <w:tcW w:w="9634" w:type="dxa"/>
            <w:gridSpan w:val="3"/>
            <w:vAlign w:val="bottom"/>
          </w:tcPr>
          <w:p w14:paraId="4A50ACFC" w14:textId="77777777" w:rsidR="00F50E2E" w:rsidRPr="00F50E2E" w:rsidRDefault="00F50E2E" w:rsidP="000F4E51">
            <w:pPr>
              <w:ind w:left="22" w:right="117" w:hanging="22"/>
              <w:rPr>
                <w:rFonts w:ascii="Times New Roman" w:hAnsi="Times New Roman" w:cs="Times New Roman"/>
                <w:sz w:val="24"/>
                <w:szCs w:val="24"/>
              </w:rPr>
            </w:pPr>
            <w:r w:rsidRPr="00F50E2E">
              <w:rPr>
                <w:rFonts w:ascii="Times New Roman" w:hAnsi="Times New Roman" w:cs="Times New Roman"/>
                <w:sz w:val="24"/>
                <w:szCs w:val="24"/>
              </w:rPr>
              <w:t>WTР - Порог готовности платить; ВВП – внутренний валовый продукт; QALY (quality-adjusted life year) — год жизни с поправкой на качество</w:t>
            </w:r>
          </w:p>
          <w:p w14:paraId="1409145E" w14:textId="77777777" w:rsidR="00F50E2E" w:rsidRPr="00F50E2E" w:rsidRDefault="00F50E2E" w:rsidP="000F4E51">
            <w:pPr>
              <w:ind w:left="22" w:right="117" w:hanging="22"/>
              <w:rPr>
                <w:rFonts w:ascii="Times New Roman" w:hAnsi="Times New Roman" w:cs="Times New Roman"/>
                <w:sz w:val="24"/>
                <w:szCs w:val="24"/>
              </w:rPr>
            </w:pPr>
            <w:r w:rsidRPr="00F50E2E">
              <w:rPr>
                <w:rFonts w:ascii="Times New Roman" w:hAnsi="Times New Roman" w:cs="Times New Roman"/>
                <w:b/>
                <w:bCs/>
                <w:sz w:val="24"/>
                <w:szCs w:val="24"/>
              </w:rPr>
              <w:t>Независимое состояние</w:t>
            </w:r>
            <w:r w:rsidRPr="00F50E2E">
              <w:rPr>
                <w:rFonts w:ascii="Times New Roman" w:hAnsi="Times New Roman" w:cs="Times New Roman"/>
                <w:sz w:val="24"/>
                <w:szCs w:val="24"/>
              </w:rPr>
              <w:t xml:space="preserve"> — пациент способен к самообслуживанию и не нуждается в постоянной помощи.</w:t>
            </w:r>
          </w:p>
          <w:p w14:paraId="3B5F254D" w14:textId="77777777" w:rsidR="00F50E2E" w:rsidRPr="00F50E2E" w:rsidRDefault="00F50E2E" w:rsidP="000F4E51">
            <w:pPr>
              <w:ind w:left="22" w:right="117" w:hanging="22"/>
              <w:rPr>
                <w:rFonts w:ascii="Times New Roman" w:hAnsi="Times New Roman" w:cs="Times New Roman"/>
                <w:sz w:val="24"/>
                <w:szCs w:val="24"/>
              </w:rPr>
            </w:pPr>
            <w:r w:rsidRPr="00F50E2E">
              <w:rPr>
                <w:rFonts w:ascii="Times New Roman" w:hAnsi="Times New Roman" w:cs="Times New Roman"/>
                <w:b/>
                <w:bCs/>
                <w:sz w:val="24"/>
                <w:szCs w:val="24"/>
              </w:rPr>
              <w:t>Зависимое состояние</w:t>
            </w:r>
            <w:r w:rsidRPr="00F50E2E">
              <w:rPr>
                <w:rFonts w:ascii="Times New Roman" w:hAnsi="Times New Roman" w:cs="Times New Roman"/>
                <w:sz w:val="24"/>
                <w:szCs w:val="24"/>
              </w:rPr>
              <w:t xml:space="preserve"> — пациент нуждается в регулярной или постоянной помощи в повседневной жизни из-за последствий инсульта.</w:t>
            </w:r>
          </w:p>
        </w:tc>
      </w:tr>
    </w:tbl>
    <w:p w14:paraId="3C5334A8" w14:textId="77777777" w:rsidR="00932A85" w:rsidRPr="00967575" w:rsidRDefault="00932A85" w:rsidP="000F4E51">
      <w:pPr>
        <w:spacing w:after="0" w:line="240" w:lineRule="auto"/>
        <w:ind w:right="-284" w:firstLine="567"/>
        <w:jc w:val="both"/>
        <w:rPr>
          <w:rFonts w:ascii="Times New Roman" w:hAnsi="Times New Roman" w:cs="Times New Roman"/>
          <w:sz w:val="28"/>
          <w:szCs w:val="28"/>
        </w:rPr>
      </w:pPr>
    </w:p>
    <w:p w14:paraId="0EC07FCD" w14:textId="1805B977" w:rsidR="00F50E2E" w:rsidRPr="00967575" w:rsidRDefault="00F50E2E" w:rsidP="00C6385D">
      <w:pPr>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lastRenderedPageBreak/>
        <w:t>Смертность корректировалась с учетом функционального статуса по модифицированной шкале Рэнкина (mRS) с использованием коэффициентов относительного риска, в соответствии с методологией Lund и др. [</w:t>
      </w:r>
      <w:r w:rsidR="00932A85" w:rsidRPr="002D4B8F">
        <w:rPr>
          <w:rFonts w:ascii="Times New Roman" w:hAnsi="Times New Roman" w:cs="Times New Roman"/>
          <w:sz w:val="28"/>
          <w:szCs w:val="28"/>
        </w:rPr>
        <w:t>123</w:t>
      </w:r>
      <w:r w:rsidRPr="00F50E2E">
        <w:rPr>
          <w:rFonts w:ascii="Times New Roman" w:hAnsi="Times New Roman" w:cs="Times New Roman"/>
          <w:sz w:val="28"/>
          <w:szCs w:val="28"/>
        </w:rPr>
        <w:t>]. На рисунке 1 представлено распределение функциональных исходов инсульта по шкале mRS в зависимости от времени проведения лечения и применения внутривенного тромболизиса. Лечение в течение «золотого часа» ассоциировалось с наибольшей долей благоприятных функциональных исходов (mRS 0-2) и наименьшей смертностью (mRS 6), тогда как отсутствие внутривенного тромболизиса сопровождалось увеличением доли функционально зависимых состояний и летальных исходов</w:t>
      </w:r>
      <w:r w:rsidR="007B3B09">
        <w:rPr>
          <w:rFonts w:ascii="Times New Roman" w:hAnsi="Times New Roman" w:cs="Times New Roman"/>
          <w:sz w:val="28"/>
          <w:szCs w:val="28"/>
        </w:rPr>
        <w:t>, рисунок 1</w:t>
      </w:r>
      <w:r w:rsidRPr="00F50E2E">
        <w:rPr>
          <w:rFonts w:ascii="Times New Roman" w:hAnsi="Times New Roman" w:cs="Times New Roman"/>
          <w:sz w:val="28"/>
          <w:szCs w:val="28"/>
        </w:rPr>
        <w:t xml:space="preserve">. </w:t>
      </w:r>
    </w:p>
    <w:p w14:paraId="1F062670" w14:textId="77777777" w:rsidR="00932A85" w:rsidRPr="00967575" w:rsidRDefault="00932A85" w:rsidP="000F4E51">
      <w:pPr>
        <w:spacing w:after="0" w:line="240" w:lineRule="auto"/>
        <w:ind w:right="-284" w:firstLine="567"/>
        <w:jc w:val="both"/>
        <w:rPr>
          <w:rFonts w:ascii="Times New Roman" w:hAnsi="Times New Roman" w:cs="Times New Roman"/>
          <w:sz w:val="28"/>
          <w:szCs w:val="28"/>
        </w:rPr>
      </w:pPr>
    </w:p>
    <w:p w14:paraId="09F3A6EE" w14:textId="77777777" w:rsidR="00F50E2E" w:rsidRPr="00F50E2E" w:rsidRDefault="00F50E2E" w:rsidP="000F4E51">
      <w:pPr>
        <w:spacing w:after="0" w:line="240" w:lineRule="auto"/>
        <w:ind w:right="-284" w:firstLine="567"/>
        <w:rPr>
          <w:rFonts w:ascii="Times New Roman" w:hAnsi="Times New Roman" w:cs="Times New Roman"/>
          <w:sz w:val="28"/>
          <w:szCs w:val="28"/>
        </w:rPr>
      </w:pPr>
      <w:r w:rsidRPr="00F50E2E">
        <w:rPr>
          <w:rFonts w:ascii="Times New Roman" w:hAnsi="Times New Roman" w:cs="Times New Roman"/>
          <w:noProof/>
          <w:sz w:val="28"/>
          <w:szCs w:val="28"/>
          <w:lang w:eastAsia="ru-RU"/>
        </w:rPr>
        <w:drawing>
          <wp:inline distT="0" distB="0" distL="0" distR="0" wp14:anchorId="2DF70A7A" wp14:editId="7959A3A3">
            <wp:extent cx="5114925" cy="2990850"/>
            <wp:effectExtent l="0" t="0" r="9525" b="0"/>
            <wp:docPr id="2066352473" name="Диаграмма 1">
              <a:extLst xmlns:a="http://schemas.openxmlformats.org/drawingml/2006/main">
                <a:ext uri="{FF2B5EF4-FFF2-40B4-BE49-F238E27FC236}">
                  <a16:creationId xmlns:a16="http://schemas.microsoft.com/office/drawing/2014/main" id="{02ADF98E-6691-17E0-080F-7027E4088C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5110B85" w14:textId="77777777" w:rsidR="00C6385D" w:rsidRDefault="00C6385D" w:rsidP="000F4E51">
      <w:pPr>
        <w:spacing w:after="0" w:line="240" w:lineRule="auto"/>
        <w:ind w:right="-284" w:firstLine="567"/>
        <w:jc w:val="both"/>
        <w:rPr>
          <w:rFonts w:ascii="Times New Roman" w:hAnsi="Times New Roman" w:cs="Times New Roman"/>
          <w:color w:val="000000"/>
          <w:sz w:val="28"/>
          <w:szCs w:val="28"/>
        </w:rPr>
      </w:pPr>
    </w:p>
    <w:p w14:paraId="6357A890" w14:textId="70C9B426" w:rsidR="00F50E2E" w:rsidRPr="00F50E2E" w:rsidRDefault="00C6385D" w:rsidP="00C6385D">
      <w:pPr>
        <w:spacing w:after="0" w:line="240" w:lineRule="auto"/>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Рисунок 1 - </w:t>
      </w:r>
      <w:r w:rsidR="00F50E2E" w:rsidRPr="00F50E2E">
        <w:rPr>
          <w:rFonts w:ascii="Times New Roman" w:hAnsi="Times New Roman" w:cs="Times New Roman"/>
          <w:color w:val="000000"/>
          <w:sz w:val="28"/>
          <w:szCs w:val="28"/>
        </w:rPr>
        <w:t>Распределение исходов инсульта по шкале mRS (ОИМ (AIS) — острый ишемический инсульт; ВВТ (IVT) — внутривенный тромболизис; mRS — модифицированная шкала Рэнкина) [</w:t>
      </w:r>
      <w:r w:rsidR="00932A85" w:rsidRPr="00932A85">
        <w:rPr>
          <w:rFonts w:ascii="Times New Roman" w:hAnsi="Times New Roman" w:cs="Times New Roman"/>
          <w:color w:val="000000"/>
          <w:sz w:val="28"/>
          <w:szCs w:val="28"/>
        </w:rPr>
        <w:t>124,125</w:t>
      </w:r>
      <w:r w:rsidR="00F50E2E" w:rsidRPr="00F50E2E">
        <w:rPr>
          <w:rFonts w:ascii="Times New Roman" w:hAnsi="Times New Roman" w:cs="Times New Roman"/>
          <w:color w:val="000000"/>
          <w:sz w:val="28"/>
          <w:szCs w:val="28"/>
        </w:rPr>
        <w:t>]</w:t>
      </w:r>
    </w:p>
    <w:p w14:paraId="334BD1E6" w14:textId="77777777" w:rsidR="00F50E2E" w:rsidRDefault="00F50E2E" w:rsidP="00C6385D">
      <w:pPr>
        <w:spacing w:after="0" w:line="240" w:lineRule="auto"/>
        <w:ind w:firstLine="567"/>
        <w:jc w:val="both"/>
        <w:rPr>
          <w:rFonts w:ascii="Times New Roman" w:hAnsi="Times New Roman" w:cs="Times New Roman"/>
          <w:sz w:val="28"/>
          <w:szCs w:val="28"/>
        </w:rPr>
      </w:pPr>
    </w:p>
    <w:p w14:paraId="34EA8DAE" w14:textId="210E0E6B" w:rsidR="00F50E2E" w:rsidRPr="00F50E2E" w:rsidRDefault="00F50E2E" w:rsidP="00C6385D">
      <w:pPr>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Таким образом, предполагалось, что переход из «зависимого» состояния в «независимое» возможен только посредством реабилитации и спонтанной регрессии неврологических исходов в течение первого года после инсульта, смоделированного с использованием туннельной функции. На рисунке 2 показано дерево решений, используемое для определения начального распределения пациентов, поступающих в модель Маркова. Пациенты с острым ишемическим инсультом были распределены либо в группу лечения в MSU, либо в группу стандартного лечения. В рамках каждой стратегии пациенты дополнительно стратифицировались в зависимости от получения внутривенного тромболизиса в течение «золотого часа» или отсутствия тромболизиса. Окончательные результаты лечения классифицировались как функциональная независимость (mRS 0–2), функциональная зависимость (mRS 3–5) или смерть (mRS 6). Полученные вероятности исходов использовались в качестве векторов начального состояния для модели Маркова.</w:t>
      </w:r>
    </w:p>
    <w:p w14:paraId="3A1ED0F6" w14:textId="7CB80DFD" w:rsidR="000E609B" w:rsidRPr="00F50E2E" w:rsidRDefault="000E609B" w:rsidP="00C6385D">
      <w:pPr>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lastRenderedPageBreak/>
        <w:t xml:space="preserve">Все количественные значения годовой смертности, рисков повторного инсульта, функциональных переходов, полезности состояний и параметров тромболитической терапии приведены в таблице </w:t>
      </w:r>
      <w:r>
        <w:rPr>
          <w:rFonts w:ascii="Times New Roman" w:hAnsi="Times New Roman" w:cs="Times New Roman"/>
          <w:sz w:val="28"/>
          <w:szCs w:val="28"/>
        </w:rPr>
        <w:t>7</w:t>
      </w:r>
      <w:r w:rsidRPr="00F50E2E">
        <w:rPr>
          <w:rFonts w:ascii="Times New Roman" w:hAnsi="Times New Roman" w:cs="Times New Roman"/>
          <w:sz w:val="28"/>
          <w:szCs w:val="28"/>
        </w:rPr>
        <w:t xml:space="preserve">. </w:t>
      </w:r>
    </w:p>
    <w:p w14:paraId="254A1F3C" w14:textId="2867553B" w:rsidR="00F50E2E" w:rsidRDefault="00C6385D" w:rsidP="000F4E51">
      <w:pPr>
        <w:spacing w:after="0" w:line="240" w:lineRule="auto"/>
        <w:ind w:left="851" w:right="-1135" w:firstLine="567"/>
        <w:jc w:val="both"/>
        <w:rPr>
          <w:rFonts w:ascii="Times New Roman" w:hAnsi="Times New Roman" w:cs="Times New Roman"/>
          <w:sz w:val="28"/>
          <w:szCs w:val="28"/>
        </w:rPr>
      </w:pPr>
      <w:r w:rsidRPr="00F50E2E">
        <w:rPr>
          <w:rFonts w:ascii="Times New Roman" w:hAnsi="Times New Roman" w:cs="Times New Roman"/>
          <w:noProof/>
          <w:sz w:val="28"/>
          <w:szCs w:val="28"/>
          <w:lang w:eastAsia="ru-RU"/>
        </w:rPr>
        <mc:AlternateContent>
          <mc:Choice Requires="wpg">
            <w:drawing>
              <wp:anchor distT="0" distB="0" distL="114300" distR="114300" simplePos="0" relativeHeight="251659264" behindDoc="0" locked="0" layoutInCell="1" allowOverlap="1" wp14:anchorId="7EE7A2B1" wp14:editId="377753E2">
                <wp:simplePos x="0" y="0"/>
                <wp:positionH relativeFrom="column">
                  <wp:posOffset>-3810</wp:posOffset>
                </wp:positionH>
                <wp:positionV relativeFrom="paragraph">
                  <wp:posOffset>205740</wp:posOffset>
                </wp:positionV>
                <wp:extent cx="5876925" cy="2931795"/>
                <wp:effectExtent l="0" t="0" r="28575" b="20955"/>
                <wp:wrapNone/>
                <wp:docPr id="86254662" name="Группа 12"/>
                <wp:cNvGraphicFramePr/>
                <a:graphic xmlns:a="http://schemas.openxmlformats.org/drawingml/2006/main">
                  <a:graphicData uri="http://schemas.microsoft.com/office/word/2010/wordprocessingGroup">
                    <wpg:wgp>
                      <wpg:cNvGrpSpPr/>
                      <wpg:grpSpPr>
                        <a:xfrm>
                          <a:off x="0" y="0"/>
                          <a:ext cx="5876925" cy="2931795"/>
                          <a:chOff x="0" y="0"/>
                          <a:chExt cx="6164317" cy="2932386"/>
                        </a:xfrm>
                      </wpg:grpSpPr>
                      <wps:wsp>
                        <wps:cNvPr id="128662591" name="Прямоугольник 1"/>
                        <wps:cNvSpPr/>
                        <wps:spPr>
                          <a:xfrm>
                            <a:off x="0" y="882869"/>
                            <a:ext cx="809625" cy="890752"/>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A3FA38" w14:textId="77777777" w:rsidR="005E6F1B" w:rsidRPr="003A1829" w:rsidRDefault="005E6F1B" w:rsidP="00F50E2E">
                              <w:pPr>
                                <w:jc w:val="center"/>
                                <w:rPr>
                                  <w:rFonts w:ascii="Times New Roman" w:hAnsi="Times New Roman" w:cs="Times New Roman"/>
                                  <w:sz w:val="18"/>
                                  <w:szCs w:val="18"/>
                                </w:rPr>
                              </w:pPr>
                              <w:r w:rsidRPr="00092115">
                                <w:rPr>
                                  <w:rFonts w:ascii="Times New Roman" w:hAnsi="Times New Roman" w:cs="Times New Roman"/>
                                  <w:sz w:val="18"/>
                                  <w:szCs w:val="18"/>
                                </w:rPr>
                                <w:t>Острый ишемический инсульт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4463849" name="Левая фигурная скобка 3"/>
                        <wps:cNvSpPr/>
                        <wps:spPr>
                          <a:xfrm>
                            <a:off x="804042" y="536027"/>
                            <a:ext cx="331076" cy="176212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9507079" name="Прямоугольник 4"/>
                        <wps:cNvSpPr/>
                        <wps:spPr>
                          <a:xfrm>
                            <a:off x="1198179" y="409903"/>
                            <a:ext cx="1181100" cy="438150"/>
                          </a:xfrm>
                          <a:prstGeom prst="rect">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74DA91" w14:textId="77777777" w:rsidR="005E6F1B" w:rsidRPr="003A1829" w:rsidRDefault="005E6F1B" w:rsidP="00F50E2E">
                              <w:pPr>
                                <w:jc w:val="center"/>
                                <w:rPr>
                                  <w:rFonts w:ascii="Times New Roman" w:hAnsi="Times New Roman" w:cs="Times New Roman"/>
                                  <w:sz w:val="18"/>
                                  <w:szCs w:val="18"/>
                                </w:rPr>
                              </w:pPr>
                              <w:r w:rsidRPr="003A1829">
                                <w:rPr>
                                  <w:rFonts w:ascii="Times New Roman" w:hAnsi="Times New Roman" w:cs="Times New Roman"/>
                                  <w:sz w:val="18"/>
                                  <w:szCs w:val="18"/>
                                </w:rPr>
                                <w:t>MSU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8867791" name="Прямоугольник 4"/>
                        <wps:cNvSpPr/>
                        <wps:spPr>
                          <a:xfrm>
                            <a:off x="1245476" y="1939158"/>
                            <a:ext cx="1181100" cy="438150"/>
                          </a:xfrm>
                          <a:prstGeom prst="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93BEF84" w14:textId="77777777" w:rsidR="005E6F1B" w:rsidRPr="003A1829" w:rsidRDefault="005E6F1B" w:rsidP="00F50E2E">
                              <w:pPr>
                                <w:jc w:val="center"/>
                                <w:rPr>
                                  <w:rFonts w:ascii="Times New Roman" w:hAnsi="Times New Roman" w:cs="Times New Roman"/>
                                  <w:sz w:val="18"/>
                                  <w:szCs w:val="18"/>
                                </w:rPr>
                              </w:pPr>
                              <w:r w:rsidRPr="003A1829">
                                <w:rPr>
                                  <w:rFonts w:ascii="Times New Roman" w:hAnsi="Times New Roman" w:cs="Times New Roman"/>
                                  <w:sz w:val="18"/>
                                  <w:szCs w:val="18"/>
                                </w:rPr>
                                <w:t>Стандартное лечение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5139075" name="Левая фигурная скобка 3"/>
                        <wps:cNvSpPr/>
                        <wps:spPr>
                          <a:xfrm>
                            <a:off x="2490952" y="126124"/>
                            <a:ext cx="283779" cy="100012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6530511" name="Прямоугольник 7"/>
                        <wps:cNvSpPr/>
                        <wps:spPr>
                          <a:xfrm>
                            <a:off x="2900855" y="0"/>
                            <a:ext cx="1323975" cy="504496"/>
                          </a:xfrm>
                          <a:prstGeom prst="rect">
                            <a:avLst/>
                          </a:prstGeom>
                        </wps:spPr>
                        <wps:style>
                          <a:lnRef idx="2">
                            <a:schemeClr val="accent2"/>
                          </a:lnRef>
                          <a:fillRef idx="1">
                            <a:schemeClr val="lt1"/>
                          </a:fillRef>
                          <a:effectRef idx="0">
                            <a:schemeClr val="accent2"/>
                          </a:effectRef>
                          <a:fontRef idx="minor">
                            <a:schemeClr val="dk1"/>
                          </a:fontRef>
                        </wps:style>
                        <wps:txbx>
                          <w:txbxContent>
                            <w:p w14:paraId="12025851" w14:textId="77777777" w:rsidR="005E6F1B" w:rsidRPr="003A1829" w:rsidRDefault="005E6F1B" w:rsidP="00F50E2E">
                              <w:pPr>
                                <w:jc w:val="center"/>
                                <w:rPr>
                                  <w:rFonts w:ascii="Times New Roman" w:hAnsi="Times New Roman" w:cs="Times New Roman"/>
                                  <w:sz w:val="18"/>
                                  <w:szCs w:val="18"/>
                                </w:rPr>
                              </w:pPr>
                              <w:r w:rsidRPr="003A1829">
                                <w:rPr>
                                  <w:rFonts w:ascii="Times New Roman" w:hAnsi="Times New Roman" w:cs="Times New Roman"/>
                                  <w:sz w:val="18"/>
                                  <w:szCs w:val="18"/>
                                </w:rPr>
                                <w:t>ТЛ в золотой час = 0.658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3358371" name="Прямоугольник 8"/>
                        <wps:cNvSpPr/>
                        <wps:spPr>
                          <a:xfrm>
                            <a:off x="2916621" y="646386"/>
                            <a:ext cx="1291590" cy="645795"/>
                          </a:xfrm>
                          <a:prstGeom prst="rect">
                            <a:avLst/>
                          </a:prstGeom>
                        </wps:spPr>
                        <wps:style>
                          <a:lnRef idx="2">
                            <a:schemeClr val="accent4"/>
                          </a:lnRef>
                          <a:fillRef idx="1">
                            <a:schemeClr val="lt1"/>
                          </a:fillRef>
                          <a:effectRef idx="0">
                            <a:schemeClr val="accent4"/>
                          </a:effectRef>
                          <a:fontRef idx="minor">
                            <a:schemeClr val="dk1"/>
                          </a:fontRef>
                        </wps:style>
                        <wps:txbx>
                          <w:txbxContent>
                            <w:p w14:paraId="2A43E008" w14:textId="77777777" w:rsidR="005E6F1B" w:rsidRPr="008F7F12" w:rsidRDefault="005E6F1B" w:rsidP="00F50E2E">
                              <w:pPr>
                                <w:jc w:val="center"/>
                                <w:rPr>
                                  <w:rFonts w:ascii="Times New Roman" w:hAnsi="Times New Roman" w:cs="Times New Roman"/>
                                  <w:sz w:val="18"/>
                                  <w:szCs w:val="18"/>
                                </w:rPr>
                              </w:pPr>
                              <w:r w:rsidRPr="008F7F12">
                                <w:rPr>
                                  <w:rFonts w:ascii="Times New Roman" w:hAnsi="Times New Roman" w:cs="Times New Roman"/>
                                  <w:sz w:val="18"/>
                                  <w:szCs w:val="18"/>
                                </w:rPr>
                                <w:t>Без ТЛ / вне золотого часа = 0.190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6562737" name="Прямоугольник 7"/>
                        <wps:cNvSpPr/>
                        <wps:spPr>
                          <a:xfrm>
                            <a:off x="2916621" y="1450427"/>
                            <a:ext cx="1292006" cy="630621"/>
                          </a:xfrm>
                          <a:prstGeom prst="rect">
                            <a:avLst/>
                          </a:prstGeom>
                        </wps:spPr>
                        <wps:style>
                          <a:lnRef idx="2">
                            <a:schemeClr val="accent2"/>
                          </a:lnRef>
                          <a:fillRef idx="1">
                            <a:schemeClr val="lt1"/>
                          </a:fillRef>
                          <a:effectRef idx="0">
                            <a:schemeClr val="accent2"/>
                          </a:effectRef>
                          <a:fontRef idx="minor">
                            <a:schemeClr val="dk1"/>
                          </a:fontRef>
                        </wps:style>
                        <wps:txbx>
                          <w:txbxContent>
                            <w:p w14:paraId="6D1916B3" w14:textId="77777777" w:rsidR="005E6F1B" w:rsidRPr="003A1829" w:rsidRDefault="005E6F1B" w:rsidP="00F50E2E">
                              <w:pPr>
                                <w:jc w:val="center"/>
                                <w:rPr>
                                  <w:rFonts w:ascii="Times New Roman" w:hAnsi="Times New Roman" w:cs="Times New Roman"/>
                                  <w:sz w:val="18"/>
                                  <w:szCs w:val="18"/>
                                </w:rPr>
                              </w:pPr>
                              <w:r w:rsidRPr="003A1829">
                                <w:rPr>
                                  <w:rFonts w:ascii="Times New Roman" w:hAnsi="Times New Roman" w:cs="Times New Roman"/>
                                  <w:sz w:val="18"/>
                                  <w:szCs w:val="18"/>
                                </w:rPr>
                                <w:t>ТЛ в золотой час = 0.578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4781777" name="Прямоугольник 8"/>
                        <wps:cNvSpPr/>
                        <wps:spPr>
                          <a:xfrm>
                            <a:off x="2948152" y="2238703"/>
                            <a:ext cx="1260475" cy="693683"/>
                          </a:xfrm>
                          <a:prstGeom prst="rect">
                            <a:avLst/>
                          </a:prstGeom>
                        </wps:spPr>
                        <wps:style>
                          <a:lnRef idx="2">
                            <a:schemeClr val="accent4"/>
                          </a:lnRef>
                          <a:fillRef idx="1">
                            <a:schemeClr val="lt1"/>
                          </a:fillRef>
                          <a:effectRef idx="0">
                            <a:schemeClr val="accent4"/>
                          </a:effectRef>
                          <a:fontRef idx="minor">
                            <a:schemeClr val="dk1"/>
                          </a:fontRef>
                        </wps:style>
                        <wps:txbx>
                          <w:txbxContent>
                            <w:p w14:paraId="7762B21D" w14:textId="77777777" w:rsidR="005E6F1B" w:rsidRPr="008F7F12" w:rsidRDefault="005E6F1B" w:rsidP="00F50E2E">
                              <w:pPr>
                                <w:jc w:val="center"/>
                                <w:rPr>
                                  <w:rFonts w:ascii="Times New Roman" w:hAnsi="Times New Roman" w:cs="Times New Roman"/>
                                  <w:sz w:val="18"/>
                                  <w:szCs w:val="18"/>
                                </w:rPr>
                              </w:pPr>
                              <w:r w:rsidRPr="008F7F12">
                                <w:rPr>
                                  <w:rFonts w:ascii="Times New Roman" w:hAnsi="Times New Roman" w:cs="Times New Roman"/>
                                  <w:sz w:val="18"/>
                                  <w:szCs w:val="18"/>
                                </w:rPr>
                                <w:t>Без ТЛ / вне золотого часа = 0.410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806474" name="Прямоугольник 10"/>
                        <wps:cNvSpPr/>
                        <wps:spPr>
                          <a:xfrm>
                            <a:off x="4808483" y="110358"/>
                            <a:ext cx="1339850" cy="977440"/>
                          </a:xfrm>
                          <a:prstGeom prst="rect">
                            <a:avLst/>
                          </a:prstGeom>
                        </wps:spPr>
                        <wps:style>
                          <a:lnRef idx="2">
                            <a:schemeClr val="accent3"/>
                          </a:lnRef>
                          <a:fillRef idx="1">
                            <a:schemeClr val="lt1"/>
                          </a:fillRef>
                          <a:effectRef idx="0">
                            <a:schemeClr val="accent3"/>
                          </a:effectRef>
                          <a:fontRef idx="minor">
                            <a:schemeClr val="dk1"/>
                          </a:fontRef>
                        </wps:style>
                        <wps:txbx>
                          <w:txbxContent>
                            <w:p w14:paraId="67D607CA" w14:textId="77777777" w:rsidR="005E6F1B" w:rsidRPr="003A1829" w:rsidRDefault="005E6F1B" w:rsidP="00F50E2E">
                              <w:pPr>
                                <w:rPr>
                                  <w:rFonts w:ascii="Times New Roman" w:hAnsi="Times New Roman" w:cs="Times New Roman"/>
                                  <w:sz w:val="18"/>
                                  <w:szCs w:val="18"/>
                                </w:rPr>
                              </w:pPr>
                              <w:r w:rsidRPr="003A1829">
                                <w:rPr>
                                  <w:rFonts w:ascii="Times New Roman" w:hAnsi="Times New Roman" w:cs="Times New Roman"/>
                                  <w:sz w:val="18"/>
                                  <w:szCs w:val="18"/>
                                </w:rPr>
                                <w:t>mRS 0-2 = 0.521</w:t>
                              </w:r>
                            </w:p>
                            <w:p w14:paraId="18F5BF21" w14:textId="77777777" w:rsidR="005E6F1B" w:rsidRPr="003A1829" w:rsidRDefault="005E6F1B" w:rsidP="00F50E2E">
                              <w:pPr>
                                <w:rPr>
                                  <w:rFonts w:ascii="Times New Roman" w:hAnsi="Times New Roman" w:cs="Times New Roman"/>
                                  <w:sz w:val="18"/>
                                  <w:szCs w:val="18"/>
                                </w:rPr>
                              </w:pPr>
                              <w:r w:rsidRPr="003A1829">
                                <w:rPr>
                                  <w:rFonts w:ascii="Times New Roman" w:hAnsi="Times New Roman" w:cs="Times New Roman"/>
                                  <w:sz w:val="18"/>
                                  <w:szCs w:val="18"/>
                                </w:rPr>
                                <w:t>mRS 3-4 = 0.355</w:t>
                              </w:r>
                            </w:p>
                            <w:p w14:paraId="26B21A4C" w14:textId="77777777" w:rsidR="005E6F1B" w:rsidRPr="003A1829" w:rsidRDefault="005E6F1B" w:rsidP="00F50E2E">
                              <w:pPr>
                                <w:rPr>
                                  <w:rFonts w:ascii="Times New Roman" w:hAnsi="Times New Roman" w:cs="Times New Roman"/>
                                  <w:sz w:val="18"/>
                                  <w:szCs w:val="18"/>
                                </w:rPr>
                              </w:pPr>
                              <w:r w:rsidRPr="003A1829">
                                <w:rPr>
                                  <w:rFonts w:ascii="Times New Roman" w:hAnsi="Times New Roman" w:cs="Times New Roman"/>
                                  <w:sz w:val="18"/>
                                  <w:szCs w:val="18"/>
                                </w:rPr>
                                <w:t>смерть = 0,124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3122165" name="Прямоугольник 10"/>
                        <wps:cNvSpPr/>
                        <wps:spPr>
                          <a:xfrm>
                            <a:off x="4776952" y="1876096"/>
                            <a:ext cx="1387365" cy="740454"/>
                          </a:xfrm>
                          <a:prstGeom prst="rect">
                            <a:avLst/>
                          </a:prstGeom>
                        </wps:spPr>
                        <wps:style>
                          <a:lnRef idx="2">
                            <a:schemeClr val="accent3"/>
                          </a:lnRef>
                          <a:fillRef idx="1">
                            <a:schemeClr val="lt1"/>
                          </a:fillRef>
                          <a:effectRef idx="0">
                            <a:schemeClr val="accent3"/>
                          </a:effectRef>
                          <a:fontRef idx="minor">
                            <a:schemeClr val="dk1"/>
                          </a:fontRef>
                        </wps:style>
                        <wps:txbx>
                          <w:txbxContent>
                            <w:p w14:paraId="511C7F49" w14:textId="77777777" w:rsidR="005E6F1B" w:rsidRPr="003A1829" w:rsidRDefault="005E6F1B" w:rsidP="00F50E2E">
                              <w:pPr>
                                <w:rPr>
                                  <w:rFonts w:ascii="Times New Roman" w:hAnsi="Times New Roman" w:cs="Times New Roman"/>
                                  <w:sz w:val="18"/>
                                  <w:szCs w:val="18"/>
                                </w:rPr>
                              </w:pPr>
                              <w:r w:rsidRPr="003A1829">
                                <w:rPr>
                                  <w:rFonts w:ascii="Times New Roman" w:hAnsi="Times New Roman" w:cs="Times New Roman"/>
                                  <w:sz w:val="18"/>
                                  <w:szCs w:val="18"/>
                                </w:rPr>
                                <w:t>mRS 0-2 = 0,486</w:t>
                              </w:r>
                            </w:p>
                            <w:p w14:paraId="4D4BEE2F" w14:textId="77777777" w:rsidR="005E6F1B" w:rsidRPr="003A1829" w:rsidRDefault="005E6F1B" w:rsidP="00F50E2E">
                              <w:pPr>
                                <w:rPr>
                                  <w:rFonts w:ascii="Times New Roman" w:hAnsi="Times New Roman" w:cs="Times New Roman"/>
                                  <w:sz w:val="18"/>
                                  <w:szCs w:val="18"/>
                                </w:rPr>
                              </w:pPr>
                              <w:r w:rsidRPr="003A1829">
                                <w:rPr>
                                  <w:rFonts w:ascii="Times New Roman" w:hAnsi="Times New Roman" w:cs="Times New Roman"/>
                                  <w:sz w:val="18"/>
                                  <w:szCs w:val="18"/>
                                </w:rPr>
                                <w:t>mRS 3-4 = 0,380</w:t>
                              </w:r>
                            </w:p>
                            <w:p w14:paraId="74FD52AB" w14:textId="77777777" w:rsidR="005E6F1B" w:rsidRPr="003A1829" w:rsidRDefault="005E6F1B" w:rsidP="00F50E2E">
                              <w:pPr>
                                <w:rPr>
                                  <w:rFonts w:ascii="Times New Roman" w:hAnsi="Times New Roman" w:cs="Times New Roman"/>
                                  <w:sz w:val="18"/>
                                  <w:szCs w:val="18"/>
                                </w:rPr>
                              </w:pPr>
                              <w:r w:rsidRPr="003A1829">
                                <w:rPr>
                                  <w:rFonts w:ascii="Times New Roman" w:hAnsi="Times New Roman" w:cs="Times New Roman"/>
                                  <w:sz w:val="18"/>
                                  <w:szCs w:val="18"/>
                                </w:rPr>
                                <w:t>смерть = 0,134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39206" name="Правая фигурная скобка 11"/>
                        <wps:cNvSpPr/>
                        <wps:spPr>
                          <a:xfrm>
                            <a:off x="4335517" y="157655"/>
                            <a:ext cx="268014" cy="930166"/>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1104345" name="Правая фигурная скобка 11"/>
                        <wps:cNvSpPr/>
                        <wps:spPr>
                          <a:xfrm>
                            <a:off x="4335517" y="1686910"/>
                            <a:ext cx="268014" cy="930166"/>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3705030" name="Левая фигурная скобка 3"/>
                        <wps:cNvSpPr/>
                        <wps:spPr>
                          <a:xfrm>
                            <a:off x="2522483" y="1702676"/>
                            <a:ext cx="283779" cy="100012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EE7A2B1" id="Группа 12" o:spid="_x0000_s1026" style="position:absolute;left:0;text-align:left;margin-left:-.3pt;margin-top:16.2pt;width:462.75pt;height:230.85pt;z-index:251659264;mso-width-relative:margin" coordsize="61643,29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vd4wYAANY3AAAOAAAAZHJzL2Uyb0RvYy54bWzsW8tu20YU3RfoPxDcN5oXX0LkwHWaoECa&#10;BE2KrGmKlIRSJDukLbmrFOmyQBZddtFfcBsUKNI2/QX5j3pmyKH8UiI5tYsqhAGaFHlnyMs55957&#10;Znj7znyaWoexLCd5NrDpLWJbcRblw0k2GthfPb33iW9bZRVmwzDNs3hgH8WlfWfn449uz4p+zPJx&#10;ng5jaaGRrOzPioE9rqqi3+uV0TiehuWtvIgznExyOQ0rHMpRbyjDGVqfpj1GiNub5XJYyDyKyxK/&#10;3q1P2ju6/SSJo+pRkpRxZaUDG/dW6a3U23217e3cDvsjGRbjSdTcRniFu5iGkwydtk3dDavQOpCT&#10;C01NJ5HMyzypbkX5tJcnySSK9TPgaSg59zT3ZX5Q6GcZ9WejonUTXHvOT1duNnp4+Fhak+HA9l3m&#10;CNdltpWFU7ypxY8nz09eLP7G37FFmfLUrBj1YXBfFk+Kx7L5YVQfqYefJ3Kq/uOxrLn28VHr43he&#10;WRF+dHzPDZhjWxHOsYBTL3DqtxCN8aou2EXjzxpLl7oCl7eWjPuusuyZjnvq/trbmRUYUeXSaeX7&#10;Oe3JOCxi/S5K5YPGaZT5cJkT0NZrP8NrLxd/Lt7Ad68WbxZ/nPyw+Gvx++K1RWsXavPWf2W/hCtX&#10;Os/30UFQ+8d40CcBuqzd4AfEc/S7ab0Q9gtZVvfjfGqpnYEtAQI9NsPDB2VVO8xcAu8pP9X3oPeq&#10;ozRWt5NmX8YJBgZeGdPWGpLxXiqtwxBgCqMozirzAvTVyiyZpGlrSC8zTCvtCNxvc60yizVUW0Ny&#10;meHZHlsL3WueVa3xdJLl8rIGhl+3PdfXm6evn1k9fjXfn+txXfb38+ER3rLMa84oi+jeBP58EJbV&#10;41CCJEAnIL7qETZJms8Gdt7s2dY4l99e9ru6HsMQZ21rBtIZ2OU3B6GMbSv9PMMADagQiqX0gXA8&#10;hgN5+sz+6TPZwXQvx6vA4MPd6V11fZWa3UTm02fgx13VK06FWYS+B3ZUSXOwV9VkCIaN4t1dfRmY&#10;qQirB9mTIlKNKwer8fJ0/iyURTOoKozGh7kBRdg/N7bqa5Vllu8eVHky0QNPubj2a+N6AFTRyk0g&#10;1RNCuNwXQQvVnxa/LX5dHJ+8tE6+B0Jfnbw4eQ6s6h++W7wGeH/B9tjiGwHXJ4IIsCjozeEuYd5Z&#10;9HJOiefW6KWeyyigfJrELsA3jZPqUxlGinwu+FnB3IxizSOrMHwpFGtEGVBcjuG3QNEYXgnHxvgK&#10;OK7mxjhZheMOvFsFXkZE4BCPeEvwro6zYiO4Uhr4yEE0XgUJAqLRjojUZB2U+pQSkKfKVwT3qaOT&#10;xquG27Bf5ulkeA9hUsF5RVBVp9KD6Rf5sA62nkNwCzVNtCbA/ZnW3i+SNwQxDodx3ScedEWflxPF&#10;Ggxz00RxKtVYRRQq4Ov0V1PKMj51cX9L4r5PfN/1vLUy9A2ZgwlHqFAOYqABD6jjnw3110wdcrTf&#10;ZuME5LjXMsSSYTpOOE+xm3BCU/SanLXjhC3hhEA4lKvK+ZpLASYCEqA81wzBXMo0wSxzC+ZzMFNT&#10;CyDadrWAEuxQyKv8p8ntawliZU3f1QJNVf/hFPIQEB1OHLqO5qaLb5XVQbJ7t+bGAkJ8B6yAiN5I&#10;w20ZwBkPFGGoMsAhQgRG+jKip5HUbkB1M4LfBon4qbBXK3QKYm3tXYPsLaW+6bG1WB+ha6puOglv&#10;lZauft+q+t1xOHcQ7NaBrE6iN4AshQCPdgFLV+l7GpbLEEsZ8vKgKd9dSKr1bMNVy/f3y6d1+EfX&#10;N4db0+M147YtnDrcbhVuoXy5jss8jlm3ZlZwte62aaxdApcKRNTzQjmQqyZ464jrcqJQ/lah/Drn&#10;uUz8uznkmh6vGbl68qGTvbZvuot7woOw7a2D3E1DroAKXle1DJPw3gXJnLlEmFzZDbjr67yui7lm&#10;Qn1lNbtJrqwTnQ6524dc1/OJKzyxRsilukpdO1kWEMMFwKj1KEqQkp8TrDkPfMxv6SI38DBjbiTl&#10;/6DINZxxcyHX9HjNIbfNk7pkebuSZY9xyhh1l7Ly6mR5U+R6WDVnlGQIYFgCdh66vsdVz0qf8rAC&#10;xTGlXwddvYjtX4m5baLUQXe7oMs9jmoTxeayyl0cr7U4DDJ0s2BwLYlZQAhz1CJWwJQ6ULKbxa9G&#10;Z2auTyhCv4JxwAlq5HcUvZPRuFsehsXiy5Wp3ZTQhzYlxKiAUiW4OBN5bwDALhZn15F8qTh3CD67&#10;rPQK2XSH4A8NwShGuUccwlF8NiH4elZnM4extgT2CHOxgAvx+xR8uzUZ+ssOI7Z38P1/f1yBGUv9&#10;8ZheLdx86Ka+Tjt9rL8gWH6Ot/MPAAAA//8DAFBLAwQUAAYACAAAACEARiP7feAAAAAIAQAADwAA&#10;AGRycy9kb3ducmV2LnhtbEyPQWuDQBSE74X+h+UVektWjQ3VuIYQ2p5CoUmh5PaiLypx34q7UfPv&#10;uz01x2GGmW+y9aRbMVBvG8MKwnkAgrgwZcOVgu/D++wVhHXIJbaGScGNLKzzx4cM09KM/EXD3lXC&#10;l7BNUUHtXJdKaYuaNNq56Yi9dza9RudlX8myx9GX61ZGQbCUGhv2CzV2tK2puOyvWsHHiONmEb4N&#10;u8t5ezseXj5/diEp9fw0bVYgHE3uPwx/+B4dcs90MlcurWgVzJY+qGARxSC8nURxAuKkIE7iEGSe&#10;yfsD+S8AAAD//wMAUEsBAi0AFAAGAAgAAAAhALaDOJL+AAAA4QEAABMAAAAAAAAAAAAAAAAAAAAA&#10;AFtDb250ZW50X1R5cGVzXS54bWxQSwECLQAUAAYACAAAACEAOP0h/9YAAACUAQAACwAAAAAAAAAA&#10;AAAAAAAvAQAAX3JlbHMvLnJlbHNQSwECLQAUAAYACAAAACEADglb3eMGAADWNwAADgAAAAAAAAAA&#10;AAAAAAAuAgAAZHJzL2Uyb0RvYy54bWxQSwECLQAUAAYACAAAACEARiP7feAAAAAIAQAADwAAAAAA&#10;AAAAAAAAAAA9CQAAZHJzL2Rvd25yZXYueG1sUEsFBgAAAAAEAAQA8wAAAEoKAAAAAA==&#10;">
                <v:rect id="Прямоугольник 1" o:spid="_x0000_s1027" style="position:absolute;top:8828;width:8096;height:8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OS7xQAAAOIAAAAPAAAAZHJzL2Rvd25yZXYueG1sRE/LasJA&#10;FN0X/IfhCt3VSVIaNGYitsXq0trX9pK5JqGZOyEzavx7RxBcHs47XwymFUfqXWNZQTyJQBCXVjdc&#10;Kfj+Wj1NQTiPrLG1TArO5GBRjB5yzLQ98Scdd74SIYRdhgpq77tMSlfWZNBNbEccuL3tDfoA+0rq&#10;Hk8h3LQyiaJUGmw4NNTY0VtN5f/uYBQcyo/Xv6pbbt9Xz7yWNp6Zn1+t1ON4WM5BeBr8XXxzb3SY&#10;n0zTNHmZxXC9FDDI4gIAAP//AwBQSwECLQAUAAYACAAAACEA2+H2y+4AAACFAQAAEwAAAAAAAAAA&#10;AAAAAAAAAAAAW0NvbnRlbnRfVHlwZXNdLnhtbFBLAQItABQABgAIAAAAIQBa9CxbvwAAABUBAAAL&#10;AAAAAAAAAAAAAAAAAB8BAABfcmVscy8ucmVsc1BLAQItABQABgAIAAAAIQA0zOS7xQAAAOIAAAAP&#10;AAAAAAAAAAAAAAAAAAcCAABkcnMvZG93bnJldi54bWxQSwUGAAAAAAMAAwC3AAAA+QIAAAAA&#10;" fillcolor="white [3201]" strokecolor="#70ad47 [3209]" strokeweight="1pt">
                  <v:textbox>
                    <w:txbxContent>
                      <w:p w14:paraId="7FA3FA38" w14:textId="77777777" w:rsidR="005E6F1B" w:rsidRPr="003A1829" w:rsidRDefault="005E6F1B" w:rsidP="00F50E2E">
                        <w:pPr>
                          <w:jc w:val="center"/>
                          <w:rPr>
                            <w:rFonts w:ascii="Times New Roman" w:hAnsi="Times New Roman" w:cs="Times New Roman"/>
                            <w:sz w:val="18"/>
                            <w:szCs w:val="18"/>
                          </w:rPr>
                        </w:pPr>
                        <w:r w:rsidRPr="00092115">
                          <w:rPr>
                            <w:rFonts w:ascii="Times New Roman" w:hAnsi="Times New Roman" w:cs="Times New Roman"/>
                            <w:sz w:val="18"/>
                            <w:szCs w:val="18"/>
                          </w:rPr>
                          <w:t>Острый ишемический инсульт</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3" o:spid="_x0000_s1028" type="#_x0000_t87" style="position:absolute;left:8040;top:5360;width:3311;height:17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7WeyAAAAOMAAAAPAAAAZHJzL2Rvd25yZXYueG1sRE9fS8Mw&#10;EH8X/A7hBN9cuhnr7JYNcTiK7GXVD3A0t7bYXLomrq2f3giCj/f7f+vtaFtxod43jjXMZwkI4tKZ&#10;hisNH++vd0sQPiAbbB2Thok8bDfXV2vMjBv4SJciVCKGsM9QQx1Cl0npy5os+pnriCN3cr3FEM++&#10;kqbHIYbbVi6SJJUWG44NNXb0UlP5WXxZDQ/TbrHbT3t6O6vvPB9cOj8UZ61vb8bnFYhAY/gX/7lz&#10;E+c/KqXS+6V6gt+fIgBy8wMAAP//AwBQSwECLQAUAAYACAAAACEA2+H2y+4AAACFAQAAEwAAAAAA&#10;AAAAAAAAAAAAAAAAW0NvbnRlbnRfVHlwZXNdLnhtbFBLAQItABQABgAIAAAAIQBa9CxbvwAAABUB&#10;AAALAAAAAAAAAAAAAAAAAB8BAABfcmVscy8ucmVsc1BLAQItABQABgAIAAAAIQBO17WeyAAAAOMA&#10;AAAPAAAAAAAAAAAAAAAAAAcCAABkcnMvZG93bnJldi54bWxQSwUGAAAAAAMAAwC3AAAA/AIAAAAA&#10;" adj="338" strokecolor="#4472c4 [3204]" strokeweight=".5pt">
                  <v:stroke joinstyle="miter"/>
                </v:shape>
                <v:rect id="Прямоугольник 4" o:spid="_x0000_s1029" style="position:absolute;left:11981;top:4099;width:11811;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rE2zAAAAOMAAAAPAAAAZHJzL2Rvd25yZXYueG1sRI/dagIx&#10;FITvBd8hnELvNKnoWrdGsaVCUSj+lELvDpvj7uLmZNlE3b69EQQvh5n5hpnOW1uJMzW+dKzhpa9A&#10;EGfOlJxr+Nkve68gfEA2WDkmDf/kYT7rdqaYGnfhLZ13IRcRwj5FDUUIdSqlzwqy6PuuJo7ewTUW&#10;Q5RNLk2Dlwi3lRwolUiLJceFAmv6KCg77k5Ww/A3ef9buu/6c39YJNt1trKbTaL181O7eAMRqA2P&#10;8L39ZTQM1HAyUmM1nsDtU/wDcnYFAAD//wMAUEsBAi0AFAAGAAgAAAAhANvh9svuAAAAhQEAABMA&#10;AAAAAAAAAAAAAAAAAAAAAFtDb250ZW50X1R5cGVzXS54bWxQSwECLQAUAAYACAAAACEAWvQsW78A&#10;AAAVAQAACwAAAAAAAAAAAAAAAAAfAQAAX3JlbHMvLnJlbHNQSwECLQAUAAYACAAAACEAtNqxNswA&#10;AADjAAAADwAAAAAAAAAAAAAAAAAHAgAAZHJzL2Rvd25yZXYueG1sUEsFBgAAAAADAAMAtwAAAAAD&#10;AAAAAA==&#10;" fillcolor="#538135 [2409]" strokecolor="#09101d [484]" strokeweight="1pt">
                  <v:textbox>
                    <w:txbxContent>
                      <w:p w14:paraId="6D74DA91" w14:textId="77777777" w:rsidR="005E6F1B" w:rsidRPr="003A1829" w:rsidRDefault="005E6F1B" w:rsidP="00F50E2E">
                        <w:pPr>
                          <w:jc w:val="center"/>
                          <w:rPr>
                            <w:rFonts w:ascii="Times New Roman" w:hAnsi="Times New Roman" w:cs="Times New Roman"/>
                            <w:sz w:val="18"/>
                            <w:szCs w:val="18"/>
                          </w:rPr>
                        </w:pPr>
                        <w:r w:rsidRPr="003A1829">
                          <w:rPr>
                            <w:rFonts w:ascii="Times New Roman" w:hAnsi="Times New Roman" w:cs="Times New Roman"/>
                            <w:sz w:val="18"/>
                            <w:szCs w:val="18"/>
                          </w:rPr>
                          <w:t>MSU</w:t>
                        </w:r>
                      </w:p>
                    </w:txbxContent>
                  </v:textbox>
                </v:rect>
                <v:rect id="Прямоугольник 4" o:spid="_x0000_s1030" style="position:absolute;left:12454;top:19391;width:11811;height: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VJzyQAAAOIAAAAPAAAAZHJzL2Rvd25yZXYueG1sRI9Ba8JA&#10;FITvhf6H5RW81Y09JGnqKkUp6FEjlN5es6/ZtNm3aXY18d+7guBxmJlvmPlytK04Ue8bxwpm0wQE&#10;ceV0w7WCQ/nxnIPwAVlj65gUnMnDcvH4MMdCu4F3dNqHWkQI+wIVmBC6QkpfGbLop64jjt6P6y2G&#10;KPta6h6HCLetfEmSVFpsOC4Y7GhlqPrbH62CL66MSeWwXp0Pn2W2/S7d//pXqcnT+P4GItAY7uFb&#10;e6MV5Emep1n2OoPrpXgH5OICAAD//wMAUEsBAi0AFAAGAAgAAAAhANvh9svuAAAAhQEAABMAAAAA&#10;AAAAAAAAAAAAAAAAAFtDb250ZW50X1R5cGVzXS54bWxQSwECLQAUAAYACAAAACEAWvQsW78AAAAV&#10;AQAACwAAAAAAAAAAAAAAAAAfAQAAX3JlbHMvLnJlbHNQSwECLQAUAAYACAAAACEAANVSc8kAAADi&#10;AAAADwAAAAAAAAAAAAAAAAAHAgAAZHJzL2Rvd25yZXYueG1sUEsFBgAAAAADAAMAtwAAAP0CAAAA&#10;AA==&#10;" fillcolor="#0070c0" strokecolor="#09101d [484]" strokeweight="1pt">
                  <v:textbox>
                    <w:txbxContent>
                      <w:p w14:paraId="793BEF84" w14:textId="77777777" w:rsidR="005E6F1B" w:rsidRPr="003A1829" w:rsidRDefault="005E6F1B" w:rsidP="00F50E2E">
                        <w:pPr>
                          <w:jc w:val="center"/>
                          <w:rPr>
                            <w:rFonts w:ascii="Times New Roman" w:hAnsi="Times New Roman" w:cs="Times New Roman"/>
                            <w:sz w:val="18"/>
                            <w:szCs w:val="18"/>
                          </w:rPr>
                        </w:pPr>
                        <w:r w:rsidRPr="003A1829">
                          <w:rPr>
                            <w:rFonts w:ascii="Times New Roman" w:hAnsi="Times New Roman" w:cs="Times New Roman"/>
                            <w:sz w:val="18"/>
                            <w:szCs w:val="18"/>
                          </w:rPr>
                          <w:t>Стандартное лечение</w:t>
                        </w:r>
                      </w:p>
                    </w:txbxContent>
                  </v:textbox>
                </v:rect>
                <v:shape id="Левая фигурная скобка 3" o:spid="_x0000_s1031" type="#_x0000_t87" style="position:absolute;left:24909;top:1261;width:2838;height:10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s/RywAAAOIAAAAPAAAAZHJzL2Rvd25yZXYueG1sRI9BS8NA&#10;FITvBf/D8gQvxW6qjdrYbZGKtLdiVfD4yD6T2OzbNG9tor/eLRR6HGbmG2a26F2tDtRK5dnAeJSA&#10;Is69rbgw8P72cv0ASgKyxdozGfglgcX8YjDDzPqOX+mwDYWKEJYMDZQhNJnWkpfkUEa+IY7el28d&#10;hijbQtsWuwh3tb5JkjvtsOK4UGJDy5Ly3fbHGag/5e+52wf6Xg0/cDmUzSqVjTFXl/3TI6hAfTiH&#10;T+21NTCdpOPbaXKfwvFSvAN6/g8AAP//AwBQSwECLQAUAAYACAAAACEA2+H2y+4AAACFAQAAEwAA&#10;AAAAAAAAAAAAAAAAAAAAW0NvbnRlbnRfVHlwZXNdLnhtbFBLAQItABQABgAIAAAAIQBa9CxbvwAA&#10;ABUBAAALAAAAAAAAAAAAAAAAAB8BAABfcmVscy8ucmVsc1BLAQItABQABgAIAAAAIQAoQs/RywAA&#10;AOIAAAAPAAAAAAAAAAAAAAAAAAcCAABkcnMvZG93bnJldi54bWxQSwUGAAAAAAMAAwC3AAAA/wIA&#10;AAAA&#10;" adj="511" strokecolor="#4472c4 [3204]" strokeweight=".5pt">
                  <v:stroke joinstyle="miter"/>
                </v:shape>
                <v:rect id="Прямоугольник 7" o:spid="_x0000_s1032" style="position:absolute;left:29008;width:13240;height:5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b5yQAAAOMAAAAPAAAAZHJzL2Rvd25yZXYueG1sRE9LS8NA&#10;EL4L/odlhN7sJmr6iN0WFVqLUOgL6nHIjkkwOxt2t23sr3cFocf53jOZdaYRJ3K+tqwg7ScgiAur&#10;ay4V7Hfz+xEIH5A1NpZJwQ95mE1vbyaYa3vmDZ22oRQxhH2OCqoQ2lxKX1Rk0PdtSxy5L+sMhni6&#10;UmqH5xhuGvmQJANpsObYUGFLbxUV39ujUfCOi8Ydwsfq87CX49VrZheX9ZNSvbvu5RlEoC5cxf/u&#10;pY7zR8NB9phkaQp/P0UA5PQXAAD//wMAUEsBAi0AFAAGAAgAAAAhANvh9svuAAAAhQEAABMAAAAA&#10;AAAAAAAAAAAAAAAAAFtDb250ZW50X1R5cGVzXS54bWxQSwECLQAUAAYACAAAACEAWvQsW78AAAAV&#10;AQAACwAAAAAAAAAAAAAAAAAfAQAAX3JlbHMvLnJlbHNQSwECLQAUAAYACAAAACEAf8Wm+ckAAADj&#10;AAAADwAAAAAAAAAAAAAAAAAHAgAAZHJzL2Rvd25yZXYueG1sUEsFBgAAAAADAAMAtwAAAP0CAAAA&#10;AA==&#10;" fillcolor="white [3201]" strokecolor="#ed7d31 [3205]" strokeweight="1pt">
                  <v:textbox>
                    <w:txbxContent>
                      <w:p w14:paraId="12025851" w14:textId="77777777" w:rsidR="005E6F1B" w:rsidRPr="003A1829" w:rsidRDefault="005E6F1B" w:rsidP="00F50E2E">
                        <w:pPr>
                          <w:jc w:val="center"/>
                          <w:rPr>
                            <w:rFonts w:ascii="Times New Roman" w:hAnsi="Times New Roman" w:cs="Times New Roman"/>
                            <w:sz w:val="18"/>
                            <w:szCs w:val="18"/>
                          </w:rPr>
                        </w:pPr>
                        <w:r w:rsidRPr="003A1829">
                          <w:rPr>
                            <w:rFonts w:ascii="Times New Roman" w:hAnsi="Times New Roman" w:cs="Times New Roman"/>
                            <w:sz w:val="18"/>
                            <w:szCs w:val="18"/>
                          </w:rPr>
                          <w:t>ТЛ в золотой час = 0.658</w:t>
                        </w:r>
                      </w:p>
                    </w:txbxContent>
                  </v:textbox>
                </v:rect>
                <v:rect id="Прямоугольник 8" o:spid="_x0000_s1033" style="position:absolute;left:29166;top:6463;width:12916;height:6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mCxygAAAOIAAAAPAAAAZHJzL2Rvd25yZXYueG1sRI9BSwMx&#10;FITvgv8hPMGbTbZhbdk2LUURvHiwFcXbY/O6u3XzsiTZdv33RhA8DjPfDLPeTq4XZwqx82ygmCkQ&#10;xLW3HTcG3g5Pd0sQMSFb7D2TgW+KsN1cX62xsv7Cr3Tep0bkEo4VGmhTGiopY92SwzjzA3H2jj44&#10;TFmGRtqAl1zuejlX6l467DgvtDjQQ0v11350Bsp58uq9OL7ocFrox4847tTnaMztzbRbgUg0pf/w&#10;H/1sM1dqXS71ooDfS/kOyM0PAAAA//8DAFBLAQItABQABgAIAAAAIQDb4fbL7gAAAIUBAAATAAAA&#10;AAAAAAAAAAAAAAAAAABbQ29udGVudF9UeXBlc10ueG1sUEsBAi0AFAAGAAgAAAAhAFr0LFu/AAAA&#10;FQEAAAsAAAAAAAAAAAAAAAAAHwEAAF9yZWxzLy5yZWxzUEsBAi0AFAAGAAgAAAAhAGmqYLHKAAAA&#10;4gAAAA8AAAAAAAAAAAAAAAAABwIAAGRycy9kb3ducmV2LnhtbFBLBQYAAAAAAwADALcAAAD+AgAA&#10;AAA=&#10;" fillcolor="white [3201]" strokecolor="#ffc000 [3207]" strokeweight="1pt">
                  <v:textbox>
                    <w:txbxContent>
                      <w:p w14:paraId="2A43E008" w14:textId="77777777" w:rsidR="005E6F1B" w:rsidRPr="008F7F12" w:rsidRDefault="005E6F1B" w:rsidP="00F50E2E">
                        <w:pPr>
                          <w:jc w:val="center"/>
                          <w:rPr>
                            <w:rFonts w:ascii="Times New Roman" w:hAnsi="Times New Roman" w:cs="Times New Roman"/>
                            <w:sz w:val="18"/>
                            <w:szCs w:val="18"/>
                          </w:rPr>
                        </w:pPr>
                        <w:r w:rsidRPr="008F7F12">
                          <w:rPr>
                            <w:rFonts w:ascii="Times New Roman" w:hAnsi="Times New Roman" w:cs="Times New Roman"/>
                            <w:sz w:val="18"/>
                            <w:szCs w:val="18"/>
                          </w:rPr>
                          <w:t>Без ТЛ / вне золотого часа = 0.190</w:t>
                        </w:r>
                      </w:p>
                    </w:txbxContent>
                  </v:textbox>
                </v:rect>
                <v:rect id="Прямоугольник 7" o:spid="_x0000_s1034" style="position:absolute;left:29166;top:14504;width:12920;height:6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T3yQAAAOMAAAAPAAAAZHJzL2Rvd25yZXYueG1sRE9fa8Iw&#10;EH8f+B3CDXybqW5WV42yDaZjIKgT9PFobm2xuZQk07pPbwYDH+/3/6bz1tTiRM5XlhX0ewkI4tzq&#10;igsFu6/3hzEIH5A11pZJwYU8zGeduylm2p55Q6dtKEQMYZ+hgjKEJpPS5yUZ9D3bEEfu2zqDIZ6u&#10;kNrhOYabWg6SJJUGK44NJTb0VlJ+3P4YBUtc1G4fPleH/U4+r16HdvG7flKqe9++TEAEasNN/O/+&#10;0HF+P0mH6WD0OIK/nyIAcnYFAAD//wMAUEsBAi0AFAAGAAgAAAAhANvh9svuAAAAhQEAABMAAAAA&#10;AAAAAAAAAAAAAAAAAFtDb250ZW50X1R5cGVzXS54bWxQSwECLQAUAAYACAAAACEAWvQsW78AAAAV&#10;AQAACwAAAAAAAAAAAAAAAAAfAQAAX3JlbHMvLnJlbHNQSwECLQAUAAYACAAAACEAQRv098kAAADj&#10;AAAADwAAAAAAAAAAAAAAAAAHAgAAZHJzL2Rvd25yZXYueG1sUEsFBgAAAAADAAMAtwAAAP0CAAAA&#10;AA==&#10;" fillcolor="white [3201]" strokecolor="#ed7d31 [3205]" strokeweight="1pt">
                  <v:textbox>
                    <w:txbxContent>
                      <w:p w14:paraId="6D1916B3" w14:textId="77777777" w:rsidR="005E6F1B" w:rsidRPr="003A1829" w:rsidRDefault="005E6F1B" w:rsidP="00F50E2E">
                        <w:pPr>
                          <w:jc w:val="center"/>
                          <w:rPr>
                            <w:rFonts w:ascii="Times New Roman" w:hAnsi="Times New Roman" w:cs="Times New Roman"/>
                            <w:sz w:val="18"/>
                            <w:szCs w:val="18"/>
                          </w:rPr>
                        </w:pPr>
                        <w:r w:rsidRPr="003A1829">
                          <w:rPr>
                            <w:rFonts w:ascii="Times New Roman" w:hAnsi="Times New Roman" w:cs="Times New Roman"/>
                            <w:sz w:val="18"/>
                            <w:szCs w:val="18"/>
                          </w:rPr>
                          <w:t>ТЛ в золотой час = 0.578</w:t>
                        </w:r>
                      </w:p>
                    </w:txbxContent>
                  </v:textbox>
                </v:rect>
                <v:rect id="Прямоугольник 8" o:spid="_x0000_s1035" style="position:absolute;left:29481;top:22387;width:12605;height:6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L+AyAAAAOMAAAAPAAAAZHJzL2Rvd25yZXYueG1sRE9PS8Mw&#10;FL8LfofwBG8u6apm1GVjKIIXD05x7PZo3tpq81KSdKvf3gjCju/3/y3Xk+vFkULsPBsoZgoEce1t&#10;x42Bj/fnmwWImJAt9p7JwA9FWK8uL5ZYWX/iNzpuUyNyCMcKDbQpDZWUsW7JYZz5gThzBx8cpnyG&#10;RtqApxzuejlX6l467Dg3tDjQY0v193Z0Bu7myavP4vBahi9dPu3iuFH70Zjrq2nzACLRlM7if/eL&#10;zfNLfasXhdYa/n7KAMjVLwAAAP//AwBQSwECLQAUAAYACAAAACEA2+H2y+4AAACFAQAAEwAAAAAA&#10;AAAAAAAAAAAAAAAAW0NvbnRlbnRfVHlwZXNdLnhtbFBLAQItABQABgAIAAAAIQBa9CxbvwAAABUB&#10;AAALAAAAAAAAAAAAAAAAAB8BAABfcmVscy8ucmVsc1BLAQItABQABgAIAAAAIQAJqL+AyAAAAOMA&#10;AAAPAAAAAAAAAAAAAAAAAAcCAABkcnMvZG93bnJldi54bWxQSwUGAAAAAAMAAwC3AAAA/AIAAAAA&#10;" fillcolor="white [3201]" strokecolor="#ffc000 [3207]" strokeweight="1pt">
                  <v:textbox>
                    <w:txbxContent>
                      <w:p w14:paraId="7762B21D" w14:textId="77777777" w:rsidR="005E6F1B" w:rsidRPr="008F7F12" w:rsidRDefault="005E6F1B" w:rsidP="00F50E2E">
                        <w:pPr>
                          <w:jc w:val="center"/>
                          <w:rPr>
                            <w:rFonts w:ascii="Times New Roman" w:hAnsi="Times New Roman" w:cs="Times New Roman"/>
                            <w:sz w:val="18"/>
                            <w:szCs w:val="18"/>
                          </w:rPr>
                        </w:pPr>
                        <w:r w:rsidRPr="008F7F12">
                          <w:rPr>
                            <w:rFonts w:ascii="Times New Roman" w:hAnsi="Times New Roman" w:cs="Times New Roman"/>
                            <w:sz w:val="18"/>
                            <w:szCs w:val="18"/>
                          </w:rPr>
                          <w:t>Без ТЛ / вне золотого часа = 0.410</w:t>
                        </w:r>
                      </w:p>
                    </w:txbxContent>
                  </v:textbox>
                </v:rect>
                <v:rect id="Прямоугольник 10" o:spid="_x0000_s1036" style="position:absolute;left:48084;top:1103;width:13399;height:9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u23xwAAAOIAAAAPAAAAZHJzL2Rvd25yZXYueG1sRI/RasMw&#10;DEXfB/sHo8HeVjuhpCWrW0qhY2+jXT9AjbU4NJa92Euyv58Hgz0eru6RtNnNrhcjDbHzrKFYKBDE&#10;jTcdtxou78enNYiYkA32nknDN0XYbe/vNlgbP/GJxnNqRZZwrFGDTSnUUsbGksO48IE4Zx9+cJgy&#10;Dq00A05Z7npZKlVJhx3nDRYDHSw1t/OXy5YxXAuFZXEqD5e3z5dgj5OZtX58mPfPIBLN6X/4r/1q&#10;8vnVaq2q5WoJvy9lBrn9AQAA//8DAFBLAQItABQABgAIAAAAIQDb4fbL7gAAAIUBAAATAAAAAAAA&#10;AAAAAAAAAAAAAABbQ29udGVudF9UeXBlc10ueG1sUEsBAi0AFAAGAAgAAAAhAFr0LFu/AAAAFQEA&#10;AAsAAAAAAAAAAAAAAAAAHwEAAF9yZWxzLy5yZWxzUEsBAi0AFAAGAAgAAAAhALl+7bfHAAAA4gAA&#10;AA8AAAAAAAAAAAAAAAAABwIAAGRycy9kb3ducmV2LnhtbFBLBQYAAAAAAwADALcAAAD7AgAAAAA=&#10;" fillcolor="white [3201]" strokecolor="#a5a5a5 [3206]" strokeweight="1pt">
                  <v:textbox>
                    <w:txbxContent>
                      <w:p w14:paraId="67D607CA" w14:textId="77777777" w:rsidR="005E6F1B" w:rsidRPr="003A1829" w:rsidRDefault="005E6F1B" w:rsidP="00F50E2E">
                        <w:pPr>
                          <w:rPr>
                            <w:rFonts w:ascii="Times New Roman" w:hAnsi="Times New Roman" w:cs="Times New Roman"/>
                            <w:sz w:val="18"/>
                            <w:szCs w:val="18"/>
                          </w:rPr>
                        </w:pPr>
                        <w:r w:rsidRPr="003A1829">
                          <w:rPr>
                            <w:rFonts w:ascii="Times New Roman" w:hAnsi="Times New Roman" w:cs="Times New Roman"/>
                            <w:sz w:val="18"/>
                            <w:szCs w:val="18"/>
                          </w:rPr>
                          <w:t>mRS 0-2 = 0.521</w:t>
                        </w:r>
                      </w:p>
                      <w:p w14:paraId="18F5BF21" w14:textId="77777777" w:rsidR="005E6F1B" w:rsidRPr="003A1829" w:rsidRDefault="005E6F1B" w:rsidP="00F50E2E">
                        <w:pPr>
                          <w:rPr>
                            <w:rFonts w:ascii="Times New Roman" w:hAnsi="Times New Roman" w:cs="Times New Roman"/>
                            <w:sz w:val="18"/>
                            <w:szCs w:val="18"/>
                          </w:rPr>
                        </w:pPr>
                        <w:r w:rsidRPr="003A1829">
                          <w:rPr>
                            <w:rFonts w:ascii="Times New Roman" w:hAnsi="Times New Roman" w:cs="Times New Roman"/>
                            <w:sz w:val="18"/>
                            <w:szCs w:val="18"/>
                          </w:rPr>
                          <w:t>mRS 3-4 = 0.355</w:t>
                        </w:r>
                      </w:p>
                      <w:p w14:paraId="26B21A4C" w14:textId="77777777" w:rsidR="005E6F1B" w:rsidRPr="003A1829" w:rsidRDefault="005E6F1B" w:rsidP="00F50E2E">
                        <w:pPr>
                          <w:rPr>
                            <w:rFonts w:ascii="Times New Roman" w:hAnsi="Times New Roman" w:cs="Times New Roman"/>
                            <w:sz w:val="18"/>
                            <w:szCs w:val="18"/>
                          </w:rPr>
                        </w:pPr>
                        <w:r w:rsidRPr="003A1829">
                          <w:rPr>
                            <w:rFonts w:ascii="Times New Roman" w:hAnsi="Times New Roman" w:cs="Times New Roman"/>
                            <w:sz w:val="18"/>
                            <w:szCs w:val="18"/>
                          </w:rPr>
                          <w:t>смерть = 0,124</w:t>
                        </w:r>
                      </w:p>
                    </w:txbxContent>
                  </v:textbox>
                </v:rect>
                <v:rect id="Прямоугольник 10" o:spid="_x0000_s1037" style="position:absolute;left:47769;top:18760;width:13874;height:7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VvnyAAAAOMAAAAPAAAAZHJzL2Rvd25yZXYueG1sRI/NTsMw&#10;EITvSLyDtUjcqGMjCkrrVqhSETfUnwdY4iWOGq9NbJLw9hgJiePuzHw7u97OvhcjDakLbEAtKhDE&#10;TbAdtwbOp/3dE4iUkS32gcnANyXYbq6v1ljbMPGBxmNuRYFwqtGAyznWUqbGkce0CJG4aB9h8JjL&#10;OLTSDjgVuO+lrqql9NhxueAw0s5Rczl++UIZ47uqUKuD3p3fPl+i2092Nub2Zn5egcg053/zX/rV&#10;lvqP+l5prZYP8PtTWYDc/AAAAP//AwBQSwECLQAUAAYACAAAACEA2+H2y+4AAACFAQAAEwAAAAAA&#10;AAAAAAAAAAAAAAAAW0NvbnRlbnRfVHlwZXNdLnhtbFBLAQItABQABgAIAAAAIQBa9CxbvwAAABUB&#10;AAALAAAAAAAAAAAAAAAAAB8BAABfcmVscy8ucmVsc1BLAQItABQABgAIAAAAIQCsYVvnyAAAAOMA&#10;AAAPAAAAAAAAAAAAAAAAAAcCAABkcnMvZG93bnJldi54bWxQSwUGAAAAAAMAAwC3AAAA/AIAAAAA&#10;" fillcolor="white [3201]" strokecolor="#a5a5a5 [3206]" strokeweight="1pt">
                  <v:textbox>
                    <w:txbxContent>
                      <w:p w14:paraId="511C7F49" w14:textId="77777777" w:rsidR="005E6F1B" w:rsidRPr="003A1829" w:rsidRDefault="005E6F1B" w:rsidP="00F50E2E">
                        <w:pPr>
                          <w:rPr>
                            <w:rFonts w:ascii="Times New Roman" w:hAnsi="Times New Roman" w:cs="Times New Roman"/>
                            <w:sz w:val="18"/>
                            <w:szCs w:val="18"/>
                          </w:rPr>
                        </w:pPr>
                        <w:r w:rsidRPr="003A1829">
                          <w:rPr>
                            <w:rFonts w:ascii="Times New Roman" w:hAnsi="Times New Roman" w:cs="Times New Roman"/>
                            <w:sz w:val="18"/>
                            <w:szCs w:val="18"/>
                          </w:rPr>
                          <w:t>mRS 0-2 = 0,486</w:t>
                        </w:r>
                      </w:p>
                      <w:p w14:paraId="4D4BEE2F" w14:textId="77777777" w:rsidR="005E6F1B" w:rsidRPr="003A1829" w:rsidRDefault="005E6F1B" w:rsidP="00F50E2E">
                        <w:pPr>
                          <w:rPr>
                            <w:rFonts w:ascii="Times New Roman" w:hAnsi="Times New Roman" w:cs="Times New Roman"/>
                            <w:sz w:val="18"/>
                            <w:szCs w:val="18"/>
                          </w:rPr>
                        </w:pPr>
                        <w:r w:rsidRPr="003A1829">
                          <w:rPr>
                            <w:rFonts w:ascii="Times New Roman" w:hAnsi="Times New Roman" w:cs="Times New Roman"/>
                            <w:sz w:val="18"/>
                            <w:szCs w:val="18"/>
                          </w:rPr>
                          <w:t>mRS 3-4 = 0,380</w:t>
                        </w:r>
                      </w:p>
                      <w:p w14:paraId="74FD52AB" w14:textId="77777777" w:rsidR="005E6F1B" w:rsidRPr="003A1829" w:rsidRDefault="005E6F1B" w:rsidP="00F50E2E">
                        <w:pPr>
                          <w:rPr>
                            <w:rFonts w:ascii="Times New Roman" w:hAnsi="Times New Roman" w:cs="Times New Roman"/>
                            <w:sz w:val="18"/>
                            <w:szCs w:val="18"/>
                          </w:rPr>
                        </w:pPr>
                        <w:r w:rsidRPr="003A1829">
                          <w:rPr>
                            <w:rFonts w:ascii="Times New Roman" w:hAnsi="Times New Roman" w:cs="Times New Roman"/>
                            <w:sz w:val="18"/>
                            <w:szCs w:val="18"/>
                          </w:rPr>
                          <w:t>смерть = 0,134</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1" o:spid="_x0000_s1038" type="#_x0000_t88" style="position:absolute;left:43355;top:1576;width:2680;height:9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SFExgAAAOEAAAAPAAAAZHJzL2Rvd25yZXYueG1sRE9da8Iw&#10;FH0X9h/CHfgia6qCbl2jTEGdMth0Y8+X5tqWNTelibb+ezMQfDyc73TemUqcqXGlZQXDKAZBnFld&#10;cq7g53v19AzCeWSNlWVScCEH89lDL8VE25b3dD74XIQQdgkqKLyvEyldVpBBF9maOHBH2xj0ATa5&#10;1A22IdxUchTHE2mw5NBQYE3LgrK/w8ko+KXj4mO72reDYft12vFi80lrVqr/2L29gvDU+bv45n7X&#10;Yf54On4ZxRP4fxQgyNkVAAD//wMAUEsBAi0AFAAGAAgAAAAhANvh9svuAAAAhQEAABMAAAAAAAAA&#10;AAAAAAAAAAAAAFtDb250ZW50X1R5cGVzXS54bWxQSwECLQAUAAYACAAAACEAWvQsW78AAAAVAQAA&#10;CwAAAAAAAAAAAAAAAAAfAQAAX3JlbHMvLnJlbHNQSwECLQAUAAYACAAAACEAx70hRMYAAADhAAAA&#10;DwAAAAAAAAAAAAAAAAAHAgAAZHJzL2Rvd25yZXYueG1sUEsFBgAAAAADAAMAtwAAAPoCAAAAAA==&#10;" adj="519" strokecolor="#4472c4 [3204]" strokeweight=".5pt">
                  <v:stroke joinstyle="miter"/>
                </v:shape>
                <v:shape id="Правая фигурная скобка 11" o:spid="_x0000_s1039" type="#_x0000_t88" style="position:absolute;left:43355;top:16869;width:2680;height:9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p3BzAAAAOMAAAAPAAAAZHJzL2Rvd25yZXYueG1sRI9La8Mw&#10;EITvhf4HsYFcSiIrdUNwooSmkPRBIa/S82JtbFNrZSwldv99VSj0OMzMN8xi1dtaXKn1lWMNapyA&#10;IM6dqbjQ8HHajGYgfEA2WDsmDd/kYbW8vVlgZlzHB7oeQyEihH2GGsoQmkxKn5dk0Y9dQxy9s2st&#10;hijbQpoWuwi3tZwkyVRarDgulNjQU0n51/FiNXzSef3+ujl0d6rbX954/byjLWs9HPSPcxCB+vAf&#10;/mu/GA0TlSqVpPfpA/x+in9ALn8AAAD//wMAUEsBAi0AFAAGAAgAAAAhANvh9svuAAAAhQEAABMA&#10;AAAAAAAAAAAAAAAAAAAAAFtDb250ZW50X1R5cGVzXS54bWxQSwECLQAUAAYACAAAACEAWvQsW78A&#10;AAAVAQAACwAAAAAAAAAAAAAAAAAfAQAAX3JlbHMvLnJlbHNQSwECLQAUAAYACAAAACEAtO6dwcwA&#10;AADjAAAADwAAAAAAAAAAAAAAAAAHAgAAZHJzL2Rvd25yZXYueG1sUEsFBgAAAAADAAMAtwAAAAAD&#10;AAAAAA==&#10;" adj="519" strokecolor="#4472c4 [3204]" strokeweight=".5pt">
                  <v:stroke joinstyle="miter"/>
                </v:shape>
                <v:shape id="Левая фигурная скобка 3" o:spid="_x0000_s1040" type="#_x0000_t87" style="position:absolute;left:25224;top:17026;width:2838;height:1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5QcygAAAOMAAAAPAAAAZHJzL2Rvd25yZXYueG1sRI9BT8Mw&#10;DIXvSPyHyEhcJpZANUBl2YSG0LhNDJA4Wo1pC41T6rAWfj0+IHG0/fze+5brKXbmQIO0iT2czx0Y&#10;4iqFlmsPz0/3Z9dgJCMH7BKTh28SWK+Oj5ZYhjTyIx32uTZqwlKihybnvrRWqoYiyjz1xHp7S0PE&#10;rONQ2zDgqOaxsxfOXdqILWtCgz1tGqo+9l/RQ/cqP3fjZ6b37ewFNzPZbRey8/70ZLq9AZNpyv/i&#10;v++HoPVdUVy5hSuUQpl0AXb1CwAA//8DAFBLAQItABQABgAIAAAAIQDb4fbL7gAAAIUBAAATAAAA&#10;AAAAAAAAAAAAAAAAAABbQ29udGVudF9UeXBlc10ueG1sUEsBAi0AFAAGAAgAAAAhAFr0LFu/AAAA&#10;FQEAAAsAAAAAAAAAAAAAAAAAHwEAAF9yZWxzLy5yZWxzUEsBAi0AFAAGAAgAAAAhADOflBzKAAAA&#10;4wAAAA8AAAAAAAAAAAAAAAAABwIAAGRycy9kb3ducmV2LnhtbFBLBQYAAAAAAwADALcAAAD+AgAA&#10;AAA=&#10;" adj="511" strokecolor="#4472c4 [3204]" strokeweight=".5pt">
                  <v:stroke joinstyle="miter"/>
                </v:shape>
              </v:group>
            </w:pict>
          </mc:Fallback>
        </mc:AlternateContent>
      </w:r>
    </w:p>
    <w:p w14:paraId="279CFE2A" w14:textId="201D8AEC" w:rsidR="00F50E2E" w:rsidRPr="00F50E2E" w:rsidRDefault="00F50E2E" w:rsidP="000F4E51">
      <w:pPr>
        <w:spacing w:after="0" w:line="240" w:lineRule="auto"/>
        <w:ind w:left="851" w:right="-1135" w:firstLine="567"/>
        <w:jc w:val="both"/>
        <w:rPr>
          <w:rFonts w:ascii="Times New Roman" w:hAnsi="Times New Roman" w:cs="Times New Roman"/>
          <w:sz w:val="28"/>
          <w:szCs w:val="28"/>
        </w:rPr>
      </w:pPr>
    </w:p>
    <w:p w14:paraId="4CCF6208" w14:textId="77777777" w:rsidR="00F50E2E" w:rsidRPr="00F50E2E" w:rsidRDefault="00F50E2E" w:rsidP="000F4E51">
      <w:pPr>
        <w:spacing w:after="0" w:line="240" w:lineRule="auto"/>
        <w:ind w:left="851" w:right="-1135" w:firstLine="567"/>
        <w:jc w:val="both"/>
        <w:rPr>
          <w:rFonts w:ascii="Times New Roman" w:hAnsi="Times New Roman" w:cs="Times New Roman"/>
          <w:sz w:val="28"/>
          <w:szCs w:val="28"/>
        </w:rPr>
      </w:pPr>
    </w:p>
    <w:p w14:paraId="4AF09F67" w14:textId="77777777" w:rsidR="00F50E2E" w:rsidRPr="00F50E2E" w:rsidRDefault="00F50E2E" w:rsidP="000F4E51">
      <w:pPr>
        <w:spacing w:after="0" w:line="240" w:lineRule="auto"/>
        <w:ind w:left="851" w:right="-1135" w:firstLine="567"/>
        <w:jc w:val="both"/>
        <w:rPr>
          <w:rFonts w:ascii="Times New Roman" w:hAnsi="Times New Roman" w:cs="Times New Roman"/>
          <w:sz w:val="28"/>
          <w:szCs w:val="28"/>
        </w:rPr>
      </w:pPr>
    </w:p>
    <w:p w14:paraId="0C200BBC" w14:textId="77777777" w:rsidR="00F50E2E" w:rsidRPr="00F50E2E" w:rsidRDefault="00F50E2E" w:rsidP="000F4E51">
      <w:pPr>
        <w:spacing w:after="0" w:line="240" w:lineRule="auto"/>
        <w:ind w:left="851" w:right="-1135" w:firstLine="567"/>
        <w:jc w:val="both"/>
        <w:rPr>
          <w:rFonts w:ascii="Times New Roman" w:hAnsi="Times New Roman" w:cs="Times New Roman"/>
          <w:sz w:val="28"/>
          <w:szCs w:val="28"/>
        </w:rPr>
      </w:pPr>
    </w:p>
    <w:p w14:paraId="446EF28E" w14:textId="77777777" w:rsidR="00F50E2E" w:rsidRPr="00F50E2E" w:rsidRDefault="00F50E2E" w:rsidP="000F4E51">
      <w:pPr>
        <w:spacing w:after="0" w:line="240" w:lineRule="auto"/>
        <w:ind w:left="851" w:right="-1135" w:firstLine="567"/>
        <w:jc w:val="both"/>
        <w:rPr>
          <w:rFonts w:ascii="Times New Roman" w:hAnsi="Times New Roman" w:cs="Times New Roman"/>
          <w:sz w:val="28"/>
          <w:szCs w:val="28"/>
        </w:rPr>
      </w:pPr>
    </w:p>
    <w:p w14:paraId="6F5C0175" w14:textId="77777777" w:rsidR="00F50E2E" w:rsidRPr="00F50E2E" w:rsidRDefault="00F50E2E" w:rsidP="000F4E51">
      <w:pPr>
        <w:spacing w:after="0" w:line="240" w:lineRule="auto"/>
        <w:ind w:left="851" w:right="-1135" w:firstLine="567"/>
        <w:jc w:val="both"/>
        <w:rPr>
          <w:rFonts w:ascii="Times New Roman" w:hAnsi="Times New Roman" w:cs="Times New Roman"/>
          <w:sz w:val="28"/>
          <w:szCs w:val="28"/>
        </w:rPr>
      </w:pPr>
    </w:p>
    <w:p w14:paraId="37B0D778" w14:textId="77777777" w:rsidR="00F50E2E" w:rsidRPr="00F50E2E" w:rsidRDefault="00F50E2E" w:rsidP="000F4E51">
      <w:pPr>
        <w:spacing w:after="0" w:line="240" w:lineRule="auto"/>
        <w:ind w:left="851" w:right="-1135" w:firstLine="567"/>
        <w:jc w:val="both"/>
        <w:rPr>
          <w:rFonts w:ascii="Times New Roman" w:hAnsi="Times New Roman" w:cs="Times New Roman"/>
          <w:sz w:val="28"/>
          <w:szCs w:val="28"/>
        </w:rPr>
      </w:pPr>
    </w:p>
    <w:p w14:paraId="1646FB13" w14:textId="77777777" w:rsidR="00F50E2E" w:rsidRPr="00F50E2E" w:rsidRDefault="00F50E2E" w:rsidP="000F4E51">
      <w:pPr>
        <w:spacing w:after="0" w:line="240" w:lineRule="auto"/>
        <w:ind w:left="851" w:right="-1135" w:firstLine="567"/>
        <w:jc w:val="both"/>
        <w:rPr>
          <w:rFonts w:ascii="Times New Roman" w:hAnsi="Times New Roman" w:cs="Times New Roman"/>
          <w:sz w:val="28"/>
          <w:szCs w:val="28"/>
        </w:rPr>
      </w:pPr>
    </w:p>
    <w:p w14:paraId="3C1AD1A2" w14:textId="77777777" w:rsidR="00F50E2E" w:rsidRPr="00F50E2E" w:rsidRDefault="00F50E2E" w:rsidP="000F4E51">
      <w:pPr>
        <w:spacing w:after="0" w:line="240" w:lineRule="auto"/>
        <w:ind w:left="851" w:right="-1135" w:firstLine="567"/>
        <w:jc w:val="both"/>
        <w:rPr>
          <w:rFonts w:ascii="Times New Roman" w:hAnsi="Times New Roman" w:cs="Times New Roman"/>
          <w:sz w:val="28"/>
          <w:szCs w:val="28"/>
        </w:rPr>
      </w:pPr>
    </w:p>
    <w:p w14:paraId="6BE9037F" w14:textId="77777777" w:rsidR="00F50E2E" w:rsidRPr="00F50E2E" w:rsidRDefault="00F50E2E" w:rsidP="000F4E51">
      <w:pPr>
        <w:spacing w:after="0" w:line="240" w:lineRule="auto"/>
        <w:ind w:left="851" w:right="-1135" w:firstLine="567"/>
        <w:jc w:val="both"/>
        <w:rPr>
          <w:rFonts w:ascii="Times New Roman" w:hAnsi="Times New Roman" w:cs="Times New Roman"/>
          <w:sz w:val="28"/>
          <w:szCs w:val="28"/>
        </w:rPr>
      </w:pPr>
    </w:p>
    <w:p w14:paraId="0D476E3C" w14:textId="77777777" w:rsidR="007B3B09" w:rsidRDefault="007B3B09" w:rsidP="000F4E51">
      <w:pPr>
        <w:spacing w:after="0" w:line="240" w:lineRule="auto"/>
        <w:ind w:left="851" w:right="-1135" w:firstLine="567"/>
        <w:jc w:val="both"/>
        <w:rPr>
          <w:rFonts w:ascii="Times New Roman" w:hAnsi="Times New Roman" w:cs="Times New Roman"/>
          <w:sz w:val="28"/>
          <w:szCs w:val="28"/>
        </w:rPr>
      </w:pPr>
    </w:p>
    <w:p w14:paraId="6502E02E" w14:textId="77777777" w:rsidR="007B3B09" w:rsidRDefault="007B3B09" w:rsidP="000F4E51">
      <w:pPr>
        <w:spacing w:after="0" w:line="240" w:lineRule="auto"/>
        <w:ind w:left="851" w:right="-1135" w:firstLine="567"/>
        <w:jc w:val="both"/>
        <w:rPr>
          <w:rFonts w:ascii="Times New Roman" w:hAnsi="Times New Roman" w:cs="Times New Roman"/>
          <w:sz w:val="28"/>
          <w:szCs w:val="28"/>
        </w:rPr>
      </w:pPr>
    </w:p>
    <w:p w14:paraId="6E5A766F" w14:textId="77777777" w:rsidR="007B3B09" w:rsidRDefault="007B3B09" w:rsidP="000F4E51">
      <w:pPr>
        <w:spacing w:after="0" w:line="240" w:lineRule="auto"/>
        <w:ind w:left="851" w:right="-1135" w:firstLine="567"/>
        <w:jc w:val="both"/>
        <w:rPr>
          <w:rFonts w:ascii="Times New Roman" w:hAnsi="Times New Roman" w:cs="Times New Roman"/>
          <w:sz w:val="28"/>
          <w:szCs w:val="28"/>
        </w:rPr>
      </w:pPr>
    </w:p>
    <w:p w14:paraId="52C7F035" w14:textId="77777777" w:rsidR="007B3B09" w:rsidRDefault="007B3B09" w:rsidP="000F4E51">
      <w:pPr>
        <w:spacing w:after="0" w:line="240" w:lineRule="auto"/>
        <w:ind w:left="851" w:right="-1135" w:firstLine="567"/>
        <w:jc w:val="both"/>
        <w:rPr>
          <w:rFonts w:ascii="Times New Roman" w:hAnsi="Times New Roman" w:cs="Times New Roman"/>
          <w:sz w:val="28"/>
          <w:szCs w:val="28"/>
        </w:rPr>
      </w:pPr>
    </w:p>
    <w:p w14:paraId="5986EB15" w14:textId="77777777" w:rsidR="00C6385D" w:rsidRDefault="00C6385D" w:rsidP="00C6385D">
      <w:pPr>
        <w:spacing w:after="0" w:line="240" w:lineRule="auto"/>
        <w:ind w:right="-284" w:firstLine="567"/>
        <w:jc w:val="center"/>
        <w:rPr>
          <w:rFonts w:ascii="Times New Roman" w:hAnsi="Times New Roman" w:cs="Times New Roman"/>
          <w:sz w:val="28"/>
          <w:szCs w:val="28"/>
        </w:rPr>
      </w:pPr>
    </w:p>
    <w:p w14:paraId="6538228F" w14:textId="250F5D9C" w:rsidR="00F50E2E" w:rsidRPr="00F50E2E" w:rsidRDefault="00C6385D" w:rsidP="00C6385D">
      <w:pPr>
        <w:spacing w:after="0" w:line="240" w:lineRule="auto"/>
        <w:ind w:right="-284" w:firstLine="567"/>
        <w:jc w:val="center"/>
        <w:rPr>
          <w:rFonts w:ascii="Times New Roman" w:hAnsi="Times New Roman" w:cs="Times New Roman"/>
          <w:sz w:val="28"/>
          <w:szCs w:val="28"/>
        </w:rPr>
      </w:pPr>
      <w:r>
        <w:rPr>
          <w:rFonts w:ascii="Times New Roman" w:hAnsi="Times New Roman" w:cs="Times New Roman"/>
          <w:sz w:val="28"/>
          <w:szCs w:val="28"/>
        </w:rPr>
        <w:t>Рисунок 2 -</w:t>
      </w:r>
      <w:r w:rsidR="00F50E2E" w:rsidRPr="00F50E2E">
        <w:rPr>
          <w:rFonts w:ascii="Times New Roman" w:hAnsi="Times New Roman" w:cs="Times New Roman"/>
          <w:sz w:val="28"/>
          <w:szCs w:val="28"/>
        </w:rPr>
        <w:t xml:space="preserve"> Дерево решений для острого ишемического инсульта (*ТЛ – тромболизис)</w:t>
      </w:r>
    </w:p>
    <w:p w14:paraId="0B92AADB" w14:textId="77777777" w:rsidR="000E609B" w:rsidRDefault="000E609B" w:rsidP="00C6385D">
      <w:pPr>
        <w:spacing w:after="0" w:line="240" w:lineRule="auto"/>
        <w:ind w:right="-284" w:firstLine="567"/>
        <w:jc w:val="center"/>
        <w:rPr>
          <w:rFonts w:ascii="Times New Roman" w:hAnsi="Times New Roman" w:cs="Times New Roman"/>
          <w:sz w:val="28"/>
          <w:szCs w:val="28"/>
        </w:rPr>
      </w:pPr>
    </w:p>
    <w:p w14:paraId="58CAEC39" w14:textId="3BFD9D91" w:rsidR="00F50E2E" w:rsidRPr="00F50E2E" w:rsidRDefault="00F50E2E" w:rsidP="00C6385D">
      <w:pPr>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Затраты в модели включали прямые медицинские, социальные и организационные расходы. Стоимость вызова скорой медицинской помощи и стационарного лечения инсульта определялась на основе действующих тарифов в рамках ГОБМП и ОСМС. Социальные расходы включали ежегодное пособие по инвалидности, рассчитанное как среднее арифметическое сумм выплат для групп инвалидности I, II и III в 2024 году. Расходы на реабилитацию учитывали стоимость второго этапа реабилитационного лечения в соответствии с установленными тарифами.</w:t>
      </w:r>
    </w:p>
    <w:p w14:paraId="7BD51CCC" w14:textId="41088D6A" w:rsidR="00F50E2E" w:rsidRPr="00F50E2E" w:rsidRDefault="00F50E2E" w:rsidP="00C6385D">
      <w:pPr>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Организационные расходы, связанные с внедрением и функционированием MSU, рассматривались отдельно. Единовременные затраты на обучение персонала составили 846000 тенге, и включали подготовку медицинских специалистов и диспетчеров службы скорой медицинской помощи. Фонд оплаты труда MSU учитывался на годовой основе и составил 64921506 тенге. Капитальные затраты учитывались с использованием линейной амортизации со сроком 9 лет. Все затраты и эффекты в модели дисконтировались по ставке 4% годовых. Порог готовности платить определялся как однократный и трехкратный размер валового регионального продукта на душу населения за один жизни с поправкой на качество (QALY) [12</w:t>
      </w:r>
      <w:r w:rsidR="00932A85" w:rsidRPr="00932A85">
        <w:rPr>
          <w:rFonts w:ascii="Times New Roman" w:hAnsi="Times New Roman" w:cs="Times New Roman"/>
          <w:sz w:val="28"/>
          <w:szCs w:val="28"/>
        </w:rPr>
        <w:t>6</w:t>
      </w:r>
      <w:r w:rsidRPr="00F50E2E">
        <w:rPr>
          <w:rFonts w:ascii="Times New Roman" w:hAnsi="Times New Roman" w:cs="Times New Roman"/>
          <w:sz w:val="28"/>
          <w:szCs w:val="28"/>
        </w:rPr>
        <w:t>].</w:t>
      </w:r>
    </w:p>
    <w:p w14:paraId="39BEB300" w14:textId="54229BF1" w:rsidR="00F50E2E" w:rsidRPr="00F50E2E" w:rsidRDefault="00F50E2E" w:rsidP="00C6385D">
      <w:pPr>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Переходы между состояниями здоровья моделировались с использованием годовых матриц переходов Маркова</w:t>
      </w:r>
      <w:r w:rsidR="002C7A3A">
        <w:rPr>
          <w:rFonts w:ascii="Times New Roman" w:hAnsi="Times New Roman" w:cs="Times New Roman"/>
          <w:sz w:val="28"/>
          <w:szCs w:val="28"/>
        </w:rPr>
        <w:t xml:space="preserve"> (таблица 7)</w:t>
      </w:r>
      <w:r w:rsidRPr="00F50E2E">
        <w:rPr>
          <w:rFonts w:ascii="Times New Roman" w:hAnsi="Times New Roman" w:cs="Times New Roman"/>
          <w:sz w:val="28"/>
          <w:szCs w:val="28"/>
        </w:rPr>
        <w:t xml:space="preserve">. Использовались две матрицы: одна для первого года моделирования, включающая дополнительную вероятность восстановления функциональной независимости (переход из </w:t>
      </w:r>
      <w:r w:rsidRPr="00F50E2E">
        <w:rPr>
          <w:rFonts w:ascii="Times New Roman" w:hAnsi="Times New Roman" w:cs="Times New Roman"/>
          <w:sz w:val="28"/>
          <w:szCs w:val="28"/>
        </w:rPr>
        <w:lastRenderedPageBreak/>
        <w:t xml:space="preserve">функционально зависимого состояния в функционально независимое состояние), и вторая для последующих лет, в которых дополнительное восстановление не предполагалось. Состояние «смерть» рассматривалось как абсорбирующее. </w:t>
      </w:r>
    </w:p>
    <w:p w14:paraId="70AE4E0D" w14:textId="77777777" w:rsidR="000E609B" w:rsidRDefault="000E609B" w:rsidP="00C6385D">
      <w:pPr>
        <w:spacing w:after="0" w:line="240" w:lineRule="auto"/>
        <w:ind w:firstLine="567"/>
        <w:rPr>
          <w:rFonts w:ascii="Times New Roman" w:hAnsi="Times New Roman" w:cs="Times New Roman"/>
          <w:sz w:val="28"/>
          <w:szCs w:val="28"/>
        </w:rPr>
      </w:pPr>
    </w:p>
    <w:p w14:paraId="63E5C843" w14:textId="2B01F73E" w:rsidR="00F50E2E" w:rsidRDefault="00F50E2E" w:rsidP="00C6385D">
      <w:pPr>
        <w:spacing w:after="0" w:line="240" w:lineRule="auto"/>
        <w:ind w:right="-284"/>
        <w:rPr>
          <w:rFonts w:ascii="Times New Roman" w:hAnsi="Times New Roman" w:cs="Times New Roman"/>
          <w:sz w:val="28"/>
          <w:szCs w:val="28"/>
        </w:rPr>
      </w:pPr>
      <w:r w:rsidRPr="00F50E2E">
        <w:rPr>
          <w:rFonts w:ascii="Times New Roman" w:hAnsi="Times New Roman" w:cs="Times New Roman"/>
          <w:sz w:val="28"/>
          <w:szCs w:val="28"/>
        </w:rPr>
        <w:t xml:space="preserve">Таблица </w:t>
      </w:r>
      <w:r w:rsidR="007B3B09">
        <w:rPr>
          <w:rFonts w:ascii="Times New Roman" w:hAnsi="Times New Roman" w:cs="Times New Roman"/>
          <w:sz w:val="28"/>
          <w:szCs w:val="28"/>
        </w:rPr>
        <w:t>7</w:t>
      </w:r>
      <w:r w:rsidR="00C6385D">
        <w:rPr>
          <w:rFonts w:ascii="Times New Roman" w:hAnsi="Times New Roman" w:cs="Times New Roman"/>
          <w:sz w:val="28"/>
          <w:szCs w:val="28"/>
        </w:rPr>
        <w:t xml:space="preserve"> -</w:t>
      </w:r>
      <w:r w:rsidRPr="00F50E2E">
        <w:rPr>
          <w:rFonts w:ascii="Times New Roman" w:hAnsi="Times New Roman" w:cs="Times New Roman"/>
          <w:sz w:val="28"/>
          <w:szCs w:val="28"/>
        </w:rPr>
        <w:t xml:space="preserve"> Годовые матрицы переходов марковской модели</w:t>
      </w:r>
    </w:p>
    <w:p w14:paraId="27894670" w14:textId="77777777" w:rsidR="00C6385D" w:rsidRPr="00F50E2E" w:rsidRDefault="00C6385D" w:rsidP="00C6385D">
      <w:pPr>
        <w:spacing w:after="0" w:line="240" w:lineRule="auto"/>
        <w:ind w:right="-284"/>
        <w:rPr>
          <w:rFonts w:ascii="Times New Roman" w:hAnsi="Times New Roman" w:cs="Times New Roman"/>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664"/>
        <w:gridCol w:w="1818"/>
        <w:gridCol w:w="2748"/>
      </w:tblGrid>
      <w:tr w:rsidR="00F50E2E" w:rsidRPr="00F50E2E" w14:paraId="2582248C" w14:textId="77777777" w:rsidTr="00C6385D">
        <w:trPr>
          <w:trHeight w:val="300"/>
        </w:trPr>
        <w:tc>
          <w:tcPr>
            <w:tcW w:w="9493" w:type="dxa"/>
            <w:gridSpan w:val="4"/>
            <w:noWrap/>
            <w:vAlign w:val="bottom"/>
          </w:tcPr>
          <w:p w14:paraId="01409433" w14:textId="77777777" w:rsidR="00F50E2E" w:rsidRPr="00F50E2E" w:rsidRDefault="00F50E2E" w:rsidP="000F4E51">
            <w:pPr>
              <w:spacing w:after="0" w:line="240" w:lineRule="auto"/>
              <w:ind w:left="22" w:right="317"/>
              <w:jc w:val="center"/>
              <w:rPr>
                <w:rFonts w:ascii="Times New Roman" w:hAnsi="Times New Roman" w:cs="Times New Roman"/>
                <w:b/>
                <w:bCs/>
                <w:color w:val="000000"/>
                <w:sz w:val="28"/>
                <w:szCs w:val="28"/>
              </w:rPr>
            </w:pPr>
            <w:r w:rsidRPr="00F50E2E">
              <w:rPr>
                <w:rFonts w:ascii="Times New Roman" w:hAnsi="Times New Roman" w:cs="Times New Roman"/>
                <w:color w:val="000000"/>
                <w:sz w:val="28"/>
                <w:szCs w:val="28"/>
              </w:rPr>
              <w:t>Матрица переходов для 1-го года моделирования</w:t>
            </w:r>
          </w:p>
        </w:tc>
      </w:tr>
      <w:tr w:rsidR="00F50E2E" w:rsidRPr="00F50E2E" w14:paraId="64D91074" w14:textId="77777777" w:rsidTr="00C6385D">
        <w:trPr>
          <w:trHeight w:val="300"/>
        </w:trPr>
        <w:tc>
          <w:tcPr>
            <w:tcW w:w="2263" w:type="dxa"/>
            <w:noWrap/>
            <w:vAlign w:val="bottom"/>
            <w:hideMark/>
          </w:tcPr>
          <w:p w14:paraId="0CC0D54C" w14:textId="77777777" w:rsidR="00F50E2E" w:rsidRPr="00F50E2E" w:rsidRDefault="00F50E2E" w:rsidP="000F4E51">
            <w:pPr>
              <w:spacing w:after="0" w:line="240" w:lineRule="auto"/>
              <w:ind w:left="22" w:right="317"/>
              <w:rPr>
                <w:rFonts w:ascii="Times New Roman" w:hAnsi="Times New Roman" w:cs="Times New Roman"/>
                <w:color w:val="000000"/>
                <w:sz w:val="28"/>
                <w:szCs w:val="28"/>
              </w:rPr>
            </w:pPr>
            <w:r w:rsidRPr="00F50E2E">
              <w:rPr>
                <w:rFonts w:ascii="Times New Roman" w:hAnsi="Times New Roman" w:cs="Times New Roman"/>
                <w:color w:val="000000"/>
                <w:sz w:val="28"/>
                <w:szCs w:val="28"/>
              </w:rPr>
              <w:t>1 год</w:t>
            </w:r>
          </w:p>
        </w:tc>
        <w:tc>
          <w:tcPr>
            <w:tcW w:w="2664" w:type="dxa"/>
            <w:noWrap/>
            <w:vAlign w:val="bottom"/>
            <w:hideMark/>
          </w:tcPr>
          <w:p w14:paraId="5CC379B2"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Независимое</w:t>
            </w:r>
          </w:p>
        </w:tc>
        <w:tc>
          <w:tcPr>
            <w:tcW w:w="1818" w:type="dxa"/>
            <w:noWrap/>
            <w:vAlign w:val="bottom"/>
            <w:hideMark/>
          </w:tcPr>
          <w:p w14:paraId="522082E2"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Зависимое</w:t>
            </w:r>
          </w:p>
        </w:tc>
        <w:tc>
          <w:tcPr>
            <w:tcW w:w="2748" w:type="dxa"/>
            <w:noWrap/>
            <w:vAlign w:val="bottom"/>
            <w:hideMark/>
          </w:tcPr>
          <w:p w14:paraId="4449F8C2"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Смерть</w:t>
            </w:r>
          </w:p>
        </w:tc>
      </w:tr>
      <w:tr w:rsidR="00F50E2E" w:rsidRPr="00F50E2E" w14:paraId="587B30BA" w14:textId="77777777" w:rsidTr="00C6385D">
        <w:trPr>
          <w:trHeight w:val="300"/>
        </w:trPr>
        <w:tc>
          <w:tcPr>
            <w:tcW w:w="2263" w:type="dxa"/>
            <w:noWrap/>
            <w:vAlign w:val="bottom"/>
            <w:hideMark/>
          </w:tcPr>
          <w:p w14:paraId="76591425" w14:textId="77777777" w:rsidR="00F50E2E" w:rsidRPr="00F50E2E" w:rsidRDefault="00F50E2E" w:rsidP="000F4E51">
            <w:pPr>
              <w:spacing w:after="0" w:line="240" w:lineRule="auto"/>
              <w:ind w:left="22" w:right="317"/>
              <w:rPr>
                <w:rFonts w:ascii="Times New Roman" w:hAnsi="Times New Roman" w:cs="Times New Roman"/>
                <w:color w:val="000000"/>
                <w:sz w:val="28"/>
                <w:szCs w:val="28"/>
              </w:rPr>
            </w:pPr>
            <w:r w:rsidRPr="00F50E2E">
              <w:rPr>
                <w:rFonts w:ascii="Times New Roman" w:hAnsi="Times New Roman" w:cs="Times New Roman"/>
                <w:color w:val="000000"/>
                <w:sz w:val="28"/>
                <w:szCs w:val="28"/>
              </w:rPr>
              <w:t>Независимое</w:t>
            </w:r>
          </w:p>
        </w:tc>
        <w:tc>
          <w:tcPr>
            <w:tcW w:w="2664" w:type="dxa"/>
            <w:noWrap/>
            <w:vAlign w:val="bottom"/>
            <w:hideMark/>
          </w:tcPr>
          <w:p w14:paraId="5266BFC2"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0,94</w:t>
            </w:r>
          </w:p>
        </w:tc>
        <w:tc>
          <w:tcPr>
            <w:tcW w:w="1818" w:type="dxa"/>
            <w:noWrap/>
            <w:vAlign w:val="bottom"/>
            <w:hideMark/>
          </w:tcPr>
          <w:p w14:paraId="4AD75A1B"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0,02</w:t>
            </w:r>
          </w:p>
        </w:tc>
        <w:tc>
          <w:tcPr>
            <w:tcW w:w="2748" w:type="dxa"/>
            <w:noWrap/>
            <w:vAlign w:val="bottom"/>
            <w:hideMark/>
          </w:tcPr>
          <w:p w14:paraId="42A8957A"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0,04</w:t>
            </w:r>
          </w:p>
        </w:tc>
      </w:tr>
      <w:tr w:rsidR="00F50E2E" w:rsidRPr="00F50E2E" w14:paraId="4964F30D" w14:textId="77777777" w:rsidTr="00C6385D">
        <w:trPr>
          <w:trHeight w:val="300"/>
        </w:trPr>
        <w:tc>
          <w:tcPr>
            <w:tcW w:w="2263" w:type="dxa"/>
            <w:noWrap/>
            <w:vAlign w:val="bottom"/>
            <w:hideMark/>
          </w:tcPr>
          <w:p w14:paraId="09092D62" w14:textId="77777777" w:rsidR="00F50E2E" w:rsidRPr="00F50E2E" w:rsidRDefault="00F50E2E" w:rsidP="000F4E51">
            <w:pPr>
              <w:spacing w:after="0" w:line="240" w:lineRule="auto"/>
              <w:ind w:left="22" w:right="317"/>
              <w:rPr>
                <w:rFonts w:ascii="Times New Roman" w:hAnsi="Times New Roman" w:cs="Times New Roman"/>
                <w:color w:val="000000"/>
                <w:sz w:val="28"/>
                <w:szCs w:val="28"/>
              </w:rPr>
            </w:pPr>
            <w:r w:rsidRPr="00F50E2E">
              <w:rPr>
                <w:rFonts w:ascii="Times New Roman" w:hAnsi="Times New Roman" w:cs="Times New Roman"/>
                <w:color w:val="000000"/>
                <w:sz w:val="28"/>
                <w:szCs w:val="28"/>
              </w:rPr>
              <w:t>Зависимое</w:t>
            </w:r>
          </w:p>
        </w:tc>
        <w:tc>
          <w:tcPr>
            <w:tcW w:w="2664" w:type="dxa"/>
            <w:noWrap/>
            <w:vAlign w:val="bottom"/>
            <w:hideMark/>
          </w:tcPr>
          <w:p w14:paraId="401ECBF6"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0,13</w:t>
            </w:r>
          </w:p>
        </w:tc>
        <w:tc>
          <w:tcPr>
            <w:tcW w:w="1818" w:type="dxa"/>
            <w:noWrap/>
            <w:vAlign w:val="bottom"/>
            <w:hideMark/>
          </w:tcPr>
          <w:p w14:paraId="78838184"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0,81</w:t>
            </w:r>
          </w:p>
        </w:tc>
        <w:tc>
          <w:tcPr>
            <w:tcW w:w="2748" w:type="dxa"/>
            <w:noWrap/>
            <w:vAlign w:val="bottom"/>
            <w:hideMark/>
          </w:tcPr>
          <w:p w14:paraId="680CAD65"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0,06</w:t>
            </w:r>
          </w:p>
        </w:tc>
      </w:tr>
      <w:tr w:rsidR="00F50E2E" w:rsidRPr="00F50E2E" w14:paraId="74587D1F" w14:textId="77777777" w:rsidTr="00C6385D">
        <w:trPr>
          <w:trHeight w:val="300"/>
        </w:trPr>
        <w:tc>
          <w:tcPr>
            <w:tcW w:w="2263" w:type="dxa"/>
            <w:noWrap/>
            <w:vAlign w:val="bottom"/>
            <w:hideMark/>
          </w:tcPr>
          <w:p w14:paraId="40CD2120" w14:textId="77777777" w:rsidR="00F50E2E" w:rsidRPr="00F50E2E" w:rsidRDefault="00F50E2E" w:rsidP="000F4E51">
            <w:pPr>
              <w:spacing w:after="0" w:line="240" w:lineRule="auto"/>
              <w:ind w:left="22" w:right="317"/>
              <w:rPr>
                <w:rFonts w:ascii="Times New Roman" w:hAnsi="Times New Roman" w:cs="Times New Roman"/>
                <w:color w:val="000000"/>
                <w:sz w:val="28"/>
                <w:szCs w:val="28"/>
              </w:rPr>
            </w:pPr>
            <w:r w:rsidRPr="00F50E2E">
              <w:rPr>
                <w:rFonts w:ascii="Times New Roman" w:hAnsi="Times New Roman" w:cs="Times New Roman"/>
                <w:color w:val="000000"/>
                <w:sz w:val="28"/>
                <w:szCs w:val="28"/>
              </w:rPr>
              <w:t>Смерть</w:t>
            </w:r>
          </w:p>
        </w:tc>
        <w:tc>
          <w:tcPr>
            <w:tcW w:w="2664" w:type="dxa"/>
            <w:noWrap/>
            <w:vAlign w:val="bottom"/>
            <w:hideMark/>
          </w:tcPr>
          <w:p w14:paraId="187C9594"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w:t>
            </w:r>
          </w:p>
        </w:tc>
        <w:tc>
          <w:tcPr>
            <w:tcW w:w="1818" w:type="dxa"/>
            <w:noWrap/>
            <w:vAlign w:val="bottom"/>
            <w:hideMark/>
          </w:tcPr>
          <w:p w14:paraId="7E831725"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w:t>
            </w:r>
          </w:p>
        </w:tc>
        <w:tc>
          <w:tcPr>
            <w:tcW w:w="2748" w:type="dxa"/>
            <w:noWrap/>
            <w:vAlign w:val="bottom"/>
            <w:hideMark/>
          </w:tcPr>
          <w:p w14:paraId="061BD21E"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1,00</w:t>
            </w:r>
          </w:p>
        </w:tc>
      </w:tr>
      <w:tr w:rsidR="00F50E2E" w:rsidRPr="00F50E2E" w14:paraId="7D813727" w14:textId="77777777" w:rsidTr="00C6385D">
        <w:trPr>
          <w:trHeight w:val="300"/>
        </w:trPr>
        <w:tc>
          <w:tcPr>
            <w:tcW w:w="9493" w:type="dxa"/>
            <w:gridSpan w:val="4"/>
            <w:noWrap/>
            <w:vAlign w:val="bottom"/>
            <w:hideMark/>
          </w:tcPr>
          <w:p w14:paraId="01C4FF42" w14:textId="77777777" w:rsidR="00F50E2E" w:rsidRPr="00F50E2E" w:rsidRDefault="00F50E2E" w:rsidP="000F4E51">
            <w:pPr>
              <w:spacing w:after="0" w:line="240" w:lineRule="auto"/>
              <w:ind w:left="22" w:right="317"/>
              <w:jc w:val="center"/>
              <w:rPr>
                <w:rFonts w:ascii="Times New Roman" w:hAnsi="Times New Roman" w:cs="Times New Roman"/>
                <w:sz w:val="28"/>
                <w:szCs w:val="28"/>
              </w:rPr>
            </w:pPr>
            <w:r w:rsidRPr="00F50E2E">
              <w:rPr>
                <w:rFonts w:ascii="Times New Roman" w:hAnsi="Times New Roman" w:cs="Times New Roman"/>
                <w:color w:val="000000"/>
                <w:sz w:val="28"/>
                <w:szCs w:val="28"/>
              </w:rPr>
              <w:t xml:space="preserve">Матрица переходов для 2-го и последующих лет моделирования </w:t>
            </w:r>
          </w:p>
        </w:tc>
      </w:tr>
      <w:tr w:rsidR="00F50E2E" w:rsidRPr="00F50E2E" w14:paraId="2A0140F7" w14:textId="77777777" w:rsidTr="00C6385D">
        <w:trPr>
          <w:trHeight w:val="300"/>
        </w:trPr>
        <w:tc>
          <w:tcPr>
            <w:tcW w:w="2263" w:type="dxa"/>
            <w:noWrap/>
            <w:vAlign w:val="bottom"/>
            <w:hideMark/>
          </w:tcPr>
          <w:p w14:paraId="612DCB81" w14:textId="77777777" w:rsidR="00F50E2E" w:rsidRPr="00F50E2E" w:rsidRDefault="00F50E2E" w:rsidP="000F4E51">
            <w:pPr>
              <w:spacing w:after="0" w:line="240" w:lineRule="auto"/>
              <w:ind w:left="22" w:right="317"/>
              <w:rPr>
                <w:rFonts w:ascii="Times New Roman" w:hAnsi="Times New Roman" w:cs="Times New Roman"/>
                <w:color w:val="000000"/>
                <w:sz w:val="28"/>
                <w:szCs w:val="28"/>
              </w:rPr>
            </w:pPr>
            <w:r w:rsidRPr="00F50E2E">
              <w:rPr>
                <w:rFonts w:ascii="Times New Roman" w:hAnsi="Times New Roman" w:cs="Times New Roman"/>
                <w:color w:val="000000"/>
                <w:sz w:val="28"/>
                <w:szCs w:val="28"/>
              </w:rPr>
              <w:t>Независимое</w:t>
            </w:r>
          </w:p>
        </w:tc>
        <w:tc>
          <w:tcPr>
            <w:tcW w:w="2664" w:type="dxa"/>
            <w:noWrap/>
            <w:vAlign w:val="bottom"/>
            <w:hideMark/>
          </w:tcPr>
          <w:p w14:paraId="34E4F9D7"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0,94</w:t>
            </w:r>
          </w:p>
        </w:tc>
        <w:tc>
          <w:tcPr>
            <w:tcW w:w="1818" w:type="dxa"/>
            <w:noWrap/>
            <w:vAlign w:val="bottom"/>
            <w:hideMark/>
          </w:tcPr>
          <w:p w14:paraId="4F518F1C"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0,02</w:t>
            </w:r>
          </w:p>
        </w:tc>
        <w:tc>
          <w:tcPr>
            <w:tcW w:w="2748" w:type="dxa"/>
            <w:noWrap/>
            <w:vAlign w:val="bottom"/>
            <w:hideMark/>
          </w:tcPr>
          <w:p w14:paraId="06EC157E"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0,04</w:t>
            </w:r>
          </w:p>
        </w:tc>
      </w:tr>
      <w:tr w:rsidR="00F50E2E" w:rsidRPr="00F50E2E" w14:paraId="34F18DE0" w14:textId="77777777" w:rsidTr="00C6385D">
        <w:trPr>
          <w:trHeight w:val="300"/>
        </w:trPr>
        <w:tc>
          <w:tcPr>
            <w:tcW w:w="2263" w:type="dxa"/>
            <w:noWrap/>
            <w:vAlign w:val="bottom"/>
            <w:hideMark/>
          </w:tcPr>
          <w:p w14:paraId="0D26146F" w14:textId="77777777" w:rsidR="00F50E2E" w:rsidRPr="00F50E2E" w:rsidRDefault="00F50E2E" w:rsidP="000F4E51">
            <w:pPr>
              <w:spacing w:after="0" w:line="240" w:lineRule="auto"/>
              <w:ind w:left="22" w:right="317"/>
              <w:rPr>
                <w:rFonts w:ascii="Times New Roman" w:hAnsi="Times New Roman" w:cs="Times New Roman"/>
                <w:color w:val="000000"/>
                <w:sz w:val="28"/>
                <w:szCs w:val="28"/>
              </w:rPr>
            </w:pPr>
            <w:r w:rsidRPr="00F50E2E">
              <w:rPr>
                <w:rFonts w:ascii="Times New Roman" w:hAnsi="Times New Roman" w:cs="Times New Roman"/>
                <w:color w:val="000000"/>
                <w:sz w:val="28"/>
                <w:szCs w:val="28"/>
              </w:rPr>
              <w:t>Зависимое</w:t>
            </w:r>
          </w:p>
        </w:tc>
        <w:tc>
          <w:tcPr>
            <w:tcW w:w="2664" w:type="dxa"/>
            <w:noWrap/>
            <w:vAlign w:val="bottom"/>
            <w:hideMark/>
          </w:tcPr>
          <w:p w14:paraId="08EA8B7E"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0,02</w:t>
            </w:r>
          </w:p>
        </w:tc>
        <w:tc>
          <w:tcPr>
            <w:tcW w:w="1818" w:type="dxa"/>
            <w:noWrap/>
            <w:vAlign w:val="bottom"/>
            <w:hideMark/>
          </w:tcPr>
          <w:p w14:paraId="28F617D9"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0,92</w:t>
            </w:r>
          </w:p>
        </w:tc>
        <w:tc>
          <w:tcPr>
            <w:tcW w:w="2748" w:type="dxa"/>
            <w:noWrap/>
            <w:vAlign w:val="bottom"/>
            <w:hideMark/>
          </w:tcPr>
          <w:p w14:paraId="03FDA6B8"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0,06</w:t>
            </w:r>
          </w:p>
        </w:tc>
      </w:tr>
      <w:tr w:rsidR="00F50E2E" w:rsidRPr="00F50E2E" w14:paraId="1955C2B5" w14:textId="77777777" w:rsidTr="00C6385D">
        <w:trPr>
          <w:trHeight w:val="300"/>
        </w:trPr>
        <w:tc>
          <w:tcPr>
            <w:tcW w:w="2263" w:type="dxa"/>
            <w:noWrap/>
            <w:vAlign w:val="bottom"/>
            <w:hideMark/>
          </w:tcPr>
          <w:p w14:paraId="31DCAA96" w14:textId="77777777" w:rsidR="00F50E2E" w:rsidRPr="00F50E2E" w:rsidRDefault="00F50E2E" w:rsidP="000F4E51">
            <w:pPr>
              <w:spacing w:after="0" w:line="240" w:lineRule="auto"/>
              <w:ind w:left="22" w:right="317"/>
              <w:rPr>
                <w:rFonts w:ascii="Times New Roman" w:hAnsi="Times New Roman" w:cs="Times New Roman"/>
                <w:color w:val="000000"/>
                <w:sz w:val="28"/>
                <w:szCs w:val="28"/>
              </w:rPr>
            </w:pPr>
            <w:r w:rsidRPr="00F50E2E">
              <w:rPr>
                <w:rFonts w:ascii="Times New Roman" w:hAnsi="Times New Roman" w:cs="Times New Roman"/>
                <w:color w:val="000000"/>
                <w:sz w:val="28"/>
                <w:szCs w:val="28"/>
              </w:rPr>
              <w:t>Смерть</w:t>
            </w:r>
          </w:p>
        </w:tc>
        <w:tc>
          <w:tcPr>
            <w:tcW w:w="2664" w:type="dxa"/>
            <w:noWrap/>
            <w:vAlign w:val="bottom"/>
            <w:hideMark/>
          </w:tcPr>
          <w:p w14:paraId="7988F8A8"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w:t>
            </w:r>
          </w:p>
        </w:tc>
        <w:tc>
          <w:tcPr>
            <w:tcW w:w="1818" w:type="dxa"/>
            <w:noWrap/>
            <w:vAlign w:val="bottom"/>
            <w:hideMark/>
          </w:tcPr>
          <w:p w14:paraId="16B83FC4"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w:t>
            </w:r>
          </w:p>
        </w:tc>
        <w:tc>
          <w:tcPr>
            <w:tcW w:w="2748" w:type="dxa"/>
            <w:noWrap/>
            <w:vAlign w:val="bottom"/>
            <w:hideMark/>
          </w:tcPr>
          <w:p w14:paraId="35730A0F" w14:textId="77777777" w:rsidR="00F50E2E" w:rsidRPr="00F50E2E" w:rsidRDefault="00F50E2E" w:rsidP="000F4E51">
            <w:pPr>
              <w:spacing w:after="0" w:line="240" w:lineRule="auto"/>
              <w:ind w:left="22" w:right="317"/>
              <w:jc w:val="center"/>
              <w:rPr>
                <w:rFonts w:ascii="Times New Roman" w:hAnsi="Times New Roman" w:cs="Times New Roman"/>
                <w:color w:val="000000"/>
                <w:sz w:val="28"/>
                <w:szCs w:val="28"/>
              </w:rPr>
            </w:pPr>
            <w:r w:rsidRPr="00F50E2E">
              <w:rPr>
                <w:rFonts w:ascii="Times New Roman" w:hAnsi="Times New Roman" w:cs="Times New Roman"/>
                <w:color w:val="000000"/>
                <w:sz w:val="28"/>
                <w:szCs w:val="28"/>
              </w:rPr>
              <w:t>1,00</w:t>
            </w:r>
          </w:p>
        </w:tc>
      </w:tr>
    </w:tbl>
    <w:p w14:paraId="0A1B6AC1" w14:textId="77777777" w:rsidR="00F50E2E" w:rsidRPr="00F50E2E" w:rsidRDefault="00F50E2E" w:rsidP="000F4E51">
      <w:pPr>
        <w:spacing w:after="0" w:line="240" w:lineRule="auto"/>
        <w:ind w:left="851" w:right="-1135" w:firstLine="567"/>
        <w:rPr>
          <w:rFonts w:ascii="Times New Roman" w:hAnsi="Times New Roman" w:cs="Times New Roman"/>
          <w:sz w:val="28"/>
          <w:szCs w:val="28"/>
        </w:rPr>
      </w:pPr>
    </w:p>
    <w:p w14:paraId="58DB2F26" w14:textId="480DCCA0" w:rsidR="00F50E2E" w:rsidRPr="00F50E2E" w:rsidRDefault="00F50E2E" w:rsidP="00C6385D">
      <w:pPr>
        <w:spacing w:after="0" w:line="240" w:lineRule="auto"/>
        <w:ind w:firstLine="567"/>
        <w:jc w:val="both"/>
        <w:rPr>
          <w:rFonts w:ascii="Times New Roman" w:hAnsi="Times New Roman" w:cs="Times New Roman"/>
          <w:sz w:val="28"/>
          <w:szCs w:val="28"/>
        </w:rPr>
      </w:pPr>
      <w:r w:rsidRPr="00F50E2E">
        <w:rPr>
          <w:rFonts w:ascii="Times New Roman" w:hAnsi="Times New Roman" w:cs="Times New Roman"/>
          <w:sz w:val="28"/>
          <w:szCs w:val="28"/>
        </w:rPr>
        <w:t xml:space="preserve">Для оценки устойчивости результатов экономической эффективности MSU был проведен анализ чувствительности </w:t>
      </w:r>
      <w:r w:rsidRPr="00F50E2E">
        <w:rPr>
          <w:rFonts w:ascii="Times New Roman" w:hAnsi="Times New Roman" w:cs="Times New Roman"/>
          <w:i/>
          <w:iCs/>
          <w:sz w:val="28"/>
          <w:szCs w:val="28"/>
        </w:rPr>
        <w:t>(PSA)</w:t>
      </w:r>
      <w:r w:rsidR="00932A85" w:rsidRPr="00932A85">
        <w:rPr>
          <w:rFonts w:ascii="Times New Roman" w:hAnsi="Times New Roman" w:cs="Times New Roman"/>
          <w:i/>
          <w:iCs/>
          <w:sz w:val="28"/>
          <w:szCs w:val="28"/>
        </w:rPr>
        <w:t xml:space="preserve"> </w:t>
      </w:r>
      <w:r w:rsidR="00932A85" w:rsidRPr="00932A85">
        <w:rPr>
          <w:rFonts w:ascii="Times New Roman" w:hAnsi="Times New Roman" w:cs="Times New Roman"/>
          <w:sz w:val="28"/>
          <w:szCs w:val="28"/>
        </w:rPr>
        <w:t>[127]</w:t>
      </w:r>
      <w:r w:rsidRPr="00932A85">
        <w:rPr>
          <w:rFonts w:ascii="Times New Roman" w:hAnsi="Times New Roman" w:cs="Times New Roman"/>
          <w:sz w:val="28"/>
          <w:szCs w:val="28"/>
        </w:rPr>
        <w:t>.</w:t>
      </w:r>
      <w:r w:rsidRPr="00F50E2E">
        <w:rPr>
          <w:rFonts w:ascii="Times New Roman" w:hAnsi="Times New Roman" w:cs="Times New Roman"/>
          <w:i/>
          <w:iCs/>
          <w:sz w:val="28"/>
          <w:szCs w:val="28"/>
        </w:rPr>
        <w:t xml:space="preserve"> </w:t>
      </w:r>
      <w:r w:rsidRPr="00F50E2E">
        <w:rPr>
          <w:rFonts w:ascii="Times New Roman" w:hAnsi="Times New Roman" w:cs="Times New Roman"/>
          <w:sz w:val="28"/>
          <w:szCs w:val="28"/>
        </w:rPr>
        <w:t>Вероятностный анализ чувствительности был выполнен методом Монте-Карло с проведением 20 000 итераций, что позволило обеспечить численную стабильность оценок инкрементальных показателей эффективности и затрат, а также точность доверительных интервалов для ΔQALY, ICER и чистой денежной выгоды. Выбор данного количества итераций соответствует общепринятой международной практике фармакоэкономического моделирования и рекомендациям по проведению PSA в исследованиях экономической эффективности. Результаты PSA были представлены в виде плоскости экономической эффективности (cost-effectiveness plane), на которой отображены инкрементальные значения затрат и эффективности для каждой итерации, а также линии порогов готовности платить (WTP), соответствующие 1× и 3× ВВП на душу населения.</w:t>
      </w:r>
    </w:p>
    <w:p w14:paraId="6BACB81E" w14:textId="77777777" w:rsidR="00F50E2E" w:rsidRPr="00F50E2E" w:rsidRDefault="00F50E2E" w:rsidP="00C6385D">
      <w:pPr>
        <w:spacing w:after="0" w:line="240" w:lineRule="auto"/>
        <w:ind w:firstLine="567"/>
        <w:jc w:val="both"/>
        <w:rPr>
          <w:rFonts w:ascii="Times New Roman" w:hAnsi="Times New Roman" w:cs="Times New Roman"/>
          <w:i/>
          <w:iCs/>
          <w:noProof/>
          <w:color w:val="000000"/>
          <w:sz w:val="28"/>
          <w:szCs w:val="28"/>
        </w:rPr>
      </w:pPr>
      <w:r w:rsidRPr="00F50E2E">
        <w:rPr>
          <w:rFonts w:ascii="Times New Roman" w:hAnsi="Times New Roman" w:cs="Times New Roman"/>
          <w:i/>
          <w:iCs/>
          <w:noProof/>
          <w:color w:val="000000"/>
          <w:sz w:val="28"/>
          <w:szCs w:val="28"/>
        </w:rPr>
        <w:t>Методы экономического анализа</w:t>
      </w:r>
    </w:p>
    <w:p w14:paraId="5C2045A4"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Экономическая оценка проекта внедрения мобильной инсультной бригады (Mobile Stroke Unit, MSU) была выполнена с использованием метода анализа чистой приведённой стоимости (</w:t>
      </w:r>
      <w:r w:rsidRPr="00F50E2E">
        <w:rPr>
          <w:rFonts w:ascii="Times New Roman" w:hAnsi="Times New Roman" w:cs="Times New Roman"/>
          <w:i/>
          <w:iCs/>
          <w:noProof/>
          <w:color w:val="000000"/>
          <w:sz w:val="28"/>
          <w:szCs w:val="28"/>
        </w:rPr>
        <w:t>Net Present Value, NPV</w:t>
      </w:r>
      <w:r w:rsidRPr="00F50E2E">
        <w:rPr>
          <w:rFonts w:ascii="Times New Roman" w:hAnsi="Times New Roman" w:cs="Times New Roman"/>
          <w:noProof/>
          <w:color w:val="000000"/>
          <w:sz w:val="28"/>
          <w:szCs w:val="28"/>
        </w:rPr>
        <w:t>). Расчёты проводились на горизонте 7 лет эксплуатации с учётом нулевого года, в котором осуществлялись капитальные инвестиции.</w:t>
      </w:r>
    </w:p>
    <w:p w14:paraId="5D1C9066"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В качестве исходных данных использовались показатели капитальных затрат, эксплуатационных расходов и ожидаемых доходов (экономического эффекта), рассчитанных исходя из обслуживания 350 пациентов с острым ишемическим инсультом в год. Капитальные инвестиции включали стоимость оборудованной машины MSU и учитывались единовременно в начальный момент времени (t = 0). Эксплуатационные расходы включали фонд оплаты </w:t>
      </w:r>
      <w:r w:rsidRPr="00F50E2E">
        <w:rPr>
          <w:rFonts w:ascii="Times New Roman" w:hAnsi="Times New Roman" w:cs="Times New Roman"/>
          <w:noProof/>
          <w:color w:val="000000"/>
          <w:sz w:val="28"/>
          <w:szCs w:val="28"/>
        </w:rPr>
        <w:lastRenderedPageBreak/>
        <w:t>труда персонала, затраты на расходные материалы, а также разовые расходы на обучение персонала в первый год реализации проекта.</w:t>
      </w:r>
    </w:p>
    <w:p w14:paraId="2BDC8182"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Фонд оплаты труда рассчитывался на основе средних заработных плат медицинского персонала в соответствии с официальными статистическими данными Республики Казахстан и моделировался с ступенчатым увеличением на 10% на отдельных этапах эксплуатации. Расходы на материалы индексировались с учётом годовой инфляции 12%. Доходы (экономический эффект) проекта принимались постоянными на протяжении всего периода эксплуатации.</w:t>
      </w:r>
    </w:p>
    <w:p w14:paraId="456113A5"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Для учёта временной стоимости денег все денежные потоки дисконтировались по ставке 4% в год, что соответствует общепринятым рекомендациям по проведению экономических оценок в здравоохранении. На завершающем этапе расчёта в модель была включена ликвидационная стоимость оборудования, учтённая как положительный денежный поток в последний год расчётного горизонта.</w:t>
      </w:r>
    </w:p>
    <w:p w14:paraId="383B7C5B"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Чистая приведённая стоимость проекта определялась как сумма дисконтированных денежных потоков за весь период анализа. Положительное значение NPV рассматривалось как критерий экономической целесообразности внедрения MSU.</w:t>
      </w:r>
    </w:p>
    <w:p w14:paraId="5D1E799C"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Источники данных и входные параметры модели</w:t>
      </w:r>
    </w:p>
    <w:p w14:paraId="752C4B9B"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Данные для расчёта чистой приведённой стоимости (NPV) проекта внедрения мобильной инсультной бригады были сформированы на основе международных научных публикаций, а также нормативных и статистических источников Республики Казахстан.</w:t>
      </w:r>
    </w:p>
    <w:p w14:paraId="3F5D75C4"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Стоимость оборудованной машины MSU (CAPEX) была определена как среднее значение, рассчитанное на основе данных трёх международных исследований: </w:t>
      </w:r>
      <w:r w:rsidRPr="00F50E2E">
        <w:rPr>
          <w:rFonts w:ascii="Times New Roman" w:hAnsi="Times New Roman" w:cs="Times New Roman"/>
          <w:i/>
          <w:iCs/>
          <w:noProof/>
          <w:color w:val="000000"/>
          <w:sz w:val="28"/>
          <w:szCs w:val="28"/>
        </w:rPr>
        <w:t>Rink et al., 2024</w:t>
      </w:r>
      <w:r w:rsidRPr="00F50E2E">
        <w:rPr>
          <w:rFonts w:ascii="Times New Roman" w:hAnsi="Times New Roman" w:cs="Times New Roman"/>
          <w:noProof/>
          <w:color w:val="000000"/>
          <w:sz w:val="28"/>
          <w:szCs w:val="28"/>
        </w:rPr>
        <w:t xml:space="preserve"> (в евро), </w:t>
      </w:r>
      <w:r w:rsidRPr="00F50E2E">
        <w:rPr>
          <w:rFonts w:ascii="Times New Roman" w:hAnsi="Times New Roman" w:cs="Times New Roman"/>
          <w:i/>
          <w:iCs/>
          <w:noProof/>
          <w:color w:val="000000"/>
          <w:sz w:val="28"/>
          <w:szCs w:val="28"/>
        </w:rPr>
        <w:t>Lund, 2022</w:t>
      </w:r>
      <w:r w:rsidRPr="00F50E2E">
        <w:rPr>
          <w:rFonts w:ascii="Times New Roman" w:hAnsi="Times New Roman" w:cs="Times New Roman"/>
          <w:noProof/>
          <w:color w:val="000000"/>
          <w:sz w:val="28"/>
          <w:szCs w:val="28"/>
        </w:rPr>
        <w:t xml:space="preserve"> (в долларах США) и </w:t>
      </w:r>
      <w:r w:rsidRPr="00F50E2E">
        <w:rPr>
          <w:rFonts w:ascii="Times New Roman" w:hAnsi="Times New Roman" w:cs="Times New Roman"/>
          <w:i/>
          <w:iCs/>
          <w:noProof/>
          <w:color w:val="000000"/>
          <w:sz w:val="28"/>
          <w:szCs w:val="28"/>
        </w:rPr>
        <w:t>van Hulst et al., 2025</w:t>
      </w:r>
      <w:r w:rsidRPr="00F50E2E">
        <w:rPr>
          <w:rFonts w:ascii="Times New Roman" w:hAnsi="Times New Roman" w:cs="Times New Roman"/>
          <w:noProof/>
          <w:color w:val="000000"/>
          <w:sz w:val="28"/>
          <w:szCs w:val="28"/>
        </w:rPr>
        <w:t xml:space="preserve"> (в евро). После приведения значений к единой валюте средняя стоимость составила 630 734 845 тенге, которая была учтена в модели как единовременная инвестиция в начальный момент времени (t = 0).</w:t>
      </w:r>
    </w:p>
    <w:p w14:paraId="7F7BAECD"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Расходы на обучение персонала включали подготовку 18 специалистов бригады MSU, а также диспетчеров службы скорой медицинской помощи, обеспечивающих маршрутизацию вызовов и передачу информации диспетчеру стационара (7-я городская клиническая больница). Стоимость обучения была рассчитана на основе тарифов ННЦРЗ и соответствовала среднему объёму 2–3 кредитов дополнительного профессионального образования, составив 846 000 тенге. Указанные расходы были учтены однократно в первый год реализации проекта (2026 год).</w:t>
      </w:r>
    </w:p>
    <w:p w14:paraId="46EDDD11"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Фонд оплаты труда персонала MSU был рассчитан на основе средних заработных плат по данным официальной статистики Республики Казахстан и составил 339 633 тенге для врачей и 246 347 тенге для среднего медицинского персонала (медсестры, фельдшеры). Для команды из 18 специалистов годовой фонд оплаты труда в базовом году (2026) составил 64 921 506 тенге. В модели предполагалось ступенчатое увеличение заработной платы на 10% в 2027 и 2029 годах, что отражает ожидаемую индексацию доходов медицинского персонала.</w:t>
      </w:r>
    </w:p>
    <w:p w14:paraId="2E46B2EA"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lastRenderedPageBreak/>
        <w:t>Годовые эксплуатационные расходы на обслуживание мобильного инсультного блока, включая расходные материалы, были приняты на уровне 87 047 968 тенге в 2026 году на основании международных источников данных. В последующие годы данные расходы индексировались с учётом годовой инфляции 12%.</w:t>
      </w:r>
    </w:p>
    <w:p w14:paraId="694A7766"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Годовой экономический эффект от функционирования MSU был рассчитан исходя из обслуживания 350 случаев инсульта в год и составил 262 018 350 тенге в год. В базовом сценарии данный показатель предполагался постоянным в течение всего расчётного периода (2026–2031 гг.).</w:t>
      </w:r>
    </w:p>
    <w:p w14:paraId="68D36D54" w14:textId="77777777"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Срок полезной службы оборудования MSU был принят равным 6 годам, по завершении которых в модель была включена ликвидационная стоимость в размере 706 423 026 тенге, учтённая в денежном потоке 2032 года.</w:t>
      </w:r>
    </w:p>
    <w:p w14:paraId="1216113A" w14:textId="76DCE431" w:rsidR="00F50E2E" w:rsidRPr="00F50E2E" w:rsidRDefault="00F50E2E" w:rsidP="00C6385D">
      <w:pPr>
        <w:spacing w:after="0" w:line="240" w:lineRule="auto"/>
        <w:ind w:firstLine="567"/>
        <w:jc w:val="both"/>
        <w:rPr>
          <w:rFonts w:ascii="Times New Roman" w:hAnsi="Times New Roman" w:cs="Times New Roman"/>
          <w:noProof/>
          <w:color w:val="000000"/>
          <w:sz w:val="28"/>
          <w:szCs w:val="28"/>
        </w:rPr>
      </w:pPr>
      <w:r w:rsidRPr="00F50E2E">
        <w:rPr>
          <w:rFonts w:ascii="Times New Roman" w:hAnsi="Times New Roman" w:cs="Times New Roman"/>
          <w:noProof/>
          <w:color w:val="000000"/>
          <w:sz w:val="28"/>
          <w:szCs w:val="28"/>
        </w:rPr>
        <w:t xml:space="preserve">Таким образом, таблица </w:t>
      </w:r>
      <w:r w:rsidR="007B3B09">
        <w:rPr>
          <w:rFonts w:ascii="Times New Roman" w:hAnsi="Times New Roman" w:cs="Times New Roman"/>
          <w:noProof/>
          <w:color w:val="000000"/>
          <w:sz w:val="28"/>
          <w:szCs w:val="28"/>
        </w:rPr>
        <w:t>8</w:t>
      </w:r>
      <w:r w:rsidRPr="00F50E2E">
        <w:rPr>
          <w:rFonts w:ascii="Times New Roman" w:hAnsi="Times New Roman" w:cs="Times New Roman"/>
          <w:noProof/>
          <w:color w:val="000000"/>
          <w:sz w:val="28"/>
          <w:szCs w:val="28"/>
        </w:rPr>
        <w:t xml:space="preserve"> отражает полный набор входных параметров, использованных для расчёта NPV проекта внедрения MSU.</w:t>
      </w:r>
    </w:p>
    <w:p w14:paraId="6666ED35" w14:textId="77777777" w:rsidR="00C6385D" w:rsidRDefault="00C6385D" w:rsidP="000F4E51">
      <w:pPr>
        <w:spacing w:after="0" w:line="240" w:lineRule="auto"/>
        <w:ind w:right="-284" w:firstLine="567"/>
        <w:jc w:val="both"/>
        <w:rPr>
          <w:rFonts w:ascii="Times New Roman" w:hAnsi="Times New Roman" w:cs="Times New Roman"/>
          <w:color w:val="000000"/>
          <w:sz w:val="28"/>
          <w:szCs w:val="28"/>
        </w:rPr>
      </w:pPr>
    </w:p>
    <w:p w14:paraId="739F8C26" w14:textId="71983DED" w:rsidR="00F50E2E" w:rsidRDefault="00F50E2E" w:rsidP="00C6385D">
      <w:pPr>
        <w:spacing w:after="0" w:line="240" w:lineRule="auto"/>
        <w:ind w:right="-284"/>
        <w:jc w:val="both"/>
        <w:rPr>
          <w:rFonts w:ascii="Times New Roman" w:hAnsi="Times New Roman" w:cs="Times New Roman"/>
          <w:color w:val="000000"/>
          <w:sz w:val="28"/>
          <w:szCs w:val="28"/>
        </w:rPr>
      </w:pPr>
      <w:r w:rsidRPr="00F50E2E">
        <w:rPr>
          <w:rFonts w:ascii="Times New Roman" w:hAnsi="Times New Roman" w:cs="Times New Roman"/>
          <w:color w:val="000000"/>
          <w:sz w:val="28"/>
          <w:szCs w:val="28"/>
        </w:rPr>
        <w:t xml:space="preserve">Таблица </w:t>
      </w:r>
      <w:r w:rsidR="007B3B09">
        <w:rPr>
          <w:rFonts w:ascii="Times New Roman" w:hAnsi="Times New Roman" w:cs="Times New Roman"/>
          <w:color w:val="000000"/>
          <w:sz w:val="28"/>
          <w:szCs w:val="28"/>
        </w:rPr>
        <w:t>8</w:t>
      </w:r>
      <w:r w:rsidR="00C6385D">
        <w:rPr>
          <w:rFonts w:ascii="Times New Roman" w:hAnsi="Times New Roman" w:cs="Times New Roman"/>
          <w:color w:val="000000"/>
          <w:sz w:val="28"/>
          <w:szCs w:val="28"/>
        </w:rPr>
        <w:t xml:space="preserve"> -</w:t>
      </w:r>
      <w:r w:rsidRPr="00F50E2E">
        <w:rPr>
          <w:rFonts w:ascii="Times New Roman" w:hAnsi="Times New Roman" w:cs="Times New Roman"/>
          <w:color w:val="000000"/>
          <w:sz w:val="28"/>
          <w:szCs w:val="28"/>
        </w:rPr>
        <w:t xml:space="preserve"> Входные параметры для расчёта NPV проекта MSU</w:t>
      </w:r>
    </w:p>
    <w:p w14:paraId="788CA44E" w14:textId="77777777" w:rsidR="00C6385D" w:rsidRPr="00F50E2E" w:rsidRDefault="00C6385D" w:rsidP="00C6385D">
      <w:pPr>
        <w:spacing w:after="0" w:line="240" w:lineRule="auto"/>
        <w:ind w:right="-284"/>
        <w:jc w:val="both"/>
        <w:rPr>
          <w:rFonts w:ascii="Times New Roman" w:hAnsi="Times New Roman" w:cs="Times New Roman"/>
          <w:color w:val="000000"/>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2"/>
        <w:gridCol w:w="1709"/>
        <w:gridCol w:w="4468"/>
      </w:tblGrid>
      <w:tr w:rsidR="00F50E2E" w:rsidRPr="00F50E2E" w14:paraId="4FF9B735" w14:textId="77777777" w:rsidTr="00533899">
        <w:trPr>
          <w:trHeight w:val="475"/>
        </w:trPr>
        <w:tc>
          <w:tcPr>
            <w:tcW w:w="3462" w:type="dxa"/>
            <w:vAlign w:val="center"/>
            <w:hideMark/>
          </w:tcPr>
          <w:p w14:paraId="4AD082D8" w14:textId="77777777" w:rsidR="00F50E2E" w:rsidRPr="007B3B09" w:rsidRDefault="00F50E2E" w:rsidP="00C6385D">
            <w:pPr>
              <w:spacing w:after="0" w:line="240" w:lineRule="auto"/>
              <w:ind w:left="28" w:right="96"/>
              <w:contextualSpacing/>
              <w:jc w:val="center"/>
              <w:rPr>
                <w:rFonts w:ascii="Times New Roman" w:hAnsi="Times New Roman" w:cs="Times New Roman"/>
                <w:b/>
                <w:bCs/>
                <w:color w:val="000000"/>
                <w:sz w:val="24"/>
                <w:szCs w:val="24"/>
              </w:rPr>
            </w:pPr>
            <w:r w:rsidRPr="007B3B09">
              <w:rPr>
                <w:rFonts w:ascii="Times New Roman" w:hAnsi="Times New Roman" w:cs="Times New Roman"/>
                <w:b/>
                <w:bCs/>
                <w:color w:val="000000"/>
                <w:sz w:val="24"/>
                <w:szCs w:val="24"/>
              </w:rPr>
              <w:t>Параметр</w:t>
            </w:r>
          </w:p>
        </w:tc>
        <w:tc>
          <w:tcPr>
            <w:tcW w:w="1709" w:type="dxa"/>
            <w:vAlign w:val="center"/>
            <w:hideMark/>
          </w:tcPr>
          <w:p w14:paraId="3C3867D2" w14:textId="77777777" w:rsidR="00F50E2E" w:rsidRPr="007B3B09" w:rsidRDefault="00F50E2E" w:rsidP="00C6385D">
            <w:pPr>
              <w:spacing w:after="0" w:line="240" w:lineRule="auto"/>
              <w:ind w:left="28" w:right="96"/>
              <w:contextualSpacing/>
              <w:jc w:val="right"/>
              <w:rPr>
                <w:rFonts w:ascii="Times New Roman" w:hAnsi="Times New Roman" w:cs="Times New Roman"/>
                <w:b/>
                <w:bCs/>
                <w:color w:val="000000"/>
                <w:sz w:val="24"/>
                <w:szCs w:val="24"/>
              </w:rPr>
            </w:pPr>
            <w:r w:rsidRPr="007B3B09">
              <w:rPr>
                <w:rFonts w:ascii="Times New Roman" w:hAnsi="Times New Roman" w:cs="Times New Roman"/>
                <w:b/>
                <w:bCs/>
                <w:color w:val="000000"/>
                <w:sz w:val="24"/>
                <w:szCs w:val="24"/>
              </w:rPr>
              <w:t>Значение</w:t>
            </w:r>
          </w:p>
        </w:tc>
        <w:tc>
          <w:tcPr>
            <w:tcW w:w="4468" w:type="dxa"/>
            <w:vAlign w:val="center"/>
            <w:hideMark/>
          </w:tcPr>
          <w:p w14:paraId="5AF3A47A" w14:textId="77777777" w:rsidR="00F50E2E" w:rsidRPr="007B3B09" w:rsidRDefault="00F50E2E" w:rsidP="00C6385D">
            <w:pPr>
              <w:spacing w:after="0" w:line="240" w:lineRule="auto"/>
              <w:ind w:left="28" w:right="96"/>
              <w:contextualSpacing/>
              <w:jc w:val="center"/>
              <w:rPr>
                <w:rFonts w:ascii="Times New Roman" w:hAnsi="Times New Roman" w:cs="Times New Roman"/>
                <w:b/>
                <w:bCs/>
                <w:color w:val="000000"/>
                <w:sz w:val="24"/>
                <w:szCs w:val="24"/>
              </w:rPr>
            </w:pPr>
            <w:r w:rsidRPr="007B3B09">
              <w:rPr>
                <w:rFonts w:ascii="Times New Roman" w:hAnsi="Times New Roman" w:cs="Times New Roman"/>
                <w:b/>
                <w:bCs/>
                <w:color w:val="000000"/>
                <w:sz w:val="24"/>
                <w:szCs w:val="24"/>
              </w:rPr>
              <w:t>Комментарий / источник</w:t>
            </w:r>
          </w:p>
        </w:tc>
      </w:tr>
      <w:tr w:rsidR="00F50E2E" w:rsidRPr="00F50E2E" w14:paraId="71E84C55" w14:textId="77777777" w:rsidTr="00533899">
        <w:trPr>
          <w:trHeight w:val="639"/>
        </w:trPr>
        <w:tc>
          <w:tcPr>
            <w:tcW w:w="3462" w:type="dxa"/>
            <w:vAlign w:val="center"/>
            <w:hideMark/>
          </w:tcPr>
          <w:p w14:paraId="39F652C2"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Стоимость оборудованной машины (CAPEX)</w:t>
            </w:r>
          </w:p>
        </w:tc>
        <w:tc>
          <w:tcPr>
            <w:tcW w:w="1709" w:type="dxa"/>
            <w:vAlign w:val="center"/>
            <w:hideMark/>
          </w:tcPr>
          <w:p w14:paraId="39D1A289" w14:textId="77777777" w:rsidR="00F50E2E" w:rsidRPr="007B3B09" w:rsidRDefault="00F50E2E" w:rsidP="00C6385D">
            <w:pPr>
              <w:spacing w:after="0" w:line="240" w:lineRule="auto"/>
              <w:ind w:left="28" w:right="96"/>
              <w:contextualSpacing/>
              <w:jc w:val="center"/>
              <w:rPr>
                <w:rFonts w:ascii="Times New Roman" w:hAnsi="Times New Roman" w:cs="Times New Roman"/>
                <w:color w:val="000000"/>
                <w:sz w:val="24"/>
                <w:szCs w:val="24"/>
              </w:rPr>
            </w:pPr>
            <w:r w:rsidRPr="007B3B09">
              <w:rPr>
                <w:rFonts w:ascii="Times New Roman" w:hAnsi="Times New Roman" w:cs="Times New Roman"/>
                <w:color w:val="000000"/>
                <w:sz w:val="24"/>
                <w:szCs w:val="24"/>
              </w:rPr>
              <w:t>630 734 845 ₸</w:t>
            </w:r>
          </w:p>
        </w:tc>
        <w:tc>
          <w:tcPr>
            <w:tcW w:w="4468" w:type="dxa"/>
            <w:vAlign w:val="center"/>
            <w:hideMark/>
          </w:tcPr>
          <w:p w14:paraId="3A55353E"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Единовременная инвестиция (t=0)</w:t>
            </w:r>
          </w:p>
        </w:tc>
      </w:tr>
      <w:tr w:rsidR="00F50E2E" w:rsidRPr="00F50E2E" w14:paraId="0C215D41" w14:textId="77777777" w:rsidTr="00533899">
        <w:trPr>
          <w:trHeight w:val="597"/>
        </w:trPr>
        <w:tc>
          <w:tcPr>
            <w:tcW w:w="3462" w:type="dxa"/>
            <w:vAlign w:val="center"/>
            <w:hideMark/>
          </w:tcPr>
          <w:p w14:paraId="77C55DA6"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Срок полезной службы</w:t>
            </w:r>
          </w:p>
        </w:tc>
        <w:tc>
          <w:tcPr>
            <w:tcW w:w="1709" w:type="dxa"/>
            <w:vAlign w:val="center"/>
            <w:hideMark/>
          </w:tcPr>
          <w:p w14:paraId="69A6A469" w14:textId="77777777" w:rsidR="00F50E2E" w:rsidRPr="007B3B09" w:rsidRDefault="00F50E2E" w:rsidP="00C6385D">
            <w:pPr>
              <w:spacing w:after="0" w:line="240" w:lineRule="auto"/>
              <w:ind w:left="28" w:right="96"/>
              <w:contextualSpacing/>
              <w:jc w:val="center"/>
              <w:rPr>
                <w:rFonts w:ascii="Times New Roman" w:hAnsi="Times New Roman" w:cs="Times New Roman"/>
                <w:color w:val="000000"/>
                <w:sz w:val="24"/>
                <w:szCs w:val="24"/>
              </w:rPr>
            </w:pPr>
            <w:r w:rsidRPr="007B3B09">
              <w:rPr>
                <w:rFonts w:ascii="Times New Roman" w:hAnsi="Times New Roman" w:cs="Times New Roman"/>
                <w:color w:val="000000"/>
                <w:sz w:val="24"/>
                <w:szCs w:val="24"/>
              </w:rPr>
              <w:t>6 лет</w:t>
            </w:r>
          </w:p>
        </w:tc>
        <w:tc>
          <w:tcPr>
            <w:tcW w:w="4468" w:type="dxa"/>
            <w:vAlign w:val="center"/>
            <w:hideMark/>
          </w:tcPr>
          <w:p w14:paraId="38FE3AC5"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Для расчёта горизонта и ликвидационной стоимости</w:t>
            </w:r>
          </w:p>
        </w:tc>
      </w:tr>
      <w:tr w:rsidR="00F50E2E" w:rsidRPr="00F50E2E" w14:paraId="26406E59" w14:textId="77777777" w:rsidTr="00533899">
        <w:trPr>
          <w:trHeight w:val="368"/>
        </w:trPr>
        <w:tc>
          <w:tcPr>
            <w:tcW w:w="3462" w:type="dxa"/>
            <w:vAlign w:val="center"/>
            <w:hideMark/>
          </w:tcPr>
          <w:p w14:paraId="7703373D"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Обучение персонала (разово)</w:t>
            </w:r>
          </w:p>
        </w:tc>
        <w:tc>
          <w:tcPr>
            <w:tcW w:w="1709" w:type="dxa"/>
            <w:vAlign w:val="center"/>
            <w:hideMark/>
          </w:tcPr>
          <w:p w14:paraId="516B1AF1" w14:textId="77777777" w:rsidR="00F50E2E" w:rsidRPr="007B3B09" w:rsidRDefault="00F50E2E" w:rsidP="00C6385D">
            <w:pPr>
              <w:spacing w:after="0" w:line="240" w:lineRule="auto"/>
              <w:ind w:left="28" w:right="96"/>
              <w:contextualSpacing/>
              <w:jc w:val="center"/>
              <w:rPr>
                <w:rFonts w:ascii="Times New Roman" w:hAnsi="Times New Roman" w:cs="Times New Roman"/>
                <w:color w:val="000000"/>
                <w:sz w:val="24"/>
                <w:szCs w:val="24"/>
              </w:rPr>
            </w:pPr>
            <w:r w:rsidRPr="007B3B09">
              <w:rPr>
                <w:rFonts w:ascii="Times New Roman" w:hAnsi="Times New Roman" w:cs="Times New Roman"/>
                <w:color w:val="000000"/>
                <w:sz w:val="24"/>
                <w:szCs w:val="24"/>
              </w:rPr>
              <w:t>846 000 ₸</w:t>
            </w:r>
          </w:p>
        </w:tc>
        <w:tc>
          <w:tcPr>
            <w:tcW w:w="4468" w:type="dxa"/>
            <w:vAlign w:val="center"/>
            <w:hideMark/>
          </w:tcPr>
          <w:p w14:paraId="14F56C17"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Учтено в 2026 году (год 1)</w:t>
            </w:r>
          </w:p>
        </w:tc>
      </w:tr>
      <w:tr w:rsidR="00F50E2E" w:rsidRPr="00F50E2E" w14:paraId="324D5F4A" w14:textId="77777777" w:rsidTr="00533899">
        <w:trPr>
          <w:trHeight w:val="698"/>
        </w:trPr>
        <w:tc>
          <w:tcPr>
            <w:tcW w:w="3462" w:type="dxa"/>
            <w:vAlign w:val="center"/>
            <w:hideMark/>
          </w:tcPr>
          <w:p w14:paraId="10D60475"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Годовой доход/экономия при 350 случаях</w:t>
            </w:r>
          </w:p>
        </w:tc>
        <w:tc>
          <w:tcPr>
            <w:tcW w:w="1709" w:type="dxa"/>
            <w:vAlign w:val="center"/>
            <w:hideMark/>
          </w:tcPr>
          <w:p w14:paraId="7D75B1D9" w14:textId="77777777" w:rsidR="00F50E2E" w:rsidRPr="007B3B09" w:rsidRDefault="00F50E2E" w:rsidP="00C6385D">
            <w:pPr>
              <w:spacing w:after="0" w:line="240" w:lineRule="auto"/>
              <w:ind w:left="28" w:right="96"/>
              <w:contextualSpacing/>
              <w:jc w:val="center"/>
              <w:rPr>
                <w:rFonts w:ascii="Times New Roman" w:hAnsi="Times New Roman" w:cs="Times New Roman"/>
                <w:color w:val="000000"/>
                <w:sz w:val="24"/>
                <w:szCs w:val="24"/>
              </w:rPr>
            </w:pPr>
            <w:r w:rsidRPr="007B3B09">
              <w:rPr>
                <w:rFonts w:ascii="Times New Roman" w:hAnsi="Times New Roman" w:cs="Times New Roman"/>
                <w:color w:val="000000"/>
                <w:sz w:val="24"/>
                <w:szCs w:val="24"/>
              </w:rPr>
              <w:t>262 018 350 ₸/год</w:t>
            </w:r>
          </w:p>
        </w:tc>
        <w:tc>
          <w:tcPr>
            <w:tcW w:w="4468" w:type="dxa"/>
            <w:vAlign w:val="center"/>
            <w:hideMark/>
          </w:tcPr>
          <w:p w14:paraId="2734DEA0"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В модели задан как постоянный для 2026–2031</w:t>
            </w:r>
          </w:p>
        </w:tc>
      </w:tr>
      <w:tr w:rsidR="00F50E2E" w:rsidRPr="00F50E2E" w14:paraId="085BC2FE" w14:textId="77777777" w:rsidTr="00533899">
        <w:trPr>
          <w:trHeight w:val="373"/>
        </w:trPr>
        <w:tc>
          <w:tcPr>
            <w:tcW w:w="3462" w:type="dxa"/>
            <w:vAlign w:val="center"/>
            <w:hideMark/>
          </w:tcPr>
          <w:p w14:paraId="5D4D7871"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Расходные материалы (2026)</w:t>
            </w:r>
          </w:p>
        </w:tc>
        <w:tc>
          <w:tcPr>
            <w:tcW w:w="1709" w:type="dxa"/>
            <w:vAlign w:val="center"/>
            <w:hideMark/>
          </w:tcPr>
          <w:p w14:paraId="001269BC" w14:textId="77777777" w:rsidR="00F50E2E" w:rsidRPr="007B3B09" w:rsidRDefault="00F50E2E" w:rsidP="00C6385D">
            <w:pPr>
              <w:spacing w:after="0" w:line="240" w:lineRule="auto"/>
              <w:ind w:left="28" w:right="96"/>
              <w:contextualSpacing/>
              <w:jc w:val="center"/>
              <w:rPr>
                <w:rFonts w:ascii="Times New Roman" w:hAnsi="Times New Roman" w:cs="Times New Roman"/>
                <w:color w:val="000000"/>
                <w:sz w:val="24"/>
                <w:szCs w:val="24"/>
              </w:rPr>
            </w:pPr>
            <w:r w:rsidRPr="007B3B09">
              <w:rPr>
                <w:rFonts w:ascii="Times New Roman" w:hAnsi="Times New Roman" w:cs="Times New Roman"/>
                <w:color w:val="000000"/>
                <w:sz w:val="24"/>
                <w:szCs w:val="24"/>
              </w:rPr>
              <w:t>87 047 968 ₸</w:t>
            </w:r>
          </w:p>
        </w:tc>
        <w:tc>
          <w:tcPr>
            <w:tcW w:w="4468" w:type="dxa"/>
            <w:vAlign w:val="center"/>
            <w:hideMark/>
          </w:tcPr>
          <w:p w14:paraId="5D6F0D3D"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Далее растёт по инфляции (12%) [16]</w:t>
            </w:r>
          </w:p>
        </w:tc>
      </w:tr>
      <w:tr w:rsidR="00F50E2E" w:rsidRPr="00F50E2E" w14:paraId="369D55A4" w14:textId="77777777" w:rsidTr="00533899">
        <w:trPr>
          <w:trHeight w:val="511"/>
        </w:trPr>
        <w:tc>
          <w:tcPr>
            <w:tcW w:w="3462" w:type="dxa"/>
            <w:vAlign w:val="center"/>
            <w:hideMark/>
          </w:tcPr>
          <w:p w14:paraId="4354459E"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Фонд оплаты труда (2026)</w:t>
            </w:r>
          </w:p>
        </w:tc>
        <w:tc>
          <w:tcPr>
            <w:tcW w:w="1709" w:type="dxa"/>
            <w:vAlign w:val="center"/>
            <w:hideMark/>
          </w:tcPr>
          <w:p w14:paraId="12FF92D8" w14:textId="77777777" w:rsidR="00F50E2E" w:rsidRPr="007B3B09" w:rsidRDefault="00F50E2E" w:rsidP="00C6385D">
            <w:pPr>
              <w:spacing w:after="0" w:line="240" w:lineRule="auto"/>
              <w:ind w:left="28" w:right="96"/>
              <w:contextualSpacing/>
              <w:jc w:val="center"/>
              <w:rPr>
                <w:rFonts w:ascii="Times New Roman" w:hAnsi="Times New Roman" w:cs="Times New Roman"/>
                <w:color w:val="000000"/>
                <w:sz w:val="24"/>
                <w:szCs w:val="24"/>
              </w:rPr>
            </w:pPr>
            <w:r w:rsidRPr="007B3B09">
              <w:rPr>
                <w:rFonts w:ascii="Times New Roman" w:hAnsi="Times New Roman" w:cs="Times New Roman"/>
                <w:color w:val="000000"/>
                <w:sz w:val="24"/>
                <w:szCs w:val="24"/>
              </w:rPr>
              <w:t>64 921 506 ₸</w:t>
            </w:r>
          </w:p>
        </w:tc>
        <w:tc>
          <w:tcPr>
            <w:tcW w:w="4468" w:type="dxa"/>
            <w:vAlign w:val="center"/>
            <w:hideMark/>
          </w:tcPr>
          <w:p w14:paraId="71B13724"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В 2027 и 2029 рост +10% (ступенчато)</w:t>
            </w:r>
          </w:p>
        </w:tc>
      </w:tr>
      <w:tr w:rsidR="00F50E2E" w:rsidRPr="00F50E2E" w14:paraId="4BA1BB5C" w14:textId="77777777" w:rsidTr="00533899">
        <w:trPr>
          <w:trHeight w:val="519"/>
        </w:trPr>
        <w:tc>
          <w:tcPr>
            <w:tcW w:w="3462" w:type="dxa"/>
            <w:vAlign w:val="center"/>
            <w:hideMark/>
          </w:tcPr>
          <w:p w14:paraId="4CEB4E44"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Инфляция (для расходных материалов)</w:t>
            </w:r>
          </w:p>
        </w:tc>
        <w:tc>
          <w:tcPr>
            <w:tcW w:w="1709" w:type="dxa"/>
            <w:vAlign w:val="center"/>
            <w:hideMark/>
          </w:tcPr>
          <w:p w14:paraId="7A2670CC" w14:textId="77777777" w:rsidR="00F50E2E" w:rsidRPr="007B3B09" w:rsidRDefault="00F50E2E" w:rsidP="00C6385D">
            <w:pPr>
              <w:spacing w:after="0" w:line="240" w:lineRule="auto"/>
              <w:ind w:left="28" w:right="96"/>
              <w:contextualSpacing/>
              <w:jc w:val="center"/>
              <w:rPr>
                <w:rFonts w:ascii="Times New Roman" w:hAnsi="Times New Roman" w:cs="Times New Roman"/>
                <w:color w:val="000000"/>
                <w:sz w:val="24"/>
                <w:szCs w:val="24"/>
              </w:rPr>
            </w:pPr>
            <w:r w:rsidRPr="007B3B09">
              <w:rPr>
                <w:rFonts w:ascii="Times New Roman" w:hAnsi="Times New Roman" w:cs="Times New Roman"/>
                <w:color w:val="000000"/>
                <w:sz w:val="24"/>
                <w:szCs w:val="24"/>
              </w:rPr>
              <w:t>12%</w:t>
            </w:r>
          </w:p>
        </w:tc>
        <w:tc>
          <w:tcPr>
            <w:tcW w:w="4468" w:type="dxa"/>
            <w:vAlign w:val="center"/>
            <w:hideMark/>
          </w:tcPr>
          <w:p w14:paraId="2FC24A1B" w14:textId="5E1C32F1"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Применяется к Materials</w:t>
            </w:r>
            <w:r w:rsidR="00932A85">
              <w:rPr>
                <w:rFonts w:ascii="Times New Roman" w:hAnsi="Times New Roman" w:cs="Times New Roman"/>
                <w:color w:val="000000"/>
                <w:sz w:val="24"/>
                <w:szCs w:val="24"/>
              </w:rPr>
              <w:t xml:space="preserve"> [128]</w:t>
            </w:r>
          </w:p>
        </w:tc>
      </w:tr>
      <w:tr w:rsidR="00F50E2E" w:rsidRPr="00F50E2E" w14:paraId="0F721EB6" w14:textId="77777777" w:rsidTr="00533899">
        <w:trPr>
          <w:trHeight w:val="288"/>
        </w:trPr>
        <w:tc>
          <w:tcPr>
            <w:tcW w:w="3462" w:type="dxa"/>
            <w:vAlign w:val="center"/>
            <w:hideMark/>
          </w:tcPr>
          <w:p w14:paraId="169D9230"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Увеличение зарплаты</w:t>
            </w:r>
          </w:p>
        </w:tc>
        <w:tc>
          <w:tcPr>
            <w:tcW w:w="1709" w:type="dxa"/>
            <w:vAlign w:val="center"/>
            <w:hideMark/>
          </w:tcPr>
          <w:p w14:paraId="35FE0624" w14:textId="77777777" w:rsidR="00F50E2E" w:rsidRPr="007B3B09" w:rsidRDefault="00F50E2E" w:rsidP="00C6385D">
            <w:pPr>
              <w:spacing w:after="0" w:line="240" w:lineRule="auto"/>
              <w:ind w:left="28" w:right="96"/>
              <w:contextualSpacing/>
              <w:jc w:val="center"/>
              <w:rPr>
                <w:rFonts w:ascii="Times New Roman" w:hAnsi="Times New Roman" w:cs="Times New Roman"/>
                <w:color w:val="000000"/>
                <w:sz w:val="24"/>
                <w:szCs w:val="24"/>
              </w:rPr>
            </w:pPr>
            <w:r w:rsidRPr="007B3B09">
              <w:rPr>
                <w:rFonts w:ascii="Times New Roman" w:hAnsi="Times New Roman" w:cs="Times New Roman"/>
                <w:color w:val="000000"/>
                <w:sz w:val="24"/>
                <w:szCs w:val="24"/>
              </w:rPr>
              <w:t>10%</w:t>
            </w:r>
          </w:p>
        </w:tc>
        <w:tc>
          <w:tcPr>
            <w:tcW w:w="4468" w:type="dxa"/>
            <w:vAlign w:val="center"/>
            <w:hideMark/>
          </w:tcPr>
          <w:p w14:paraId="6D3E7096"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В 2027 и 2029</w:t>
            </w:r>
          </w:p>
        </w:tc>
      </w:tr>
      <w:tr w:rsidR="00F50E2E" w:rsidRPr="00F50E2E" w14:paraId="69BC7D2E" w14:textId="77777777" w:rsidTr="00533899">
        <w:trPr>
          <w:trHeight w:val="406"/>
        </w:trPr>
        <w:tc>
          <w:tcPr>
            <w:tcW w:w="3462" w:type="dxa"/>
            <w:vAlign w:val="center"/>
            <w:hideMark/>
          </w:tcPr>
          <w:p w14:paraId="2810D51B"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Ставка дисконтирования</w:t>
            </w:r>
          </w:p>
        </w:tc>
        <w:tc>
          <w:tcPr>
            <w:tcW w:w="1709" w:type="dxa"/>
            <w:vAlign w:val="center"/>
            <w:hideMark/>
          </w:tcPr>
          <w:p w14:paraId="28CC2DFF" w14:textId="77777777" w:rsidR="00F50E2E" w:rsidRPr="007B3B09" w:rsidRDefault="00F50E2E" w:rsidP="00C6385D">
            <w:pPr>
              <w:spacing w:after="0" w:line="240" w:lineRule="auto"/>
              <w:ind w:left="28" w:right="96"/>
              <w:contextualSpacing/>
              <w:jc w:val="center"/>
              <w:rPr>
                <w:rFonts w:ascii="Times New Roman" w:hAnsi="Times New Roman" w:cs="Times New Roman"/>
                <w:color w:val="000000"/>
                <w:sz w:val="24"/>
                <w:szCs w:val="24"/>
              </w:rPr>
            </w:pPr>
            <w:r w:rsidRPr="007B3B09">
              <w:rPr>
                <w:rFonts w:ascii="Times New Roman" w:hAnsi="Times New Roman" w:cs="Times New Roman"/>
                <w:color w:val="000000"/>
                <w:sz w:val="24"/>
                <w:szCs w:val="24"/>
              </w:rPr>
              <w:t>4%</w:t>
            </w:r>
          </w:p>
        </w:tc>
        <w:tc>
          <w:tcPr>
            <w:tcW w:w="4468" w:type="dxa"/>
            <w:vAlign w:val="center"/>
            <w:hideMark/>
          </w:tcPr>
          <w:p w14:paraId="3C0D6A86"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Для PV денежных потоков</w:t>
            </w:r>
          </w:p>
        </w:tc>
      </w:tr>
      <w:tr w:rsidR="00F50E2E" w:rsidRPr="00F50E2E" w14:paraId="6FC59B61" w14:textId="77777777" w:rsidTr="00533899">
        <w:trPr>
          <w:trHeight w:val="501"/>
        </w:trPr>
        <w:tc>
          <w:tcPr>
            <w:tcW w:w="3462" w:type="dxa"/>
            <w:vAlign w:val="center"/>
            <w:hideMark/>
          </w:tcPr>
          <w:p w14:paraId="7F1B3A21"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Ликвидационная стоимость (2032)</w:t>
            </w:r>
          </w:p>
        </w:tc>
        <w:tc>
          <w:tcPr>
            <w:tcW w:w="1709" w:type="dxa"/>
            <w:vAlign w:val="center"/>
            <w:hideMark/>
          </w:tcPr>
          <w:p w14:paraId="5291FDD2" w14:textId="77777777" w:rsidR="00F50E2E" w:rsidRPr="007B3B09" w:rsidRDefault="00F50E2E" w:rsidP="00C6385D">
            <w:pPr>
              <w:spacing w:after="0" w:line="240" w:lineRule="auto"/>
              <w:ind w:left="28" w:right="96"/>
              <w:contextualSpacing/>
              <w:jc w:val="center"/>
              <w:rPr>
                <w:rFonts w:ascii="Times New Roman" w:hAnsi="Times New Roman" w:cs="Times New Roman"/>
                <w:color w:val="000000"/>
                <w:sz w:val="24"/>
                <w:szCs w:val="24"/>
              </w:rPr>
            </w:pPr>
            <w:r w:rsidRPr="007B3B09">
              <w:rPr>
                <w:rFonts w:ascii="Times New Roman" w:hAnsi="Times New Roman" w:cs="Times New Roman"/>
                <w:color w:val="000000"/>
                <w:sz w:val="24"/>
                <w:szCs w:val="24"/>
              </w:rPr>
              <w:t>706 423 026 ₸</w:t>
            </w:r>
          </w:p>
        </w:tc>
        <w:tc>
          <w:tcPr>
            <w:tcW w:w="4468" w:type="dxa"/>
            <w:vAlign w:val="center"/>
            <w:hideMark/>
          </w:tcPr>
          <w:p w14:paraId="45C3489D" w14:textId="77777777" w:rsidR="00F50E2E" w:rsidRPr="007B3B09" w:rsidRDefault="00F50E2E" w:rsidP="00C6385D">
            <w:pPr>
              <w:spacing w:after="0" w:line="240" w:lineRule="auto"/>
              <w:ind w:left="28" w:right="96"/>
              <w:contextualSpacing/>
              <w:rPr>
                <w:rFonts w:ascii="Times New Roman" w:hAnsi="Times New Roman" w:cs="Times New Roman"/>
                <w:color w:val="000000"/>
                <w:sz w:val="24"/>
                <w:szCs w:val="24"/>
              </w:rPr>
            </w:pPr>
            <w:r w:rsidRPr="007B3B09">
              <w:rPr>
                <w:rFonts w:ascii="Times New Roman" w:hAnsi="Times New Roman" w:cs="Times New Roman"/>
                <w:color w:val="000000"/>
                <w:sz w:val="24"/>
                <w:szCs w:val="24"/>
              </w:rPr>
              <w:t>Включена в денежный поток 2032</w:t>
            </w:r>
          </w:p>
        </w:tc>
      </w:tr>
    </w:tbl>
    <w:p w14:paraId="0AE6CB1B" w14:textId="77777777" w:rsidR="00F50E2E" w:rsidRPr="00F50E2E" w:rsidRDefault="00F50E2E" w:rsidP="000F4E51">
      <w:pPr>
        <w:spacing w:after="0" w:line="240" w:lineRule="auto"/>
        <w:ind w:right="-1" w:firstLine="567"/>
        <w:jc w:val="both"/>
        <w:rPr>
          <w:rFonts w:ascii="Times New Roman" w:hAnsi="Times New Roman" w:cs="Times New Roman"/>
          <w:sz w:val="28"/>
          <w:szCs w:val="28"/>
          <w:lang w:val="en-US"/>
        </w:rPr>
      </w:pPr>
    </w:p>
    <w:p w14:paraId="530A8FD1" w14:textId="1393EC60" w:rsidR="00F50E2E" w:rsidRPr="00F50E2E" w:rsidRDefault="00F50E2E" w:rsidP="000F4E51">
      <w:pPr>
        <w:spacing w:after="0" w:line="240" w:lineRule="auto"/>
        <w:ind w:right="-1" w:firstLine="567"/>
        <w:jc w:val="both"/>
        <w:rPr>
          <w:rFonts w:ascii="Times New Roman" w:hAnsi="Times New Roman" w:cs="Times New Roman"/>
          <w:noProof/>
          <w:color w:val="000000"/>
          <w:sz w:val="28"/>
          <w:szCs w:val="28"/>
        </w:rPr>
      </w:pPr>
    </w:p>
    <w:p w14:paraId="4D9C55FE" w14:textId="77777777" w:rsidR="005D3BAD" w:rsidRDefault="005D3BAD" w:rsidP="000F4E51">
      <w:pPr>
        <w:spacing w:after="0" w:line="240" w:lineRule="auto"/>
        <w:ind w:right="-284" w:firstLine="567"/>
        <w:jc w:val="both"/>
        <w:rPr>
          <w:rFonts w:ascii="Times New Roman" w:hAnsi="Times New Roman" w:cs="Times New Roman"/>
          <w:sz w:val="28"/>
          <w:szCs w:val="28"/>
        </w:rPr>
        <w:sectPr w:rsidR="005D3BAD" w:rsidSect="00533899">
          <w:pgSz w:w="11906" w:h="16838"/>
          <w:pgMar w:top="1134" w:right="566" w:bottom="1134" w:left="1701" w:header="708" w:footer="708" w:gutter="0"/>
          <w:cols w:space="708"/>
          <w:docGrid w:linePitch="360"/>
        </w:sectPr>
      </w:pPr>
    </w:p>
    <w:p w14:paraId="35CC2CFD" w14:textId="39273D3D" w:rsidR="00904709" w:rsidRDefault="00E93906" w:rsidP="00E93906">
      <w:pPr>
        <w:tabs>
          <w:tab w:val="left" w:pos="1134"/>
          <w:tab w:val="left" w:pos="2400"/>
        </w:tabs>
        <w:spacing w:after="0" w:line="240" w:lineRule="auto"/>
        <w:ind w:firstLine="567"/>
        <w:contextualSpacing/>
        <w:jc w:val="center"/>
        <w:rPr>
          <w:rFonts w:ascii="Times New Roman" w:hAnsi="Times New Roman" w:cs="Times New Roman"/>
          <w:b/>
          <w:bCs/>
          <w:sz w:val="28"/>
          <w:szCs w:val="28"/>
        </w:rPr>
      </w:pPr>
      <w:bookmarkStart w:id="3" w:name="_Hlk216641518"/>
      <w:r>
        <w:rPr>
          <w:rFonts w:ascii="Times New Roman" w:hAnsi="Times New Roman" w:cs="Times New Roman"/>
          <w:b/>
          <w:sz w:val="28"/>
          <w:szCs w:val="28"/>
        </w:rPr>
        <w:lastRenderedPageBreak/>
        <w:t>3</w:t>
      </w:r>
      <w:r w:rsidR="00904709" w:rsidRPr="000B2A05">
        <w:rPr>
          <w:rFonts w:ascii="Times New Roman" w:hAnsi="Times New Roman" w:cs="Times New Roman"/>
          <w:sz w:val="28"/>
          <w:szCs w:val="28"/>
        </w:rPr>
        <w:tab/>
      </w:r>
      <w:r w:rsidR="00904709" w:rsidRPr="000B2A05">
        <w:rPr>
          <w:rFonts w:ascii="Times New Roman" w:hAnsi="Times New Roman" w:cs="Times New Roman"/>
          <w:b/>
          <w:bCs/>
          <w:sz w:val="28"/>
          <w:szCs w:val="28"/>
        </w:rPr>
        <w:t xml:space="preserve">ТЕНДЕНЦИИ </w:t>
      </w:r>
      <w:r w:rsidR="00904709">
        <w:rPr>
          <w:rFonts w:ascii="Times New Roman" w:hAnsi="Times New Roman" w:cs="Times New Roman"/>
          <w:b/>
          <w:bCs/>
          <w:sz w:val="28"/>
          <w:szCs w:val="28"/>
        </w:rPr>
        <w:t xml:space="preserve">ЗАБОЛЕВАЕМОСТИ И </w:t>
      </w:r>
      <w:r w:rsidR="00904709" w:rsidRPr="000B2A05">
        <w:rPr>
          <w:rFonts w:ascii="Times New Roman" w:hAnsi="Times New Roman" w:cs="Times New Roman"/>
          <w:b/>
          <w:bCs/>
          <w:sz w:val="28"/>
          <w:szCs w:val="28"/>
        </w:rPr>
        <w:t xml:space="preserve">СМЕРТНОСТИ ОТ </w:t>
      </w:r>
      <w:r w:rsidR="00904709">
        <w:rPr>
          <w:rFonts w:ascii="Times New Roman" w:hAnsi="Times New Roman" w:cs="Times New Roman"/>
          <w:b/>
          <w:bCs/>
          <w:sz w:val="28"/>
          <w:szCs w:val="28"/>
        </w:rPr>
        <w:t xml:space="preserve">БОЛЕЗНЕЙ СИСТЕМЫ КРОВООБРАЩЕНИЯ </w:t>
      </w:r>
      <w:r w:rsidR="00904709" w:rsidRPr="000B2A05">
        <w:rPr>
          <w:rFonts w:ascii="Times New Roman" w:hAnsi="Times New Roman" w:cs="Times New Roman"/>
          <w:b/>
          <w:bCs/>
          <w:sz w:val="28"/>
          <w:szCs w:val="28"/>
        </w:rPr>
        <w:t>И ИХ ЭКОНОМИЧЕСКОЕ ЗНАЧЕНИЕ В г. АЛМАТЫ</w:t>
      </w:r>
    </w:p>
    <w:p w14:paraId="7C6155ED" w14:textId="77777777" w:rsidR="00C6385D" w:rsidRDefault="00C6385D" w:rsidP="00C6385D">
      <w:pPr>
        <w:tabs>
          <w:tab w:val="left" w:pos="2400"/>
        </w:tabs>
        <w:spacing w:after="0" w:line="240" w:lineRule="auto"/>
        <w:ind w:firstLine="567"/>
        <w:contextualSpacing/>
        <w:jc w:val="both"/>
        <w:rPr>
          <w:rFonts w:ascii="Times New Roman" w:hAnsi="Times New Roman" w:cs="Times New Roman"/>
          <w:b/>
          <w:bCs/>
          <w:sz w:val="28"/>
          <w:szCs w:val="28"/>
        </w:rPr>
      </w:pPr>
    </w:p>
    <w:p w14:paraId="74E6B69B" w14:textId="674C7CEC" w:rsidR="00904709" w:rsidRDefault="00904709" w:rsidP="00C6385D">
      <w:pPr>
        <w:tabs>
          <w:tab w:val="left" w:pos="2400"/>
        </w:tabs>
        <w:spacing w:after="0" w:line="240" w:lineRule="auto"/>
        <w:ind w:firstLine="567"/>
        <w:contextualSpacing/>
        <w:jc w:val="both"/>
        <w:rPr>
          <w:rFonts w:ascii="Times New Roman" w:hAnsi="Times New Roman" w:cs="Times New Roman"/>
          <w:b/>
          <w:bCs/>
          <w:sz w:val="28"/>
          <w:szCs w:val="28"/>
        </w:rPr>
      </w:pPr>
      <w:r w:rsidRPr="006154C0">
        <w:rPr>
          <w:rFonts w:ascii="Times New Roman" w:hAnsi="Times New Roman" w:cs="Times New Roman"/>
          <w:b/>
          <w:bCs/>
          <w:sz w:val="28"/>
          <w:szCs w:val="28"/>
        </w:rPr>
        <w:t xml:space="preserve">3.1. Тенденции заболеваемости и смертности от </w:t>
      </w:r>
      <w:r>
        <w:rPr>
          <w:rFonts w:ascii="Times New Roman" w:hAnsi="Times New Roman" w:cs="Times New Roman"/>
          <w:b/>
          <w:bCs/>
          <w:sz w:val="28"/>
          <w:szCs w:val="28"/>
        </w:rPr>
        <w:t>болезней системы кровообращения</w:t>
      </w:r>
      <w:r w:rsidRPr="006154C0">
        <w:rPr>
          <w:rFonts w:ascii="Times New Roman" w:hAnsi="Times New Roman" w:cs="Times New Roman"/>
          <w:b/>
          <w:bCs/>
          <w:sz w:val="28"/>
          <w:szCs w:val="28"/>
        </w:rPr>
        <w:t xml:space="preserve"> в Алматы (2012–2024 гг.)</w:t>
      </w:r>
    </w:p>
    <w:p w14:paraId="51F84A33" w14:textId="5C5F7BC3" w:rsidR="00904709" w:rsidRPr="006154C0" w:rsidRDefault="00904709" w:rsidP="00C6385D">
      <w:pPr>
        <w:tabs>
          <w:tab w:val="left" w:pos="2400"/>
        </w:tabs>
        <w:spacing w:after="0" w:line="240" w:lineRule="auto"/>
        <w:ind w:firstLine="567"/>
        <w:contextualSpacing/>
        <w:jc w:val="both"/>
        <w:rPr>
          <w:rFonts w:ascii="Times New Roman" w:hAnsi="Times New Roman" w:cs="Times New Roman"/>
          <w:sz w:val="28"/>
          <w:szCs w:val="28"/>
        </w:rPr>
      </w:pPr>
      <w:r w:rsidRPr="006154C0">
        <w:rPr>
          <w:rFonts w:ascii="Times New Roman" w:hAnsi="Times New Roman" w:cs="Times New Roman"/>
          <w:sz w:val="28"/>
          <w:szCs w:val="28"/>
        </w:rPr>
        <w:t xml:space="preserve">Согласно статистическому сборнику «Здоровье населения Республики Казахстан и деятельность организаций здравоохранения» за период с 2012 по 2024 год, были оценены тенденции </w:t>
      </w:r>
      <w:r>
        <w:rPr>
          <w:rFonts w:ascii="Times New Roman" w:hAnsi="Times New Roman" w:cs="Times New Roman"/>
          <w:sz w:val="28"/>
          <w:szCs w:val="28"/>
        </w:rPr>
        <w:t>БСК</w:t>
      </w:r>
      <w:r w:rsidRPr="006154C0">
        <w:rPr>
          <w:rFonts w:ascii="Times New Roman" w:hAnsi="Times New Roman" w:cs="Times New Roman"/>
          <w:sz w:val="28"/>
          <w:szCs w:val="28"/>
        </w:rPr>
        <w:t xml:space="preserve"> и </w:t>
      </w:r>
      <w:r>
        <w:rPr>
          <w:rFonts w:ascii="Times New Roman" w:hAnsi="Times New Roman" w:cs="Times New Roman"/>
          <w:sz w:val="28"/>
          <w:szCs w:val="28"/>
        </w:rPr>
        <w:t>ЦВЗ</w:t>
      </w:r>
      <w:r w:rsidRPr="006154C0">
        <w:rPr>
          <w:rFonts w:ascii="Times New Roman" w:hAnsi="Times New Roman" w:cs="Times New Roman"/>
          <w:sz w:val="28"/>
          <w:szCs w:val="28"/>
        </w:rPr>
        <w:t xml:space="preserve"> в городе Алматы. Имеющиеся данные включали общую заболеваемость </w:t>
      </w:r>
      <w:r>
        <w:rPr>
          <w:rFonts w:ascii="Times New Roman" w:hAnsi="Times New Roman" w:cs="Times New Roman"/>
          <w:sz w:val="28"/>
          <w:szCs w:val="28"/>
        </w:rPr>
        <w:t>БСК и ЦВЗ</w:t>
      </w:r>
      <w:r w:rsidRPr="006154C0">
        <w:rPr>
          <w:rFonts w:ascii="Times New Roman" w:hAnsi="Times New Roman" w:cs="Times New Roman"/>
          <w:sz w:val="28"/>
          <w:szCs w:val="28"/>
        </w:rPr>
        <w:t xml:space="preserve">, а также смертность от </w:t>
      </w:r>
      <w:r w:rsidR="00805043">
        <w:rPr>
          <w:rFonts w:ascii="Times New Roman" w:hAnsi="Times New Roman" w:cs="Times New Roman"/>
          <w:sz w:val="28"/>
          <w:szCs w:val="28"/>
        </w:rPr>
        <w:t>БСК</w:t>
      </w:r>
      <w:r w:rsidRPr="006154C0">
        <w:rPr>
          <w:rFonts w:ascii="Times New Roman" w:hAnsi="Times New Roman" w:cs="Times New Roman"/>
          <w:sz w:val="28"/>
          <w:szCs w:val="28"/>
        </w:rPr>
        <w:t xml:space="preserve"> и инсульта. Важно отметить, что отдельные данные о заболеваемости инсультом не были представлены, поэтому бремя инсульта можно было оценить только по показателям смертности.</w:t>
      </w:r>
    </w:p>
    <w:p w14:paraId="3D4363F7" w14:textId="6D66FFD6" w:rsidR="00904709" w:rsidRDefault="00904709" w:rsidP="00C6385D">
      <w:pPr>
        <w:tabs>
          <w:tab w:val="left" w:pos="2400"/>
        </w:tabs>
        <w:spacing w:after="0" w:line="240" w:lineRule="auto"/>
        <w:ind w:firstLine="567"/>
        <w:contextualSpacing/>
        <w:jc w:val="both"/>
        <w:rPr>
          <w:rFonts w:ascii="Times New Roman" w:hAnsi="Times New Roman" w:cs="Times New Roman"/>
          <w:sz w:val="28"/>
          <w:szCs w:val="28"/>
        </w:rPr>
      </w:pPr>
      <w:r w:rsidRPr="006154C0">
        <w:rPr>
          <w:rFonts w:ascii="Times New Roman" w:hAnsi="Times New Roman" w:cs="Times New Roman"/>
          <w:i/>
          <w:iCs/>
          <w:sz w:val="28"/>
          <w:szCs w:val="28"/>
        </w:rPr>
        <w:t>Тенденции заболеваемости</w:t>
      </w:r>
      <w:r>
        <w:rPr>
          <w:rFonts w:ascii="Times New Roman" w:hAnsi="Times New Roman" w:cs="Times New Roman"/>
          <w:i/>
          <w:iCs/>
          <w:sz w:val="28"/>
          <w:szCs w:val="28"/>
        </w:rPr>
        <w:t xml:space="preserve">: </w:t>
      </w:r>
      <w:r w:rsidRPr="006154C0">
        <w:rPr>
          <w:rFonts w:ascii="Times New Roman" w:hAnsi="Times New Roman" w:cs="Times New Roman"/>
          <w:sz w:val="28"/>
          <w:szCs w:val="28"/>
        </w:rPr>
        <w:t xml:space="preserve">В период с 2012 по 2024 год заболеваемость </w:t>
      </w:r>
      <w:r>
        <w:rPr>
          <w:rFonts w:ascii="Times New Roman" w:hAnsi="Times New Roman" w:cs="Times New Roman"/>
          <w:sz w:val="28"/>
          <w:szCs w:val="28"/>
        </w:rPr>
        <w:t>БСК</w:t>
      </w:r>
      <w:r w:rsidRPr="006154C0">
        <w:rPr>
          <w:rFonts w:ascii="Times New Roman" w:hAnsi="Times New Roman" w:cs="Times New Roman"/>
          <w:sz w:val="28"/>
          <w:szCs w:val="28"/>
        </w:rPr>
        <w:t xml:space="preserve"> и </w:t>
      </w:r>
      <w:r>
        <w:rPr>
          <w:rFonts w:ascii="Times New Roman" w:hAnsi="Times New Roman" w:cs="Times New Roman"/>
          <w:sz w:val="28"/>
          <w:szCs w:val="28"/>
        </w:rPr>
        <w:t>ЦВЗ</w:t>
      </w:r>
      <w:r w:rsidRPr="006154C0">
        <w:rPr>
          <w:rFonts w:ascii="Times New Roman" w:hAnsi="Times New Roman" w:cs="Times New Roman"/>
          <w:sz w:val="28"/>
          <w:szCs w:val="28"/>
        </w:rPr>
        <w:t xml:space="preserve"> в </w:t>
      </w:r>
      <w:r w:rsidR="00805043">
        <w:rPr>
          <w:rFonts w:ascii="Times New Roman" w:hAnsi="Times New Roman" w:cs="Times New Roman"/>
          <w:sz w:val="28"/>
          <w:szCs w:val="28"/>
        </w:rPr>
        <w:t xml:space="preserve">г. </w:t>
      </w:r>
      <w:r w:rsidRPr="006154C0">
        <w:rPr>
          <w:rFonts w:ascii="Times New Roman" w:hAnsi="Times New Roman" w:cs="Times New Roman"/>
          <w:sz w:val="28"/>
          <w:szCs w:val="28"/>
        </w:rPr>
        <w:t xml:space="preserve">Алматы </w:t>
      </w:r>
      <w:r>
        <w:rPr>
          <w:rFonts w:ascii="Times New Roman" w:hAnsi="Times New Roman" w:cs="Times New Roman"/>
          <w:sz w:val="28"/>
          <w:szCs w:val="28"/>
        </w:rPr>
        <w:t xml:space="preserve">оставалось стабильно высокой. </w:t>
      </w:r>
      <w:r w:rsidRPr="006154C0">
        <w:rPr>
          <w:rFonts w:ascii="Times New Roman" w:hAnsi="Times New Roman" w:cs="Times New Roman"/>
          <w:sz w:val="28"/>
          <w:szCs w:val="28"/>
        </w:rPr>
        <w:t xml:space="preserve">После пика в 2013 году (4320,2 на 100000 населения) заболеваемость снизилась до </w:t>
      </w:r>
      <w:r>
        <w:rPr>
          <w:rFonts w:ascii="Times New Roman" w:hAnsi="Times New Roman" w:cs="Times New Roman"/>
          <w:sz w:val="28"/>
          <w:szCs w:val="28"/>
        </w:rPr>
        <w:t>минимального</w:t>
      </w:r>
      <w:r w:rsidRPr="006154C0">
        <w:rPr>
          <w:rFonts w:ascii="Times New Roman" w:hAnsi="Times New Roman" w:cs="Times New Roman"/>
          <w:sz w:val="28"/>
          <w:szCs w:val="28"/>
        </w:rPr>
        <w:t xml:space="preserve"> уровня в 2015 году (2982,8), после чего </w:t>
      </w:r>
      <w:r>
        <w:rPr>
          <w:rFonts w:ascii="Times New Roman" w:hAnsi="Times New Roman" w:cs="Times New Roman"/>
          <w:sz w:val="28"/>
          <w:szCs w:val="28"/>
        </w:rPr>
        <w:t>вновь начала расти</w:t>
      </w:r>
      <w:r w:rsidRPr="006154C0">
        <w:rPr>
          <w:rFonts w:ascii="Times New Roman" w:hAnsi="Times New Roman" w:cs="Times New Roman"/>
          <w:sz w:val="28"/>
          <w:szCs w:val="28"/>
        </w:rPr>
        <w:t xml:space="preserve">, достигнув 4017,8 в 2020 году. После временного снижения в 2021–2022 годах заболеваемость снова выросла до 3950,6 в 2024 году. В целом это указывает на </w:t>
      </w:r>
      <w:r>
        <w:rPr>
          <w:rFonts w:ascii="Times New Roman" w:hAnsi="Times New Roman" w:cs="Times New Roman"/>
          <w:sz w:val="28"/>
          <w:szCs w:val="28"/>
        </w:rPr>
        <w:t>сохраняющее и нестабильное бремя БСК в популяции</w:t>
      </w:r>
      <w:r w:rsidRPr="006154C0">
        <w:rPr>
          <w:rFonts w:ascii="Times New Roman" w:hAnsi="Times New Roman" w:cs="Times New Roman"/>
          <w:sz w:val="28"/>
          <w:szCs w:val="28"/>
        </w:rPr>
        <w:t>.</w:t>
      </w:r>
      <w:r>
        <w:rPr>
          <w:rFonts w:ascii="Times New Roman" w:hAnsi="Times New Roman" w:cs="Times New Roman"/>
          <w:sz w:val="28"/>
          <w:szCs w:val="28"/>
        </w:rPr>
        <w:t xml:space="preserve"> ЦВЗ характеризовались более выраженной вариабельностью</w:t>
      </w:r>
      <w:r w:rsidRPr="006154C0">
        <w:rPr>
          <w:rFonts w:ascii="Times New Roman" w:hAnsi="Times New Roman" w:cs="Times New Roman"/>
          <w:sz w:val="28"/>
          <w:szCs w:val="28"/>
        </w:rPr>
        <w:t xml:space="preserve">. Заболеваемость резко возросла со 140,4 в 2012 году до пика в 467,1 в 2014 году, затем снизилась в 2015–2017 годах, </w:t>
      </w:r>
      <w:r>
        <w:rPr>
          <w:rFonts w:ascii="Times New Roman" w:hAnsi="Times New Roman" w:cs="Times New Roman"/>
          <w:sz w:val="28"/>
          <w:szCs w:val="28"/>
        </w:rPr>
        <w:t xml:space="preserve">и вновь начала </w:t>
      </w:r>
      <w:r w:rsidRPr="006154C0">
        <w:rPr>
          <w:rFonts w:ascii="Times New Roman" w:hAnsi="Times New Roman" w:cs="Times New Roman"/>
          <w:sz w:val="28"/>
          <w:szCs w:val="28"/>
        </w:rPr>
        <w:t xml:space="preserve">устойчиво расти с 2018 года. К 2020–2024 годам </w:t>
      </w:r>
      <w:r w:rsidRPr="006E0DD2">
        <w:rPr>
          <w:rFonts w:ascii="Times New Roman" w:hAnsi="Times New Roman" w:cs="Times New Roman"/>
          <w:sz w:val="28"/>
          <w:szCs w:val="28"/>
        </w:rPr>
        <w:t xml:space="preserve">показатели стабилизировались на высоком уровне (приблизительно 425–460 на 100000 населения), что свидетельствует о сохраняющемся бремени ЦВЗ включая инсульт, рисунок </w:t>
      </w:r>
      <w:r w:rsidR="006D6E83">
        <w:rPr>
          <w:rFonts w:ascii="Times New Roman" w:hAnsi="Times New Roman" w:cs="Times New Roman"/>
          <w:sz w:val="28"/>
          <w:szCs w:val="28"/>
        </w:rPr>
        <w:t>3</w:t>
      </w:r>
      <w:r w:rsidRPr="006E0DD2">
        <w:rPr>
          <w:rFonts w:ascii="Times New Roman" w:hAnsi="Times New Roman" w:cs="Times New Roman"/>
          <w:sz w:val="28"/>
          <w:szCs w:val="28"/>
        </w:rPr>
        <w:t>.</w:t>
      </w:r>
    </w:p>
    <w:p w14:paraId="5D5EC19C" w14:textId="77777777" w:rsidR="00904709" w:rsidRDefault="00904709" w:rsidP="000F4E51">
      <w:pPr>
        <w:tabs>
          <w:tab w:val="left" w:pos="2400"/>
        </w:tabs>
        <w:spacing w:after="0" w:line="240" w:lineRule="auto"/>
        <w:ind w:left="851" w:right="-1135" w:firstLine="567"/>
        <w:jc w:val="both"/>
        <w:rPr>
          <w:rFonts w:ascii="Times New Roman" w:hAnsi="Times New Roman" w:cs="Times New Roman"/>
          <w:sz w:val="28"/>
          <w:szCs w:val="28"/>
        </w:rPr>
      </w:pPr>
    </w:p>
    <w:p w14:paraId="1736776F" w14:textId="77777777" w:rsidR="00904709" w:rsidRPr="006154C0" w:rsidRDefault="00904709" w:rsidP="00C6385D">
      <w:pPr>
        <w:tabs>
          <w:tab w:val="left" w:pos="2400"/>
        </w:tabs>
        <w:spacing w:after="0" w:line="240" w:lineRule="auto"/>
        <w:ind w:firstLine="567"/>
        <w:jc w:val="both"/>
        <w:rPr>
          <w:rFonts w:ascii="Times New Roman" w:hAnsi="Times New Roman" w:cs="Times New Roman"/>
          <w:sz w:val="28"/>
          <w:szCs w:val="28"/>
        </w:rPr>
      </w:pPr>
      <w:r>
        <w:rPr>
          <w:noProof/>
          <w:lang w:eastAsia="ru-RU"/>
          <w14:ligatures w14:val="standardContextual"/>
        </w:rPr>
        <w:drawing>
          <wp:inline distT="0" distB="0" distL="0" distR="0" wp14:anchorId="409B9B31" wp14:editId="49646808">
            <wp:extent cx="5562600" cy="3009900"/>
            <wp:effectExtent l="0" t="0" r="0" b="0"/>
            <wp:docPr id="545027380" name="Диаграмма 1">
              <a:extLst xmlns:a="http://schemas.openxmlformats.org/drawingml/2006/main">
                <a:ext uri="{FF2B5EF4-FFF2-40B4-BE49-F238E27FC236}">
                  <a16:creationId xmlns:a16="http://schemas.microsoft.com/office/drawing/2014/main" id="{7A6539E2-A307-4C2B-8B49-7B8EFD1C17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285DF9" w14:textId="77777777" w:rsidR="00C6385D" w:rsidRDefault="00C6385D" w:rsidP="000F4E51">
      <w:pPr>
        <w:tabs>
          <w:tab w:val="left" w:pos="2400"/>
        </w:tabs>
        <w:spacing w:line="240" w:lineRule="auto"/>
        <w:ind w:left="851" w:right="-1135" w:firstLine="567"/>
        <w:jc w:val="both"/>
        <w:rPr>
          <w:rFonts w:ascii="Times New Roman" w:hAnsi="Times New Roman" w:cs="Times New Roman"/>
          <w:sz w:val="28"/>
          <w:szCs w:val="28"/>
        </w:rPr>
      </w:pPr>
    </w:p>
    <w:p w14:paraId="1F90972C" w14:textId="1E97C761" w:rsidR="00904709" w:rsidRPr="006154C0" w:rsidRDefault="00904709" w:rsidP="00C6385D">
      <w:pPr>
        <w:tabs>
          <w:tab w:val="left" w:pos="2400"/>
        </w:tabs>
        <w:spacing w:line="240" w:lineRule="auto"/>
        <w:ind w:left="851" w:firstLine="567"/>
        <w:jc w:val="center"/>
        <w:rPr>
          <w:rFonts w:ascii="Times New Roman" w:hAnsi="Times New Roman" w:cs="Times New Roman"/>
          <w:sz w:val="28"/>
          <w:szCs w:val="28"/>
        </w:rPr>
      </w:pPr>
      <w:r w:rsidRPr="006154C0">
        <w:rPr>
          <w:rFonts w:ascii="Times New Roman" w:hAnsi="Times New Roman" w:cs="Times New Roman"/>
          <w:sz w:val="28"/>
          <w:szCs w:val="28"/>
        </w:rPr>
        <w:t xml:space="preserve">Рисунок </w:t>
      </w:r>
      <w:r w:rsidR="006D6E83">
        <w:rPr>
          <w:rFonts w:ascii="Times New Roman" w:hAnsi="Times New Roman" w:cs="Times New Roman"/>
          <w:sz w:val="28"/>
          <w:szCs w:val="28"/>
        </w:rPr>
        <w:t>3</w:t>
      </w:r>
      <w:r w:rsidR="00C6385D">
        <w:rPr>
          <w:rFonts w:ascii="Times New Roman" w:hAnsi="Times New Roman" w:cs="Times New Roman"/>
          <w:sz w:val="28"/>
          <w:szCs w:val="28"/>
        </w:rPr>
        <w:t xml:space="preserve"> -</w:t>
      </w:r>
      <w:r w:rsidRPr="006154C0">
        <w:rPr>
          <w:rFonts w:ascii="Times New Roman" w:hAnsi="Times New Roman" w:cs="Times New Roman"/>
          <w:sz w:val="28"/>
          <w:szCs w:val="28"/>
        </w:rPr>
        <w:t xml:space="preserve"> Заболеваемость </w:t>
      </w:r>
      <w:r w:rsidR="00805043">
        <w:rPr>
          <w:rFonts w:ascii="Times New Roman" w:hAnsi="Times New Roman" w:cs="Times New Roman"/>
          <w:sz w:val="28"/>
          <w:szCs w:val="28"/>
        </w:rPr>
        <w:t xml:space="preserve">БСК и ЦВЗ </w:t>
      </w:r>
      <w:r w:rsidRPr="006154C0">
        <w:rPr>
          <w:rFonts w:ascii="Times New Roman" w:hAnsi="Times New Roman" w:cs="Times New Roman"/>
          <w:sz w:val="28"/>
          <w:szCs w:val="28"/>
        </w:rPr>
        <w:t>в период с 2012 по 2024гг</w:t>
      </w:r>
    </w:p>
    <w:p w14:paraId="09042F28" w14:textId="3838C641" w:rsidR="00904709" w:rsidRDefault="00904709" w:rsidP="00C6385D">
      <w:pPr>
        <w:tabs>
          <w:tab w:val="left" w:pos="2400"/>
        </w:tabs>
        <w:spacing w:after="0" w:line="240" w:lineRule="auto"/>
        <w:ind w:firstLine="567"/>
        <w:jc w:val="both"/>
        <w:rPr>
          <w:rFonts w:ascii="Times New Roman" w:hAnsi="Times New Roman" w:cs="Times New Roman"/>
          <w:sz w:val="28"/>
          <w:szCs w:val="28"/>
        </w:rPr>
      </w:pPr>
      <w:r w:rsidRPr="006154C0">
        <w:rPr>
          <w:rFonts w:ascii="Times New Roman" w:hAnsi="Times New Roman" w:cs="Times New Roman"/>
          <w:i/>
          <w:iCs/>
          <w:sz w:val="28"/>
          <w:szCs w:val="28"/>
        </w:rPr>
        <w:lastRenderedPageBreak/>
        <w:t>Тенденции смертности</w:t>
      </w:r>
      <w:r>
        <w:rPr>
          <w:rFonts w:ascii="Times New Roman" w:hAnsi="Times New Roman" w:cs="Times New Roman"/>
          <w:i/>
          <w:iCs/>
          <w:sz w:val="28"/>
          <w:szCs w:val="28"/>
        </w:rPr>
        <w:t xml:space="preserve">: </w:t>
      </w:r>
      <w:r w:rsidRPr="006154C0">
        <w:rPr>
          <w:rFonts w:ascii="Times New Roman" w:hAnsi="Times New Roman" w:cs="Times New Roman"/>
          <w:sz w:val="28"/>
          <w:szCs w:val="28"/>
        </w:rPr>
        <w:t xml:space="preserve">Смертность от </w:t>
      </w:r>
      <w:r>
        <w:rPr>
          <w:rFonts w:ascii="Times New Roman" w:hAnsi="Times New Roman" w:cs="Times New Roman"/>
          <w:sz w:val="28"/>
          <w:szCs w:val="28"/>
        </w:rPr>
        <w:t>БСК</w:t>
      </w:r>
      <w:r w:rsidRPr="006154C0">
        <w:rPr>
          <w:rFonts w:ascii="Times New Roman" w:hAnsi="Times New Roman" w:cs="Times New Roman"/>
          <w:sz w:val="28"/>
          <w:szCs w:val="28"/>
        </w:rPr>
        <w:t xml:space="preserve"> существенно снизилась с 345,6 в 2012 году до 139,5 в 2015 году, что указывает на значительные улучшения </w:t>
      </w:r>
      <w:r>
        <w:rPr>
          <w:rFonts w:ascii="Times New Roman" w:hAnsi="Times New Roman" w:cs="Times New Roman"/>
          <w:sz w:val="28"/>
          <w:szCs w:val="28"/>
        </w:rPr>
        <w:t>в</w:t>
      </w:r>
      <w:r w:rsidRPr="006154C0">
        <w:rPr>
          <w:rFonts w:ascii="Times New Roman" w:hAnsi="Times New Roman" w:cs="Times New Roman"/>
          <w:sz w:val="28"/>
          <w:szCs w:val="28"/>
        </w:rPr>
        <w:t xml:space="preserve"> профилактике </w:t>
      </w:r>
      <w:r>
        <w:rPr>
          <w:rFonts w:ascii="Times New Roman" w:hAnsi="Times New Roman" w:cs="Times New Roman"/>
          <w:sz w:val="28"/>
          <w:szCs w:val="28"/>
        </w:rPr>
        <w:t>и оказания медицинской помощи</w:t>
      </w:r>
      <w:r w:rsidRPr="006154C0">
        <w:rPr>
          <w:rFonts w:ascii="Times New Roman" w:hAnsi="Times New Roman" w:cs="Times New Roman"/>
          <w:sz w:val="28"/>
          <w:szCs w:val="28"/>
        </w:rPr>
        <w:t xml:space="preserve">. Однако после 2016 года смертность </w:t>
      </w:r>
      <w:r>
        <w:rPr>
          <w:rFonts w:ascii="Times New Roman" w:hAnsi="Times New Roman" w:cs="Times New Roman"/>
          <w:sz w:val="28"/>
          <w:szCs w:val="28"/>
        </w:rPr>
        <w:t>вновь</w:t>
      </w:r>
      <w:r w:rsidRPr="006154C0">
        <w:rPr>
          <w:rFonts w:ascii="Times New Roman" w:hAnsi="Times New Roman" w:cs="Times New Roman"/>
          <w:sz w:val="28"/>
          <w:szCs w:val="28"/>
        </w:rPr>
        <w:t xml:space="preserve"> возросла, с </w:t>
      </w:r>
      <w:r>
        <w:rPr>
          <w:rFonts w:ascii="Times New Roman" w:hAnsi="Times New Roman" w:cs="Times New Roman"/>
          <w:sz w:val="28"/>
          <w:szCs w:val="28"/>
        </w:rPr>
        <w:t>выраженным пиком</w:t>
      </w:r>
      <w:r w:rsidRPr="006154C0">
        <w:rPr>
          <w:rFonts w:ascii="Times New Roman" w:hAnsi="Times New Roman" w:cs="Times New Roman"/>
          <w:sz w:val="28"/>
          <w:szCs w:val="28"/>
        </w:rPr>
        <w:t xml:space="preserve"> в 2021 году (284,9), что, вероятно, отражает косвенное влияние пандемии COVID-19 на доступ</w:t>
      </w:r>
      <w:r>
        <w:rPr>
          <w:rFonts w:ascii="Times New Roman" w:hAnsi="Times New Roman" w:cs="Times New Roman"/>
          <w:sz w:val="28"/>
          <w:szCs w:val="28"/>
        </w:rPr>
        <w:t>ность</w:t>
      </w:r>
      <w:r w:rsidRPr="006154C0">
        <w:rPr>
          <w:rFonts w:ascii="Times New Roman" w:hAnsi="Times New Roman" w:cs="Times New Roman"/>
          <w:sz w:val="28"/>
          <w:szCs w:val="28"/>
        </w:rPr>
        <w:t xml:space="preserve"> </w:t>
      </w:r>
      <w:r>
        <w:rPr>
          <w:rFonts w:ascii="Times New Roman" w:hAnsi="Times New Roman" w:cs="Times New Roman"/>
          <w:sz w:val="28"/>
          <w:szCs w:val="28"/>
        </w:rPr>
        <w:t xml:space="preserve">и эффективность </w:t>
      </w:r>
      <w:r w:rsidRPr="006154C0">
        <w:rPr>
          <w:rFonts w:ascii="Times New Roman" w:hAnsi="Times New Roman" w:cs="Times New Roman"/>
          <w:sz w:val="28"/>
          <w:szCs w:val="28"/>
        </w:rPr>
        <w:t>медицинской помощи. В</w:t>
      </w:r>
      <w:r>
        <w:rPr>
          <w:rFonts w:ascii="Times New Roman" w:hAnsi="Times New Roman" w:cs="Times New Roman"/>
          <w:sz w:val="28"/>
          <w:szCs w:val="28"/>
        </w:rPr>
        <w:t xml:space="preserve"> </w:t>
      </w:r>
      <w:r w:rsidRPr="006154C0">
        <w:rPr>
          <w:rFonts w:ascii="Times New Roman" w:hAnsi="Times New Roman" w:cs="Times New Roman"/>
          <w:sz w:val="28"/>
          <w:szCs w:val="28"/>
        </w:rPr>
        <w:t>послед</w:t>
      </w:r>
      <w:r>
        <w:rPr>
          <w:rFonts w:ascii="Times New Roman" w:hAnsi="Times New Roman" w:cs="Times New Roman"/>
          <w:sz w:val="28"/>
          <w:szCs w:val="28"/>
        </w:rPr>
        <w:t>ующие годы смер</w:t>
      </w:r>
      <w:r w:rsidRPr="006154C0">
        <w:rPr>
          <w:rFonts w:ascii="Times New Roman" w:hAnsi="Times New Roman" w:cs="Times New Roman"/>
          <w:sz w:val="28"/>
          <w:szCs w:val="28"/>
        </w:rPr>
        <w:t xml:space="preserve">тность неуклонно снижалась, достигнув 170,1 в 2024 году, </w:t>
      </w:r>
      <w:r>
        <w:rPr>
          <w:rFonts w:ascii="Times New Roman" w:hAnsi="Times New Roman" w:cs="Times New Roman"/>
          <w:sz w:val="28"/>
          <w:szCs w:val="28"/>
        </w:rPr>
        <w:t>оставаясь, однако выше</w:t>
      </w:r>
      <w:r w:rsidRPr="006154C0">
        <w:rPr>
          <w:rFonts w:ascii="Times New Roman" w:hAnsi="Times New Roman" w:cs="Times New Roman"/>
          <w:sz w:val="28"/>
          <w:szCs w:val="28"/>
        </w:rPr>
        <w:t xml:space="preserve"> минимального уровня 2015 год</w:t>
      </w:r>
      <w:r>
        <w:rPr>
          <w:rFonts w:ascii="Times New Roman" w:hAnsi="Times New Roman" w:cs="Times New Roman"/>
          <w:sz w:val="28"/>
          <w:szCs w:val="28"/>
        </w:rPr>
        <w:t>а</w:t>
      </w:r>
      <w:r w:rsidRPr="006154C0">
        <w:rPr>
          <w:rFonts w:ascii="Times New Roman" w:hAnsi="Times New Roman" w:cs="Times New Roman"/>
          <w:sz w:val="28"/>
          <w:szCs w:val="28"/>
        </w:rPr>
        <w:t xml:space="preserve">. Смертность от инсульта </w:t>
      </w:r>
      <w:r>
        <w:rPr>
          <w:rFonts w:ascii="Times New Roman" w:hAnsi="Times New Roman" w:cs="Times New Roman"/>
          <w:sz w:val="28"/>
          <w:szCs w:val="28"/>
        </w:rPr>
        <w:t>демонстрировала сходную</w:t>
      </w:r>
      <w:r w:rsidRPr="006154C0">
        <w:rPr>
          <w:rFonts w:ascii="Times New Roman" w:hAnsi="Times New Roman" w:cs="Times New Roman"/>
          <w:sz w:val="28"/>
          <w:szCs w:val="28"/>
        </w:rPr>
        <w:t>, но более выраженн</w:t>
      </w:r>
      <w:r>
        <w:rPr>
          <w:rFonts w:ascii="Times New Roman" w:hAnsi="Times New Roman" w:cs="Times New Roman"/>
          <w:sz w:val="28"/>
          <w:szCs w:val="28"/>
        </w:rPr>
        <w:t>ую динамику</w:t>
      </w:r>
      <w:r w:rsidRPr="006154C0">
        <w:rPr>
          <w:rFonts w:ascii="Times New Roman" w:hAnsi="Times New Roman" w:cs="Times New Roman"/>
          <w:sz w:val="28"/>
          <w:szCs w:val="28"/>
        </w:rPr>
        <w:t xml:space="preserve">. После роста с 29,9 в 2012 году до 60,8 в 2017 году смертность снизилась до 44,0 в 2019 году. </w:t>
      </w:r>
      <w:r>
        <w:rPr>
          <w:rFonts w:ascii="Times New Roman" w:hAnsi="Times New Roman" w:cs="Times New Roman"/>
          <w:sz w:val="28"/>
          <w:szCs w:val="28"/>
        </w:rPr>
        <w:t>Начиная с</w:t>
      </w:r>
      <w:r w:rsidRPr="006154C0">
        <w:rPr>
          <w:rFonts w:ascii="Times New Roman" w:hAnsi="Times New Roman" w:cs="Times New Roman"/>
          <w:sz w:val="28"/>
          <w:szCs w:val="28"/>
        </w:rPr>
        <w:t xml:space="preserve"> 2021 году (70,3), </w:t>
      </w:r>
      <w:r>
        <w:rPr>
          <w:rFonts w:ascii="Times New Roman" w:hAnsi="Times New Roman" w:cs="Times New Roman"/>
          <w:sz w:val="28"/>
          <w:szCs w:val="28"/>
        </w:rPr>
        <w:t>смертность от инсульта последовательно сниж</w:t>
      </w:r>
      <w:r w:rsidRPr="006E0DD2">
        <w:rPr>
          <w:rFonts w:ascii="Times New Roman" w:hAnsi="Times New Roman" w:cs="Times New Roman"/>
          <w:sz w:val="28"/>
          <w:szCs w:val="28"/>
        </w:rPr>
        <w:t xml:space="preserve">алась и достигла 30,3 в 2024 году, что близко к значениям начала исследуемого периода, рисунок </w:t>
      </w:r>
      <w:r w:rsidR="006D6E83">
        <w:rPr>
          <w:rFonts w:ascii="Times New Roman" w:hAnsi="Times New Roman" w:cs="Times New Roman"/>
          <w:sz w:val="28"/>
          <w:szCs w:val="28"/>
        </w:rPr>
        <w:t>4</w:t>
      </w:r>
      <w:r w:rsidRPr="006E0DD2">
        <w:rPr>
          <w:rFonts w:ascii="Times New Roman" w:hAnsi="Times New Roman" w:cs="Times New Roman"/>
          <w:sz w:val="28"/>
          <w:szCs w:val="28"/>
        </w:rPr>
        <w:t>.</w:t>
      </w:r>
    </w:p>
    <w:p w14:paraId="0091BF8B" w14:textId="77777777" w:rsidR="00904709" w:rsidRDefault="00904709" w:rsidP="000F4E51">
      <w:pPr>
        <w:tabs>
          <w:tab w:val="left" w:pos="2400"/>
        </w:tabs>
        <w:spacing w:after="0" w:line="240" w:lineRule="auto"/>
        <w:ind w:left="851" w:right="-1135" w:firstLine="567"/>
        <w:jc w:val="both"/>
        <w:rPr>
          <w:rFonts w:ascii="Times New Roman" w:hAnsi="Times New Roman" w:cs="Times New Roman"/>
          <w:sz w:val="28"/>
          <w:szCs w:val="28"/>
        </w:rPr>
      </w:pPr>
    </w:p>
    <w:p w14:paraId="726DD8D6" w14:textId="77777777" w:rsidR="00904709" w:rsidRDefault="00904709" w:rsidP="00C6385D">
      <w:pPr>
        <w:tabs>
          <w:tab w:val="left" w:pos="2400"/>
        </w:tabs>
        <w:spacing w:after="0" w:line="240" w:lineRule="auto"/>
        <w:ind w:right="-1135" w:firstLine="567"/>
        <w:jc w:val="both"/>
        <w:rPr>
          <w:rFonts w:ascii="Times New Roman" w:hAnsi="Times New Roman" w:cs="Times New Roman"/>
          <w:sz w:val="28"/>
          <w:szCs w:val="28"/>
        </w:rPr>
      </w:pPr>
      <w:r>
        <w:rPr>
          <w:noProof/>
          <w:lang w:eastAsia="ru-RU"/>
          <w14:ligatures w14:val="standardContextual"/>
        </w:rPr>
        <w:drawing>
          <wp:inline distT="0" distB="0" distL="0" distR="0" wp14:anchorId="2E9CA4F0" wp14:editId="093A4B71">
            <wp:extent cx="5667375" cy="3743325"/>
            <wp:effectExtent l="0" t="0" r="9525" b="9525"/>
            <wp:docPr id="687670082" name="Диаграмма 1">
              <a:extLst xmlns:a="http://schemas.openxmlformats.org/drawingml/2006/main">
                <a:ext uri="{FF2B5EF4-FFF2-40B4-BE49-F238E27FC236}">
                  <a16:creationId xmlns:a16="http://schemas.microsoft.com/office/drawing/2014/main" id="{B2E2AEAC-50F3-4A18-9192-7DB13EFCDD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BCABFC9" w14:textId="77777777" w:rsidR="00C6385D" w:rsidRDefault="00C6385D" w:rsidP="000F4E51">
      <w:pPr>
        <w:tabs>
          <w:tab w:val="left" w:pos="2400"/>
        </w:tabs>
        <w:spacing w:after="0" w:line="240" w:lineRule="auto"/>
        <w:ind w:left="851" w:right="-1135" w:firstLine="567"/>
        <w:jc w:val="both"/>
        <w:rPr>
          <w:rFonts w:ascii="Times New Roman" w:hAnsi="Times New Roman" w:cs="Times New Roman"/>
          <w:sz w:val="28"/>
          <w:szCs w:val="28"/>
        </w:rPr>
      </w:pPr>
    </w:p>
    <w:p w14:paraId="7B24836C" w14:textId="7DA7A738" w:rsidR="00904709" w:rsidRDefault="00904709" w:rsidP="00C6385D">
      <w:pPr>
        <w:tabs>
          <w:tab w:val="left" w:pos="2400"/>
        </w:tabs>
        <w:spacing w:after="0" w:line="240" w:lineRule="auto"/>
        <w:ind w:left="851" w:firstLine="567"/>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6D6E83">
        <w:rPr>
          <w:rFonts w:ascii="Times New Roman" w:hAnsi="Times New Roman" w:cs="Times New Roman"/>
          <w:sz w:val="28"/>
          <w:szCs w:val="28"/>
        </w:rPr>
        <w:t>4</w:t>
      </w:r>
      <w:r w:rsidR="00C6385D">
        <w:rPr>
          <w:rFonts w:ascii="Times New Roman" w:hAnsi="Times New Roman" w:cs="Times New Roman"/>
          <w:sz w:val="28"/>
          <w:szCs w:val="28"/>
        </w:rPr>
        <w:t xml:space="preserve"> -</w:t>
      </w:r>
      <w:r>
        <w:rPr>
          <w:rFonts w:ascii="Times New Roman" w:hAnsi="Times New Roman" w:cs="Times New Roman"/>
          <w:sz w:val="28"/>
          <w:szCs w:val="28"/>
        </w:rPr>
        <w:t xml:space="preserve"> Показатели смертности от </w:t>
      </w:r>
      <w:r w:rsidR="00805043">
        <w:rPr>
          <w:rFonts w:ascii="Times New Roman" w:hAnsi="Times New Roman" w:cs="Times New Roman"/>
          <w:sz w:val="28"/>
          <w:szCs w:val="28"/>
        </w:rPr>
        <w:t>БСК и инсульт</w:t>
      </w:r>
      <w:r>
        <w:rPr>
          <w:rFonts w:ascii="Times New Roman" w:hAnsi="Times New Roman" w:cs="Times New Roman"/>
          <w:sz w:val="28"/>
          <w:szCs w:val="28"/>
        </w:rPr>
        <w:t xml:space="preserve"> на 100000населения</w:t>
      </w:r>
    </w:p>
    <w:p w14:paraId="42D2D160" w14:textId="77777777" w:rsidR="00904709" w:rsidRDefault="00904709" w:rsidP="000F4E51">
      <w:pPr>
        <w:tabs>
          <w:tab w:val="left" w:pos="2400"/>
        </w:tabs>
        <w:spacing w:after="0" w:line="240" w:lineRule="auto"/>
        <w:ind w:left="851" w:right="-1135" w:firstLine="567"/>
        <w:jc w:val="both"/>
        <w:rPr>
          <w:rFonts w:ascii="Times New Roman" w:hAnsi="Times New Roman" w:cs="Times New Roman"/>
          <w:sz w:val="28"/>
          <w:szCs w:val="28"/>
        </w:rPr>
      </w:pPr>
    </w:p>
    <w:p w14:paraId="2CB7358E" w14:textId="47C5505C" w:rsidR="00904709" w:rsidRPr="00F93928" w:rsidRDefault="00904709" w:rsidP="00C6385D">
      <w:pPr>
        <w:tabs>
          <w:tab w:val="left" w:pos="2400"/>
        </w:tabs>
        <w:spacing w:after="0" w:line="240" w:lineRule="auto"/>
        <w:ind w:firstLine="567"/>
        <w:jc w:val="both"/>
        <w:rPr>
          <w:rFonts w:ascii="Times New Roman" w:hAnsi="Times New Roman" w:cs="Times New Roman"/>
          <w:sz w:val="28"/>
          <w:szCs w:val="28"/>
        </w:rPr>
      </w:pPr>
      <w:r w:rsidRPr="00CE5A7E">
        <w:rPr>
          <w:rFonts w:ascii="Times New Roman" w:hAnsi="Times New Roman" w:cs="Times New Roman"/>
          <w:sz w:val="28"/>
          <w:szCs w:val="28"/>
        </w:rPr>
        <w:t>В целом</w:t>
      </w:r>
      <w:r>
        <w:rPr>
          <w:rFonts w:ascii="Times New Roman" w:hAnsi="Times New Roman" w:cs="Times New Roman"/>
          <w:sz w:val="28"/>
          <w:szCs w:val="28"/>
        </w:rPr>
        <w:t xml:space="preserve"> результаты показывают</w:t>
      </w:r>
      <w:r w:rsidRPr="00CE5A7E">
        <w:rPr>
          <w:rFonts w:ascii="Times New Roman" w:hAnsi="Times New Roman" w:cs="Times New Roman"/>
          <w:sz w:val="28"/>
          <w:szCs w:val="28"/>
        </w:rPr>
        <w:t xml:space="preserve">, что, </w:t>
      </w:r>
      <w:r>
        <w:rPr>
          <w:rFonts w:ascii="Times New Roman" w:hAnsi="Times New Roman" w:cs="Times New Roman"/>
          <w:sz w:val="28"/>
          <w:szCs w:val="28"/>
        </w:rPr>
        <w:t xml:space="preserve">несмотря на снижение </w:t>
      </w:r>
      <w:r w:rsidRPr="00CE5A7E">
        <w:rPr>
          <w:rFonts w:ascii="Times New Roman" w:hAnsi="Times New Roman" w:cs="Times New Roman"/>
          <w:sz w:val="28"/>
          <w:szCs w:val="28"/>
        </w:rPr>
        <w:t>смертност</w:t>
      </w:r>
      <w:r>
        <w:rPr>
          <w:rFonts w:ascii="Times New Roman" w:hAnsi="Times New Roman" w:cs="Times New Roman"/>
          <w:sz w:val="28"/>
          <w:szCs w:val="28"/>
        </w:rPr>
        <w:t>и</w:t>
      </w:r>
      <w:r w:rsidRPr="00CE5A7E">
        <w:rPr>
          <w:rFonts w:ascii="Times New Roman" w:hAnsi="Times New Roman" w:cs="Times New Roman"/>
          <w:sz w:val="28"/>
          <w:szCs w:val="28"/>
        </w:rPr>
        <w:t xml:space="preserve"> от </w:t>
      </w:r>
      <w:r>
        <w:rPr>
          <w:rFonts w:ascii="Times New Roman" w:hAnsi="Times New Roman" w:cs="Times New Roman"/>
          <w:sz w:val="28"/>
          <w:szCs w:val="28"/>
        </w:rPr>
        <w:t>БСК</w:t>
      </w:r>
      <w:r w:rsidRPr="00CE5A7E">
        <w:rPr>
          <w:rFonts w:ascii="Times New Roman" w:hAnsi="Times New Roman" w:cs="Times New Roman"/>
          <w:sz w:val="28"/>
          <w:szCs w:val="28"/>
        </w:rPr>
        <w:t xml:space="preserve"> и инсульта</w:t>
      </w:r>
      <w:r>
        <w:rPr>
          <w:rFonts w:ascii="Times New Roman" w:hAnsi="Times New Roman" w:cs="Times New Roman"/>
          <w:sz w:val="28"/>
          <w:szCs w:val="28"/>
        </w:rPr>
        <w:t xml:space="preserve">, </w:t>
      </w:r>
      <w:r w:rsidRPr="00CE5A7E">
        <w:rPr>
          <w:rFonts w:ascii="Times New Roman" w:hAnsi="Times New Roman" w:cs="Times New Roman"/>
          <w:sz w:val="28"/>
          <w:szCs w:val="28"/>
        </w:rPr>
        <w:t xml:space="preserve">заболеваемость </w:t>
      </w:r>
      <w:r>
        <w:rPr>
          <w:rFonts w:ascii="Times New Roman" w:hAnsi="Times New Roman" w:cs="Times New Roman"/>
          <w:sz w:val="28"/>
          <w:szCs w:val="28"/>
        </w:rPr>
        <w:t xml:space="preserve">остается высокой, особенно в отношении ЦВЗ. </w:t>
      </w:r>
      <w:r w:rsidRPr="00CE5A7E">
        <w:rPr>
          <w:rFonts w:ascii="Times New Roman" w:hAnsi="Times New Roman" w:cs="Times New Roman"/>
          <w:sz w:val="28"/>
          <w:szCs w:val="28"/>
        </w:rPr>
        <w:t xml:space="preserve">Это </w:t>
      </w:r>
      <w:r>
        <w:rPr>
          <w:rFonts w:ascii="Times New Roman" w:hAnsi="Times New Roman" w:cs="Times New Roman"/>
          <w:sz w:val="28"/>
          <w:szCs w:val="28"/>
        </w:rPr>
        <w:t xml:space="preserve">указывает на то, что </w:t>
      </w:r>
      <w:r w:rsidRPr="00CE5A7E">
        <w:rPr>
          <w:rFonts w:ascii="Times New Roman" w:hAnsi="Times New Roman" w:cs="Times New Roman"/>
          <w:sz w:val="28"/>
          <w:szCs w:val="28"/>
        </w:rPr>
        <w:t xml:space="preserve">улучшение </w:t>
      </w:r>
      <w:r>
        <w:rPr>
          <w:rFonts w:ascii="Times New Roman" w:hAnsi="Times New Roman" w:cs="Times New Roman"/>
          <w:sz w:val="28"/>
          <w:szCs w:val="28"/>
        </w:rPr>
        <w:t xml:space="preserve">в </w:t>
      </w:r>
      <w:r w:rsidRPr="00CE5A7E">
        <w:rPr>
          <w:rFonts w:ascii="Times New Roman" w:hAnsi="Times New Roman" w:cs="Times New Roman"/>
          <w:sz w:val="28"/>
          <w:szCs w:val="28"/>
        </w:rPr>
        <w:t>оказани</w:t>
      </w:r>
      <w:r>
        <w:rPr>
          <w:rFonts w:ascii="Times New Roman" w:hAnsi="Times New Roman" w:cs="Times New Roman"/>
          <w:sz w:val="28"/>
          <w:szCs w:val="28"/>
        </w:rPr>
        <w:t>и</w:t>
      </w:r>
      <w:r w:rsidRPr="00CE5A7E">
        <w:rPr>
          <w:rFonts w:ascii="Times New Roman" w:hAnsi="Times New Roman" w:cs="Times New Roman"/>
          <w:sz w:val="28"/>
          <w:szCs w:val="28"/>
        </w:rPr>
        <w:t xml:space="preserve"> неотложной помощи и </w:t>
      </w:r>
      <w:r>
        <w:rPr>
          <w:rFonts w:ascii="Times New Roman" w:hAnsi="Times New Roman" w:cs="Times New Roman"/>
          <w:sz w:val="28"/>
          <w:szCs w:val="28"/>
        </w:rPr>
        <w:t xml:space="preserve">повышения </w:t>
      </w:r>
      <w:r w:rsidRPr="00CE5A7E">
        <w:rPr>
          <w:rFonts w:ascii="Times New Roman" w:hAnsi="Times New Roman" w:cs="Times New Roman"/>
          <w:sz w:val="28"/>
          <w:szCs w:val="28"/>
        </w:rPr>
        <w:t>выживаемости не полно</w:t>
      </w:r>
      <w:r>
        <w:rPr>
          <w:rFonts w:ascii="Times New Roman" w:hAnsi="Times New Roman" w:cs="Times New Roman"/>
          <w:sz w:val="28"/>
          <w:szCs w:val="28"/>
        </w:rPr>
        <w:t xml:space="preserve">стью </w:t>
      </w:r>
      <w:r w:rsidRPr="00CE5A7E">
        <w:rPr>
          <w:rFonts w:ascii="Times New Roman" w:hAnsi="Times New Roman" w:cs="Times New Roman"/>
          <w:sz w:val="28"/>
          <w:szCs w:val="28"/>
        </w:rPr>
        <w:t>компенсир</w:t>
      </w:r>
      <w:r>
        <w:rPr>
          <w:rFonts w:ascii="Times New Roman" w:hAnsi="Times New Roman" w:cs="Times New Roman"/>
          <w:sz w:val="28"/>
          <w:szCs w:val="28"/>
        </w:rPr>
        <w:t xml:space="preserve">уются </w:t>
      </w:r>
      <w:r w:rsidRPr="00CE5A7E">
        <w:rPr>
          <w:rFonts w:ascii="Times New Roman" w:hAnsi="Times New Roman" w:cs="Times New Roman"/>
          <w:sz w:val="28"/>
          <w:szCs w:val="28"/>
        </w:rPr>
        <w:t xml:space="preserve">эффективной первичной профилактикой. Сохраняющаяся тяжесть инсульта и </w:t>
      </w:r>
      <w:r>
        <w:rPr>
          <w:rFonts w:ascii="Times New Roman" w:hAnsi="Times New Roman" w:cs="Times New Roman"/>
          <w:sz w:val="28"/>
          <w:szCs w:val="28"/>
        </w:rPr>
        <w:t>БСК</w:t>
      </w:r>
      <w:r w:rsidRPr="00CE5A7E">
        <w:rPr>
          <w:rFonts w:ascii="Times New Roman" w:hAnsi="Times New Roman" w:cs="Times New Roman"/>
          <w:sz w:val="28"/>
          <w:szCs w:val="28"/>
        </w:rPr>
        <w:t xml:space="preserve"> подчеркивает важность ранней диагностики, </w:t>
      </w:r>
      <w:r>
        <w:rPr>
          <w:rFonts w:ascii="Times New Roman" w:hAnsi="Times New Roman" w:cs="Times New Roman"/>
          <w:sz w:val="28"/>
          <w:szCs w:val="28"/>
        </w:rPr>
        <w:t xml:space="preserve">своевременного </w:t>
      </w:r>
      <w:r w:rsidRPr="00CE5A7E">
        <w:rPr>
          <w:rFonts w:ascii="Times New Roman" w:hAnsi="Times New Roman" w:cs="Times New Roman"/>
          <w:sz w:val="28"/>
          <w:szCs w:val="28"/>
        </w:rPr>
        <w:t xml:space="preserve">оказания неотложной </w:t>
      </w:r>
      <w:r>
        <w:rPr>
          <w:rFonts w:ascii="Times New Roman" w:hAnsi="Times New Roman" w:cs="Times New Roman"/>
          <w:sz w:val="28"/>
          <w:szCs w:val="28"/>
        </w:rPr>
        <w:t xml:space="preserve">и </w:t>
      </w:r>
      <w:r w:rsidRPr="007912F1">
        <w:rPr>
          <w:rFonts w:ascii="Times New Roman" w:hAnsi="Times New Roman" w:cs="Times New Roman"/>
          <w:sz w:val="28"/>
          <w:szCs w:val="28"/>
        </w:rPr>
        <w:t xml:space="preserve">специализированной помощи и внедрения системных </w:t>
      </w:r>
      <w:r w:rsidRPr="007912F1">
        <w:rPr>
          <w:rFonts w:ascii="Times New Roman" w:hAnsi="Times New Roman" w:cs="Times New Roman"/>
          <w:sz w:val="28"/>
          <w:szCs w:val="28"/>
        </w:rPr>
        <w:lastRenderedPageBreak/>
        <w:t>вмешательств, направленных на сокращение времени до начала лечения и улучшение функциональных результатов.</w:t>
      </w:r>
      <w:r w:rsidRPr="00CE5A7E">
        <w:rPr>
          <w:rFonts w:ascii="Times New Roman" w:hAnsi="Times New Roman" w:cs="Times New Roman"/>
          <w:sz w:val="28"/>
          <w:szCs w:val="28"/>
        </w:rPr>
        <w:t xml:space="preserve"> </w:t>
      </w:r>
    </w:p>
    <w:p w14:paraId="0B8E4EB9" w14:textId="77777777" w:rsidR="00904709" w:rsidRPr="00F93928" w:rsidRDefault="00904709" w:rsidP="000F4E51">
      <w:pPr>
        <w:tabs>
          <w:tab w:val="left" w:pos="2400"/>
        </w:tabs>
        <w:spacing w:after="0" w:line="240" w:lineRule="auto"/>
        <w:ind w:left="851" w:right="-1135" w:firstLine="567"/>
        <w:jc w:val="both"/>
        <w:rPr>
          <w:rFonts w:ascii="Times New Roman" w:hAnsi="Times New Roman" w:cs="Times New Roman"/>
          <w:b/>
          <w:bCs/>
          <w:sz w:val="28"/>
          <w:szCs w:val="28"/>
        </w:rPr>
      </w:pPr>
    </w:p>
    <w:p w14:paraId="6D6EC348" w14:textId="77777777" w:rsidR="00904709" w:rsidRPr="00C138EF" w:rsidRDefault="00904709" w:rsidP="00C6385D">
      <w:pPr>
        <w:spacing w:after="0" w:line="240" w:lineRule="auto"/>
        <w:ind w:firstLine="567"/>
        <w:contextualSpacing/>
        <w:jc w:val="both"/>
        <w:rPr>
          <w:rFonts w:ascii="Times New Roman" w:hAnsi="Times New Roman" w:cs="Times New Roman"/>
          <w:b/>
          <w:bCs/>
          <w:sz w:val="28"/>
          <w:szCs w:val="28"/>
        </w:rPr>
      </w:pPr>
      <w:r w:rsidRPr="000B2A05">
        <w:rPr>
          <w:rFonts w:ascii="Times New Roman" w:hAnsi="Times New Roman" w:cs="Times New Roman"/>
          <w:b/>
          <w:bCs/>
          <w:sz w:val="28"/>
          <w:szCs w:val="28"/>
        </w:rPr>
        <w:t>3.</w:t>
      </w:r>
      <w:r w:rsidRPr="005E0B15">
        <w:rPr>
          <w:rFonts w:ascii="Times New Roman" w:hAnsi="Times New Roman" w:cs="Times New Roman"/>
          <w:b/>
          <w:bCs/>
          <w:sz w:val="28"/>
          <w:szCs w:val="28"/>
        </w:rPr>
        <w:t>2</w:t>
      </w:r>
      <w:r w:rsidRPr="000B2A05">
        <w:rPr>
          <w:rFonts w:ascii="Times New Roman" w:hAnsi="Times New Roman" w:cs="Times New Roman"/>
          <w:b/>
          <w:bCs/>
          <w:sz w:val="28"/>
          <w:szCs w:val="28"/>
        </w:rPr>
        <w:t xml:space="preserve">. Предотвратимая смертность от болезни системы кровообращения и ее </w:t>
      </w:r>
      <w:r>
        <w:rPr>
          <w:rFonts w:ascii="Times New Roman" w:hAnsi="Times New Roman" w:cs="Times New Roman"/>
          <w:b/>
          <w:bCs/>
          <w:sz w:val="28"/>
          <w:szCs w:val="28"/>
        </w:rPr>
        <w:t xml:space="preserve">экономическое значение в </w:t>
      </w:r>
      <w:r w:rsidRPr="000B2A05">
        <w:rPr>
          <w:rFonts w:ascii="Times New Roman" w:hAnsi="Times New Roman" w:cs="Times New Roman"/>
          <w:b/>
          <w:bCs/>
          <w:sz w:val="28"/>
          <w:szCs w:val="28"/>
        </w:rPr>
        <w:t>г. Алматы</w:t>
      </w:r>
    </w:p>
    <w:p w14:paraId="4D468436" w14:textId="77777777" w:rsidR="00904709" w:rsidRDefault="00904709" w:rsidP="00C6385D">
      <w:pPr>
        <w:spacing w:after="0" w:line="240" w:lineRule="auto"/>
        <w:ind w:firstLine="567"/>
        <w:contextualSpacing/>
        <w:jc w:val="both"/>
        <w:rPr>
          <w:rFonts w:ascii="Times New Roman" w:hAnsi="Times New Roman" w:cs="Times New Roman"/>
          <w:sz w:val="28"/>
          <w:szCs w:val="28"/>
        </w:rPr>
      </w:pPr>
      <w:r w:rsidRPr="00E022E9">
        <w:rPr>
          <w:rFonts w:ascii="Times New Roman" w:hAnsi="Times New Roman" w:cs="Times New Roman"/>
          <w:sz w:val="28"/>
          <w:szCs w:val="28"/>
        </w:rPr>
        <w:t xml:space="preserve">В период с 2014 по 2024 год стандартизированные по возрасту показатели смертности от БСК, отнесённой к </w:t>
      </w:r>
      <w:r>
        <w:rPr>
          <w:rFonts w:ascii="Times New Roman" w:hAnsi="Times New Roman" w:cs="Times New Roman"/>
          <w:sz w:val="28"/>
          <w:szCs w:val="28"/>
        </w:rPr>
        <w:t>превентивной</w:t>
      </w:r>
      <w:r w:rsidRPr="00E022E9">
        <w:rPr>
          <w:rFonts w:ascii="Times New Roman" w:hAnsi="Times New Roman" w:cs="Times New Roman"/>
          <w:sz w:val="28"/>
          <w:szCs w:val="28"/>
        </w:rPr>
        <w:t>, излечимой и пред</w:t>
      </w:r>
      <w:r>
        <w:rPr>
          <w:rFonts w:ascii="Times New Roman" w:hAnsi="Times New Roman" w:cs="Times New Roman"/>
          <w:sz w:val="28"/>
          <w:szCs w:val="28"/>
        </w:rPr>
        <w:t>отвратимой категориям</w:t>
      </w:r>
      <w:r w:rsidRPr="00E022E9">
        <w:rPr>
          <w:rFonts w:ascii="Times New Roman" w:hAnsi="Times New Roman" w:cs="Times New Roman"/>
          <w:sz w:val="28"/>
          <w:szCs w:val="28"/>
        </w:rPr>
        <w:t xml:space="preserve">, характеризовались выраженной межгодовой </w:t>
      </w:r>
      <w:r>
        <w:rPr>
          <w:rFonts w:ascii="Times New Roman" w:hAnsi="Times New Roman" w:cs="Times New Roman"/>
          <w:sz w:val="28"/>
          <w:szCs w:val="28"/>
        </w:rPr>
        <w:t xml:space="preserve">вариабельностью </w:t>
      </w:r>
      <w:r w:rsidRPr="00E022E9">
        <w:rPr>
          <w:rFonts w:ascii="Times New Roman" w:hAnsi="Times New Roman" w:cs="Times New Roman"/>
          <w:sz w:val="28"/>
          <w:szCs w:val="28"/>
        </w:rPr>
        <w:t>с чередованием периодов снижения и резких подъёмов.</w:t>
      </w:r>
    </w:p>
    <w:p w14:paraId="254AEA8E" w14:textId="58F1D193" w:rsidR="00904709" w:rsidRPr="00E022E9" w:rsidRDefault="00904709" w:rsidP="00C6385D">
      <w:pPr>
        <w:spacing w:after="0" w:line="240" w:lineRule="auto"/>
        <w:ind w:firstLine="567"/>
        <w:contextualSpacing/>
        <w:jc w:val="both"/>
        <w:rPr>
          <w:rFonts w:ascii="Times New Roman" w:hAnsi="Times New Roman" w:cs="Times New Roman"/>
          <w:sz w:val="28"/>
          <w:szCs w:val="28"/>
        </w:rPr>
      </w:pPr>
      <w:r w:rsidRPr="00E022E9">
        <w:rPr>
          <w:rFonts w:ascii="Times New Roman" w:hAnsi="Times New Roman" w:cs="Times New Roman"/>
          <w:sz w:val="28"/>
          <w:szCs w:val="28"/>
        </w:rPr>
        <w:t xml:space="preserve">В </w:t>
      </w:r>
      <w:r>
        <w:rPr>
          <w:rFonts w:ascii="Times New Roman" w:hAnsi="Times New Roman" w:cs="Times New Roman"/>
          <w:sz w:val="28"/>
          <w:szCs w:val="28"/>
        </w:rPr>
        <w:t xml:space="preserve">целом по </w:t>
      </w:r>
      <w:r w:rsidRPr="00E022E9">
        <w:rPr>
          <w:rFonts w:ascii="Times New Roman" w:hAnsi="Times New Roman" w:cs="Times New Roman"/>
          <w:sz w:val="28"/>
          <w:szCs w:val="28"/>
        </w:rPr>
        <w:t xml:space="preserve">популяции уровень предотвратимой смертности </w:t>
      </w:r>
      <w:r>
        <w:rPr>
          <w:rFonts w:ascii="Times New Roman" w:hAnsi="Times New Roman" w:cs="Times New Roman"/>
          <w:sz w:val="28"/>
          <w:szCs w:val="28"/>
        </w:rPr>
        <w:t xml:space="preserve">в 2014 году составил </w:t>
      </w:r>
      <w:r w:rsidRPr="00E022E9">
        <w:rPr>
          <w:rFonts w:ascii="Times New Roman" w:hAnsi="Times New Roman" w:cs="Times New Roman"/>
          <w:sz w:val="28"/>
          <w:szCs w:val="28"/>
        </w:rPr>
        <w:t>120,38 на 100000 населения</w:t>
      </w:r>
      <w:r>
        <w:rPr>
          <w:rFonts w:ascii="Times New Roman" w:hAnsi="Times New Roman" w:cs="Times New Roman"/>
          <w:sz w:val="28"/>
          <w:szCs w:val="28"/>
        </w:rPr>
        <w:t xml:space="preserve">. </w:t>
      </w:r>
      <w:r w:rsidR="001C71D7" w:rsidRPr="00E022E9">
        <w:rPr>
          <w:rFonts w:ascii="Times New Roman" w:hAnsi="Times New Roman" w:cs="Times New Roman"/>
          <w:sz w:val="28"/>
          <w:szCs w:val="28"/>
        </w:rPr>
        <w:t>В последующие годы до 2019 года</w:t>
      </w:r>
      <w:r w:rsidRPr="00E022E9">
        <w:rPr>
          <w:rFonts w:ascii="Times New Roman" w:hAnsi="Times New Roman" w:cs="Times New Roman"/>
          <w:sz w:val="28"/>
          <w:szCs w:val="28"/>
        </w:rPr>
        <w:t xml:space="preserve"> наблюдалось </w:t>
      </w:r>
      <w:r>
        <w:rPr>
          <w:rFonts w:ascii="Times New Roman" w:hAnsi="Times New Roman" w:cs="Times New Roman"/>
          <w:sz w:val="28"/>
          <w:szCs w:val="28"/>
        </w:rPr>
        <w:t xml:space="preserve">выраженное </w:t>
      </w:r>
      <w:r w:rsidRPr="00E022E9">
        <w:rPr>
          <w:rFonts w:ascii="Times New Roman" w:hAnsi="Times New Roman" w:cs="Times New Roman"/>
          <w:sz w:val="28"/>
          <w:szCs w:val="28"/>
        </w:rPr>
        <w:t>снижение показателей, достигшее миним</w:t>
      </w:r>
      <w:r>
        <w:rPr>
          <w:rFonts w:ascii="Times New Roman" w:hAnsi="Times New Roman" w:cs="Times New Roman"/>
          <w:sz w:val="28"/>
          <w:szCs w:val="28"/>
        </w:rPr>
        <w:t>ального значения в</w:t>
      </w:r>
      <w:r w:rsidRPr="00E022E9">
        <w:rPr>
          <w:rFonts w:ascii="Times New Roman" w:hAnsi="Times New Roman" w:cs="Times New Roman"/>
          <w:sz w:val="28"/>
          <w:szCs w:val="28"/>
        </w:rPr>
        <w:t xml:space="preserve"> 2019 году (29,17 на 100000 населения). Это снижение сопровождалось уменьшением как </w:t>
      </w:r>
      <w:r>
        <w:rPr>
          <w:rFonts w:ascii="Times New Roman" w:hAnsi="Times New Roman" w:cs="Times New Roman"/>
          <w:sz w:val="28"/>
          <w:szCs w:val="28"/>
        </w:rPr>
        <w:t>превентивной</w:t>
      </w:r>
      <w:r w:rsidRPr="00E022E9">
        <w:rPr>
          <w:rFonts w:ascii="Times New Roman" w:hAnsi="Times New Roman" w:cs="Times New Roman"/>
          <w:sz w:val="28"/>
          <w:szCs w:val="28"/>
        </w:rPr>
        <w:t>, так и излечимой смертности</w:t>
      </w:r>
      <w:r>
        <w:rPr>
          <w:rFonts w:ascii="Times New Roman" w:hAnsi="Times New Roman" w:cs="Times New Roman"/>
          <w:sz w:val="28"/>
          <w:szCs w:val="28"/>
        </w:rPr>
        <w:t xml:space="preserve"> и касалось всех </w:t>
      </w:r>
      <w:r w:rsidRPr="00E022E9">
        <w:rPr>
          <w:rFonts w:ascii="Times New Roman" w:hAnsi="Times New Roman" w:cs="Times New Roman"/>
          <w:sz w:val="28"/>
          <w:szCs w:val="28"/>
        </w:rPr>
        <w:t>основны</w:t>
      </w:r>
      <w:r>
        <w:rPr>
          <w:rFonts w:ascii="Times New Roman" w:hAnsi="Times New Roman" w:cs="Times New Roman"/>
          <w:sz w:val="28"/>
          <w:szCs w:val="28"/>
        </w:rPr>
        <w:t>х</w:t>
      </w:r>
      <w:r w:rsidRPr="00E022E9">
        <w:rPr>
          <w:rFonts w:ascii="Times New Roman" w:hAnsi="Times New Roman" w:cs="Times New Roman"/>
          <w:sz w:val="28"/>
          <w:szCs w:val="28"/>
        </w:rPr>
        <w:t xml:space="preserve"> причин, включая ИБС и ЦВЗ.</w:t>
      </w:r>
    </w:p>
    <w:p w14:paraId="46150262" w14:textId="00B77B09" w:rsidR="00904709" w:rsidRPr="00E022E9" w:rsidRDefault="00904709" w:rsidP="00C6385D">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Начиная с 2020</w:t>
      </w:r>
      <w:r w:rsidRPr="00E022E9">
        <w:rPr>
          <w:rFonts w:ascii="Times New Roman" w:hAnsi="Times New Roman" w:cs="Times New Roman"/>
          <w:sz w:val="28"/>
          <w:szCs w:val="28"/>
        </w:rPr>
        <w:t xml:space="preserve"> года </w:t>
      </w:r>
      <w:r>
        <w:rPr>
          <w:rFonts w:ascii="Times New Roman" w:hAnsi="Times New Roman" w:cs="Times New Roman"/>
          <w:sz w:val="28"/>
          <w:szCs w:val="28"/>
        </w:rPr>
        <w:t>была зафиксирована резкая смена тренда, с существенным ростом смертности по всем категориям.</w:t>
      </w:r>
      <w:r w:rsidRPr="00E022E9">
        <w:rPr>
          <w:rFonts w:ascii="Times New Roman" w:hAnsi="Times New Roman" w:cs="Times New Roman"/>
          <w:sz w:val="28"/>
          <w:szCs w:val="28"/>
        </w:rPr>
        <w:t xml:space="preserve"> Наиболее выраженный </w:t>
      </w:r>
      <w:r>
        <w:rPr>
          <w:rFonts w:ascii="Times New Roman" w:hAnsi="Times New Roman" w:cs="Times New Roman"/>
          <w:sz w:val="28"/>
          <w:szCs w:val="28"/>
        </w:rPr>
        <w:t xml:space="preserve">подъем </w:t>
      </w:r>
      <w:r w:rsidRPr="00E022E9">
        <w:rPr>
          <w:rFonts w:ascii="Times New Roman" w:hAnsi="Times New Roman" w:cs="Times New Roman"/>
          <w:sz w:val="28"/>
          <w:szCs w:val="28"/>
        </w:rPr>
        <w:t>был отмечен в 2021 году, когда общий показатель предотвратимой смертности достиг 261,11 на 100000 населения, что более чем в два раза превы</w:t>
      </w:r>
      <w:r>
        <w:rPr>
          <w:rFonts w:ascii="Times New Roman" w:hAnsi="Times New Roman" w:cs="Times New Roman"/>
          <w:sz w:val="28"/>
          <w:szCs w:val="28"/>
        </w:rPr>
        <w:t>шало</w:t>
      </w:r>
      <w:r w:rsidRPr="00E022E9">
        <w:rPr>
          <w:rFonts w:ascii="Times New Roman" w:hAnsi="Times New Roman" w:cs="Times New Roman"/>
          <w:sz w:val="28"/>
          <w:szCs w:val="28"/>
        </w:rPr>
        <w:t xml:space="preserve"> показатель 2014 года. Рост был обусловлен одновременным увеличением смертности от </w:t>
      </w:r>
      <w:r>
        <w:rPr>
          <w:rFonts w:ascii="Times New Roman" w:hAnsi="Times New Roman" w:cs="Times New Roman"/>
          <w:sz w:val="28"/>
          <w:szCs w:val="28"/>
        </w:rPr>
        <w:t>ИБС</w:t>
      </w:r>
      <w:r w:rsidRPr="00E022E9">
        <w:rPr>
          <w:rFonts w:ascii="Times New Roman" w:hAnsi="Times New Roman" w:cs="Times New Roman"/>
          <w:sz w:val="28"/>
          <w:szCs w:val="28"/>
        </w:rPr>
        <w:t>, ЦВЗ и других причин как в пр</w:t>
      </w:r>
      <w:r>
        <w:rPr>
          <w:rFonts w:ascii="Times New Roman" w:hAnsi="Times New Roman" w:cs="Times New Roman"/>
          <w:sz w:val="28"/>
          <w:szCs w:val="28"/>
        </w:rPr>
        <w:t>евентивной</w:t>
      </w:r>
      <w:r w:rsidRPr="00E022E9">
        <w:rPr>
          <w:rFonts w:ascii="Times New Roman" w:hAnsi="Times New Roman" w:cs="Times New Roman"/>
          <w:sz w:val="28"/>
          <w:szCs w:val="28"/>
        </w:rPr>
        <w:t>, так и в излечимой категориях.</w:t>
      </w:r>
      <w:r>
        <w:rPr>
          <w:rFonts w:ascii="Times New Roman" w:hAnsi="Times New Roman" w:cs="Times New Roman"/>
          <w:sz w:val="28"/>
          <w:szCs w:val="28"/>
        </w:rPr>
        <w:t xml:space="preserve"> </w:t>
      </w:r>
      <w:r w:rsidRPr="00E022E9">
        <w:rPr>
          <w:rFonts w:ascii="Times New Roman" w:hAnsi="Times New Roman" w:cs="Times New Roman"/>
          <w:sz w:val="28"/>
          <w:szCs w:val="28"/>
        </w:rPr>
        <w:t xml:space="preserve">В 2022-2023 годах показатели </w:t>
      </w:r>
      <w:r>
        <w:rPr>
          <w:rFonts w:ascii="Times New Roman" w:hAnsi="Times New Roman" w:cs="Times New Roman"/>
          <w:sz w:val="28"/>
          <w:szCs w:val="28"/>
        </w:rPr>
        <w:t xml:space="preserve">вновь существенно </w:t>
      </w:r>
      <w:r w:rsidRPr="00E022E9">
        <w:rPr>
          <w:rFonts w:ascii="Times New Roman" w:hAnsi="Times New Roman" w:cs="Times New Roman"/>
          <w:sz w:val="28"/>
          <w:szCs w:val="28"/>
        </w:rPr>
        <w:t xml:space="preserve">снизились, приблизившись к допандемийным значениям. Однако в 2024 году </w:t>
      </w:r>
      <w:r>
        <w:rPr>
          <w:rFonts w:ascii="Times New Roman" w:hAnsi="Times New Roman" w:cs="Times New Roman"/>
          <w:sz w:val="28"/>
          <w:szCs w:val="28"/>
        </w:rPr>
        <w:t>отмечалось</w:t>
      </w:r>
      <w:r w:rsidRPr="00E022E9">
        <w:rPr>
          <w:rFonts w:ascii="Times New Roman" w:hAnsi="Times New Roman" w:cs="Times New Roman"/>
          <w:sz w:val="28"/>
          <w:szCs w:val="28"/>
        </w:rPr>
        <w:t xml:space="preserve"> повторн</w:t>
      </w:r>
      <w:r>
        <w:rPr>
          <w:rFonts w:ascii="Times New Roman" w:hAnsi="Times New Roman" w:cs="Times New Roman"/>
          <w:sz w:val="28"/>
          <w:szCs w:val="28"/>
        </w:rPr>
        <w:t xml:space="preserve">ое увеличение смертности, </w:t>
      </w:r>
      <w:r w:rsidRPr="00E022E9">
        <w:rPr>
          <w:rFonts w:ascii="Times New Roman" w:hAnsi="Times New Roman" w:cs="Times New Roman"/>
          <w:sz w:val="28"/>
          <w:szCs w:val="28"/>
        </w:rPr>
        <w:t>до 130,55 на 100000 населения, что указывает на сохраняющуюся нестабильность динамики в постпандемический период</w:t>
      </w:r>
      <w:r w:rsidR="00A234CA" w:rsidRPr="00A234CA">
        <w:rPr>
          <w:rFonts w:ascii="Times New Roman" w:hAnsi="Times New Roman" w:cs="Times New Roman"/>
          <w:sz w:val="28"/>
          <w:szCs w:val="28"/>
        </w:rPr>
        <w:t xml:space="preserve"> [129]</w:t>
      </w:r>
      <w:r w:rsidRPr="00E022E9">
        <w:rPr>
          <w:rFonts w:ascii="Times New Roman" w:hAnsi="Times New Roman" w:cs="Times New Roman"/>
          <w:sz w:val="28"/>
          <w:szCs w:val="28"/>
        </w:rPr>
        <w:t>.</w:t>
      </w:r>
    </w:p>
    <w:p w14:paraId="2F09374E" w14:textId="77777777" w:rsidR="00904709" w:rsidRDefault="00904709" w:rsidP="00C6385D">
      <w:pPr>
        <w:spacing w:after="0" w:line="240" w:lineRule="auto"/>
        <w:ind w:firstLine="567"/>
        <w:contextualSpacing/>
        <w:jc w:val="both"/>
        <w:rPr>
          <w:rFonts w:ascii="Times New Roman" w:hAnsi="Times New Roman" w:cs="Times New Roman"/>
          <w:sz w:val="28"/>
          <w:szCs w:val="28"/>
        </w:rPr>
      </w:pPr>
      <w:r w:rsidRPr="00E022E9">
        <w:rPr>
          <w:rFonts w:ascii="Times New Roman" w:hAnsi="Times New Roman" w:cs="Times New Roman"/>
          <w:sz w:val="28"/>
          <w:szCs w:val="28"/>
        </w:rPr>
        <w:t xml:space="preserve">Во все годы исследования </w:t>
      </w:r>
      <w:r>
        <w:rPr>
          <w:rFonts w:ascii="Times New Roman" w:hAnsi="Times New Roman" w:cs="Times New Roman"/>
          <w:sz w:val="28"/>
          <w:szCs w:val="28"/>
        </w:rPr>
        <w:t xml:space="preserve">уровни </w:t>
      </w:r>
      <w:r w:rsidRPr="00E022E9">
        <w:rPr>
          <w:rFonts w:ascii="Times New Roman" w:hAnsi="Times New Roman" w:cs="Times New Roman"/>
          <w:sz w:val="28"/>
          <w:szCs w:val="28"/>
        </w:rPr>
        <w:t xml:space="preserve">смертности среди мужчин были значительно выше, чем среди женщин. В 2014 году предотвратимая смертность среди мужчин составляла 173,75 на 100000 населения против 85,53 </w:t>
      </w:r>
      <w:r>
        <w:rPr>
          <w:rFonts w:ascii="Times New Roman" w:hAnsi="Times New Roman" w:cs="Times New Roman"/>
          <w:sz w:val="28"/>
          <w:szCs w:val="28"/>
        </w:rPr>
        <w:t>у</w:t>
      </w:r>
      <w:r w:rsidRPr="00E022E9">
        <w:rPr>
          <w:rFonts w:ascii="Times New Roman" w:hAnsi="Times New Roman" w:cs="Times New Roman"/>
          <w:sz w:val="28"/>
          <w:szCs w:val="28"/>
        </w:rPr>
        <w:t xml:space="preserve"> женщин. Минимальные значения </w:t>
      </w:r>
      <w:r>
        <w:rPr>
          <w:rFonts w:ascii="Times New Roman" w:hAnsi="Times New Roman" w:cs="Times New Roman"/>
          <w:sz w:val="28"/>
          <w:szCs w:val="28"/>
        </w:rPr>
        <w:t>у</w:t>
      </w:r>
      <w:r w:rsidRPr="00E022E9">
        <w:rPr>
          <w:rFonts w:ascii="Times New Roman" w:hAnsi="Times New Roman" w:cs="Times New Roman"/>
          <w:sz w:val="28"/>
          <w:szCs w:val="28"/>
        </w:rPr>
        <w:t xml:space="preserve"> мужчин и женщин также </w:t>
      </w:r>
      <w:r>
        <w:rPr>
          <w:rFonts w:ascii="Times New Roman" w:hAnsi="Times New Roman" w:cs="Times New Roman"/>
          <w:sz w:val="28"/>
          <w:szCs w:val="28"/>
        </w:rPr>
        <w:t>приходились на</w:t>
      </w:r>
      <w:r w:rsidRPr="00E022E9">
        <w:rPr>
          <w:rFonts w:ascii="Times New Roman" w:hAnsi="Times New Roman" w:cs="Times New Roman"/>
          <w:sz w:val="28"/>
          <w:szCs w:val="28"/>
        </w:rPr>
        <w:t xml:space="preserve"> 2019 год (41,42 и 21,45 соответственно). В</w:t>
      </w:r>
      <w:r>
        <w:rPr>
          <w:rFonts w:ascii="Times New Roman" w:hAnsi="Times New Roman" w:cs="Times New Roman"/>
          <w:sz w:val="28"/>
          <w:szCs w:val="28"/>
        </w:rPr>
        <w:t xml:space="preserve"> период</w:t>
      </w:r>
      <w:r w:rsidRPr="00E022E9">
        <w:rPr>
          <w:rFonts w:ascii="Times New Roman" w:hAnsi="Times New Roman" w:cs="Times New Roman"/>
          <w:sz w:val="28"/>
          <w:szCs w:val="28"/>
        </w:rPr>
        <w:t xml:space="preserve"> пандемии рост смертности был более выраженным среди мужчин: в 2021 году показатель достиг 402,35 на 100000 населения, а среди женщин — 172,32. Несмотря на последующее снижение, в 2024 году </w:t>
      </w:r>
      <w:r>
        <w:rPr>
          <w:rFonts w:ascii="Times New Roman" w:hAnsi="Times New Roman" w:cs="Times New Roman"/>
          <w:sz w:val="28"/>
          <w:szCs w:val="28"/>
        </w:rPr>
        <w:t>у</w:t>
      </w:r>
      <w:r w:rsidRPr="00E022E9">
        <w:rPr>
          <w:rFonts w:ascii="Times New Roman" w:hAnsi="Times New Roman" w:cs="Times New Roman"/>
          <w:sz w:val="28"/>
          <w:szCs w:val="28"/>
        </w:rPr>
        <w:t xml:space="preserve"> мужчин (212,75) и женщин (75,58) показатели оставались выше допандеми</w:t>
      </w:r>
      <w:r>
        <w:rPr>
          <w:rFonts w:ascii="Times New Roman" w:hAnsi="Times New Roman" w:cs="Times New Roman"/>
          <w:sz w:val="28"/>
          <w:szCs w:val="28"/>
        </w:rPr>
        <w:t xml:space="preserve">ческих </w:t>
      </w:r>
      <w:r w:rsidRPr="00E022E9">
        <w:rPr>
          <w:rFonts w:ascii="Times New Roman" w:hAnsi="Times New Roman" w:cs="Times New Roman"/>
          <w:sz w:val="28"/>
          <w:szCs w:val="28"/>
        </w:rPr>
        <w:t>уровней.</w:t>
      </w:r>
      <w:r>
        <w:rPr>
          <w:rFonts w:ascii="Times New Roman" w:hAnsi="Times New Roman" w:cs="Times New Roman"/>
          <w:sz w:val="28"/>
          <w:szCs w:val="28"/>
        </w:rPr>
        <w:t xml:space="preserve"> В структуре смертности на протяжении всего периода ведущей вклад вносили ИБС и ЦВЗ, тогда как доля других причин оставалась сравнительно небольшой, но </w:t>
      </w:r>
      <w:r w:rsidRPr="00E022E9">
        <w:rPr>
          <w:rFonts w:ascii="Times New Roman" w:hAnsi="Times New Roman" w:cs="Times New Roman"/>
          <w:sz w:val="28"/>
          <w:szCs w:val="28"/>
        </w:rPr>
        <w:t>демонстрировала заметные колебания в годы резк</w:t>
      </w:r>
      <w:r>
        <w:rPr>
          <w:rFonts w:ascii="Times New Roman" w:hAnsi="Times New Roman" w:cs="Times New Roman"/>
          <w:sz w:val="28"/>
          <w:szCs w:val="28"/>
        </w:rPr>
        <w:t>их подъемов с</w:t>
      </w:r>
      <w:r w:rsidRPr="00E022E9">
        <w:rPr>
          <w:rFonts w:ascii="Times New Roman" w:hAnsi="Times New Roman" w:cs="Times New Roman"/>
          <w:sz w:val="28"/>
          <w:szCs w:val="28"/>
        </w:rPr>
        <w:t>мертности.</w:t>
      </w:r>
    </w:p>
    <w:p w14:paraId="0F9B6CAD" w14:textId="77777777" w:rsidR="00904709" w:rsidRPr="00023E8A" w:rsidRDefault="00904709" w:rsidP="00C6385D">
      <w:pPr>
        <w:spacing w:after="0" w:line="240" w:lineRule="auto"/>
        <w:ind w:firstLine="567"/>
        <w:contextualSpacing/>
        <w:jc w:val="both"/>
        <w:rPr>
          <w:rFonts w:ascii="Times New Roman" w:hAnsi="Times New Roman" w:cs="Times New Roman"/>
          <w:sz w:val="28"/>
          <w:szCs w:val="28"/>
        </w:rPr>
      </w:pPr>
      <w:r w:rsidRPr="00023E8A">
        <w:rPr>
          <w:rFonts w:ascii="Times New Roman" w:hAnsi="Times New Roman" w:cs="Times New Roman"/>
          <w:sz w:val="28"/>
          <w:szCs w:val="28"/>
        </w:rPr>
        <w:t xml:space="preserve">Анализ среднегодового процентного изменения (СПИ) за период 2014–2024 гг. показал, что </w:t>
      </w:r>
      <w:r>
        <w:rPr>
          <w:rFonts w:ascii="Times New Roman" w:hAnsi="Times New Roman" w:cs="Times New Roman"/>
          <w:sz w:val="28"/>
          <w:szCs w:val="28"/>
        </w:rPr>
        <w:t xml:space="preserve">устойчивых </w:t>
      </w:r>
      <w:r w:rsidRPr="00023E8A">
        <w:rPr>
          <w:rFonts w:ascii="Times New Roman" w:hAnsi="Times New Roman" w:cs="Times New Roman"/>
          <w:sz w:val="28"/>
          <w:szCs w:val="28"/>
        </w:rPr>
        <w:t xml:space="preserve">статистически значимых линейных трендов не было выявлено ни для одной из категорий смертности, как в общей популяции, так и при стратификации по полу и причинам смерти. Во всех случаях доверительные интервалы СПИ включали нулевое значение, </w:t>
      </w:r>
      <w:r w:rsidRPr="00023E8A">
        <w:rPr>
          <w:rFonts w:ascii="Times New Roman" w:hAnsi="Times New Roman" w:cs="Times New Roman"/>
          <w:sz w:val="28"/>
          <w:szCs w:val="28"/>
        </w:rPr>
        <w:lastRenderedPageBreak/>
        <w:t>отражающее высокую изменчивость показателей в течение анализируемого периода.</w:t>
      </w:r>
    </w:p>
    <w:p w14:paraId="49E413F5" w14:textId="77777777" w:rsidR="00904709" w:rsidRPr="001C71D7" w:rsidRDefault="00904709" w:rsidP="000F4E51">
      <w:pPr>
        <w:spacing w:after="0" w:line="240" w:lineRule="auto"/>
        <w:ind w:left="851" w:right="-1135" w:firstLine="567"/>
        <w:jc w:val="both"/>
        <w:rPr>
          <w:rFonts w:ascii="Times New Roman" w:hAnsi="Times New Roman" w:cs="Times New Roman"/>
          <w:sz w:val="28"/>
          <w:szCs w:val="28"/>
        </w:rPr>
        <w:sectPr w:rsidR="00904709" w:rsidRPr="001C71D7" w:rsidSect="00C6385D">
          <w:footerReference w:type="default" r:id="rId18"/>
          <w:pgSz w:w="11906" w:h="16838"/>
          <w:pgMar w:top="1134" w:right="707" w:bottom="1134" w:left="1701" w:header="708" w:footer="708" w:gutter="0"/>
          <w:cols w:space="708"/>
          <w:docGrid w:linePitch="360"/>
        </w:sectPr>
      </w:pPr>
    </w:p>
    <w:p w14:paraId="6D8E09C6" w14:textId="2409F290" w:rsidR="00904709" w:rsidRDefault="00904709" w:rsidP="00C6385D">
      <w:pPr>
        <w:spacing w:after="0" w:line="240" w:lineRule="auto"/>
        <w:ind w:left="567" w:right="-456"/>
        <w:jc w:val="both"/>
        <w:rPr>
          <w:rFonts w:ascii="Times New Roman" w:eastAsia="Times New Roman" w:hAnsi="Times New Roman" w:cs="Times New Roman"/>
          <w:sz w:val="28"/>
          <w:szCs w:val="28"/>
          <w:lang w:eastAsia="ru-RU"/>
        </w:rPr>
      </w:pPr>
      <w:r w:rsidRPr="001C71D7">
        <w:rPr>
          <w:rFonts w:ascii="Times New Roman" w:eastAsia="Times New Roman" w:hAnsi="Times New Roman" w:cs="Times New Roman"/>
          <w:sz w:val="28"/>
          <w:szCs w:val="28"/>
          <w:lang w:eastAsia="ru-RU"/>
        </w:rPr>
        <w:lastRenderedPageBreak/>
        <w:t xml:space="preserve">Таблица </w:t>
      </w:r>
      <w:r w:rsidR="006D6E83">
        <w:rPr>
          <w:rFonts w:ascii="Times New Roman" w:eastAsia="Times New Roman" w:hAnsi="Times New Roman" w:cs="Times New Roman"/>
          <w:sz w:val="28"/>
          <w:szCs w:val="28"/>
          <w:lang w:eastAsia="ru-RU"/>
        </w:rPr>
        <w:t>9</w:t>
      </w:r>
      <w:r w:rsidR="00C6385D">
        <w:rPr>
          <w:rFonts w:ascii="Times New Roman" w:eastAsia="Times New Roman" w:hAnsi="Times New Roman" w:cs="Times New Roman"/>
          <w:sz w:val="28"/>
          <w:szCs w:val="28"/>
          <w:lang w:eastAsia="ru-RU"/>
        </w:rPr>
        <w:t xml:space="preserve"> -</w:t>
      </w:r>
      <w:r w:rsidRPr="001C71D7">
        <w:rPr>
          <w:rFonts w:ascii="Times New Roman" w:eastAsia="Times New Roman" w:hAnsi="Times New Roman" w:cs="Times New Roman"/>
          <w:sz w:val="28"/>
          <w:szCs w:val="28"/>
          <w:lang w:eastAsia="ru-RU"/>
        </w:rPr>
        <w:t xml:space="preserve"> Стандартизированные</w:t>
      </w:r>
      <w:r w:rsidRPr="000B2A05">
        <w:rPr>
          <w:rFonts w:ascii="Times New Roman" w:eastAsia="Times New Roman" w:hAnsi="Times New Roman" w:cs="Times New Roman"/>
          <w:sz w:val="28"/>
          <w:szCs w:val="28"/>
          <w:lang w:eastAsia="ru-RU"/>
        </w:rPr>
        <w:t xml:space="preserve"> по возрасту показатели предотвратимой смертности от </w:t>
      </w:r>
      <w:r w:rsidRPr="000B2A05">
        <w:rPr>
          <w:rFonts w:ascii="Times New Roman" w:hAnsi="Times New Roman" w:cs="Times New Roman"/>
          <w:sz w:val="28"/>
          <w:szCs w:val="28"/>
        </w:rPr>
        <w:t>болезней системы кровообращения</w:t>
      </w:r>
      <w:r w:rsidRPr="000B2A05">
        <w:rPr>
          <w:rFonts w:ascii="Times New Roman" w:eastAsia="Times New Roman" w:hAnsi="Times New Roman" w:cs="Times New Roman"/>
          <w:sz w:val="28"/>
          <w:szCs w:val="28"/>
          <w:lang w:eastAsia="ru-RU"/>
        </w:rPr>
        <w:t xml:space="preserve"> (на 100 000 населения; 95% доверительный интервал) по полу в городе Алматы с 2014 по 202</w:t>
      </w:r>
      <w:r>
        <w:rPr>
          <w:rFonts w:ascii="Times New Roman" w:eastAsia="Times New Roman" w:hAnsi="Times New Roman" w:cs="Times New Roman"/>
          <w:sz w:val="28"/>
          <w:szCs w:val="28"/>
          <w:lang w:eastAsia="ru-RU"/>
        </w:rPr>
        <w:t>4</w:t>
      </w:r>
      <w:r w:rsidRPr="000B2A05">
        <w:rPr>
          <w:rFonts w:ascii="Times New Roman" w:eastAsia="Times New Roman" w:hAnsi="Times New Roman" w:cs="Times New Roman"/>
          <w:sz w:val="28"/>
          <w:szCs w:val="28"/>
          <w:lang w:eastAsia="ru-RU"/>
        </w:rPr>
        <w:t xml:space="preserve"> год</w:t>
      </w:r>
      <w:r w:rsidR="00A234CA" w:rsidRPr="00A234CA">
        <w:rPr>
          <w:rFonts w:ascii="Times New Roman" w:eastAsia="Times New Roman" w:hAnsi="Times New Roman" w:cs="Times New Roman"/>
          <w:sz w:val="28"/>
          <w:szCs w:val="28"/>
          <w:lang w:eastAsia="ru-RU"/>
        </w:rPr>
        <w:t xml:space="preserve"> [1</w:t>
      </w:r>
      <w:r w:rsidR="00704291" w:rsidRPr="00704291">
        <w:rPr>
          <w:rFonts w:ascii="Times New Roman" w:eastAsia="Times New Roman" w:hAnsi="Times New Roman" w:cs="Times New Roman"/>
          <w:sz w:val="28"/>
          <w:szCs w:val="28"/>
          <w:lang w:eastAsia="ru-RU"/>
        </w:rPr>
        <w:t>29</w:t>
      </w:r>
      <w:r w:rsidR="00A234CA" w:rsidRPr="00A234CA">
        <w:rPr>
          <w:rFonts w:ascii="Times New Roman" w:eastAsia="Times New Roman" w:hAnsi="Times New Roman" w:cs="Times New Roman"/>
          <w:sz w:val="28"/>
          <w:szCs w:val="28"/>
          <w:lang w:eastAsia="ru-RU"/>
        </w:rPr>
        <w:t>]</w:t>
      </w:r>
    </w:p>
    <w:p w14:paraId="2CAB524F" w14:textId="77777777" w:rsidR="00533899" w:rsidRDefault="00533899" w:rsidP="00C6385D">
      <w:pPr>
        <w:spacing w:after="0" w:line="240" w:lineRule="auto"/>
        <w:ind w:left="567" w:right="-456"/>
        <w:jc w:val="both"/>
        <w:rPr>
          <w:rFonts w:ascii="Times New Roman" w:hAnsi="Times New Roman" w:cs="Times New Roman"/>
          <w:sz w:val="28"/>
          <w:szCs w:val="28"/>
        </w:rPr>
      </w:pPr>
    </w:p>
    <w:tbl>
      <w:tblPr>
        <w:tblW w:w="14459" w:type="dxa"/>
        <w:tblInd w:w="562" w:type="dxa"/>
        <w:tblLook w:val="04A0" w:firstRow="1" w:lastRow="0" w:firstColumn="1" w:lastColumn="0" w:noHBand="0" w:noVBand="1"/>
      </w:tblPr>
      <w:tblGrid>
        <w:gridCol w:w="974"/>
        <w:gridCol w:w="1038"/>
        <w:gridCol w:w="1079"/>
        <w:gridCol w:w="979"/>
        <w:gridCol w:w="1201"/>
        <w:gridCol w:w="8"/>
        <w:gridCol w:w="1081"/>
        <w:gridCol w:w="993"/>
        <w:gridCol w:w="1275"/>
        <w:gridCol w:w="1327"/>
        <w:gridCol w:w="41"/>
        <w:gridCol w:w="926"/>
        <w:gridCol w:w="1250"/>
        <w:gridCol w:w="1111"/>
        <w:gridCol w:w="1176"/>
      </w:tblGrid>
      <w:tr w:rsidR="00904709" w:rsidRPr="00A35888" w14:paraId="0A47FB31" w14:textId="77777777" w:rsidTr="00533899">
        <w:trPr>
          <w:trHeight w:val="323"/>
        </w:trPr>
        <w:tc>
          <w:tcPr>
            <w:tcW w:w="974" w:type="dxa"/>
            <w:vMerge w:val="restart"/>
            <w:tcBorders>
              <w:top w:val="single" w:sz="4" w:space="0" w:color="auto"/>
              <w:left w:val="single" w:sz="4" w:space="0" w:color="auto"/>
              <w:right w:val="single" w:sz="4" w:space="0" w:color="auto"/>
            </w:tcBorders>
            <w:noWrap/>
            <w:vAlign w:val="center"/>
            <w:hideMark/>
          </w:tcPr>
          <w:p w14:paraId="7D19D541" w14:textId="77777777" w:rsidR="00904709" w:rsidRPr="00B96685" w:rsidRDefault="00904709" w:rsidP="000F4E51">
            <w:pPr>
              <w:spacing w:after="0" w:line="240" w:lineRule="auto"/>
              <w:ind w:firstLine="306"/>
              <w:jc w:val="center"/>
              <w:rPr>
                <w:rFonts w:ascii="Times New Roman" w:eastAsia="Times New Roman" w:hAnsi="Times New Roman" w:cs="Times New Roman"/>
                <w:color w:val="000000"/>
                <w:sz w:val="20"/>
                <w:szCs w:val="20"/>
                <w:lang w:eastAsia="ru-RU"/>
              </w:rPr>
            </w:pPr>
            <w:r w:rsidRPr="00B96685">
              <w:rPr>
                <w:rFonts w:ascii="Times New Roman" w:eastAsia="Times New Roman" w:hAnsi="Times New Roman" w:cs="Times New Roman"/>
                <w:color w:val="000000"/>
                <w:sz w:val="20"/>
                <w:szCs w:val="20"/>
                <w:lang w:eastAsia="ru-RU"/>
              </w:rPr>
              <w:t>Годы</w:t>
            </w:r>
          </w:p>
        </w:tc>
        <w:tc>
          <w:tcPr>
            <w:tcW w:w="13485" w:type="dxa"/>
            <w:gridSpan w:val="14"/>
            <w:tcBorders>
              <w:top w:val="single" w:sz="4" w:space="0" w:color="auto"/>
              <w:left w:val="nil"/>
              <w:bottom w:val="single" w:sz="4" w:space="0" w:color="auto"/>
              <w:right w:val="single" w:sz="4" w:space="0" w:color="auto"/>
            </w:tcBorders>
            <w:vAlign w:val="center"/>
            <w:hideMark/>
          </w:tcPr>
          <w:p w14:paraId="63172735" w14:textId="77777777" w:rsidR="00904709" w:rsidRPr="00B96685"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B96685">
              <w:rPr>
                <w:rFonts w:ascii="Times New Roman" w:eastAsia="Times New Roman" w:hAnsi="Times New Roman" w:cs="Times New Roman"/>
                <w:color w:val="000000"/>
                <w:sz w:val="20"/>
                <w:szCs w:val="20"/>
                <w:lang w:eastAsia="ru-RU"/>
              </w:rPr>
              <w:t>Всего</w:t>
            </w:r>
          </w:p>
        </w:tc>
      </w:tr>
      <w:tr w:rsidR="00904709" w:rsidRPr="00A35888" w14:paraId="522E2EDC" w14:textId="77777777" w:rsidTr="00533899">
        <w:trPr>
          <w:trHeight w:val="226"/>
        </w:trPr>
        <w:tc>
          <w:tcPr>
            <w:tcW w:w="974" w:type="dxa"/>
            <w:vMerge/>
            <w:tcBorders>
              <w:left w:val="single" w:sz="4" w:space="0" w:color="auto"/>
              <w:right w:val="single" w:sz="4" w:space="0" w:color="auto"/>
            </w:tcBorders>
            <w:vAlign w:val="center"/>
            <w:hideMark/>
          </w:tcPr>
          <w:p w14:paraId="067C3F9A" w14:textId="77777777" w:rsidR="00904709" w:rsidRPr="00B96685" w:rsidRDefault="00904709" w:rsidP="000F4E51">
            <w:pPr>
              <w:spacing w:after="0" w:line="240" w:lineRule="auto"/>
              <w:rPr>
                <w:rFonts w:ascii="Times New Roman" w:eastAsia="Times New Roman" w:hAnsi="Times New Roman" w:cs="Times New Roman"/>
                <w:color w:val="000000"/>
                <w:sz w:val="20"/>
                <w:szCs w:val="20"/>
                <w:lang w:eastAsia="ru-RU"/>
              </w:rPr>
            </w:pPr>
          </w:p>
        </w:tc>
        <w:tc>
          <w:tcPr>
            <w:tcW w:w="4305" w:type="dxa"/>
            <w:gridSpan w:val="5"/>
            <w:tcBorders>
              <w:top w:val="nil"/>
              <w:left w:val="nil"/>
              <w:bottom w:val="single" w:sz="4" w:space="0" w:color="auto"/>
              <w:right w:val="single" w:sz="4" w:space="0" w:color="auto"/>
            </w:tcBorders>
            <w:vAlign w:val="center"/>
            <w:hideMark/>
          </w:tcPr>
          <w:p w14:paraId="67A09E48" w14:textId="77777777" w:rsidR="00904709" w:rsidRPr="00B96685"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B96685">
              <w:rPr>
                <w:rFonts w:ascii="Times New Roman" w:eastAsia="Times New Roman" w:hAnsi="Times New Roman" w:cs="Times New Roman"/>
                <w:color w:val="000000"/>
                <w:sz w:val="20"/>
                <w:szCs w:val="20"/>
                <w:lang w:eastAsia="ru-RU"/>
              </w:rPr>
              <w:t>Превентивная</w:t>
            </w:r>
          </w:p>
        </w:tc>
        <w:tc>
          <w:tcPr>
            <w:tcW w:w="4717" w:type="dxa"/>
            <w:gridSpan w:val="5"/>
            <w:tcBorders>
              <w:top w:val="nil"/>
              <w:left w:val="nil"/>
              <w:bottom w:val="single" w:sz="4" w:space="0" w:color="auto"/>
              <w:right w:val="single" w:sz="4" w:space="0" w:color="auto"/>
            </w:tcBorders>
            <w:vAlign w:val="center"/>
            <w:hideMark/>
          </w:tcPr>
          <w:p w14:paraId="17E517DC" w14:textId="77777777" w:rsidR="00904709" w:rsidRPr="00B96685"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B96685">
              <w:rPr>
                <w:rFonts w:ascii="Times New Roman" w:eastAsia="Times New Roman" w:hAnsi="Times New Roman" w:cs="Times New Roman"/>
                <w:color w:val="000000"/>
                <w:sz w:val="20"/>
                <w:szCs w:val="20"/>
                <w:lang w:eastAsia="ru-RU"/>
              </w:rPr>
              <w:t>Излечимая</w:t>
            </w:r>
          </w:p>
        </w:tc>
        <w:tc>
          <w:tcPr>
            <w:tcW w:w="4463" w:type="dxa"/>
            <w:gridSpan w:val="4"/>
            <w:tcBorders>
              <w:top w:val="nil"/>
              <w:left w:val="nil"/>
              <w:bottom w:val="single" w:sz="4" w:space="0" w:color="auto"/>
              <w:right w:val="single" w:sz="4" w:space="0" w:color="auto"/>
            </w:tcBorders>
            <w:vAlign w:val="center"/>
            <w:hideMark/>
          </w:tcPr>
          <w:p w14:paraId="4AD11562" w14:textId="77777777" w:rsidR="00904709" w:rsidRPr="00B96685" w:rsidRDefault="00904709" w:rsidP="000F4E51">
            <w:pPr>
              <w:spacing w:after="0" w:line="240" w:lineRule="auto"/>
              <w:jc w:val="center"/>
              <w:rPr>
                <w:rFonts w:ascii="Times New Roman" w:eastAsia="Times New Roman" w:hAnsi="Times New Roman" w:cs="Times New Roman"/>
                <w:color w:val="000000"/>
                <w:sz w:val="20"/>
                <w:szCs w:val="20"/>
                <w:lang w:val="kk-KZ" w:eastAsia="ru-RU"/>
              </w:rPr>
            </w:pPr>
            <w:r w:rsidRPr="00B96685">
              <w:rPr>
                <w:rFonts w:ascii="Times New Roman" w:eastAsia="Times New Roman" w:hAnsi="Times New Roman" w:cs="Times New Roman"/>
                <w:color w:val="000000"/>
                <w:sz w:val="20"/>
                <w:szCs w:val="20"/>
                <w:lang w:eastAsia="ru-RU"/>
              </w:rPr>
              <w:t>Предотвратимая</w:t>
            </w:r>
          </w:p>
        </w:tc>
      </w:tr>
      <w:tr w:rsidR="00904709" w:rsidRPr="006430EA" w14:paraId="57A1CDC5" w14:textId="77777777" w:rsidTr="00533899">
        <w:trPr>
          <w:trHeight w:val="311"/>
        </w:trPr>
        <w:tc>
          <w:tcPr>
            <w:tcW w:w="974" w:type="dxa"/>
            <w:vMerge/>
            <w:tcBorders>
              <w:left w:val="single" w:sz="4" w:space="0" w:color="auto"/>
              <w:bottom w:val="single" w:sz="4" w:space="0" w:color="auto"/>
              <w:right w:val="single" w:sz="4" w:space="0" w:color="auto"/>
            </w:tcBorders>
            <w:vAlign w:val="center"/>
            <w:hideMark/>
          </w:tcPr>
          <w:p w14:paraId="50C89B1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p>
        </w:tc>
        <w:tc>
          <w:tcPr>
            <w:tcW w:w="1038" w:type="dxa"/>
            <w:tcBorders>
              <w:top w:val="nil"/>
              <w:left w:val="nil"/>
              <w:bottom w:val="single" w:sz="4" w:space="0" w:color="auto"/>
              <w:right w:val="single" w:sz="4" w:space="0" w:color="auto"/>
            </w:tcBorders>
            <w:noWrap/>
            <w:vAlign w:val="center"/>
            <w:hideMark/>
          </w:tcPr>
          <w:p w14:paraId="3AF2B42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ИБС</w:t>
            </w:r>
          </w:p>
        </w:tc>
        <w:tc>
          <w:tcPr>
            <w:tcW w:w="1079" w:type="dxa"/>
            <w:tcBorders>
              <w:top w:val="nil"/>
              <w:left w:val="nil"/>
              <w:bottom w:val="single" w:sz="4" w:space="0" w:color="auto"/>
              <w:right w:val="single" w:sz="4" w:space="0" w:color="auto"/>
            </w:tcBorders>
            <w:noWrap/>
            <w:vAlign w:val="center"/>
            <w:hideMark/>
          </w:tcPr>
          <w:p w14:paraId="0BF5D3C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ЦВЗ</w:t>
            </w:r>
          </w:p>
        </w:tc>
        <w:tc>
          <w:tcPr>
            <w:tcW w:w="979" w:type="dxa"/>
            <w:tcBorders>
              <w:top w:val="nil"/>
              <w:left w:val="nil"/>
              <w:bottom w:val="single" w:sz="4" w:space="0" w:color="auto"/>
              <w:right w:val="single" w:sz="4" w:space="0" w:color="auto"/>
            </w:tcBorders>
            <w:noWrap/>
            <w:vAlign w:val="center"/>
            <w:hideMark/>
          </w:tcPr>
          <w:p w14:paraId="70CA0EB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Другие</w:t>
            </w:r>
          </w:p>
        </w:tc>
        <w:tc>
          <w:tcPr>
            <w:tcW w:w="1201" w:type="dxa"/>
            <w:tcBorders>
              <w:top w:val="nil"/>
              <w:left w:val="nil"/>
              <w:bottom w:val="single" w:sz="4" w:space="0" w:color="auto"/>
              <w:right w:val="single" w:sz="4" w:space="0" w:color="auto"/>
            </w:tcBorders>
            <w:noWrap/>
            <w:vAlign w:val="center"/>
            <w:hideMark/>
          </w:tcPr>
          <w:p w14:paraId="12A3A71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Всего</w:t>
            </w:r>
          </w:p>
        </w:tc>
        <w:tc>
          <w:tcPr>
            <w:tcW w:w="1089" w:type="dxa"/>
            <w:gridSpan w:val="2"/>
            <w:tcBorders>
              <w:top w:val="nil"/>
              <w:left w:val="nil"/>
              <w:bottom w:val="single" w:sz="4" w:space="0" w:color="auto"/>
              <w:right w:val="single" w:sz="4" w:space="0" w:color="auto"/>
            </w:tcBorders>
            <w:noWrap/>
            <w:vAlign w:val="center"/>
            <w:hideMark/>
          </w:tcPr>
          <w:p w14:paraId="2B4E467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ИБС</w:t>
            </w:r>
          </w:p>
        </w:tc>
        <w:tc>
          <w:tcPr>
            <w:tcW w:w="993" w:type="dxa"/>
            <w:tcBorders>
              <w:top w:val="nil"/>
              <w:left w:val="nil"/>
              <w:bottom w:val="single" w:sz="4" w:space="0" w:color="auto"/>
              <w:right w:val="single" w:sz="4" w:space="0" w:color="auto"/>
            </w:tcBorders>
            <w:noWrap/>
            <w:vAlign w:val="center"/>
            <w:hideMark/>
          </w:tcPr>
          <w:p w14:paraId="74F2420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ЦВЗ</w:t>
            </w:r>
          </w:p>
        </w:tc>
        <w:tc>
          <w:tcPr>
            <w:tcW w:w="1275" w:type="dxa"/>
            <w:tcBorders>
              <w:top w:val="nil"/>
              <w:left w:val="nil"/>
              <w:bottom w:val="single" w:sz="4" w:space="0" w:color="auto"/>
              <w:right w:val="single" w:sz="4" w:space="0" w:color="auto"/>
            </w:tcBorders>
            <w:noWrap/>
            <w:vAlign w:val="center"/>
            <w:hideMark/>
          </w:tcPr>
          <w:p w14:paraId="0CDB2D7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Другие</w:t>
            </w:r>
          </w:p>
        </w:tc>
        <w:tc>
          <w:tcPr>
            <w:tcW w:w="1327" w:type="dxa"/>
            <w:tcBorders>
              <w:top w:val="nil"/>
              <w:left w:val="nil"/>
              <w:bottom w:val="single" w:sz="4" w:space="0" w:color="auto"/>
              <w:right w:val="single" w:sz="4" w:space="0" w:color="auto"/>
            </w:tcBorders>
            <w:noWrap/>
            <w:vAlign w:val="center"/>
            <w:hideMark/>
          </w:tcPr>
          <w:p w14:paraId="4F6B962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Всего</w:t>
            </w:r>
          </w:p>
        </w:tc>
        <w:tc>
          <w:tcPr>
            <w:tcW w:w="967" w:type="dxa"/>
            <w:gridSpan w:val="2"/>
            <w:tcBorders>
              <w:top w:val="nil"/>
              <w:left w:val="nil"/>
              <w:bottom w:val="single" w:sz="4" w:space="0" w:color="auto"/>
              <w:right w:val="single" w:sz="4" w:space="0" w:color="auto"/>
            </w:tcBorders>
            <w:noWrap/>
            <w:vAlign w:val="center"/>
            <w:hideMark/>
          </w:tcPr>
          <w:p w14:paraId="6D6D30C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ИБС</w:t>
            </w:r>
          </w:p>
        </w:tc>
        <w:tc>
          <w:tcPr>
            <w:tcW w:w="1250" w:type="dxa"/>
            <w:tcBorders>
              <w:top w:val="nil"/>
              <w:left w:val="nil"/>
              <w:bottom w:val="single" w:sz="4" w:space="0" w:color="auto"/>
              <w:right w:val="single" w:sz="4" w:space="0" w:color="auto"/>
            </w:tcBorders>
            <w:noWrap/>
            <w:vAlign w:val="center"/>
            <w:hideMark/>
          </w:tcPr>
          <w:p w14:paraId="10F5733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ЦВЗ</w:t>
            </w:r>
          </w:p>
        </w:tc>
        <w:tc>
          <w:tcPr>
            <w:tcW w:w="1111" w:type="dxa"/>
            <w:tcBorders>
              <w:top w:val="nil"/>
              <w:left w:val="nil"/>
              <w:bottom w:val="single" w:sz="4" w:space="0" w:color="auto"/>
              <w:right w:val="single" w:sz="4" w:space="0" w:color="auto"/>
            </w:tcBorders>
            <w:noWrap/>
            <w:vAlign w:val="center"/>
            <w:hideMark/>
          </w:tcPr>
          <w:p w14:paraId="33513FD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Другие</w:t>
            </w:r>
          </w:p>
        </w:tc>
        <w:tc>
          <w:tcPr>
            <w:tcW w:w="1176" w:type="dxa"/>
            <w:tcBorders>
              <w:top w:val="nil"/>
              <w:left w:val="nil"/>
              <w:bottom w:val="single" w:sz="4" w:space="0" w:color="auto"/>
              <w:right w:val="single" w:sz="4" w:space="0" w:color="auto"/>
            </w:tcBorders>
            <w:noWrap/>
            <w:vAlign w:val="center"/>
            <w:hideMark/>
          </w:tcPr>
          <w:p w14:paraId="4F0A426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val="kk-KZ" w:eastAsia="ru-RU"/>
              </w:rPr>
            </w:pPr>
            <w:r w:rsidRPr="006430EA">
              <w:rPr>
                <w:rFonts w:ascii="Times New Roman" w:hAnsi="Times New Roman" w:cs="Times New Roman"/>
                <w:sz w:val="20"/>
                <w:szCs w:val="20"/>
              </w:rPr>
              <w:t>Всего</w:t>
            </w:r>
          </w:p>
        </w:tc>
      </w:tr>
      <w:tr w:rsidR="00904709" w:rsidRPr="006430EA" w14:paraId="040C6678"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755FD76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2014</w:t>
            </w:r>
          </w:p>
        </w:tc>
        <w:tc>
          <w:tcPr>
            <w:tcW w:w="1038" w:type="dxa"/>
            <w:tcBorders>
              <w:top w:val="nil"/>
              <w:left w:val="nil"/>
              <w:bottom w:val="single" w:sz="4" w:space="0" w:color="auto"/>
              <w:right w:val="single" w:sz="4" w:space="0" w:color="auto"/>
            </w:tcBorders>
            <w:noWrap/>
            <w:vAlign w:val="bottom"/>
            <w:hideMark/>
          </w:tcPr>
          <w:p w14:paraId="78D8812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17,79</w:t>
            </w:r>
          </w:p>
        </w:tc>
        <w:tc>
          <w:tcPr>
            <w:tcW w:w="1079" w:type="dxa"/>
            <w:tcBorders>
              <w:top w:val="nil"/>
              <w:left w:val="nil"/>
              <w:bottom w:val="single" w:sz="4" w:space="0" w:color="auto"/>
              <w:right w:val="single" w:sz="4" w:space="0" w:color="auto"/>
            </w:tcBorders>
            <w:noWrap/>
            <w:vAlign w:val="bottom"/>
            <w:hideMark/>
          </w:tcPr>
          <w:p w14:paraId="24DEDE0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31,32</w:t>
            </w:r>
          </w:p>
        </w:tc>
        <w:tc>
          <w:tcPr>
            <w:tcW w:w="979" w:type="dxa"/>
            <w:tcBorders>
              <w:top w:val="nil"/>
              <w:left w:val="nil"/>
              <w:bottom w:val="single" w:sz="4" w:space="0" w:color="auto"/>
              <w:right w:val="single" w:sz="4" w:space="0" w:color="auto"/>
            </w:tcBorders>
            <w:noWrap/>
            <w:vAlign w:val="bottom"/>
            <w:hideMark/>
          </w:tcPr>
          <w:p w14:paraId="14F882F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1,35</w:t>
            </w:r>
          </w:p>
        </w:tc>
        <w:tc>
          <w:tcPr>
            <w:tcW w:w="1201" w:type="dxa"/>
            <w:tcBorders>
              <w:top w:val="nil"/>
              <w:left w:val="nil"/>
              <w:bottom w:val="single" w:sz="4" w:space="0" w:color="auto"/>
              <w:right w:val="single" w:sz="4" w:space="0" w:color="auto"/>
            </w:tcBorders>
            <w:vAlign w:val="center"/>
            <w:hideMark/>
          </w:tcPr>
          <w:p w14:paraId="1CC42D9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50,46</w:t>
            </w:r>
          </w:p>
        </w:tc>
        <w:tc>
          <w:tcPr>
            <w:tcW w:w="1089" w:type="dxa"/>
            <w:gridSpan w:val="2"/>
            <w:tcBorders>
              <w:top w:val="nil"/>
              <w:left w:val="nil"/>
              <w:bottom w:val="single" w:sz="4" w:space="0" w:color="auto"/>
              <w:right w:val="single" w:sz="4" w:space="0" w:color="auto"/>
            </w:tcBorders>
            <w:noWrap/>
            <w:vAlign w:val="bottom"/>
            <w:hideMark/>
          </w:tcPr>
          <w:p w14:paraId="2D15019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17,79</w:t>
            </w:r>
          </w:p>
        </w:tc>
        <w:tc>
          <w:tcPr>
            <w:tcW w:w="993" w:type="dxa"/>
            <w:tcBorders>
              <w:top w:val="nil"/>
              <w:left w:val="nil"/>
              <w:bottom w:val="single" w:sz="4" w:space="0" w:color="auto"/>
              <w:right w:val="single" w:sz="4" w:space="0" w:color="auto"/>
            </w:tcBorders>
            <w:noWrap/>
            <w:vAlign w:val="bottom"/>
            <w:hideMark/>
          </w:tcPr>
          <w:p w14:paraId="19EB0FF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31,32</w:t>
            </w:r>
          </w:p>
        </w:tc>
        <w:tc>
          <w:tcPr>
            <w:tcW w:w="1275" w:type="dxa"/>
            <w:tcBorders>
              <w:top w:val="nil"/>
              <w:left w:val="nil"/>
              <w:bottom w:val="single" w:sz="4" w:space="0" w:color="auto"/>
              <w:right w:val="single" w:sz="4" w:space="0" w:color="auto"/>
            </w:tcBorders>
            <w:noWrap/>
            <w:vAlign w:val="bottom"/>
            <w:hideMark/>
          </w:tcPr>
          <w:p w14:paraId="69D0583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20,81</w:t>
            </w:r>
          </w:p>
        </w:tc>
        <w:tc>
          <w:tcPr>
            <w:tcW w:w="1327" w:type="dxa"/>
            <w:tcBorders>
              <w:top w:val="nil"/>
              <w:left w:val="nil"/>
              <w:bottom w:val="single" w:sz="4" w:space="0" w:color="auto"/>
              <w:right w:val="single" w:sz="4" w:space="0" w:color="auto"/>
            </w:tcBorders>
            <w:vAlign w:val="center"/>
            <w:hideMark/>
          </w:tcPr>
          <w:p w14:paraId="78D4F58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69,93</w:t>
            </w:r>
          </w:p>
        </w:tc>
        <w:tc>
          <w:tcPr>
            <w:tcW w:w="967" w:type="dxa"/>
            <w:gridSpan w:val="2"/>
            <w:tcBorders>
              <w:top w:val="nil"/>
              <w:left w:val="nil"/>
              <w:bottom w:val="single" w:sz="4" w:space="0" w:color="auto"/>
              <w:right w:val="single" w:sz="4" w:space="0" w:color="auto"/>
            </w:tcBorders>
            <w:noWrap/>
            <w:vAlign w:val="bottom"/>
            <w:hideMark/>
          </w:tcPr>
          <w:p w14:paraId="1CDBCA5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35,58</w:t>
            </w:r>
          </w:p>
        </w:tc>
        <w:tc>
          <w:tcPr>
            <w:tcW w:w="1250" w:type="dxa"/>
            <w:tcBorders>
              <w:top w:val="nil"/>
              <w:left w:val="nil"/>
              <w:bottom w:val="single" w:sz="4" w:space="0" w:color="auto"/>
              <w:right w:val="single" w:sz="4" w:space="0" w:color="auto"/>
            </w:tcBorders>
            <w:noWrap/>
            <w:vAlign w:val="bottom"/>
            <w:hideMark/>
          </w:tcPr>
          <w:p w14:paraId="36EED33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62,65</w:t>
            </w:r>
          </w:p>
        </w:tc>
        <w:tc>
          <w:tcPr>
            <w:tcW w:w="1111" w:type="dxa"/>
            <w:tcBorders>
              <w:top w:val="nil"/>
              <w:left w:val="nil"/>
              <w:bottom w:val="single" w:sz="4" w:space="0" w:color="auto"/>
              <w:right w:val="single" w:sz="4" w:space="0" w:color="auto"/>
            </w:tcBorders>
            <w:noWrap/>
            <w:vAlign w:val="bottom"/>
            <w:hideMark/>
          </w:tcPr>
          <w:p w14:paraId="0329836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22,16</w:t>
            </w:r>
          </w:p>
        </w:tc>
        <w:tc>
          <w:tcPr>
            <w:tcW w:w="1176" w:type="dxa"/>
            <w:tcBorders>
              <w:top w:val="nil"/>
              <w:left w:val="nil"/>
              <w:bottom w:val="single" w:sz="4" w:space="0" w:color="auto"/>
              <w:right w:val="single" w:sz="4" w:space="0" w:color="auto"/>
            </w:tcBorders>
            <w:vAlign w:val="center"/>
            <w:hideMark/>
          </w:tcPr>
          <w:p w14:paraId="6AA2D68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120,38</w:t>
            </w:r>
          </w:p>
        </w:tc>
      </w:tr>
      <w:tr w:rsidR="00904709" w:rsidRPr="006430EA" w14:paraId="552E0461"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6AC3ABE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2015</w:t>
            </w:r>
          </w:p>
        </w:tc>
        <w:tc>
          <w:tcPr>
            <w:tcW w:w="1038" w:type="dxa"/>
            <w:tcBorders>
              <w:top w:val="nil"/>
              <w:left w:val="nil"/>
              <w:bottom w:val="single" w:sz="4" w:space="0" w:color="auto"/>
              <w:right w:val="single" w:sz="4" w:space="0" w:color="auto"/>
            </w:tcBorders>
            <w:noWrap/>
            <w:vAlign w:val="bottom"/>
            <w:hideMark/>
          </w:tcPr>
          <w:p w14:paraId="6FA6EAD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36,21</w:t>
            </w:r>
          </w:p>
        </w:tc>
        <w:tc>
          <w:tcPr>
            <w:tcW w:w="1079" w:type="dxa"/>
            <w:tcBorders>
              <w:top w:val="nil"/>
              <w:left w:val="nil"/>
              <w:bottom w:val="single" w:sz="4" w:space="0" w:color="auto"/>
              <w:right w:val="single" w:sz="4" w:space="0" w:color="auto"/>
            </w:tcBorders>
            <w:noWrap/>
            <w:vAlign w:val="bottom"/>
            <w:hideMark/>
          </w:tcPr>
          <w:p w14:paraId="718B910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22,26</w:t>
            </w:r>
          </w:p>
        </w:tc>
        <w:tc>
          <w:tcPr>
            <w:tcW w:w="979" w:type="dxa"/>
            <w:tcBorders>
              <w:top w:val="nil"/>
              <w:left w:val="nil"/>
              <w:bottom w:val="single" w:sz="4" w:space="0" w:color="auto"/>
              <w:right w:val="single" w:sz="4" w:space="0" w:color="auto"/>
            </w:tcBorders>
            <w:noWrap/>
            <w:vAlign w:val="bottom"/>
            <w:hideMark/>
          </w:tcPr>
          <w:p w14:paraId="12483E8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4,28</w:t>
            </w:r>
          </w:p>
        </w:tc>
        <w:tc>
          <w:tcPr>
            <w:tcW w:w="1201" w:type="dxa"/>
            <w:tcBorders>
              <w:top w:val="nil"/>
              <w:left w:val="nil"/>
              <w:bottom w:val="single" w:sz="4" w:space="0" w:color="auto"/>
              <w:right w:val="single" w:sz="4" w:space="0" w:color="auto"/>
            </w:tcBorders>
            <w:vAlign w:val="center"/>
            <w:hideMark/>
          </w:tcPr>
          <w:p w14:paraId="789340F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62,74</w:t>
            </w:r>
          </w:p>
        </w:tc>
        <w:tc>
          <w:tcPr>
            <w:tcW w:w="1089" w:type="dxa"/>
            <w:gridSpan w:val="2"/>
            <w:tcBorders>
              <w:top w:val="nil"/>
              <w:left w:val="nil"/>
              <w:bottom w:val="single" w:sz="4" w:space="0" w:color="auto"/>
              <w:right w:val="single" w:sz="4" w:space="0" w:color="auto"/>
            </w:tcBorders>
            <w:noWrap/>
            <w:vAlign w:val="bottom"/>
            <w:hideMark/>
          </w:tcPr>
          <w:p w14:paraId="44303CF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36,21</w:t>
            </w:r>
          </w:p>
        </w:tc>
        <w:tc>
          <w:tcPr>
            <w:tcW w:w="993" w:type="dxa"/>
            <w:tcBorders>
              <w:top w:val="nil"/>
              <w:left w:val="nil"/>
              <w:bottom w:val="single" w:sz="4" w:space="0" w:color="auto"/>
              <w:right w:val="single" w:sz="4" w:space="0" w:color="auto"/>
            </w:tcBorders>
            <w:noWrap/>
            <w:vAlign w:val="bottom"/>
            <w:hideMark/>
          </w:tcPr>
          <w:p w14:paraId="099FA5A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22,26</w:t>
            </w:r>
          </w:p>
        </w:tc>
        <w:tc>
          <w:tcPr>
            <w:tcW w:w="1275" w:type="dxa"/>
            <w:tcBorders>
              <w:top w:val="nil"/>
              <w:left w:val="nil"/>
              <w:bottom w:val="single" w:sz="4" w:space="0" w:color="auto"/>
              <w:right w:val="single" w:sz="4" w:space="0" w:color="auto"/>
            </w:tcBorders>
            <w:noWrap/>
            <w:vAlign w:val="bottom"/>
            <w:hideMark/>
          </w:tcPr>
          <w:p w14:paraId="4CA39E6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10,92</w:t>
            </w:r>
          </w:p>
        </w:tc>
        <w:tc>
          <w:tcPr>
            <w:tcW w:w="1327" w:type="dxa"/>
            <w:tcBorders>
              <w:top w:val="nil"/>
              <w:left w:val="nil"/>
              <w:bottom w:val="single" w:sz="4" w:space="0" w:color="auto"/>
              <w:right w:val="single" w:sz="4" w:space="0" w:color="auto"/>
            </w:tcBorders>
            <w:vAlign w:val="center"/>
            <w:hideMark/>
          </w:tcPr>
          <w:p w14:paraId="3C01F83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69,38</w:t>
            </w:r>
          </w:p>
        </w:tc>
        <w:tc>
          <w:tcPr>
            <w:tcW w:w="967" w:type="dxa"/>
            <w:gridSpan w:val="2"/>
            <w:tcBorders>
              <w:top w:val="nil"/>
              <w:left w:val="nil"/>
              <w:bottom w:val="single" w:sz="4" w:space="0" w:color="auto"/>
              <w:right w:val="single" w:sz="4" w:space="0" w:color="auto"/>
            </w:tcBorders>
            <w:noWrap/>
            <w:vAlign w:val="bottom"/>
            <w:hideMark/>
          </w:tcPr>
          <w:p w14:paraId="329B50E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72,41</w:t>
            </w:r>
          </w:p>
        </w:tc>
        <w:tc>
          <w:tcPr>
            <w:tcW w:w="1250" w:type="dxa"/>
            <w:tcBorders>
              <w:top w:val="nil"/>
              <w:left w:val="nil"/>
              <w:bottom w:val="single" w:sz="4" w:space="0" w:color="auto"/>
              <w:right w:val="single" w:sz="4" w:space="0" w:color="auto"/>
            </w:tcBorders>
            <w:noWrap/>
            <w:vAlign w:val="bottom"/>
            <w:hideMark/>
          </w:tcPr>
          <w:p w14:paraId="0B7BBDB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44,51</w:t>
            </w:r>
          </w:p>
        </w:tc>
        <w:tc>
          <w:tcPr>
            <w:tcW w:w="1111" w:type="dxa"/>
            <w:tcBorders>
              <w:top w:val="nil"/>
              <w:left w:val="nil"/>
              <w:bottom w:val="single" w:sz="4" w:space="0" w:color="auto"/>
              <w:right w:val="single" w:sz="4" w:space="0" w:color="auto"/>
            </w:tcBorders>
            <w:noWrap/>
            <w:vAlign w:val="bottom"/>
            <w:hideMark/>
          </w:tcPr>
          <w:p w14:paraId="2529920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15,20</w:t>
            </w:r>
          </w:p>
        </w:tc>
        <w:tc>
          <w:tcPr>
            <w:tcW w:w="1176" w:type="dxa"/>
            <w:tcBorders>
              <w:top w:val="nil"/>
              <w:left w:val="nil"/>
              <w:bottom w:val="single" w:sz="4" w:space="0" w:color="auto"/>
              <w:right w:val="single" w:sz="4" w:space="0" w:color="auto"/>
            </w:tcBorders>
            <w:vAlign w:val="center"/>
            <w:hideMark/>
          </w:tcPr>
          <w:p w14:paraId="46D42F7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132,12</w:t>
            </w:r>
          </w:p>
        </w:tc>
      </w:tr>
      <w:tr w:rsidR="00904709" w:rsidRPr="006430EA" w14:paraId="0E9D9ECC"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616AEBC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2016</w:t>
            </w:r>
          </w:p>
        </w:tc>
        <w:tc>
          <w:tcPr>
            <w:tcW w:w="1038" w:type="dxa"/>
            <w:tcBorders>
              <w:top w:val="nil"/>
              <w:left w:val="nil"/>
              <w:bottom w:val="single" w:sz="4" w:space="0" w:color="auto"/>
              <w:right w:val="single" w:sz="4" w:space="0" w:color="auto"/>
            </w:tcBorders>
            <w:noWrap/>
            <w:vAlign w:val="bottom"/>
            <w:hideMark/>
          </w:tcPr>
          <w:p w14:paraId="5DE3483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37,75</w:t>
            </w:r>
          </w:p>
        </w:tc>
        <w:tc>
          <w:tcPr>
            <w:tcW w:w="1079" w:type="dxa"/>
            <w:tcBorders>
              <w:top w:val="nil"/>
              <w:left w:val="nil"/>
              <w:bottom w:val="single" w:sz="4" w:space="0" w:color="auto"/>
              <w:right w:val="single" w:sz="4" w:space="0" w:color="auto"/>
            </w:tcBorders>
            <w:noWrap/>
            <w:vAlign w:val="bottom"/>
            <w:hideMark/>
          </w:tcPr>
          <w:p w14:paraId="7357596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28,04</w:t>
            </w:r>
          </w:p>
        </w:tc>
        <w:tc>
          <w:tcPr>
            <w:tcW w:w="979" w:type="dxa"/>
            <w:tcBorders>
              <w:top w:val="nil"/>
              <w:left w:val="nil"/>
              <w:bottom w:val="single" w:sz="4" w:space="0" w:color="auto"/>
              <w:right w:val="single" w:sz="4" w:space="0" w:color="auto"/>
            </w:tcBorders>
            <w:noWrap/>
            <w:vAlign w:val="bottom"/>
            <w:hideMark/>
          </w:tcPr>
          <w:p w14:paraId="790D86F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4,53</w:t>
            </w:r>
          </w:p>
        </w:tc>
        <w:tc>
          <w:tcPr>
            <w:tcW w:w="1201" w:type="dxa"/>
            <w:tcBorders>
              <w:top w:val="nil"/>
              <w:left w:val="nil"/>
              <w:bottom w:val="single" w:sz="4" w:space="0" w:color="auto"/>
              <w:right w:val="single" w:sz="4" w:space="0" w:color="auto"/>
            </w:tcBorders>
            <w:vAlign w:val="center"/>
            <w:hideMark/>
          </w:tcPr>
          <w:p w14:paraId="16FF23D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70,32</w:t>
            </w:r>
          </w:p>
        </w:tc>
        <w:tc>
          <w:tcPr>
            <w:tcW w:w="1089" w:type="dxa"/>
            <w:gridSpan w:val="2"/>
            <w:tcBorders>
              <w:top w:val="nil"/>
              <w:left w:val="nil"/>
              <w:bottom w:val="single" w:sz="4" w:space="0" w:color="auto"/>
              <w:right w:val="single" w:sz="4" w:space="0" w:color="auto"/>
            </w:tcBorders>
            <w:noWrap/>
            <w:vAlign w:val="bottom"/>
            <w:hideMark/>
          </w:tcPr>
          <w:p w14:paraId="550FE4C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37,75</w:t>
            </w:r>
          </w:p>
        </w:tc>
        <w:tc>
          <w:tcPr>
            <w:tcW w:w="993" w:type="dxa"/>
            <w:tcBorders>
              <w:top w:val="nil"/>
              <w:left w:val="nil"/>
              <w:bottom w:val="single" w:sz="4" w:space="0" w:color="auto"/>
              <w:right w:val="single" w:sz="4" w:space="0" w:color="auto"/>
            </w:tcBorders>
            <w:noWrap/>
            <w:vAlign w:val="bottom"/>
            <w:hideMark/>
          </w:tcPr>
          <w:p w14:paraId="5DC853B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28,04</w:t>
            </w:r>
          </w:p>
        </w:tc>
        <w:tc>
          <w:tcPr>
            <w:tcW w:w="1275" w:type="dxa"/>
            <w:tcBorders>
              <w:top w:val="nil"/>
              <w:left w:val="nil"/>
              <w:bottom w:val="single" w:sz="4" w:space="0" w:color="auto"/>
              <w:right w:val="single" w:sz="4" w:space="0" w:color="auto"/>
            </w:tcBorders>
            <w:noWrap/>
            <w:vAlign w:val="bottom"/>
            <w:hideMark/>
          </w:tcPr>
          <w:p w14:paraId="693FD6B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8,42</w:t>
            </w:r>
          </w:p>
        </w:tc>
        <w:tc>
          <w:tcPr>
            <w:tcW w:w="1327" w:type="dxa"/>
            <w:tcBorders>
              <w:top w:val="nil"/>
              <w:left w:val="nil"/>
              <w:bottom w:val="single" w:sz="4" w:space="0" w:color="auto"/>
              <w:right w:val="single" w:sz="4" w:space="0" w:color="auto"/>
            </w:tcBorders>
            <w:vAlign w:val="center"/>
            <w:hideMark/>
          </w:tcPr>
          <w:p w14:paraId="511CF86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74,21</w:t>
            </w:r>
          </w:p>
        </w:tc>
        <w:tc>
          <w:tcPr>
            <w:tcW w:w="967" w:type="dxa"/>
            <w:gridSpan w:val="2"/>
            <w:tcBorders>
              <w:top w:val="nil"/>
              <w:left w:val="nil"/>
              <w:bottom w:val="single" w:sz="4" w:space="0" w:color="auto"/>
              <w:right w:val="single" w:sz="4" w:space="0" w:color="auto"/>
            </w:tcBorders>
            <w:noWrap/>
            <w:vAlign w:val="bottom"/>
            <w:hideMark/>
          </w:tcPr>
          <w:p w14:paraId="5F72840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75,50</w:t>
            </w:r>
          </w:p>
        </w:tc>
        <w:tc>
          <w:tcPr>
            <w:tcW w:w="1250" w:type="dxa"/>
            <w:tcBorders>
              <w:top w:val="nil"/>
              <w:left w:val="nil"/>
              <w:bottom w:val="single" w:sz="4" w:space="0" w:color="auto"/>
              <w:right w:val="single" w:sz="4" w:space="0" w:color="auto"/>
            </w:tcBorders>
            <w:noWrap/>
            <w:vAlign w:val="bottom"/>
            <w:hideMark/>
          </w:tcPr>
          <w:p w14:paraId="473FB6A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56,08</w:t>
            </w:r>
          </w:p>
        </w:tc>
        <w:tc>
          <w:tcPr>
            <w:tcW w:w="1111" w:type="dxa"/>
            <w:tcBorders>
              <w:top w:val="nil"/>
              <w:left w:val="nil"/>
              <w:bottom w:val="single" w:sz="4" w:space="0" w:color="auto"/>
              <w:right w:val="single" w:sz="4" w:space="0" w:color="auto"/>
            </w:tcBorders>
            <w:noWrap/>
            <w:vAlign w:val="bottom"/>
            <w:hideMark/>
          </w:tcPr>
          <w:p w14:paraId="724E90F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12,95</w:t>
            </w:r>
          </w:p>
        </w:tc>
        <w:tc>
          <w:tcPr>
            <w:tcW w:w="1176" w:type="dxa"/>
            <w:tcBorders>
              <w:top w:val="nil"/>
              <w:left w:val="nil"/>
              <w:bottom w:val="single" w:sz="4" w:space="0" w:color="auto"/>
              <w:right w:val="single" w:sz="4" w:space="0" w:color="auto"/>
            </w:tcBorders>
            <w:vAlign w:val="center"/>
            <w:hideMark/>
          </w:tcPr>
          <w:p w14:paraId="4B1C0FF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144,53</w:t>
            </w:r>
          </w:p>
        </w:tc>
      </w:tr>
      <w:tr w:rsidR="00904709" w:rsidRPr="006430EA" w14:paraId="588F3699"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4FE1BBB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2017</w:t>
            </w:r>
          </w:p>
        </w:tc>
        <w:tc>
          <w:tcPr>
            <w:tcW w:w="1038" w:type="dxa"/>
            <w:tcBorders>
              <w:top w:val="nil"/>
              <w:left w:val="nil"/>
              <w:bottom w:val="single" w:sz="4" w:space="0" w:color="auto"/>
              <w:right w:val="single" w:sz="4" w:space="0" w:color="auto"/>
            </w:tcBorders>
            <w:noWrap/>
            <w:vAlign w:val="bottom"/>
            <w:hideMark/>
          </w:tcPr>
          <w:p w14:paraId="21EA6F5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29,41</w:t>
            </w:r>
          </w:p>
        </w:tc>
        <w:tc>
          <w:tcPr>
            <w:tcW w:w="1079" w:type="dxa"/>
            <w:tcBorders>
              <w:top w:val="nil"/>
              <w:left w:val="nil"/>
              <w:bottom w:val="single" w:sz="4" w:space="0" w:color="auto"/>
              <w:right w:val="single" w:sz="4" w:space="0" w:color="auto"/>
            </w:tcBorders>
            <w:noWrap/>
            <w:vAlign w:val="bottom"/>
            <w:hideMark/>
          </w:tcPr>
          <w:p w14:paraId="39BEF22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34,26</w:t>
            </w:r>
          </w:p>
        </w:tc>
        <w:tc>
          <w:tcPr>
            <w:tcW w:w="979" w:type="dxa"/>
            <w:tcBorders>
              <w:top w:val="nil"/>
              <w:left w:val="nil"/>
              <w:bottom w:val="single" w:sz="4" w:space="0" w:color="auto"/>
              <w:right w:val="single" w:sz="4" w:space="0" w:color="auto"/>
            </w:tcBorders>
            <w:noWrap/>
            <w:vAlign w:val="bottom"/>
            <w:hideMark/>
          </w:tcPr>
          <w:p w14:paraId="6D5C211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3,71</w:t>
            </w:r>
          </w:p>
        </w:tc>
        <w:tc>
          <w:tcPr>
            <w:tcW w:w="1201" w:type="dxa"/>
            <w:tcBorders>
              <w:top w:val="nil"/>
              <w:left w:val="nil"/>
              <w:bottom w:val="single" w:sz="4" w:space="0" w:color="auto"/>
              <w:right w:val="single" w:sz="4" w:space="0" w:color="auto"/>
            </w:tcBorders>
            <w:vAlign w:val="center"/>
            <w:hideMark/>
          </w:tcPr>
          <w:p w14:paraId="026F9E7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67,39</w:t>
            </w:r>
          </w:p>
        </w:tc>
        <w:tc>
          <w:tcPr>
            <w:tcW w:w="1089" w:type="dxa"/>
            <w:gridSpan w:val="2"/>
            <w:tcBorders>
              <w:top w:val="nil"/>
              <w:left w:val="nil"/>
              <w:bottom w:val="single" w:sz="4" w:space="0" w:color="auto"/>
              <w:right w:val="single" w:sz="4" w:space="0" w:color="auto"/>
            </w:tcBorders>
            <w:noWrap/>
            <w:vAlign w:val="bottom"/>
            <w:hideMark/>
          </w:tcPr>
          <w:p w14:paraId="0F2027E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29,41</w:t>
            </w:r>
          </w:p>
        </w:tc>
        <w:tc>
          <w:tcPr>
            <w:tcW w:w="993" w:type="dxa"/>
            <w:tcBorders>
              <w:top w:val="nil"/>
              <w:left w:val="nil"/>
              <w:bottom w:val="single" w:sz="4" w:space="0" w:color="auto"/>
              <w:right w:val="single" w:sz="4" w:space="0" w:color="auto"/>
            </w:tcBorders>
            <w:noWrap/>
            <w:vAlign w:val="bottom"/>
            <w:hideMark/>
          </w:tcPr>
          <w:p w14:paraId="5FA7CAD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34,26</w:t>
            </w:r>
          </w:p>
        </w:tc>
        <w:tc>
          <w:tcPr>
            <w:tcW w:w="1275" w:type="dxa"/>
            <w:tcBorders>
              <w:top w:val="nil"/>
              <w:left w:val="nil"/>
              <w:bottom w:val="single" w:sz="4" w:space="0" w:color="auto"/>
              <w:right w:val="single" w:sz="4" w:space="0" w:color="auto"/>
            </w:tcBorders>
            <w:noWrap/>
            <w:vAlign w:val="bottom"/>
            <w:hideMark/>
          </w:tcPr>
          <w:p w14:paraId="431DAFF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10,05</w:t>
            </w:r>
          </w:p>
        </w:tc>
        <w:tc>
          <w:tcPr>
            <w:tcW w:w="1327" w:type="dxa"/>
            <w:tcBorders>
              <w:top w:val="nil"/>
              <w:left w:val="nil"/>
              <w:bottom w:val="single" w:sz="4" w:space="0" w:color="auto"/>
              <w:right w:val="single" w:sz="4" w:space="0" w:color="auto"/>
            </w:tcBorders>
            <w:vAlign w:val="center"/>
            <w:hideMark/>
          </w:tcPr>
          <w:p w14:paraId="64F454F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73,72</w:t>
            </w:r>
          </w:p>
        </w:tc>
        <w:tc>
          <w:tcPr>
            <w:tcW w:w="967" w:type="dxa"/>
            <w:gridSpan w:val="2"/>
            <w:tcBorders>
              <w:top w:val="nil"/>
              <w:left w:val="nil"/>
              <w:bottom w:val="single" w:sz="4" w:space="0" w:color="auto"/>
              <w:right w:val="single" w:sz="4" w:space="0" w:color="auto"/>
            </w:tcBorders>
            <w:noWrap/>
            <w:vAlign w:val="bottom"/>
            <w:hideMark/>
          </w:tcPr>
          <w:p w14:paraId="0C6D924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58,83</w:t>
            </w:r>
          </w:p>
        </w:tc>
        <w:tc>
          <w:tcPr>
            <w:tcW w:w="1250" w:type="dxa"/>
            <w:tcBorders>
              <w:top w:val="nil"/>
              <w:left w:val="nil"/>
              <w:bottom w:val="single" w:sz="4" w:space="0" w:color="auto"/>
              <w:right w:val="single" w:sz="4" w:space="0" w:color="auto"/>
            </w:tcBorders>
            <w:noWrap/>
            <w:vAlign w:val="bottom"/>
            <w:hideMark/>
          </w:tcPr>
          <w:p w14:paraId="629281B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68,52</w:t>
            </w:r>
          </w:p>
        </w:tc>
        <w:tc>
          <w:tcPr>
            <w:tcW w:w="1111" w:type="dxa"/>
            <w:tcBorders>
              <w:top w:val="nil"/>
              <w:left w:val="nil"/>
              <w:bottom w:val="single" w:sz="4" w:space="0" w:color="auto"/>
              <w:right w:val="single" w:sz="4" w:space="0" w:color="auto"/>
            </w:tcBorders>
            <w:noWrap/>
            <w:vAlign w:val="bottom"/>
            <w:hideMark/>
          </w:tcPr>
          <w:p w14:paraId="298833D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13,76</w:t>
            </w:r>
          </w:p>
        </w:tc>
        <w:tc>
          <w:tcPr>
            <w:tcW w:w="1176" w:type="dxa"/>
            <w:tcBorders>
              <w:top w:val="nil"/>
              <w:left w:val="nil"/>
              <w:bottom w:val="single" w:sz="4" w:space="0" w:color="auto"/>
              <w:right w:val="single" w:sz="4" w:space="0" w:color="auto"/>
            </w:tcBorders>
            <w:vAlign w:val="center"/>
            <w:hideMark/>
          </w:tcPr>
          <w:p w14:paraId="69395C1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141,11</w:t>
            </w:r>
          </w:p>
        </w:tc>
      </w:tr>
      <w:tr w:rsidR="00904709" w:rsidRPr="006430EA" w14:paraId="6878FD19"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092E6DA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2018</w:t>
            </w:r>
          </w:p>
        </w:tc>
        <w:tc>
          <w:tcPr>
            <w:tcW w:w="1038" w:type="dxa"/>
            <w:tcBorders>
              <w:top w:val="nil"/>
              <w:left w:val="nil"/>
              <w:bottom w:val="single" w:sz="4" w:space="0" w:color="auto"/>
              <w:right w:val="single" w:sz="4" w:space="0" w:color="auto"/>
            </w:tcBorders>
            <w:noWrap/>
            <w:vAlign w:val="bottom"/>
            <w:hideMark/>
          </w:tcPr>
          <w:p w14:paraId="5531E3A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16,69</w:t>
            </w:r>
          </w:p>
        </w:tc>
        <w:tc>
          <w:tcPr>
            <w:tcW w:w="1079" w:type="dxa"/>
            <w:tcBorders>
              <w:top w:val="nil"/>
              <w:left w:val="nil"/>
              <w:bottom w:val="single" w:sz="4" w:space="0" w:color="auto"/>
              <w:right w:val="single" w:sz="4" w:space="0" w:color="auto"/>
            </w:tcBorders>
            <w:noWrap/>
            <w:vAlign w:val="bottom"/>
            <w:hideMark/>
          </w:tcPr>
          <w:p w14:paraId="75F86AA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25,41</w:t>
            </w:r>
          </w:p>
        </w:tc>
        <w:tc>
          <w:tcPr>
            <w:tcW w:w="979" w:type="dxa"/>
            <w:tcBorders>
              <w:top w:val="nil"/>
              <w:left w:val="nil"/>
              <w:bottom w:val="single" w:sz="4" w:space="0" w:color="auto"/>
              <w:right w:val="single" w:sz="4" w:space="0" w:color="auto"/>
            </w:tcBorders>
            <w:noWrap/>
            <w:vAlign w:val="bottom"/>
            <w:hideMark/>
          </w:tcPr>
          <w:p w14:paraId="56200D0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2,36</w:t>
            </w:r>
          </w:p>
        </w:tc>
        <w:tc>
          <w:tcPr>
            <w:tcW w:w="1201" w:type="dxa"/>
            <w:tcBorders>
              <w:top w:val="nil"/>
              <w:left w:val="nil"/>
              <w:bottom w:val="single" w:sz="4" w:space="0" w:color="auto"/>
              <w:right w:val="single" w:sz="4" w:space="0" w:color="auto"/>
            </w:tcBorders>
            <w:vAlign w:val="center"/>
            <w:hideMark/>
          </w:tcPr>
          <w:p w14:paraId="26A01A9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44,46</w:t>
            </w:r>
          </w:p>
        </w:tc>
        <w:tc>
          <w:tcPr>
            <w:tcW w:w="1089" w:type="dxa"/>
            <w:gridSpan w:val="2"/>
            <w:tcBorders>
              <w:top w:val="nil"/>
              <w:left w:val="nil"/>
              <w:bottom w:val="single" w:sz="4" w:space="0" w:color="auto"/>
              <w:right w:val="single" w:sz="4" w:space="0" w:color="auto"/>
            </w:tcBorders>
            <w:noWrap/>
            <w:vAlign w:val="bottom"/>
            <w:hideMark/>
          </w:tcPr>
          <w:p w14:paraId="6729A97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16,69</w:t>
            </w:r>
          </w:p>
        </w:tc>
        <w:tc>
          <w:tcPr>
            <w:tcW w:w="993" w:type="dxa"/>
            <w:tcBorders>
              <w:top w:val="nil"/>
              <w:left w:val="nil"/>
              <w:bottom w:val="single" w:sz="4" w:space="0" w:color="auto"/>
              <w:right w:val="single" w:sz="4" w:space="0" w:color="auto"/>
            </w:tcBorders>
            <w:noWrap/>
            <w:vAlign w:val="bottom"/>
            <w:hideMark/>
          </w:tcPr>
          <w:p w14:paraId="4456149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25,41</w:t>
            </w:r>
          </w:p>
        </w:tc>
        <w:tc>
          <w:tcPr>
            <w:tcW w:w="1275" w:type="dxa"/>
            <w:tcBorders>
              <w:top w:val="nil"/>
              <w:left w:val="nil"/>
              <w:bottom w:val="single" w:sz="4" w:space="0" w:color="auto"/>
              <w:right w:val="single" w:sz="4" w:space="0" w:color="auto"/>
            </w:tcBorders>
            <w:noWrap/>
            <w:vAlign w:val="bottom"/>
            <w:hideMark/>
          </w:tcPr>
          <w:p w14:paraId="355FC13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6,48</w:t>
            </w:r>
          </w:p>
        </w:tc>
        <w:tc>
          <w:tcPr>
            <w:tcW w:w="1327" w:type="dxa"/>
            <w:tcBorders>
              <w:top w:val="nil"/>
              <w:left w:val="nil"/>
              <w:bottom w:val="single" w:sz="4" w:space="0" w:color="auto"/>
              <w:right w:val="single" w:sz="4" w:space="0" w:color="auto"/>
            </w:tcBorders>
            <w:vAlign w:val="center"/>
            <w:hideMark/>
          </w:tcPr>
          <w:p w14:paraId="358419D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48,58</w:t>
            </w:r>
          </w:p>
        </w:tc>
        <w:tc>
          <w:tcPr>
            <w:tcW w:w="967" w:type="dxa"/>
            <w:gridSpan w:val="2"/>
            <w:tcBorders>
              <w:top w:val="nil"/>
              <w:left w:val="nil"/>
              <w:bottom w:val="single" w:sz="4" w:space="0" w:color="auto"/>
              <w:right w:val="single" w:sz="4" w:space="0" w:color="auto"/>
            </w:tcBorders>
            <w:noWrap/>
            <w:vAlign w:val="bottom"/>
            <w:hideMark/>
          </w:tcPr>
          <w:p w14:paraId="27E05C8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33,37</w:t>
            </w:r>
          </w:p>
        </w:tc>
        <w:tc>
          <w:tcPr>
            <w:tcW w:w="1250" w:type="dxa"/>
            <w:tcBorders>
              <w:top w:val="nil"/>
              <w:left w:val="nil"/>
              <w:bottom w:val="single" w:sz="4" w:space="0" w:color="auto"/>
              <w:right w:val="single" w:sz="4" w:space="0" w:color="auto"/>
            </w:tcBorders>
            <w:noWrap/>
            <w:vAlign w:val="bottom"/>
            <w:hideMark/>
          </w:tcPr>
          <w:p w14:paraId="654A271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50,82</w:t>
            </w:r>
          </w:p>
        </w:tc>
        <w:tc>
          <w:tcPr>
            <w:tcW w:w="1111" w:type="dxa"/>
            <w:tcBorders>
              <w:top w:val="nil"/>
              <w:left w:val="nil"/>
              <w:bottom w:val="single" w:sz="4" w:space="0" w:color="auto"/>
              <w:right w:val="single" w:sz="4" w:space="0" w:color="auto"/>
            </w:tcBorders>
            <w:noWrap/>
            <w:vAlign w:val="bottom"/>
            <w:hideMark/>
          </w:tcPr>
          <w:p w14:paraId="68CB8AB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8,84</w:t>
            </w:r>
          </w:p>
        </w:tc>
        <w:tc>
          <w:tcPr>
            <w:tcW w:w="1176" w:type="dxa"/>
            <w:tcBorders>
              <w:top w:val="nil"/>
              <w:left w:val="nil"/>
              <w:bottom w:val="single" w:sz="4" w:space="0" w:color="auto"/>
              <w:right w:val="single" w:sz="4" w:space="0" w:color="auto"/>
            </w:tcBorders>
            <w:vAlign w:val="center"/>
            <w:hideMark/>
          </w:tcPr>
          <w:p w14:paraId="63950F4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93,03</w:t>
            </w:r>
          </w:p>
        </w:tc>
      </w:tr>
      <w:tr w:rsidR="00904709" w:rsidRPr="006430EA" w14:paraId="2A1E4B6B"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0492992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2019</w:t>
            </w:r>
          </w:p>
        </w:tc>
        <w:tc>
          <w:tcPr>
            <w:tcW w:w="1038" w:type="dxa"/>
            <w:tcBorders>
              <w:top w:val="nil"/>
              <w:left w:val="nil"/>
              <w:bottom w:val="single" w:sz="4" w:space="0" w:color="auto"/>
              <w:right w:val="single" w:sz="4" w:space="0" w:color="auto"/>
            </w:tcBorders>
            <w:noWrap/>
            <w:vAlign w:val="bottom"/>
            <w:hideMark/>
          </w:tcPr>
          <w:p w14:paraId="070A245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6,44</w:t>
            </w:r>
          </w:p>
        </w:tc>
        <w:tc>
          <w:tcPr>
            <w:tcW w:w="1079" w:type="dxa"/>
            <w:tcBorders>
              <w:top w:val="nil"/>
              <w:left w:val="nil"/>
              <w:bottom w:val="single" w:sz="4" w:space="0" w:color="auto"/>
              <w:right w:val="single" w:sz="4" w:space="0" w:color="auto"/>
            </w:tcBorders>
            <w:noWrap/>
            <w:vAlign w:val="bottom"/>
            <w:hideMark/>
          </w:tcPr>
          <w:p w14:paraId="2B20054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6,26</w:t>
            </w:r>
          </w:p>
        </w:tc>
        <w:tc>
          <w:tcPr>
            <w:tcW w:w="979" w:type="dxa"/>
            <w:tcBorders>
              <w:top w:val="nil"/>
              <w:left w:val="nil"/>
              <w:bottom w:val="single" w:sz="4" w:space="0" w:color="auto"/>
              <w:right w:val="single" w:sz="4" w:space="0" w:color="auto"/>
            </w:tcBorders>
            <w:noWrap/>
            <w:vAlign w:val="bottom"/>
            <w:hideMark/>
          </w:tcPr>
          <w:p w14:paraId="0677441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1,10</w:t>
            </w:r>
          </w:p>
        </w:tc>
        <w:tc>
          <w:tcPr>
            <w:tcW w:w="1201" w:type="dxa"/>
            <w:tcBorders>
              <w:top w:val="nil"/>
              <w:left w:val="nil"/>
              <w:bottom w:val="single" w:sz="4" w:space="0" w:color="auto"/>
              <w:right w:val="single" w:sz="4" w:space="0" w:color="auto"/>
            </w:tcBorders>
            <w:vAlign w:val="center"/>
            <w:hideMark/>
          </w:tcPr>
          <w:p w14:paraId="287B20C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13,97</w:t>
            </w:r>
          </w:p>
        </w:tc>
        <w:tc>
          <w:tcPr>
            <w:tcW w:w="1089" w:type="dxa"/>
            <w:gridSpan w:val="2"/>
            <w:tcBorders>
              <w:top w:val="nil"/>
              <w:left w:val="nil"/>
              <w:bottom w:val="single" w:sz="4" w:space="0" w:color="auto"/>
              <w:right w:val="single" w:sz="4" w:space="0" w:color="auto"/>
            </w:tcBorders>
            <w:noWrap/>
            <w:vAlign w:val="bottom"/>
            <w:hideMark/>
          </w:tcPr>
          <w:p w14:paraId="16A4917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6,44</w:t>
            </w:r>
          </w:p>
        </w:tc>
        <w:tc>
          <w:tcPr>
            <w:tcW w:w="993" w:type="dxa"/>
            <w:tcBorders>
              <w:top w:val="nil"/>
              <w:left w:val="nil"/>
              <w:bottom w:val="single" w:sz="4" w:space="0" w:color="auto"/>
              <w:right w:val="single" w:sz="4" w:space="0" w:color="auto"/>
            </w:tcBorders>
            <w:noWrap/>
            <w:vAlign w:val="bottom"/>
            <w:hideMark/>
          </w:tcPr>
          <w:p w14:paraId="426E282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6,26</w:t>
            </w:r>
          </w:p>
        </w:tc>
        <w:tc>
          <w:tcPr>
            <w:tcW w:w="1275" w:type="dxa"/>
            <w:tcBorders>
              <w:top w:val="nil"/>
              <w:left w:val="nil"/>
              <w:bottom w:val="single" w:sz="4" w:space="0" w:color="auto"/>
              <w:right w:val="single" w:sz="4" w:space="0" w:color="auto"/>
            </w:tcBorders>
            <w:noWrap/>
            <w:vAlign w:val="bottom"/>
            <w:hideMark/>
          </w:tcPr>
          <w:p w14:paraId="17080FE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2,32</w:t>
            </w:r>
          </w:p>
        </w:tc>
        <w:tc>
          <w:tcPr>
            <w:tcW w:w="1327" w:type="dxa"/>
            <w:tcBorders>
              <w:top w:val="nil"/>
              <w:left w:val="nil"/>
              <w:bottom w:val="single" w:sz="4" w:space="0" w:color="auto"/>
              <w:right w:val="single" w:sz="4" w:space="0" w:color="auto"/>
            </w:tcBorders>
            <w:vAlign w:val="center"/>
            <w:hideMark/>
          </w:tcPr>
          <w:p w14:paraId="2B57DF2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15,19</w:t>
            </w:r>
          </w:p>
        </w:tc>
        <w:tc>
          <w:tcPr>
            <w:tcW w:w="967" w:type="dxa"/>
            <w:gridSpan w:val="2"/>
            <w:tcBorders>
              <w:top w:val="nil"/>
              <w:left w:val="nil"/>
              <w:bottom w:val="single" w:sz="4" w:space="0" w:color="auto"/>
              <w:right w:val="single" w:sz="4" w:space="0" w:color="auto"/>
            </w:tcBorders>
            <w:noWrap/>
            <w:vAlign w:val="bottom"/>
            <w:hideMark/>
          </w:tcPr>
          <w:p w14:paraId="6519804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12,89</w:t>
            </w:r>
          </w:p>
        </w:tc>
        <w:tc>
          <w:tcPr>
            <w:tcW w:w="1250" w:type="dxa"/>
            <w:tcBorders>
              <w:top w:val="nil"/>
              <w:left w:val="nil"/>
              <w:bottom w:val="single" w:sz="4" w:space="0" w:color="auto"/>
              <w:right w:val="single" w:sz="4" w:space="0" w:color="auto"/>
            </w:tcBorders>
            <w:noWrap/>
            <w:vAlign w:val="bottom"/>
            <w:hideMark/>
          </w:tcPr>
          <w:p w14:paraId="1E5B608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12,52</w:t>
            </w:r>
          </w:p>
        </w:tc>
        <w:tc>
          <w:tcPr>
            <w:tcW w:w="1111" w:type="dxa"/>
            <w:tcBorders>
              <w:top w:val="nil"/>
              <w:left w:val="nil"/>
              <w:bottom w:val="single" w:sz="4" w:space="0" w:color="auto"/>
              <w:right w:val="single" w:sz="4" w:space="0" w:color="auto"/>
            </w:tcBorders>
            <w:noWrap/>
            <w:vAlign w:val="bottom"/>
            <w:hideMark/>
          </w:tcPr>
          <w:p w14:paraId="329356D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3,41</w:t>
            </w:r>
          </w:p>
        </w:tc>
        <w:tc>
          <w:tcPr>
            <w:tcW w:w="1176" w:type="dxa"/>
            <w:tcBorders>
              <w:top w:val="nil"/>
              <w:left w:val="nil"/>
              <w:bottom w:val="single" w:sz="4" w:space="0" w:color="auto"/>
              <w:right w:val="single" w:sz="4" w:space="0" w:color="auto"/>
            </w:tcBorders>
            <w:vAlign w:val="center"/>
            <w:hideMark/>
          </w:tcPr>
          <w:p w14:paraId="59764AB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29,17</w:t>
            </w:r>
          </w:p>
        </w:tc>
      </w:tr>
      <w:tr w:rsidR="00904709" w:rsidRPr="006430EA" w14:paraId="12CC864D"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67400D0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2020</w:t>
            </w:r>
          </w:p>
        </w:tc>
        <w:tc>
          <w:tcPr>
            <w:tcW w:w="1038" w:type="dxa"/>
            <w:tcBorders>
              <w:top w:val="nil"/>
              <w:left w:val="nil"/>
              <w:bottom w:val="single" w:sz="4" w:space="0" w:color="auto"/>
              <w:right w:val="single" w:sz="4" w:space="0" w:color="auto"/>
            </w:tcBorders>
            <w:noWrap/>
            <w:vAlign w:val="bottom"/>
            <w:hideMark/>
          </w:tcPr>
          <w:p w14:paraId="1F40B87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24,13</w:t>
            </w:r>
          </w:p>
        </w:tc>
        <w:tc>
          <w:tcPr>
            <w:tcW w:w="1079" w:type="dxa"/>
            <w:tcBorders>
              <w:top w:val="nil"/>
              <w:left w:val="nil"/>
              <w:bottom w:val="single" w:sz="4" w:space="0" w:color="auto"/>
              <w:right w:val="single" w:sz="4" w:space="0" w:color="auto"/>
            </w:tcBorders>
            <w:noWrap/>
            <w:vAlign w:val="bottom"/>
            <w:hideMark/>
          </w:tcPr>
          <w:p w14:paraId="10F238F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28,40</w:t>
            </w:r>
          </w:p>
        </w:tc>
        <w:tc>
          <w:tcPr>
            <w:tcW w:w="979" w:type="dxa"/>
            <w:tcBorders>
              <w:top w:val="nil"/>
              <w:left w:val="nil"/>
              <w:bottom w:val="single" w:sz="4" w:space="0" w:color="auto"/>
              <w:right w:val="single" w:sz="4" w:space="0" w:color="auto"/>
            </w:tcBorders>
            <w:noWrap/>
            <w:vAlign w:val="bottom"/>
            <w:hideMark/>
          </w:tcPr>
          <w:p w14:paraId="377F9C3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2,72</w:t>
            </w:r>
          </w:p>
        </w:tc>
        <w:tc>
          <w:tcPr>
            <w:tcW w:w="1201" w:type="dxa"/>
            <w:tcBorders>
              <w:top w:val="nil"/>
              <w:left w:val="nil"/>
              <w:bottom w:val="single" w:sz="4" w:space="0" w:color="auto"/>
              <w:right w:val="single" w:sz="4" w:space="0" w:color="auto"/>
            </w:tcBorders>
            <w:vAlign w:val="center"/>
            <w:hideMark/>
          </w:tcPr>
          <w:p w14:paraId="3597DC7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55,25</w:t>
            </w:r>
          </w:p>
        </w:tc>
        <w:tc>
          <w:tcPr>
            <w:tcW w:w="1089" w:type="dxa"/>
            <w:gridSpan w:val="2"/>
            <w:tcBorders>
              <w:top w:val="nil"/>
              <w:left w:val="nil"/>
              <w:bottom w:val="single" w:sz="4" w:space="0" w:color="auto"/>
              <w:right w:val="single" w:sz="4" w:space="0" w:color="auto"/>
            </w:tcBorders>
            <w:noWrap/>
            <w:vAlign w:val="bottom"/>
            <w:hideMark/>
          </w:tcPr>
          <w:p w14:paraId="1DF0B05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24,13</w:t>
            </w:r>
          </w:p>
        </w:tc>
        <w:tc>
          <w:tcPr>
            <w:tcW w:w="993" w:type="dxa"/>
            <w:tcBorders>
              <w:top w:val="nil"/>
              <w:left w:val="nil"/>
              <w:bottom w:val="single" w:sz="4" w:space="0" w:color="auto"/>
              <w:right w:val="single" w:sz="4" w:space="0" w:color="auto"/>
            </w:tcBorders>
            <w:noWrap/>
            <w:vAlign w:val="bottom"/>
            <w:hideMark/>
          </w:tcPr>
          <w:p w14:paraId="35A9086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28,40</w:t>
            </w:r>
          </w:p>
        </w:tc>
        <w:tc>
          <w:tcPr>
            <w:tcW w:w="1275" w:type="dxa"/>
            <w:tcBorders>
              <w:top w:val="nil"/>
              <w:left w:val="nil"/>
              <w:bottom w:val="single" w:sz="4" w:space="0" w:color="auto"/>
              <w:right w:val="single" w:sz="4" w:space="0" w:color="auto"/>
            </w:tcBorders>
            <w:noWrap/>
            <w:vAlign w:val="bottom"/>
            <w:hideMark/>
          </w:tcPr>
          <w:p w14:paraId="30B3AC8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7,83</w:t>
            </w:r>
          </w:p>
        </w:tc>
        <w:tc>
          <w:tcPr>
            <w:tcW w:w="1327" w:type="dxa"/>
            <w:tcBorders>
              <w:top w:val="nil"/>
              <w:left w:val="nil"/>
              <w:bottom w:val="single" w:sz="4" w:space="0" w:color="auto"/>
              <w:right w:val="single" w:sz="4" w:space="0" w:color="auto"/>
            </w:tcBorders>
            <w:vAlign w:val="center"/>
            <w:hideMark/>
          </w:tcPr>
          <w:p w14:paraId="77EFC7A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60,36</w:t>
            </w:r>
          </w:p>
        </w:tc>
        <w:tc>
          <w:tcPr>
            <w:tcW w:w="967" w:type="dxa"/>
            <w:gridSpan w:val="2"/>
            <w:tcBorders>
              <w:top w:val="nil"/>
              <w:left w:val="nil"/>
              <w:bottom w:val="single" w:sz="4" w:space="0" w:color="auto"/>
              <w:right w:val="single" w:sz="4" w:space="0" w:color="auto"/>
            </w:tcBorders>
            <w:noWrap/>
            <w:vAlign w:val="bottom"/>
            <w:hideMark/>
          </w:tcPr>
          <w:p w14:paraId="44CC675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48,26</w:t>
            </w:r>
          </w:p>
        </w:tc>
        <w:tc>
          <w:tcPr>
            <w:tcW w:w="1250" w:type="dxa"/>
            <w:tcBorders>
              <w:top w:val="nil"/>
              <w:left w:val="nil"/>
              <w:bottom w:val="single" w:sz="4" w:space="0" w:color="auto"/>
              <w:right w:val="single" w:sz="4" w:space="0" w:color="auto"/>
            </w:tcBorders>
            <w:noWrap/>
            <w:vAlign w:val="bottom"/>
            <w:hideMark/>
          </w:tcPr>
          <w:p w14:paraId="70A4EAF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56,79</w:t>
            </w:r>
          </w:p>
        </w:tc>
        <w:tc>
          <w:tcPr>
            <w:tcW w:w="1111" w:type="dxa"/>
            <w:tcBorders>
              <w:top w:val="nil"/>
              <w:left w:val="nil"/>
              <w:bottom w:val="single" w:sz="4" w:space="0" w:color="auto"/>
              <w:right w:val="single" w:sz="4" w:space="0" w:color="auto"/>
            </w:tcBorders>
            <w:noWrap/>
            <w:vAlign w:val="bottom"/>
            <w:hideMark/>
          </w:tcPr>
          <w:p w14:paraId="01D5E8D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10,55</w:t>
            </w:r>
          </w:p>
        </w:tc>
        <w:tc>
          <w:tcPr>
            <w:tcW w:w="1176" w:type="dxa"/>
            <w:tcBorders>
              <w:top w:val="nil"/>
              <w:left w:val="nil"/>
              <w:bottom w:val="single" w:sz="4" w:space="0" w:color="auto"/>
              <w:right w:val="single" w:sz="4" w:space="0" w:color="auto"/>
            </w:tcBorders>
            <w:vAlign w:val="center"/>
            <w:hideMark/>
          </w:tcPr>
          <w:p w14:paraId="0651FFB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115,61</w:t>
            </w:r>
          </w:p>
        </w:tc>
      </w:tr>
      <w:tr w:rsidR="00904709" w:rsidRPr="006430EA" w14:paraId="5234722F"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4B48E88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2021</w:t>
            </w:r>
          </w:p>
        </w:tc>
        <w:tc>
          <w:tcPr>
            <w:tcW w:w="1038" w:type="dxa"/>
            <w:tcBorders>
              <w:top w:val="nil"/>
              <w:left w:val="nil"/>
              <w:bottom w:val="single" w:sz="4" w:space="0" w:color="auto"/>
              <w:right w:val="single" w:sz="4" w:space="0" w:color="auto"/>
            </w:tcBorders>
            <w:noWrap/>
            <w:vAlign w:val="bottom"/>
            <w:hideMark/>
          </w:tcPr>
          <w:p w14:paraId="470CF58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65,22</w:t>
            </w:r>
          </w:p>
        </w:tc>
        <w:tc>
          <w:tcPr>
            <w:tcW w:w="1079" w:type="dxa"/>
            <w:tcBorders>
              <w:top w:val="nil"/>
              <w:left w:val="nil"/>
              <w:bottom w:val="single" w:sz="4" w:space="0" w:color="auto"/>
              <w:right w:val="single" w:sz="4" w:space="0" w:color="auto"/>
            </w:tcBorders>
            <w:noWrap/>
            <w:vAlign w:val="bottom"/>
            <w:hideMark/>
          </w:tcPr>
          <w:p w14:paraId="5733BE2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49,17</w:t>
            </w:r>
          </w:p>
        </w:tc>
        <w:tc>
          <w:tcPr>
            <w:tcW w:w="979" w:type="dxa"/>
            <w:tcBorders>
              <w:top w:val="nil"/>
              <w:left w:val="nil"/>
              <w:bottom w:val="single" w:sz="4" w:space="0" w:color="auto"/>
              <w:right w:val="single" w:sz="4" w:space="0" w:color="auto"/>
            </w:tcBorders>
            <w:noWrap/>
            <w:vAlign w:val="bottom"/>
            <w:hideMark/>
          </w:tcPr>
          <w:p w14:paraId="7712483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11,10</w:t>
            </w:r>
          </w:p>
        </w:tc>
        <w:tc>
          <w:tcPr>
            <w:tcW w:w="1201" w:type="dxa"/>
            <w:tcBorders>
              <w:top w:val="nil"/>
              <w:left w:val="nil"/>
              <w:bottom w:val="single" w:sz="4" w:space="0" w:color="auto"/>
              <w:right w:val="single" w:sz="4" w:space="0" w:color="auto"/>
            </w:tcBorders>
            <w:vAlign w:val="center"/>
            <w:hideMark/>
          </w:tcPr>
          <w:p w14:paraId="1369375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125,49</w:t>
            </w:r>
          </w:p>
        </w:tc>
        <w:tc>
          <w:tcPr>
            <w:tcW w:w="1089" w:type="dxa"/>
            <w:gridSpan w:val="2"/>
            <w:tcBorders>
              <w:top w:val="nil"/>
              <w:left w:val="nil"/>
              <w:bottom w:val="single" w:sz="4" w:space="0" w:color="auto"/>
              <w:right w:val="single" w:sz="4" w:space="0" w:color="auto"/>
            </w:tcBorders>
            <w:noWrap/>
            <w:vAlign w:val="bottom"/>
            <w:hideMark/>
          </w:tcPr>
          <w:p w14:paraId="467D5BB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65,22</w:t>
            </w:r>
          </w:p>
        </w:tc>
        <w:tc>
          <w:tcPr>
            <w:tcW w:w="993" w:type="dxa"/>
            <w:tcBorders>
              <w:top w:val="nil"/>
              <w:left w:val="nil"/>
              <w:bottom w:val="single" w:sz="4" w:space="0" w:color="auto"/>
              <w:right w:val="single" w:sz="4" w:space="0" w:color="auto"/>
            </w:tcBorders>
            <w:noWrap/>
            <w:vAlign w:val="bottom"/>
            <w:hideMark/>
          </w:tcPr>
          <w:p w14:paraId="5234B4D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49,17</w:t>
            </w:r>
          </w:p>
        </w:tc>
        <w:tc>
          <w:tcPr>
            <w:tcW w:w="1275" w:type="dxa"/>
            <w:tcBorders>
              <w:top w:val="nil"/>
              <w:left w:val="nil"/>
              <w:bottom w:val="single" w:sz="4" w:space="0" w:color="auto"/>
              <w:right w:val="single" w:sz="4" w:space="0" w:color="auto"/>
            </w:tcBorders>
            <w:noWrap/>
            <w:vAlign w:val="bottom"/>
            <w:hideMark/>
          </w:tcPr>
          <w:p w14:paraId="4B0AF79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21,24</w:t>
            </w:r>
          </w:p>
        </w:tc>
        <w:tc>
          <w:tcPr>
            <w:tcW w:w="1327" w:type="dxa"/>
            <w:tcBorders>
              <w:top w:val="nil"/>
              <w:left w:val="nil"/>
              <w:bottom w:val="single" w:sz="4" w:space="0" w:color="auto"/>
              <w:right w:val="single" w:sz="4" w:space="0" w:color="auto"/>
            </w:tcBorders>
            <w:vAlign w:val="center"/>
            <w:hideMark/>
          </w:tcPr>
          <w:p w14:paraId="7EC876D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135,62</w:t>
            </w:r>
          </w:p>
        </w:tc>
        <w:tc>
          <w:tcPr>
            <w:tcW w:w="967" w:type="dxa"/>
            <w:gridSpan w:val="2"/>
            <w:tcBorders>
              <w:top w:val="nil"/>
              <w:left w:val="nil"/>
              <w:bottom w:val="single" w:sz="4" w:space="0" w:color="auto"/>
              <w:right w:val="single" w:sz="4" w:space="0" w:color="auto"/>
            </w:tcBorders>
            <w:noWrap/>
            <w:vAlign w:val="bottom"/>
            <w:hideMark/>
          </w:tcPr>
          <w:p w14:paraId="6B8468B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130,43</w:t>
            </w:r>
          </w:p>
        </w:tc>
        <w:tc>
          <w:tcPr>
            <w:tcW w:w="1250" w:type="dxa"/>
            <w:tcBorders>
              <w:top w:val="nil"/>
              <w:left w:val="nil"/>
              <w:bottom w:val="single" w:sz="4" w:space="0" w:color="auto"/>
              <w:right w:val="single" w:sz="4" w:space="0" w:color="auto"/>
            </w:tcBorders>
            <w:noWrap/>
            <w:vAlign w:val="bottom"/>
            <w:hideMark/>
          </w:tcPr>
          <w:p w14:paraId="51B2983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98,34</w:t>
            </w:r>
          </w:p>
        </w:tc>
        <w:tc>
          <w:tcPr>
            <w:tcW w:w="1111" w:type="dxa"/>
            <w:tcBorders>
              <w:top w:val="nil"/>
              <w:left w:val="nil"/>
              <w:bottom w:val="single" w:sz="4" w:space="0" w:color="auto"/>
              <w:right w:val="single" w:sz="4" w:space="0" w:color="auto"/>
            </w:tcBorders>
            <w:noWrap/>
            <w:vAlign w:val="bottom"/>
            <w:hideMark/>
          </w:tcPr>
          <w:p w14:paraId="4B85439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32,34</w:t>
            </w:r>
          </w:p>
        </w:tc>
        <w:tc>
          <w:tcPr>
            <w:tcW w:w="1176" w:type="dxa"/>
            <w:tcBorders>
              <w:top w:val="nil"/>
              <w:left w:val="nil"/>
              <w:bottom w:val="single" w:sz="4" w:space="0" w:color="auto"/>
              <w:right w:val="single" w:sz="4" w:space="0" w:color="auto"/>
            </w:tcBorders>
            <w:vAlign w:val="center"/>
            <w:hideMark/>
          </w:tcPr>
          <w:p w14:paraId="527E4BF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261,11</w:t>
            </w:r>
          </w:p>
        </w:tc>
      </w:tr>
      <w:tr w:rsidR="00904709" w:rsidRPr="006430EA" w14:paraId="3D935EB6"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410D44C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2022</w:t>
            </w:r>
          </w:p>
        </w:tc>
        <w:tc>
          <w:tcPr>
            <w:tcW w:w="1038" w:type="dxa"/>
            <w:tcBorders>
              <w:top w:val="nil"/>
              <w:left w:val="nil"/>
              <w:bottom w:val="single" w:sz="4" w:space="0" w:color="auto"/>
              <w:right w:val="single" w:sz="4" w:space="0" w:color="auto"/>
            </w:tcBorders>
            <w:noWrap/>
            <w:vAlign w:val="bottom"/>
            <w:hideMark/>
          </w:tcPr>
          <w:p w14:paraId="35152A2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45,96</w:t>
            </w:r>
          </w:p>
        </w:tc>
        <w:tc>
          <w:tcPr>
            <w:tcW w:w="1079" w:type="dxa"/>
            <w:tcBorders>
              <w:top w:val="nil"/>
              <w:left w:val="nil"/>
              <w:bottom w:val="single" w:sz="4" w:space="0" w:color="auto"/>
              <w:right w:val="single" w:sz="4" w:space="0" w:color="auto"/>
            </w:tcBorders>
            <w:noWrap/>
            <w:vAlign w:val="bottom"/>
            <w:hideMark/>
          </w:tcPr>
          <w:p w14:paraId="07FE6D5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11,53</w:t>
            </w:r>
          </w:p>
        </w:tc>
        <w:tc>
          <w:tcPr>
            <w:tcW w:w="979" w:type="dxa"/>
            <w:tcBorders>
              <w:top w:val="nil"/>
              <w:left w:val="nil"/>
              <w:bottom w:val="single" w:sz="4" w:space="0" w:color="auto"/>
              <w:right w:val="single" w:sz="4" w:space="0" w:color="auto"/>
            </w:tcBorders>
            <w:noWrap/>
            <w:vAlign w:val="bottom"/>
            <w:hideMark/>
          </w:tcPr>
          <w:p w14:paraId="46B64AC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6,11</w:t>
            </w:r>
          </w:p>
        </w:tc>
        <w:tc>
          <w:tcPr>
            <w:tcW w:w="1201" w:type="dxa"/>
            <w:tcBorders>
              <w:top w:val="nil"/>
              <w:left w:val="nil"/>
              <w:bottom w:val="single" w:sz="4" w:space="0" w:color="auto"/>
              <w:right w:val="single" w:sz="4" w:space="0" w:color="auto"/>
            </w:tcBorders>
            <w:vAlign w:val="center"/>
            <w:hideMark/>
          </w:tcPr>
          <w:p w14:paraId="5A604EE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63,94</w:t>
            </w:r>
          </w:p>
        </w:tc>
        <w:tc>
          <w:tcPr>
            <w:tcW w:w="1089" w:type="dxa"/>
            <w:gridSpan w:val="2"/>
            <w:tcBorders>
              <w:top w:val="nil"/>
              <w:left w:val="nil"/>
              <w:bottom w:val="single" w:sz="4" w:space="0" w:color="auto"/>
              <w:right w:val="single" w:sz="4" w:space="0" w:color="auto"/>
            </w:tcBorders>
            <w:noWrap/>
            <w:vAlign w:val="bottom"/>
            <w:hideMark/>
          </w:tcPr>
          <w:p w14:paraId="3BC0934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45,96</w:t>
            </w:r>
          </w:p>
        </w:tc>
        <w:tc>
          <w:tcPr>
            <w:tcW w:w="993" w:type="dxa"/>
            <w:tcBorders>
              <w:top w:val="nil"/>
              <w:left w:val="nil"/>
              <w:bottom w:val="single" w:sz="4" w:space="0" w:color="auto"/>
              <w:right w:val="single" w:sz="4" w:space="0" w:color="auto"/>
            </w:tcBorders>
            <w:noWrap/>
            <w:vAlign w:val="bottom"/>
            <w:hideMark/>
          </w:tcPr>
          <w:p w14:paraId="65DE883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11,53</w:t>
            </w:r>
          </w:p>
        </w:tc>
        <w:tc>
          <w:tcPr>
            <w:tcW w:w="1275" w:type="dxa"/>
            <w:tcBorders>
              <w:top w:val="nil"/>
              <w:left w:val="nil"/>
              <w:bottom w:val="single" w:sz="4" w:space="0" w:color="auto"/>
              <w:right w:val="single" w:sz="4" w:space="0" w:color="auto"/>
            </w:tcBorders>
            <w:noWrap/>
            <w:vAlign w:val="bottom"/>
            <w:hideMark/>
          </w:tcPr>
          <w:p w14:paraId="251DABF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6,97</w:t>
            </w:r>
          </w:p>
        </w:tc>
        <w:tc>
          <w:tcPr>
            <w:tcW w:w="1327" w:type="dxa"/>
            <w:tcBorders>
              <w:top w:val="nil"/>
              <w:left w:val="nil"/>
              <w:bottom w:val="single" w:sz="4" w:space="0" w:color="auto"/>
              <w:right w:val="single" w:sz="4" w:space="0" w:color="auto"/>
            </w:tcBorders>
            <w:vAlign w:val="center"/>
            <w:hideMark/>
          </w:tcPr>
          <w:p w14:paraId="7E5BA6E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64,81</w:t>
            </w:r>
          </w:p>
        </w:tc>
        <w:tc>
          <w:tcPr>
            <w:tcW w:w="967" w:type="dxa"/>
            <w:gridSpan w:val="2"/>
            <w:tcBorders>
              <w:top w:val="nil"/>
              <w:left w:val="nil"/>
              <w:bottom w:val="single" w:sz="4" w:space="0" w:color="auto"/>
              <w:right w:val="single" w:sz="4" w:space="0" w:color="auto"/>
            </w:tcBorders>
            <w:noWrap/>
            <w:vAlign w:val="bottom"/>
            <w:hideMark/>
          </w:tcPr>
          <w:p w14:paraId="1D1DF8C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91,92</w:t>
            </w:r>
          </w:p>
        </w:tc>
        <w:tc>
          <w:tcPr>
            <w:tcW w:w="1250" w:type="dxa"/>
            <w:tcBorders>
              <w:top w:val="nil"/>
              <w:left w:val="nil"/>
              <w:bottom w:val="single" w:sz="4" w:space="0" w:color="auto"/>
              <w:right w:val="single" w:sz="4" w:space="0" w:color="auto"/>
            </w:tcBorders>
            <w:noWrap/>
            <w:vAlign w:val="bottom"/>
            <w:hideMark/>
          </w:tcPr>
          <w:p w14:paraId="21DCD71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23,06</w:t>
            </w:r>
          </w:p>
        </w:tc>
        <w:tc>
          <w:tcPr>
            <w:tcW w:w="1111" w:type="dxa"/>
            <w:tcBorders>
              <w:top w:val="nil"/>
              <w:left w:val="nil"/>
              <w:bottom w:val="single" w:sz="4" w:space="0" w:color="auto"/>
              <w:right w:val="single" w:sz="4" w:space="0" w:color="auto"/>
            </w:tcBorders>
            <w:noWrap/>
            <w:vAlign w:val="bottom"/>
            <w:hideMark/>
          </w:tcPr>
          <w:p w14:paraId="3033373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13,08</w:t>
            </w:r>
          </w:p>
        </w:tc>
        <w:tc>
          <w:tcPr>
            <w:tcW w:w="1176" w:type="dxa"/>
            <w:tcBorders>
              <w:top w:val="nil"/>
              <w:left w:val="nil"/>
              <w:bottom w:val="single" w:sz="4" w:space="0" w:color="auto"/>
              <w:right w:val="single" w:sz="4" w:space="0" w:color="auto"/>
            </w:tcBorders>
            <w:vAlign w:val="center"/>
            <w:hideMark/>
          </w:tcPr>
          <w:p w14:paraId="37D9E78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128,75</w:t>
            </w:r>
          </w:p>
        </w:tc>
      </w:tr>
      <w:tr w:rsidR="00904709" w:rsidRPr="006430EA" w14:paraId="662B533C"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59A548F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2023</w:t>
            </w:r>
          </w:p>
        </w:tc>
        <w:tc>
          <w:tcPr>
            <w:tcW w:w="1038" w:type="dxa"/>
            <w:tcBorders>
              <w:top w:val="nil"/>
              <w:left w:val="nil"/>
              <w:bottom w:val="single" w:sz="4" w:space="0" w:color="auto"/>
              <w:right w:val="single" w:sz="4" w:space="0" w:color="auto"/>
            </w:tcBorders>
            <w:noWrap/>
            <w:vAlign w:val="bottom"/>
            <w:hideMark/>
          </w:tcPr>
          <w:p w14:paraId="34EC948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29,13</w:t>
            </w:r>
          </w:p>
        </w:tc>
        <w:tc>
          <w:tcPr>
            <w:tcW w:w="1079" w:type="dxa"/>
            <w:tcBorders>
              <w:top w:val="nil"/>
              <w:left w:val="nil"/>
              <w:bottom w:val="single" w:sz="4" w:space="0" w:color="auto"/>
              <w:right w:val="single" w:sz="4" w:space="0" w:color="auto"/>
            </w:tcBorders>
            <w:noWrap/>
            <w:vAlign w:val="bottom"/>
            <w:hideMark/>
          </w:tcPr>
          <w:p w14:paraId="7309E6D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5,21</w:t>
            </w:r>
          </w:p>
        </w:tc>
        <w:tc>
          <w:tcPr>
            <w:tcW w:w="979" w:type="dxa"/>
            <w:tcBorders>
              <w:top w:val="nil"/>
              <w:left w:val="nil"/>
              <w:bottom w:val="single" w:sz="4" w:space="0" w:color="auto"/>
              <w:right w:val="single" w:sz="4" w:space="0" w:color="auto"/>
            </w:tcBorders>
            <w:noWrap/>
            <w:vAlign w:val="bottom"/>
            <w:hideMark/>
          </w:tcPr>
          <w:p w14:paraId="5DEA897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5,04</w:t>
            </w:r>
          </w:p>
        </w:tc>
        <w:tc>
          <w:tcPr>
            <w:tcW w:w="1201" w:type="dxa"/>
            <w:tcBorders>
              <w:top w:val="nil"/>
              <w:left w:val="nil"/>
              <w:bottom w:val="single" w:sz="4" w:space="0" w:color="auto"/>
              <w:right w:val="single" w:sz="4" w:space="0" w:color="auto"/>
            </w:tcBorders>
            <w:vAlign w:val="center"/>
            <w:hideMark/>
          </w:tcPr>
          <w:p w14:paraId="09A9A57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39,39</w:t>
            </w:r>
          </w:p>
        </w:tc>
        <w:tc>
          <w:tcPr>
            <w:tcW w:w="1089" w:type="dxa"/>
            <w:gridSpan w:val="2"/>
            <w:tcBorders>
              <w:top w:val="nil"/>
              <w:left w:val="nil"/>
              <w:bottom w:val="single" w:sz="4" w:space="0" w:color="auto"/>
              <w:right w:val="single" w:sz="4" w:space="0" w:color="auto"/>
            </w:tcBorders>
            <w:noWrap/>
            <w:vAlign w:val="bottom"/>
            <w:hideMark/>
          </w:tcPr>
          <w:p w14:paraId="4C3E191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29,13</w:t>
            </w:r>
          </w:p>
        </w:tc>
        <w:tc>
          <w:tcPr>
            <w:tcW w:w="993" w:type="dxa"/>
            <w:tcBorders>
              <w:top w:val="nil"/>
              <w:left w:val="nil"/>
              <w:bottom w:val="single" w:sz="4" w:space="0" w:color="auto"/>
              <w:right w:val="single" w:sz="4" w:space="0" w:color="auto"/>
            </w:tcBorders>
            <w:noWrap/>
            <w:vAlign w:val="bottom"/>
            <w:hideMark/>
          </w:tcPr>
          <w:p w14:paraId="0554F35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5,21</w:t>
            </w:r>
          </w:p>
        </w:tc>
        <w:tc>
          <w:tcPr>
            <w:tcW w:w="1275" w:type="dxa"/>
            <w:tcBorders>
              <w:top w:val="nil"/>
              <w:left w:val="nil"/>
              <w:bottom w:val="single" w:sz="4" w:space="0" w:color="auto"/>
              <w:right w:val="single" w:sz="4" w:space="0" w:color="auto"/>
            </w:tcBorders>
            <w:noWrap/>
            <w:vAlign w:val="bottom"/>
            <w:hideMark/>
          </w:tcPr>
          <w:p w14:paraId="27088A6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6,02</w:t>
            </w:r>
          </w:p>
        </w:tc>
        <w:tc>
          <w:tcPr>
            <w:tcW w:w="1327" w:type="dxa"/>
            <w:tcBorders>
              <w:top w:val="nil"/>
              <w:left w:val="nil"/>
              <w:bottom w:val="single" w:sz="4" w:space="0" w:color="auto"/>
              <w:right w:val="single" w:sz="4" w:space="0" w:color="auto"/>
            </w:tcBorders>
            <w:vAlign w:val="center"/>
            <w:hideMark/>
          </w:tcPr>
          <w:p w14:paraId="0DB3636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40,36</w:t>
            </w:r>
          </w:p>
        </w:tc>
        <w:tc>
          <w:tcPr>
            <w:tcW w:w="967" w:type="dxa"/>
            <w:gridSpan w:val="2"/>
            <w:tcBorders>
              <w:top w:val="nil"/>
              <w:left w:val="nil"/>
              <w:bottom w:val="single" w:sz="4" w:space="0" w:color="auto"/>
              <w:right w:val="single" w:sz="4" w:space="0" w:color="auto"/>
            </w:tcBorders>
            <w:noWrap/>
            <w:vAlign w:val="bottom"/>
            <w:hideMark/>
          </w:tcPr>
          <w:p w14:paraId="35F9E85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58,26</w:t>
            </w:r>
          </w:p>
        </w:tc>
        <w:tc>
          <w:tcPr>
            <w:tcW w:w="1250" w:type="dxa"/>
            <w:tcBorders>
              <w:top w:val="nil"/>
              <w:left w:val="nil"/>
              <w:bottom w:val="single" w:sz="4" w:space="0" w:color="auto"/>
              <w:right w:val="single" w:sz="4" w:space="0" w:color="auto"/>
            </w:tcBorders>
            <w:noWrap/>
            <w:vAlign w:val="bottom"/>
            <w:hideMark/>
          </w:tcPr>
          <w:p w14:paraId="4F52739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10,43</w:t>
            </w:r>
          </w:p>
        </w:tc>
        <w:tc>
          <w:tcPr>
            <w:tcW w:w="1111" w:type="dxa"/>
            <w:tcBorders>
              <w:top w:val="nil"/>
              <w:left w:val="nil"/>
              <w:bottom w:val="single" w:sz="4" w:space="0" w:color="auto"/>
              <w:right w:val="single" w:sz="4" w:space="0" w:color="auto"/>
            </w:tcBorders>
            <w:noWrap/>
            <w:vAlign w:val="bottom"/>
            <w:hideMark/>
          </w:tcPr>
          <w:p w14:paraId="2928837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11,06</w:t>
            </w:r>
          </w:p>
        </w:tc>
        <w:tc>
          <w:tcPr>
            <w:tcW w:w="1176" w:type="dxa"/>
            <w:tcBorders>
              <w:top w:val="nil"/>
              <w:left w:val="nil"/>
              <w:bottom w:val="single" w:sz="4" w:space="0" w:color="auto"/>
              <w:right w:val="single" w:sz="4" w:space="0" w:color="auto"/>
            </w:tcBorders>
            <w:vAlign w:val="center"/>
            <w:hideMark/>
          </w:tcPr>
          <w:p w14:paraId="1247C3B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79,75</w:t>
            </w:r>
          </w:p>
        </w:tc>
      </w:tr>
      <w:tr w:rsidR="00904709" w:rsidRPr="006430EA" w14:paraId="2283D77C"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2725214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2024</w:t>
            </w:r>
          </w:p>
        </w:tc>
        <w:tc>
          <w:tcPr>
            <w:tcW w:w="1038" w:type="dxa"/>
            <w:tcBorders>
              <w:top w:val="nil"/>
              <w:left w:val="nil"/>
              <w:bottom w:val="single" w:sz="4" w:space="0" w:color="auto"/>
              <w:right w:val="single" w:sz="4" w:space="0" w:color="auto"/>
            </w:tcBorders>
            <w:noWrap/>
            <w:vAlign w:val="bottom"/>
            <w:hideMark/>
          </w:tcPr>
          <w:p w14:paraId="5679892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38,32</w:t>
            </w:r>
          </w:p>
        </w:tc>
        <w:tc>
          <w:tcPr>
            <w:tcW w:w="1079" w:type="dxa"/>
            <w:tcBorders>
              <w:top w:val="nil"/>
              <w:left w:val="nil"/>
              <w:bottom w:val="single" w:sz="4" w:space="0" w:color="auto"/>
              <w:right w:val="single" w:sz="4" w:space="0" w:color="auto"/>
            </w:tcBorders>
            <w:noWrap/>
            <w:vAlign w:val="bottom"/>
            <w:hideMark/>
          </w:tcPr>
          <w:p w14:paraId="0F8EEB5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16,20</w:t>
            </w:r>
          </w:p>
        </w:tc>
        <w:tc>
          <w:tcPr>
            <w:tcW w:w="979" w:type="dxa"/>
            <w:tcBorders>
              <w:top w:val="nil"/>
              <w:left w:val="nil"/>
              <w:bottom w:val="single" w:sz="4" w:space="0" w:color="auto"/>
              <w:right w:val="single" w:sz="4" w:space="0" w:color="auto"/>
            </w:tcBorders>
            <w:noWrap/>
            <w:vAlign w:val="bottom"/>
            <w:hideMark/>
          </w:tcPr>
          <w:p w14:paraId="78E74A7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4,79</w:t>
            </w:r>
          </w:p>
        </w:tc>
        <w:tc>
          <w:tcPr>
            <w:tcW w:w="1201" w:type="dxa"/>
            <w:tcBorders>
              <w:top w:val="nil"/>
              <w:left w:val="nil"/>
              <w:bottom w:val="single" w:sz="4" w:space="0" w:color="auto"/>
              <w:right w:val="single" w:sz="4" w:space="0" w:color="auto"/>
            </w:tcBorders>
            <w:vAlign w:val="center"/>
            <w:hideMark/>
          </w:tcPr>
          <w:p w14:paraId="5C20733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59,31</w:t>
            </w:r>
          </w:p>
        </w:tc>
        <w:tc>
          <w:tcPr>
            <w:tcW w:w="1089" w:type="dxa"/>
            <w:gridSpan w:val="2"/>
            <w:tcBorders>
              <w:top w:val="nil"/>
              <w:left w:val="nil"/>
              <w:bottom w:val="single" w:sz="4" w:space="0" w:color="auto"/>
              <w:right w:val="single" w:sz="4" w:space="0" w:color="auto"/>
            </w:tcBorders>
            <w:noWrap/>
            <w:vAlign w:val="bottom"/>
            <w:hideMark/>
          </w:tcPr>
          <w:p w14:paraId="63F224C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38,32</w:t>
            </w:r>
          </w:p>
        </w:tc>
        <w:tc>
          <w:tcPr>
            <w:tcW w:w="993" w:type="dxa"/>
            <w:tcBorders>
              <w:top w:val="nil"/>
              <w:left w:val="nil"/>
              <w:bottom w:val="single" w:sz="4" w:space="0" w:color="auto"/>
              <w:right w:val="single" w:sz="4" w:space="0" w:color="auto"/>
            </w:tcBorders>
            <w:noWrap/>
            <w:vAlign w:val="bottom"/>
            <w:hideMark/>
          </w:tcPr>
          <w:p w14:paraId="5B78FD6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16,20</w:t>
            </w:r>
          </w:p>
        </w:tc>
        <w:tc>
          <w:tcPr>
            <w:tcW w:w="1275" w:type="dxa"/>
            <w:tcBorders>
              <w:top w:val="nil"/>
              <w:left w:val="nil"/>
              <w:bottom w:val="single" w:sz="4" w:space="0" w:color="auto"/>
              <w:right w:val="single" w:sz="4" w:space="0" w:color="auto"/>
            </w:tcBorders>
            <w:noWrap/>
            <w:vAlign w:val="bottom"/>
            <w:hideMark/>
          </w:tcPr>
          <w:p w14:paraId="4B9DDA2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16,71</w:t>
            </w:r>
          </w:p>
        </w:tc>
        <w:tc>
          <w:tcPr>
            <w:tcW w:w="1327" w:type="dxa"/>
            <w:tcBorders>
              <w:top w:val="nil"/>
              <w:left w:val="nil"/>
              <w:bottom w:val="single" w:sz="4" w:space="0" w:color="auto"/>
              <w:right w:val="single" w:sz="4" w:space="0" w:color="auto"/>
            </w:tcBorders>
            <w:vAlign w:val="center"/>
            <w:hideMark/>
          </w:tcPr>
          <w:p w14:paraId="01C677B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71,23</w:t>
            </w:r>
          </w:p>
        </w:tc>
        <w:tc>
          <w:tcPr>
            <w:tcW w:w="967" w:type="dxa"/>
            <w:gridSpan w:val="2"/>
            <w:tcBorders>
              <w:top w:val="nil"/>
              <w:left w:val="nil"/>
              <w:bottom w:val="single" w:sz="4" w:space="0" w:color="auto"/>
              <w:right w:val="single" w:sz="4" w:space="0" w:color="auto"/>
            </w:tcBorders>
            <w:noWrap/>
            <w:vAlign w:val="bottom"/>
            <w:hideMark/>
          </w:tcPr>
          <w:p w14:paraId="35EC4D4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76,63</w:t>
            </w:r>
          </w:p>
        </w:tc>
        <w:tc>
          <w:tcPr>
            <w:tcW w:w="1250" w:type="dxa"/>
            <w:tcBorders>
              <w:top w:val="nil"/>
              <w:left w:val="nil"/>
              <w:bottom w:val="single" w:sz="4" w:space="0" w:color="auto"/>
              <w:right w:val="single" w:sz="4" w:space="0" w:color="auto"/>
            </w:tcBorders>
            <w:noWrap/>
            <w:vAlign w:val="bottom"/>
            <w:hideMark/>
          </w:tcPr>
          <w:p w14:paraId="455D587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32,41</w:t>
            </w:r>
          </w:p>
        </w:tc>
        <w:tc>
          <w:tcPr>
            <w:tcW w:w="1111" w:type="dxa"/>
            <w:tcBorders>
              <w:top w:val="nil"/>
              <w:left w:val="nil"/>
              <w:bottom w:val="single" w:sz="4" w:space="0" w:color="auto"/>
              <w:right w:val="single" w:sz="4" w:space="0" w:color="auto"/>
            </w:tcBorders>
            <w:noWrap/>
            <w:vAlign w:val="bottom"/>
            <w:hideMark/>
          </w:tcPr>
          <w:p w14:paraId="2916A1A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21,50</w:t>
            </w:r>
          </w:p>
        </w:tc>
        <w:tc>
          <w:tcPr>
            <w:tcW w:w="1176" w:type="dxa"/>
            <w:tcBorders>
              <w:top w:val="nil"/>
              <w:left w:val="nil"/>
              <w:bottom w:val="single" w:sz="4" w:space="0" w:color="auto"/>
              <w:right w:val="single" w:sz="4" w:space="0" w:color="auto"/>
            </w:tcBorders>
            <w:vAlign w:val="center"/>
            <w:hideMark/>
          </w:tcPr>
          <w:p w14:paraId="6444126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130,55</w:t>
            </w:r>
          </w:p>
        </w:tc>
      </w:tr>
      <w:tr w:rsidR="00904709" w:rsidRPr="006430EA" w14:paraId="76CDAD5F" w14:textId="77777777" w:rsidTr="00533899">
        <w:trPr>
          <w:trHeight w:val="468"/>
        </w:trPr>
        <w:tc>
          <w:tcPr>
            <w:tcW w:w="974" w:type="dxa"/>
            <w:tcBorders>
              <w:top w:val="nil"/>
              <w:left w:val="single" w:sz="4" w:space="0" w:color="auto"/>
              <w:bottom w:val="single" w:sz="4" w:space="0" w:color="auto"/>
              <w:right w:val="single" w:sz="4" w:space="0" w:color="auto"/>
            </w:tcBorders>
            <w:vAlign w:val="center"/>
            <w:hideMark/>
          </w:tcPr>
          <w:p w14:paraId="36EE7B80" w14:textId="3BA99BAC"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С</w:t>
            </w:r>
            <w:r w:rsidR="001C71D7">
              <w:rPr>
                <w:rFonts w:ascii="Times New Roman" w:eastAsia="Times New Roman" w:hAnsi="Times New Roman" w:cs="Times New Roman"/>
                <w:color w:val="000000"/>
                <w:sz w:val="20"/>
                <w:szCs w:val="20"/>
                <w:lang w:eastAsia="ru-RU"/>
              </w:rPr>
              <w:t>П</w:t>
            </w:r>
            <w:r w:rsidRPr="006430EA">
              <w:rPr>
                <w:rFonts w:ascii="Times New Roman" w:eastAsia="Times New Roman" w:hAnsi="Times New Roman" w:cs="Times New Roman"/>
                <w:color w:val="000000"/>
                <w:sz w:val="20"/>
                <w:szCs w:val="20"/>
                <w:lang w:eastAsia="ru-RU"/>
              </w:rPr>
              <w:t>И</w:t>
            </w:r>
          </w:p>
        </w:tc>
        <w:tc>
          <w:tcPr>
            <w:tcW w:w="1038" w:type="dxa"/>
            <w:tcBorders>
              <w:top w:val="nil"/>
              <w:left w:val="nil"/>
              <w:bottom w:val="single" w:sz="4" w:space="0" w:color="auto"/>
              <w:right w:val="single" w:sz="4" w:space="0" w:color="auto"/>
            </w:tcBorders>
            <w:vAlign w:val="center"/>
            <w:hideMark/>
          </w:tcPr>
          <w:p w14:paraId="7604B3F7"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4,5(-5,5; 15,5)</w:t>
            </w:r>
          </w:p>
        </w:tc>
        <w:tc>
          <w:tcPr>
            <w:tcW w:w="1079" w:type="dxa"/>
            <w:tcBorders>
              <w:top w:val="nil"/>
              <w:left w:val="nil"/>
              <w:bottom w:val="single" w:sz="4" w:space="0" w:color="auto"/>
              <w:right w:val="single" w:sz="4" w:space="0" w:color="auto"/>
            </w:tcBorders>
            <w:noWrap/>
            <w:vAlign w:val="bottom"/>
            <w:hideMark/>
          </w:tcPr>
          <w:p w14:paraId="2D78FC19"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-3,8(-15,4; 9,4)</w:t>
            </w:r>
          </w:p>
        </w:tc>
        <w:tc>
          <w:tcPr>
            <w:tcW w:w="979" w:type="dxa"/>
            <w:tcBorders>
              <w:top w:val="nil"/>
              <w:left w:val="nil"/>
              <w:bottom w:val="single" w:sz="4" w:space="0" w:color="auto"/>
              <w:right w:val="single" w:sz="4" w:space="0" w:color="auto"/>
            </w:tcBorders>
            <w:noWrap/>
            <w:vAlign w:val="bottom"/>
            <w:hideMark/>
          </w:tcPr>
          <w:p w14:paraId="156C1E2E"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7,4(-5,6; 22,2)</w:t>
            </w:r>
          </w:p>
        </w:tc>
        <w:tc>
          <w:tcPr>
            <w:tcW w:w="1201" w:type="dxa"/>
            <w:tcBorders>
              <w:top w:val="nil"/>
              <w:left w:val="nil"/>
              <w:bottom w:val="single" w:sz="4" w:space="0" w:color="auto"/>
              <w:right w:val="single" w:sz="4" w:space="0" w:color="auto"/>
            </w:tcBorders>
            <w:vAlign w:val="center"/>
            <w:hideMark/>
          </w:tcPr>
          <w:p w14:paraId="6FCE8F0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val="en-US" w:eastAsia="ru-RU"/>
              </w:rPr>
              <w:t>1.1 (-8.5;11.8)</w:t>
            </w:r>
          </w:p>
        </w:tc>
        <w:tc>
          <w:tcPr>
            <w:tcW w:w="1089" w:type="dxa"/>
            <w:gridSpan w:val="2"/>
            <w:tcBorders>
              <w:top w:val="nil"/>
              <w:left w:val="nil"/>
              <w:bottom w:val="single" w:sz="4" w:space="0" w:color="auto"/>
              <w:right w:val="single" w:sz="4" w:space="0" w:color="auto"/>
            </w:tcBorders>
            <w:noWrap/>
            <w:vAlign w:val="bottom"/>
            <w:hideMark/>
          </w:tcPr>
          <w:p w14:paraId="62528C02"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4,5(-5,5; 15,5)</w:t>
            </w:r>
          </w:p>
        </w:tc>
        <w:tc>
          <w:tcPr>
            <w:tcW w:w="993" w:type="dxa"/>
            <w:tcBorders>
              <w:top w:val="nil"/>
              <w:left w:val="nil"/>
              <w:bottom w:val="single" w:sz="4" w:space="0" w:color="auto"/>
              <w:right w:val="single" w:sz="4" w:space="0" w:color="auto"/>
            </w:tcBorders>
            <w:noWrap/>
            <w:vAlign w:val="bottom"/>
            <w:hideMark/>
          </w:tcPr>
          <w:p w14:paraId="13D2220A"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-3,8(-15,4; 9,4)</w:t>
            </w:r>
          </w:p>
        </w:tc>
        <w:tc>
          <w:tcPr>
            <w:tcW w:w="1275" w:type="dxa"/>
            <w:tcBorders>
              <w:top w:val="nil"/>
              <w:left w:val="nil"/>
              <w:bottom w:val="single" w:sz="4" w:space="0" w:color="auto"/>
              <w:right w:val="single" w:sz="4" w:space="0" w:color="auto"/>
            </w:tcBorders>
            <w:noWrap/>
            <w:vAlign w:val="bottom"/>
            <w:hideMark/>
          </w:tcPr>
          <w:p w14:paraId="7F709007"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-1,0(-11,0; 10,2)</w:t>
            </w:r>
          </w:p>
        </w:tc>
        <w:tc>
          <w:tcPr>
            <w:tcW w:w="1327" w:type="dxa"/>
            <w:tcBorders>
              <w:top w:val="nil"/>
              <w:left w:val="nil"/>
              <w:bottom w:val="single" w:sz="4" w:space="0" w:color="auto"/>
              <w:right w:val="single" w:sz="4" w:space="0" w:color="auto"/>
            </w:tcBorders>
            <w:vAlign w:val="center"/>
            <w:hideMark/>
          </w:tcPr>
          <w:p w14:paraId="1C5257C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val="en-US" w:eastAsia="ru-RU"/>
              </w:rPr>
              <w:t>0.6 (-8.5;10.7)</w:t>
            </w:r>
          </w:p>
        </w:tc>
        <w:tc>
          <w:tcPr>
            <w:tcW w:w="967" w:type="dxa"/>
            <w:gridSpan w:val="2"/>
            <w:tcBorders>
              <w:top w:val="nil"/>
              <w:left w:val="nil"/>
              <w:bottom w:val="single" w:sz="4" w:space="0" w:color="auto"/>
              <w:right w:val="single" w:sz="4" w:space="0" w:color="auto"/>
            </w:tcBorders>
            <w:noWrap/>
            <w:vAlign w:val="bottom"/>
            <w:hideMark/>
          </w:tcPr>
          <w:p w14:paraId="1DFF25AC"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4,5(-5,5; 15,5)</w:t>
            </w:r>
          </w:p>
        </w:tc>
        <w:tc>
          <w:tcPr>
            <w:tcW w:w="1250" w:type="dxa"/>
            <w:tcBorders>
              <w:top w:val="nil"/>
              <w:left w:val="nil"/>
              <w:bottom w:val="single" w:sz="4" w:space="0" w:color="auto"/>
              <w:right w:val="single" w:sz="4" w:space="0" w:color="auto"/>
            </w:tcBorders>
            <w:noWrap/>
            <w:vAlign w:val="bottom"/>
            <w:hideMark/>
          </w:tcPr>
          <w:p w14:paraId="6054F4ED"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-3,8(-15,4; 9,4)</w:t>
            </w:r>
          </w:p>
        </w:tc>
        <w:tc>
          <w:tcPr>
            <w:tcW w:w="1111" w:type="dxa"/>
            <w:tcBorders>
              <w:top w:val="nil"/>
              <w:left w:val="nil"/>
              <w:bottom w:val="single" w:sz="4" w:space="0" w:color="auto"/>
              <w:right w:val="single" w:sz="4" w:space="0" w:color="auto"/>
            </w:tcBorders>
            <w:noWrap/>
            <w:vAlign w:val="bottom"/>
            <w:hideMark/>
          </w:tcPr>
          <w:p w14:paraId="3644FFD7"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1,5(-8,1; 12,1)</w:t>
            </w:r>
          </w:p>
        </w:tc>
        <w:tc>
          <w:tcPr>
            <w:tcW w:w="1176" w:type="dxa"/>
            <w:tcBorders>
              <w:top w:val="nil"/>
              <w:left w:val="nil"/>
              <w:bottom w:val="single" w:sz="4" w:space="0" w:color="auto"/>
              <w:right w:val="single" w:sz="4" w:space="0" w:color="auto"/>
            </w:tcBorders>
            <w:vAlign w:val="center"/>
            <w:hideMark/>
          </w:tcPr>
          <w:p w14:paraId="1017A97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val="en-US" w:eastAsia="ru-RU"/>
              </w:rPr>
              <w:t>0.9 (-8.5;11.2)</w:t>
            </w:r>
          </w:p>
        </w:tc>
      </w:tr>
      <w:tr w:rsidR="00904709" w:rsidRPr="006430EA" w14:paraId="2EDAE54E" w14:textId="77777777" w:rsidTr="00533899">
        <w:trPr>
          <w:trHeight w:val="323"/>
        </w:trPr>
        <w:tc>
          <w:tcPr>
            <w:tcW w:w="14459" w:type="dxa"/>
            <w:gridSpan w:val="15"/>
            <w:tcBorders>
              <w:top w:val="nil"/>
              <w:left w:val="single" w:sz="4" w:space="0" w:color="auto"/>
              <w:bottom w:val="single" w:sz="4" w:space="0" w:color="auto"/>
              <w:right w:val="single" w:sz="4" w:space="0" w:color="auto"/>
            </w:tcBorders>
            <w:vAlign w:val="center"/>
          </w:tcPr>
          <w:p w14:paraId="4B80FF9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val="kk-KZ" w:eastAsia="ru-RU"/>
              </w:rPr>
            </w:pPr>
            <w:r w:rsidRPr="006430EA">
              <w:rPr>
                <w:rFonts w:ascii="Times New Roman" w:eastAsia="Times New Roman" w:hAnsi="Times New Roman" w:cs="Times New Roman"/>
                <w:color w:val="000000"/>
                <w:sz w:val="20"/>
                <w:szCs w:val="20"/>
                <w:lang w:eastAsia="ru-RU"/>
              </w:rPr>
              <w:t>Мужчины</w:t>
            </w:r>
          </w:p>
        </w:tc>
      </w:tr>
      <w:tr w:rsidR="001C71D7" w:rsidRPr="006430EA" w14:paraId="343C698E" w14:textId="77777777" w:rsidTr="00533899">
        <w:trPr>
          <w:trHeight w:val="311"/>
        </w:trPr>
        <w:tc>
          <w:tcPr>
            <w:tcW w:w="974" w:type="dxa"/>
            <w:vMerge w:val="restart"/>
            <w:tcBorders>
              <w:top w:val="nil"/>
              <w:left w:val="single" w:sz="4" w:space="0" w:color="auto"/>
              <w:right w:val="single" w:sz="4" w:space="0" w:color="auto"/>
            </w:tcBorders>
            <w:vAlign w:val="center"/>
          </w:tcPr>
          <w:p w14:paraId="1E9BAED0" w14:textId="5EC2927F"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Годы</w:t>
            </w:r>
          </w:p>
        </w:tc>
        <w:tc>
          <w:tcPr>
            <w:tcW w:w="4305" w:type="dxa"/>
            <w:gridSpan w:val="5"/>
            <w:tcBorders>
              <w:top w:val="nil"/>
              <w:left w:val="nil"/>
              <w:bottom w:val="single" w:sz="4" w:space="0" w:color="auto"/>
              <w:right w:val="single" w:sz="4" w:space="0" w:color="auto"/>
            </w:tcBorders>
            <w:noWrap/>
            <w:vAlign w:val="center"/>
          </w:tcPr>
          <w:p w14:paraId="558E345B"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Превентивная</w:t>
            </w:r>
          </w:p>
        </w:tc>
        <w:tc>
          <w:tcPr>
            <w:tcW w:w="4717" w:type="dxa"/>
            <w:gridSpan w:val="5"/>
            <w:tcBorders>
              <w:top w:val="nil"/>
              <w:left w:val="nil"/>
              <w:bottom w:val="single" w:sz="4" w:space="0" w:color="auto"/>
              <w:right w:val="single" w:sz="4" w:space="0" w:color="auto"/>
            </w:tcBorders>
            <w:noWrap/>
            <w:vAlign w:val="bottom"/>
          </w:tcPr>
          <w:p w14:paraId="4B7B7C3F"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Излечимая</w:t>
            </w:r>
          </w:p>
        </w:tc>
        <w:tc>
          <w:tcPr>
            <w:tcW w:w="4463" w:type="dxa"/>
            <w:gridSpan w:val="4"/>
            <w:tcBorders>
              <w:top w:val="nil"/>
              <w:left w:val="nil"/>
              <w:bottom w:val="single" w:sz="4" w:space="0" w:color="auto"/>
              <w:right w:val="single" w:sz="4" w:space="0" w:color="auto"/>
            </w:tcBorders>
            <w:noWrap/>
            <w:vAlign w:val="bottom"/>
          </w:tcPr>
          <w:p w14:paraId="5B5A5A05"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Предотвратимая</w:t>
            </w:r>
          </w:p>
        </w:tc>
      </w:tr>
      <w:tr w:rsidR="001C71D7" w:rsidRPr="006430EA" w14:paraId="52AD7080" w14:textId="77777777" w:rsidTr="00533899">
        <w:trPr>
          <w:trHeight w:val="311"/>
        </w:trPr>
        <w:tc>
          <w:tcPr>
            <w:tcW w:w="974" w:type="dxa"/>
            <w:vMerge/>
            <w:tcBorders>
              <w:left w:val="single" w:sz="4" w:space="0" w:color="auto"/>
              <w:bottom w:val="single" w:sz="4" w:space="0" w:color="auto"/>
              <w:right w:val="single" w:sz="4" w:space="0" w:color="auto"/>
            </w:tcBorders>
            <w:vAlign w:val="center"/>
          </w:tcPr>
          <w:p w14:paraId="0CAA2A1B"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p>
        </w:tc>
        <w:tc>
          <w:tcPr>
            <w:tcW w:w="1038" w:type="dxa"/>
            <w:tcBorders>
              <w:top w:val="nil"/>
              <w:left w:val="nil"/>
              <w:bottom w:val="single" w:sz="4" w:space="0" w:color="auto"/>
              <w:right w:val="single" w:sz="4" w:space="0" w:color="auto"/>
            </w:tcBorders>
            <w:noWrap/>
            <w:vAlign w:val="center"/>
          </w:tcPr>
          <w:p w14:paraId="771E0627"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ИБС</w:t>
            </w:r>
          </w:p>
        </w:tc>
        <w:tc>
          <w:tcPr>
            <w:tcW w:w="1079" w:type="dxa"/>
            <w:tcBorders>
              <w:top w:val="nil"/>
              <w:left w:val="nil"/>
              <w:bottom w:val="single" w:sz="4" w:space="0" w:color="auto"/>
              <w:right w:val="single" w:sz="4" w:space="0" w:color="auto"/>
            </w:tcBorders>
            <w:noWrap/>
            <w:vAlign w:val="center"/>
          </w:tcPr>
          <w:p w14:paraId="55DEF6C9"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ЦВЗ</w:t>
            </w:r>
          </w:p>
        </w:tc>
        <w:tc>
          <w:tcPr>
            <w:tcW w:w="979" w:type="dxa"/>
            <w:tcBorders>
              <w:top w:val="nil"/>
              <w:left w:val="nil"/>
              <w:bottom w:val="single" w:sz="4" w:space="0" w:color="auto"/>
              <w:right w:val="single" w:sz="4" w:space="0" w:color="auto"/>
            </w:tcBorders>
            <w:noWrap/>
            <w:vAlign w:val="center"/>
          </w:tcPr>
          <w:p w14:paraId="65AE5728"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Другие</w:t>
            </w:r>
          </w:p>
        </w:tc>
        <w:tc>
          <w:tcPr>
            <w:tcW w:w="1201" w:type="dxa"/>
            <w:tcBorders>
              <w:top w:val="nil"/>
              <w:left w:val="nil"/>
              <w:bottom w:val="single" w:sz="4" w:space="0" w:color="auto"/>
              <w:right w:val="single" w:sz="4" w:space="0" w:color="auto"/>
            </w:tcBorders>
            <w:vAlign w:val="center"/>
          </w:tcPr>
          <w:p w14:paraId="6C528713"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Всего</w:t>
            </w:r>
          </w:p>
        </w:tc>
        <w:tc>
          <w:tcPr>
            <w:tcW w:w="1089" w:type="dxa"/>
            <w:gridSpan w:val="2"/>
            <w:tcBorders>
              <w:top w:val="nil"/>
              <w:left w:val="nil"/>
              <w:bottom w:val="single" w:sz="4" w:space="0" w:color="auto"/>
              <w:right w:val="single" w:sz="4" w:space="0" w:color="auto"/>
            </w:tcBorders>
            <w:noWrap/>
            <w:vAlign w:val="center"/>
          </w:tcPr>
          <w:p w14:paraId="3514D32C"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ИБС</w:t>
            </w:r>
          </w:p>
        </w:tc>
        <w:tc>
          <w:tcPr>
            <w:tcW w:w="993" w:type="dxa"/>
            <w:tcBorders>
              <w:top w:val="nil"/>
              <w:left w:val="nil"/>
              <w:bottom w:val="single" w:sz="4" w:space="0" w:color="auto"/>
              <w:right w:val="single" w:sz="4" w:space="0" w:color="auto"/>
            </w:tcBorders>
            <w:noWrap/>
            <w:vAlign w:val="center"/>
          </w:tcPr>
          <w:p w14:paraId="7AF60EC8"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ЦВЗ</w:t>
            </w:r>
          </w:p>
        </w:tc>
        <w:tc>
          <w:tcPr>
            <w:tcW w:w="1275" w:type="dxa"/>
            <w:tcBorders>
              <w:top w:val="nil"/>
              <w:left w:val="nil"/>
              <w:bottom w:val="single" w:sz="4" w:space="0" w:color="auto"/>
              <w:right w:val="single" w:sz="4" w:space="0" w:color="auto"/>
            </w:tcBorders>
            <w:noWrap/>
            <w:vAlign w:val="center"/>
          </w:tcPr>
          <w:p w14:paraId="4CA1F9A7"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Другие</w:t>
            </w:r>
          </w:p>
        </w:tc>
        <w:tc>
          <w:tcPr>
            <w:tcW w:w="1327" w:type="dxa"/>
            <w:tcBorders>
              <w:top w:val="nil"/>
              <w:left w:val="nil"/>
              <w:bottom w:val="single" w:sz="4" w:space="0" w:color="auto"/>
              <w:right w:val="single" w:sz="4" w:space="0" w:color="auto"/>
            </w:tcBorders>
            <w:vAlign w:val="center"/>
          </w:tcPr>
          <w:p w14:paraId="7CF36431"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Всего</w:t>
            </w:r>
          </w:p>
        </w:tc>
        <w:tc>
          <w:tcPr>
            <w:tcW w:w="967" w:type="dxa"/>
            <w:gridSpan w:val="2"/>
            <w:tcBorders>
              <w:top w:val="nil"/>
              <w:left w:val="nil"/>
              <w:bottom w:val="single" w:sz="4" w:space="0" w:color="auto"/>
              <w:right w:val="single" w:sz="4" w:space="0" w:color="auto"/>
            </w:tcBorders>
            <w:noWrap/>
            <w:vAlign w:val="center"/>
          </w:tcPr>
          <w:p w14:paraId="2057948E"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ИБС</w:t>
            </w:r>
          </w:p>
        </w:tc>
        <w:tc>
          <w:tcPr>
            <w:tcW w:w="1250" w:type="dxa"/>
            <w:tcBorders>
              <w:top w:val="nil"/>
              <w:left w:val="nil"/>
              <w:bottom w:val="single" w:sz="4" w:space="0" w:color="auto"/>
              <w:right w:val="single" w:sz="4" w:space="0" w:color="auto"/>
            </w:tcBorders>
            <w:noWrap/>
            <w:vAlign w:val="center"/>
          </w:tcPr>
          <w:p w14:paraId="5AEABCAA"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ЦВЗ</w:t>
            </w:r>
          </w:p>
        </w:tc>
        <w:tc>
          <w:tcPr>
            <w:tcW w:w="1111" w:type="dxa"/>
            <w:tcBorders>
              <w:top w:val="nil"/>
              <w:left w:val="nil"/>
              <w:bottom w:val="single" w:sz="4" w:space="0" w:color="auto"/>
              <w:right w:val="single" w:sz="4" w:space="0" w:color="auto"/>
            </w:tcBorders>
            <w:noWrap/>
            <w:vAlign w:val="center"/>
          </w:tcPr>
          <w:p w14:paraId="7A549E9F"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Другие</w:t>
            </w:r>
          </w:p>
        </w:tc>
        <w:tc>
          <w:tcPr>
            <w:tcW w:w="1176" w:type="dxa"/>
            <w:tcBorders>
              <w:top w:val="nil"/>
              <w:left w:val="nil"/>
              <w:bottom w:val="single" w:sz="4" w:space="0" w:color="auto"/>
              <w:right w:val="single" w:sz="4" w:space="0" w:color="auto"/>
            </w:tcBorders>
            <w:vAlign w:val="center"/>
          </w:tcPr>
          <w:p w14:paraId="1B5623F0"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Всего</w:t>
            </w:r>
          </w:p>
        </w:tc>
      </w:tr>
      <w:tr w:rsidR="00904709" w:rsidRPr="006430EA" w14:paraId="6A6A682F"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62C1AED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2014</w:t>
            </w:r>
          </w:p>
        </w:tc>
        <w:tc>
          <w:tcPr>
            <w:tcW w:w="1038" w:type="dxa"/>
            <w:tcBorders>
              <w:top w:val="nil"/>
              <w:left w:val="nil"/>
              <w:bottom w:val="single" w:sz="4" w:space="0" w:color="auto"/>
              <w:right w:val="single" w:sz="4" w:space="0" w:color="auto"/>
            </w:tcBorders>
            <w:noWrap/>
            <w:vAlign w:val="bottom"/>
            <w:hideMark/>
          </w:tcPr>
          <w:p w14:paraId="3B5CA3B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29,08</w:t>
            </w:r>
          </w:p>
        </w:tc>
        <w:tc>
          <w:tcPr>
            <w:tcW w:w="1079" w:type="dxa"/>
            <w:tcBorders>
              <w:top w:val="nil"/>
              <w:left w:val="nil"/>
              <w:bottom w:val="single" w:sz="4" w:space="0" w:color="auto"/>
              <w:right w:val="single" w:sz="4" w:space="0" w:color="auto"/>
            </w:tcBorders>
            <w:noWrap/>
            <w:vAlign w:val="bottom"/>
            <w:hideMark/>
          </w:tcPr>
          <w:p w14:paraId="6C00FC1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41,92</w:t>
            </w:r>
          </w:p>
        </w:tc>
        <w:tc>
          <w:tcPr>
            <w:tcW w:w="979" w:type="dxa"/>
            <w:tcBorders>
              <w:top w:val="nil"/>
              <w:left w:val="nil"/>
              <w:bottom w:val="single" w:sz="4" w:space="0" w:color="auto"/>
              <w:right w:val="single" w:sz="4" w:space="0" w:color="auto"/>
            </w:tcBorders>
            <w:noWrap/>
            <w:vAlign w:val="bottom"/>
            <w:hideMark/>
          </w:tcPr>
          <w:p w14:paraId="7CD3038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1,80</w:t>
            </w:r>
          </w:p>
        </w:tc>
        <w:tc>
          <w:tcPr>
            <w:tcW w:w="1201" w:type="dxa"/>
            <w:tcBorders>
              <w:top w:val="nil"/>
              <w:left w:val="nil"/>
              <w:bottom w:val="single" w:sz="4" w:space="0" w:color="auto"/>
              <w:right w:val="single" w:sz="4" w:space="0" w:color="auto"/>
            </w:tcBorders>
            <w:vAlign w:val="center"/>
            <w:hideMark/>
          </w:tcPr>
          <w:p w14:paraId="463BF6F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72,81</w:t>
            </w:r>
          </w:p>
        </w:tc>
        <w:tc>
          <w:tcPr>
            <w:tcW w:w="1089" w:type="dxa"/>
            <w:gridSpan w:val="2"/>
            <w:tcBorders>
              <w:top w:val="nil"/>
              <w:left w:val="nil"/>
              <w:bottom w:val="single" w:sz="4" w:space="0" w:color="auto"/>
              <w:right w:val="single" w:sz="4" w:space="0" w:color="auto"/>
            </w:tcBorders>
            <w:noWrap/>
            <w:vAlign w:val="bottom"/>
            <w:hideMark/>
          </w:tcPr>
          <w:p w14:paraId="057D306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29,08</w:t>
            </w:r>
          </w:p>
        </w:tc>
        <w:tc>
          <w:tcPr>
            <w:tcW w:w="993" w:type="dxa"/>
            <w:tcBorders>
              <w:top w:val="nil"/>
              <w:left w:val="nil"/>
              <w:bottom w:val="single" w:sz="4" w:space="0" w:color="auto"/>
              <w:right w:val="single" w:sz="4" w:space="0" w:color="auto"/>
            </w:tcBorders>
            <w:noWrap/>
            <w:vAlign w:val="bottom"/>
            <w:hideMark/>
          </w:tcPr>
          <w:p w14:paraId="2EB5AEE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41,92</w:t>
            </w:r>
          </w:p>
        </w:tc>
        <w:tc>
          <w:tcPr>
            <w:tcW w:w="1275" w:type="dxa"/>
            <w:tcBorders>
              <w:top w:val="nil"/>
              <w:left w:val="nil"/>
              <w:bottom w:val="single" w:sz="4" w:space="0" w:color="auto"/>
              <w:right w:val="single" w:sz="4" w:space="0" w:color="auto"/>
            </w:tcBorders>
            <w:noWrap/>
            <w:vAlign w:val="bottom"/>
            <w:hideMark/>
          </w:tcPr>
          <w:p w14:paraId="0B03166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29,93</w:t>
            </w:r>
          </w:p>
        </w:tc>
        <w:tc>
          <w:tcPr>
            <w:tcW w:w="1327" w:type="dxa"/>
            <w:tcBorders>
              <w:top w:val="nil"/>
              <w:left w:val="nil"/>
              <w:bottom w:val="single" w:sz="4" w:space="0" w:color="auto"/>
              <w:right w:val="single" w:sz="4" w:space="0" w:color="auto"/>
            </w:tcBorders>
            <w:vAlign w:val="center"/>
            <w:hideMark/>
          </w:tcPr>
          <w:p w14:paraId="107F426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100,94</w:t>
            </w:r>
          </w:p>
        </w:tc>
        <w:tc>
          <w:tcPr>
            <w:tcW w:w="967" w:type="dxa"/>
            <w:gridSpan w:val="2"/>
            <w:tcBorders>
              <w:top w:val="nil"/>
              <w:left w:val="nil"/>
              <w:bottom w:val="single" w:sz="4" w:space="0" w:color="auto"/>
              <w:right w:val="single" w:sz="4" w:space="0" w:color="auto"/>
            </w:tcBorders>
            <w:noWrap/>
            <w:vAlign w:val="bottom"/>
            <w:hideMark/>
          </w:tcPr>
          <w:p w14:paraId="7D22A90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58,17</w:t>
            </w:r>
          </w:p>
        </w:tc>
        <w:tc>
          <w:tcPr>
            <w:tcW w:w="1250" w:type="dxa"/>
            <w:tcBorders>
              <w:top w:val="nil"/>
              <w:left w:val="nil"/>
              <w:bottom w:val="single" w:sz="4" w:space="0" w:color="auto"/>
              <w:right w:val="single" w:sz="4" w:space="0" w:color="auto"/>
            </w:tcBorders>
            <w:noWrap/>
            <w:vAlign w:val="bottom"/>
            <w:hideMark/>
          </w:tcPr>
          <w:p w14:paraId="35BC56C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83,85</w:t>
            </w:r>
          </w:p>
        </w:tc>
        <w:tc>
          <w:tcPr>
            <w:tcW w:w="1111" w:type="dxa"/>
            <w:tcBorders>
              <w:top w:val="nil"/>
              <w:left w:val="nil"/>
              <w:bottom w:val="single" w:sz="4" w:space="0" w:color="auto"/>
              <w:right w:val="single" w:sz="4" w:space="0" w:color="auto"/>
            </w:tcBorders>
            <w:noWrap/>
            <w:vAlign w:val="bottom"/>
            <w:hideMark/>
          </w:tcPr>
          <w:p w14:paraId="155AD2B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31,74</w:t>
            </w:r>
          </w:p>
        </w:tc>
        <w:tc>
          <w:tcPr>
            <w:tcW w:w="1176" w:type="dxa"/>
            <w:tcBorders>
              <w:top w:val="nil"/>
              <w:left w:val="nil"/>
              <w:bottom w:val="single" w:sz="4" w:space="0" w:color="auto"/>
              <w:right w:val="single" w:sz="4" w:space="0" w:color="auto"/>
            </w:tcBorders>
            <w:vAlign w:val="center"/>
            <w:hideMark/>
          </w:tcPr>
          <w:p w14:paraId="58525A9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173,75</w:t>
            </w:r>
          </w:p>
        </w:tc>
      </w:tr>
      <w:tr w:rsidR="00904709" w:rsidRPr="006430EA" w14:paraId="2647D12D"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0F2BD3A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2015</w:t>
            </w:r>
          </w:p>
        </w:tc>
        <w:tc>
          <w:tcPr>
            <w:tcW w:w="1038" w:type="dxa"/>
            <w:tcBorders>
              <w:top w:val="nil"/>
              <w:left w:val="nil"/>
              <w:bottom w:val="single" w:sz="4" w:space="0" w:color="auto"/>
              <w:right w:val="single" w:sz="4" w:space="0" w:color="auto"/>
            </w:tcBorders>
            <w:noWrap/>
            <w:vAlign w:val="bottom"/>
            <w:hideMark/>
          </w:tcPr>
          <w:p w14:paraId="1F637BD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61,70</w:t>
            </w:r>
          </w:p>
        </w:tc>
        <w:tc>
          <w:tcPr>
            <w:tcW w:w="1079" w:type="dxa"/>
            <w:tcBorders>
              <w:top w:val="nil"/>
              <w:left w:val="nil"/>
              <w:bottom w:val="single" w:sz="4" w:space="0" w:color="auto"/>
              <w:right w:val="single" w:sz="4" w:space="0" w:color="auto"/>
            </w:tcBorders>
            <w:noWrap/>
            <w:vAlign w:val="bottom"/>
            <w:hideMark/>
          </w:tcPr>
          <w:p w14:paraId="4691EC1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32,61</w:t>
            </w:r>
          </w:p>
        </w:tc>
        <w:tc>
          <w:tcPr>
            <w:tcW w:w="979" w:type="dxa"/>
            <w:tcBorders>
              <w:top w:val="nil"/>
              <w:left w:val="nil"/>
              <w:bottom w:val="single" w:sz="4" w:space="0" w:color="auto"/>
              <w:right w:val="single" w:sz="4" w:space="0" w:color="auto"/>
            </w:tcBorders>
            <w:noWrap/>
            <w:vAlign w:val="bottom"/>
            <w:hideMark/>
          </w:tcPr>
          <w:p w14:paraId="671A650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7,84</w:t>
            </w:r>
          </w:p>
        </w:tc>
        <w:tc>
          <w:tcPr>
            <w:tcW w:w="1201" w:type="dxa"/>
            <w:tcBorders>
              <w:top w:val="nil"/>
              <w:left w:val="nil"/>
              <w:bottom w:val="single" w:sz="4" w:space="0" w:color="auto"/>
              <w:right w:val="single" w:sz="4" w:space="0" w:color="auto"/>
            </w:tcBorders>
            <w:vAlign w:val="center"/>
            <w:hideMark/>
          </w:tcPr>
          <w:p w14:paraId="7AA1918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102,14</w:t>
            </w:r>
          </w:p>
        </w:tc>
        <w:tc>
          <w:tcPr>
            <w:tcW w:w="1089" w:type="dxa"/>
            <w:gridSpan w:val="2"/>
            <w:tcBorders>
              <w:top w:val="nil"/>
              <w:left w:val="nil"/>
              <w:bottom w:val="single" w:sz="4" w:space="0" w:color="auto"/>
              <w:right w:val="single" w:sz="4" w:space="0" w:color="auto"/>
            </w:tcBorders>
            <w:noWrap/>
            <w:vAlign w:val="bottom"/>
            <w:hideMark/>
          </w:tcPr>
          <w:p w14:paraId="2358004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61,70</w:t>
            </w:r>
          </w:p>
        </w:tc>
        <w:tc>
          <w:tcPr>
            <w:tcW w:w="993" w:type="dxa"/>
            <w:tcBorders>
              <w:top w:val="nil"/>
              <w:left w:val="nil"/>
              <w:bottom w:val="single" w:sz="4" w:space="0" w:color="auto"/>
              <w:right w:val="single" w:sz="4" w:space="0" w:color="auto"/>
            </w:tcBorders>
            <w:noWrap/>
            <w:vAlign w:val="bottom"/>
            <w:hideMark/>
          </w:tcPr>
          <w:p w14:paraId="020F1B0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32,61</w:t>
            </w:r>
          </w:p>
        </w:tc>
        <w:tc>
          <w:tcPr>
            <w:tcW w:w="1275" w:type="dxa"/>
            <w:tcBorders>
              <w:top w:val="nil"/>
              <w:left w:val="nil"/>
              <w:bottom w:val="single" w:sz="4" w:space="0" w:color="auto"/>
              <w:right w:val="single" w:sz="4" w:space="0" w:color="auto"/>
            </w:tcBorders>
            <w:noWrap/>
            <w:vAlign w:val="bottom"/>
            <w:hideMark/>
          </w:tcPr>
          <w:p w14:paraId="188CABB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18,25</w:t>
            </w:r>
          </w:p>
        </w:tc>
        <w:tc>
          <w:tcPr>
            <w:tcW w:w="1327" w:type="dxa"/>
            <w:tcBorders>
              <w:top w:val="nil"/>
              <w:left w:val="nil"/>
              <w:bottom w:val="single" w:sz="4" w:space="0" w:color="auto"/>
              <w:right w:val="single" w:sz="4" w:space="0" w:color="auto"/>
            </w:tcBorders>
            <w:vAlign w:val="center"/>
            <w:hideMark/>
          </w:tcPr>
          <w:p w14:paraId="67A472F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112,56</w:t>
            </w:r>
          </w:p>
        </w:tc>
        <w:tc>
          <w:tcPr>
            <w:tcW w:w="967" w:type="dxa"/>
            <w:gridSpan w:val="2"/>
            <w:tcBorders>
              <w:top w:val="nil"/>
              <w:left w:val="nil"/>
              <w:bottom w:val="single" w:sz="4" w:space="0" w:color="auto"/>
              <w:right w:val="single" w:sz="4" w:space="0" w:color="auto"/>
            </w:tcBorders>
            <w:noWrap/>
            <w:vAlign w:val="bottom"/>
            <w:hideMark/>
          </w:tcPr>
          <w:p w14:paraId="2ADB0BE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123,39</w:t>
            </w:r>
          </w:p>
        </w:tc>
        <w:tc>
          <w:tcPr>
            <w:tcW w:w="1250" w:type="dxa"/>
            <w:tcBorders>
              <w:top w:val="nil"/>
              <w:left w:val="nil"/>
              <w:bottom w:val="single" w:sz="4" w:space="0" w:color="auto"/>
              <w:right w:val="single" w:sz="4" w:space="0" w:color="auto"/>
            </w:tcBorders>
            <w:noWrap/>
            <w:vAlign w:val="bottom"/>
            <w:hideMark/>
          </w:tcPr>
          <w:p w14:paraId="306564A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65,22</w:t>
            </w:r>
          </w:p>
        </w:tc>
        <w:tc>
          <w:tcPr>
            <w:tcW w:w="1111" w:type="dxa"/>
            <w:tcBorders>
              <w:top w:val="nil"/>
              <w:left w:val="nil"/>
              <w:bottom w:val="single" w:sz="4" w:space="0" w:color="auto"/>
              <w:right w:val="single" w:sz="4" w:space="0" w:color="auto"/>
            </w:tcBorders>
            <w:noWrap/>
            <w:vAlign w:val="bottom"/>
            <w:hideMark/>
          </w:tcPr>
          <w:p w14:paraId="3CD3478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26,09</w:t>
            </w:r>
          </w:p>
        </w:tc>
        <w:tc>
          <w:tcPr>
            <w:tcW w:w="1176" w:type="dxa"/>
            <w:tcBorders>
              <w:top w:val="nil"/>
              <w:left w:val="nil"/>
              <w:bottom w:val="single" w:sz="4" w:space="0" w:color="auto"/>
              <w:right w:val="single" w:sz="4" w:space="0" w:color="auto"/>
            </w:tcBorders>
            <w:vAlign w:val="center"/>
            <w:hideMark/>
          </w:tcPr>
          <w:p w14:paraId="106C500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214,7</w:t>
            </w:r>
          </w:p>
        </w:tc>
      </w:tr>
      <w:tr w:rsidR="00904709" w:rsidRPr="006430EA" w14:paraId="27339BAC"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2C3065A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2016</w:t>
            </w:r>
          </w:p>
        </w:tc>
        <w:tc>
          <w:tcPr>
            <w:tcW w:w="1038" w:type="dxa"/>
            <w:tcBorders>
              <w:top w:val="nil"/>
              <w:left w:val="nil"/>
              <w:bottom w:val="single" w:sz="4" w:space="0" w:color="auto"/>
              <w:right w:val="single" w:sz="4" w:space="0" w:color="auto"/>
            </w:tcBorders>
            <w:noWrap/>
            <w:vAlign w:val="bottom"/>
            <w:hideMark/>
          </w:tcPr>
          <w:p w14:paraId="57B82A8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64,10</w:t>
            </w:r>
          </w:p>
        </w:tc>
        <w:tc>
          <w:tcPr>
            <w:tcW w:w="1079" w:type="dxa"/>
            <w:tcBorders>
              <w:top w:val="nil"/>
              <w:left w:val="nil"/>
              <w:bottom w:val="single" w:sz="4" w:space="0" w:color="auto"/>
              <w:right w:val="single" w:sz="4" w:space="0" w:color="auto"/>
            </w:tcBorders>
            <w:noWrap/>
            <w:vAlign w:val="bottom"/>
            <w:hideMark/>
          </w:tcPr>
          <w:p w14:paraId="4F456B9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43,19</w:t>
            </w:r>
          </w:p>
        </w:tc>
        <w:tc>
          <w:tcPr>
            <w:tcW w:w="979" w:type="dxa"/>
            <w:tcBorders>
              <w:top w:val="nil"/>
              <w:left w:val="nil"/>
              <w:bottom w:val="single" w:sz="4" w:space="0" w:color="auto"/>
              <w:right w:val="single" w:sz="4" w:space="0" w:color="auto"/>
            </w:tcBorders>
            <w:noWrap/>
            <w:vAlign w:val="bottom"/>
            <w:hideMark/>
          </w:tcPr>
          <w:p w14:paraId="353D702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7,47</w:t>
            </w:r>
          </w:p>
        </w:tc>
        <w:tc>
          <w:tcPr>
            <w:tcW w:w="1201" w:type="dxa"/>
            <w:tcBorders>
              <w:top w:val="nil"/>
              <w:left w:val="nil"/>
              <w:bottom w:val="single" w:sz="4" w:space="0" w:color="auto"/>
              <w:right w:val="single" w:sz="4" w:space="0" w:color="auto"/>
            </w:tcBorders>
            <w:vAlign w:val="center"/>
            <w:hideMark/>
          </w:tcPr>
          <w:p w14:paraId="11052C8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114,77</w:t>
            </w:r>
          </w:p>
        </w:tc>
        <w:tc>
          <w:tcPr>
            <w:tcW w:w="1089" w:type="dxa"/>
            <w:gridSpan w:val="2"/>
            <w:tcBorders>
              <w:top w:val="nil"/>
              <w:left w:val="nil"/>
              <w:bottom w:val="single" w:sz="4" w:space="0" w:color="auto"/>
              <w:right w:val="single" w:sz="4" w:space="0" w:color="auto"/>
            </w:tcBorders>
            <w:noWrap/>
            <w:vAlign w:val="bottom"/>
            <w:hideMark/>
          </w:tcPr>
          <w:p w14:paraId="0E8A7AD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64,10</w:t>
            </w:r>
          </w:p>
        </w:tc>
        <w:tc>
          <w:tcPr>
            <w:tcW w:w="993" w:type="dxa"/>
            <w:tcBorders>
              <w:top w:val="nil"/>
              <w:left w:val="nil"/>
              <w:bottom w:val="single" w:sz="4" w:space="0" w:color="auto"/>
              <w:right w:val="single" w:sz="4" w:space="0" w:color="auto"/>
            </w:tcBorders>
            <w:noWrap/>
            <w:vAlign w:val="bottom"/>
            <w:hideMark/>
          </w:tcPr>
          <w:p w14:paraId="719708E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43,19</w:t>
            </w:r>
          </w:p>
        </w:tc>
        <w:tc>
          <w:tcPr>
            <w:tcW w:w="1275" w:type="dxa"/>
            <w:tcBorders>
              <w:top w:val="nil"/>
              <w:left w:val="nil"/>
              <w:bottom w:val="single" w:sz="4" w:space="0" w:color="auto"/>
              <w:right w:val="single" w:sz="4" w:space="0" w:color="auto"/>
            </w:tcBorders>
            <w:noWrap/>
            <w:vAlign w:val="bottom"/>
            <w:hideMark/>
          </w:tcPr>
          <w:p w14:paraId="4A3D89B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10,46</w:t>
            </w:r>
          </w:p>
        </w:tc>
        <w:tc>
          <w:tcPr>
            <w:tcW w:w="1327" w:type="dxa"/>
            <w:tcBorders>
              <w:top w:val="nil"/>
              <w:left w:val="nil"/>
              <w:bottom w:val="single" w:sz="4" w:space="0" w:color="auto"/>
              <w:right w:val="single" w:sz="4" w:space="0" w:color="auto"/>
            </w:tcBorders>
            <w:vAlign w:val="center"/>
            <w:hideMark/>
          </w:tcPr>
          <w:p w14:paraId="35D91EC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117,75</w:t>
            </w:r>
          </w:p>
        </w:tc>
        <w:tc>
          <w:tcPr>
            <w:tcW w:w="967" w:type="dxa"/>
            <w:gridSpan w:val="2"/>
            <w:tcBorders>
              <w:top w:val="nil"/>
              <w:left w:val="nil"/>
              <w:bottom w:val="single" w:sz="4" w:space="0" w:color="auto"/>
              <w:right w:val="single" w:sz="4" w:space="0" w:color="auto"/>
            </w:tcBorders>
            <w:noWrap/>
            <w:vAlign w:val="bottom"/>
            <w:hideMark/>
          </w:tcPr>
          <w:p w14:paraId="657F78D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128,21</w:t>
            </w:r>
          </w:p>
        </w:tc>
        <w:tc>
          <w:tcPr>
            <w:tcW w:w="1250" w:type="dxa"/>
            <w:tcBorders>
              <w:top w:val="nil"/>
              <w:left w:val="nil"/>
              <w:bottom w:val="single" w:sz="4" w:space="0" w:color="auto"/>
              <w:right w:val="single" w:sz="4" w:space="0" w:color="auto"/>
            </w:tcBorders>
            <w:noWrap/>
            <w:vAlign w:val="bottom"/>
            <w:hideMark/>
          </w:tcPr>
          <w:p w14:paraId="664B85D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86,39</w:t>
            </w:r>
          </w:p>
        </w:tc>
        <w:tc>
          <w:tcPr>
            <w:tcW w:w="1111" w:type="dxa"/>
            <w:tcBorders>
              <w:top w:val="nil"/>
              <w:left w:val="nil"/>
              <w:bottom w:val="single" w:sz="4" w:space="0" w:color="auto"/>
              <w:right w:val="single" w:sz="4" w:space="0" w:color="auto"/>
            </w:tcBorders>
            <w:noWrap/>
            <w:vAlign w:val="bottom"/>
            <w:hideMark/>
          </w:tcPr>
          <w:p w14:paraId="7A59F8E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17,93</w:t>
            </w:r>
          </w:p>
        </w:tc>
        <w:tc>
          <w:tcPr>
            <w:tcW w:w="1176" w:type="dxa"/>
            <w:tcBorders>
              <w:top w:val="nil"/>
              <w:left w:val="nil"/>
              <w:bottom w:val="single" w:sz="4" w:space="0" w:color="auto"/>
              <w:right w:val="single" w:sz="4" w:space="0" w:color="auto"/>
            </w:tcBorders>
            <w:vAlign w:val="center"/>
            <w:hideMark/>
          </w:tcPr>
          <w:p w14:paraId="68AF469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232,52</w:t>
            </w:r>
          </w:p>
        </w:tc>
      </w:tr>
      <w:tr w:rsidR="00904709" w:rsidRPr="006430EA" w14:paraId="778B4E5F"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01E7CB4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2017</w:t>
            </w:r>
          </w:p>
        </w:tc>
        <w:tc>
          <w:tcPr>
            <w:tcW w:w="1038" w:type="dxa"/>
            <w:tcBorders>
              <w:top w:val="nil"/>
              <w:left w:val="nil"/>
              <w:bottom w:val="single" w:sz="4" w:space="0" w:color="auto"/>
              <w:right w:val="single" w:sz="4" w:space="0" w:color="auto"/>
            </w:tcBorders>
            <w:noWrap/>
            <w:vAlign w:val="bottom"/>
            <w:hideMark/>
          </w:tcPr>
          <w:p w14:paraId="346E730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49,98</w:t>
            </w:r>
          </w:p>
        </w:tc>
        <w:tc>
          <w:tcPr>
            <w:tcW w:w="1079" w:type="dxa"/>
            <w:tcBorders>
              <w:top w:val="nil"/>
              <w:left w:val="nil"/>
              <w:bottom w:val="single" w:sz="4" w:space="0" w:color="auto"/>
              <w:right w:val="single" w:sz="4" w:space="0" w:color="auto"/>
            </w:tcBorders>
            <w:noWrap/>
            <w:vAlign w:val="bottom"/>
            <w:hideMark/>
          </w:tcPr>
          <w:p w14:paraId="0C3FC6A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49,50</w:t>
            </w:r>
          </w:p>
        </w:tc>
        <w:tc>
          <w:tcPr>
            <w:tcW w:w="979" w:type="dxa"/>
            <w:tcBorders>
              <w:top w:val="nil"/>
              <w:left w:val="nil"/>
              <w:bottom w:val="single" w:sz="4" w:space="0" w:color="auto"/>
              <w:right w:val="single" w:sz="4" w:space="0" w:color="auto"/>
            </w:tcBorders>
            <w:noWrap/>
            <w:vAlign w:val="bottom"/>
            <w:hideMark/>
          </w:tcPr>
          <w:p w14:paraId="05B425B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6,16</w:t>
            </w:r>
          </w:p>
        </w:tc>
        <w:tc>
          <w:tcPr>
            <w:tcW w:w="1201" w:type="dxa"/>
            <w:tcBorders>
              <w:top w:val="nil"/>
              <w:left w:val="nil"/>
              <w:bottom w:val="single" w:sz="4" w:space="0" w:color="auto"/>
              <w:right w:val="single" w:sz="4" w:space="0" w:color="auto"/>
            </w:tcBorders>
            <w:vAlign w:val="center"/>
            <w:hideMark/>
          </w:tcPr>
          <w:p w14:paraId="6B16E64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105,65</w:t>
            </w:r>
          </w:p>
        </w:tc>
        <w:tc>
          <w:tcPr>
            <w:tcW w:w="1089" w:type="dxa"/>
            <w:gridSpan w:val="2"/>
            <w:tcBorders>
              <w:top w:val="nil"/>
              <w:left w:val="nil"/>
              <w:bottom w:val="single" w:sz="4" w:space="0" w:color="auto"/>
              <w:right w:val="single" w:sz="4" w:space="0" w:color="auto"/>
            </w:tcBorders>
            <w:noWrap/>
            <w:vAlign w:val="bottom"/>
            <w:hideMark/>
          </w:tcPr>
          <w:p w14:paraId="688CBF4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49,98</w:t>
            </w:r>
          </w:p>
        </w:tc>
        <w:tc>
          <w:tcPr>
            <w:tcW w:w="993" w:type="dxa"/>
            <w:tcBorders>
              <w:top w:val="nil"/>
              <w:left w:val="nil"/>
              <w:bottom w:val="single" w:sz="4" w:space="0" w:color="auto"/>
              <w:right w:val="single" w:sz="4" w:space="0" w:color="auto"/>
            </w:tcBorders>
            <w:noWrap/>
            <w:vAlign w:val="bottom"/>
            <w:hideMark/>
          </w:tcPr>
          <w:p w14:paraId="7A92FB4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49,50</w:t>
            </w:r>
          </w:p>
        </w:tc>
        <w:tc>
          <w:tcPr>
            <w:tcW w:w="1275" w:type="dxa"/>
            <w:tcBorders>
              <w:top w:val="nil"/>
              <w:left w:val="nil"/>
              <w:bottom w:val="single" w:sz="4" w:space="0" w:color="auto"/>
              <w:right w:val="single" w:sz="4" w:space="0" w:color="auto"/>
            </w:tcBorders>
            <w:noWrap/>
            <w:vAlign w:val="bottom"/>
            <w:hideMark/>
          </w:tcPr>
          <w:p w14:paraId="73BFCA7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12,88</w:t>
            </w:r>
          </w:p>
        </w:tc>
        <w:tc>
          <w:tcPr>
            <w:tcW w:w="1327" w:type="dxa"/>
            <w:tcBorders>
              <w:top w:val="nil"/>
              <w:left w:val="nil"/>
              <w:bottom w:val="single" w:sz="4" w:space="0" w:color="auto"/>
              <w:right w:val="single" w:sz="4" w:space="0" w:color="auto"/>
            </w:tcBorders>
            <w:vAlign w:val="center"/>
            <w:hideMark/>
          </w:tcPr>
          <w:p w14:paraId="1FC7C74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112,37</w:t>
            </w:r>
          </w:p>
        </w:tc>
        <w:tc>
          <w:tcPr>
            <w:tcW w:w="967" w:type="dxa"/>
            <w:gridSpan w:val="2"/>
            <w:tcBorders>
              <w:top w:val="nil"/>
              <w:left w:val="nil"/>
              <w:bottom w:val="single" w:sz="4" w:space="0" w:color="auto"/>
              <w:right w:val="single" w:sz="4" w:space="0" w:color="auto"/>
            </w:tcBorders>
            <w:noWrap/>
            <w:vAlign w:val="bottom"/>
            <w:hideMark/>
          </w:tcPr>
          <w:p w14:paraId="4E3576C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99,96</w:t>
            </w:r>
          </w:p>
        </w:tc>
        <w:tc>
          <w:tcPr>
            <w:tcW w:w="1250" w:type="dxa"/>
            <w:tcBorders>
              <w:top w:val="nil"/>
              <w:left w:val="nil"/>
              <w:bottom w:val="single" w:sz="4" w:space="0" w:color="auto"/>
              <w:right w:val="single" w:sz="4" w:space="0" w:color="auto"/>
            </w:tcBorders>
            <w:noWrap/>
            <w:vAlign w:val="bottom"/>
            <w:hideMark/>
          </w:tcPr>
          <w:p w14:paraId="741A13F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99,01</w:t>
            </w:r>
          </w:p>
        </w:tc>
        <w:tc>
          <w:tcPr>
            <w:tcW w:w="1111" w:type="dxa"/>
            <w:tcBorders>
              <w:top w:val="nil"/>
              <w:left w:val="nil"/>
              <w:bottom w:val="single" w:sz="4" w:space="0" w:color="auto"/>
              <w:right w:val="single" w:sz="4" w:space="0" w:color="auto"/>
            </w:tcBorders>
            <w:noWrap/>
            <w:vAlign w:val="bottom"/>
            <w:hideMark/>
          </w:tcPr>
          <w:p w14:paraId="277CF7F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19,05</w:t>
            </w:r>
          </w:p>
        </w:tc>
        <w:tc>
          <w:tcPr>
            <w:tcW w:w="1176" w:type="dxa"/>
            <w:tcBorders>
              <w:top w:val="nil"/>
              <w:left w:val="nil"/>
              <w:bottom w:val="single" w:sz="4" w:space="0" w:color="auto"/>
              <w:right w:val="single" w:sz="4" w:space="0" w:color="auto"/>
            </w:tcBorders>
            <w:vAlign w:val="center"/>
            <w:hideMark/>
          </w:tcPr>
          <w:p w14:paraId="0041CE1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218,02</w:t>
            </w:r>
          </w:p>
        </w:tc>
      </w:tr>
      <w:tr w:rsidR="00904709" w:rsidRPr="006430EA" w14:paraId="0FD91DB1"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364A777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2018</w:t>
            </w:r>
          </w:p>
        </w:tc>
        <w:tc>
          <w:tcPr>
            <w:tcW w:w="1038" w:type="dxa"/>
            <w:tcBorders>
              <w:top w:val="nil"/>
              <w:left w:val="nil"/>
              <w:bottom w:val="single" w:sz="4" w:space="0" w:color="auto"/>
              <w:right w:val="single" w:sz="4" w:space="0" w:color="auto"/>
            </w:tcBorders>
            <w:noWrap/>
            <w:vAlign w:val="bottom"/>
            <w:hideMark/>
          </w:tcPr>
          <w:p w14:paraId="61D505B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29,00</w:t>
            </w:r>
          </w:p>
        </w:tc>
        <w:tc>
          <w:tcPr>
            <w:tcW w:w="1079" w:type="dxa"/>
            <w:tcBorders>
              <w:top w:val="nil"/>
              <w:left w:val="nil"/>
              <w:bottom w:val="single" w:sz="4" w:space="0" w:color="auto"/>
              <w:right w:val="single" w:sz="4" w:space="0" w:color="auto"/>
            </w:tcBorders>
            <w:noWrap/>
            <w:vAlign w:val="bottom"/>
            <w:hideMark/>
          </w:tcPr>
          <w:p w14:paraId="4448106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35,99</w:t>
            </w:r>
          </w:p>
        </w:tc>
        <w:tc>
          <w:tcPr>
            <w:tcW w:w="979" w:type="dxa"/>
            <w:tcBorders>
              <w:top w:val="nil"/>
              <w:left w:val="nil"/>
              <w:bottom w:val="single" w:sz="4" w:space="0" w:color="auto"/>
              <w:right w:val="single" w:sz="4" w:space="0" w:color="auto"/>
            </w:tcBorders>
            <w:noWrap/>
            <w:vAlign w:val="bottom"/>
            <w:hideMark/>
          </w:tcPr>
          <w:p w14:paraId="1BA9DC4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4,54</w:t>
            </w:r>
          </w:p>
        </w:tc>
        <w:tc>
          <w:tcPr>
            <w:tcW w:w="1201" w:type="dxa"/>
            <w:tcBorders>
              <w:top w:val="nil"/>
              <w:left w:val="nil"/>
              <w:bottom w:val="single" w:sz="4" w:space="0" w:color="auto"/>
              <w:right w:val="single" w:sz="4" w:space="0" w:color="auto"/>
            </w:tcBorders>
            <w:vAlign w:val="center"/>
            <w:hideMark/>
          </w:tcPr>
          <w:p w14:paraId="5E73F3E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69,52</w:t>
            </w:r>
          </w:p>
        </w:tc>
        <w:tc>
          <w:tcPr>
            <w:tcW w:w="1089" w:type="dxa"/>
            <w:gridSpan w:val="2"/>
            <w:tcBorders>
              <w:top w:val="nil"/>
              <w:left w:val="nil"/>
              <w:bottom w:val="single" w:sz="4" w:space="0" w:color="auto"/>
              <w:right w:val="single" w:sz="4" w:space="0" w:color="auto"/>
            </w:tcBorders>
            <w:noWrap/>
            <w:vAlign w:val="bottom"/>
            <w:hideMark/>
          </w:tcPr>
          <w:p w14:paraId="216168B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29,00</w:t>
            </w:r>
          </w:p>
        </w:tc>
        <w:tc>
          <w:tcPr>
            <w:tcW w:w="993" w:type="dxa"/>
            <w:tcBorders>
              <w:top w:val="nil"/>
              <w:left w:val="nil"/>
              <w:bottom w:val="single" w:sz="4" w:space="0" w:color="auto"/>
              <w:right w:val="single" w:sz="4" w:space="0" w:color="auto"/>
            </w:tcBorders>
            <w:noWrap/>
            <w:vAlign w:val="bottom"/>
            <w:hideMark/>
          </w:tcPr>
          <w:p w14:paraId="30FA44D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35,99</w:t>
            </w:r>
          </w:p>
        </w:tc>
        <w:tc>
          <w:tcPr>
            <w:tcW w:w="1275" w:type="dxa"/>
            <w:tcBorders>
              <w:top w:val="nil"/>
              <w:left w:val="nil"/>
              <w:bottom w:val="single" w:sz="4" w:space="0" w:color="auto"/>
              <w:right w:val="single" w:sz="4" w:space="0" w:color="auto"/>
            </w:tcBorders>
            <w:noWrap/>
            <w:vAlign w:val="bottom"/>
            <w:hideMark/>
          </w:tcPr>
          <w:p w14:paraId="0C2FAD3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8,70</w:t>
            </w:r>
          </w:p>
        </w:tc>
        <w:tc>
          <w:tcPr>
            <w:tcW w:w="1327" w:type="dxa"/>
            <w:tcBorders>
              <w:top w:val="nil"/>
              <w:left w:val="nil"/>
              <w:bottom w:val="single" w:sz="4" w:space="0" w:color="auto"/>
              <w:right w:val="single" w:sz="4" w:space="0" w:color="auto"/>
            </w:tcBorders>
            <w:vAlign w:val="center"/>
            <w:hideMark/>
          </w:tcPr>
          <w:p w14:paraId="1C15114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73,69</w:t>
            </w:r>
          </w:p>
        </w:tc>
        <w:tc>
          <w:tcPr>
            <w:tcW w:w="967" w:type="dxa"/>
            <w:gridSpan w:val="2"/>
            <w:tcBorders>
              <w:top w:val="nil"/>
              <w:left w:val="nil"/>
              <w:bottom w:val="single" w:sz="4" w:space="0" w:color="auto"/>
              <w:right w:val="single" w:sz="4" w:space="0" w:color="auto"/>
            </w:tcBorders>
            <w:noWrap/>
            <w:vAlign w:val="bottom"/>
            <w:hideMark/>
          </w:tcPr>
          <w:p w14:paraId="6F4421F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57,99</w:t>
            </w:r>
          </w:p>
        </w:tc>
        <w:tc>
          <w:tcPr>
            <w:tcW w:w="1250" w:type="dxa"/>
            <w:tcBorders>
              <w:top w:val="nil"/>
              <w:left w:val="nil"/>
              <w:bottom w:val="single" w:sz="4" w:space="0" w:color="auto"/>
              <w:right w:val="single" w:sz="4" w:space="0" w:color="auto"/>
            </w:tcBorders>
            <w:noWrap/>
            <w:vAlign w:val="bottom"/>
            <w:hideMark/>
          </w:tcPr>
          <w:p w14:paraId="23D7C66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71,97</w:t>
            </w:r>
          </w:p>
        </w:tc>
        <w:tc>
          <w:tcPr>
            <w:tcW w:w="1111" w:type="dxa"/>
            <w:tcBorders>
              <w:top w:val="nil"/>
              <w:left w:val="nil"/>
              <w:bottom w:val="single" w:sz="4" w:space="0" w:color="auto"/>
              <w:right w:val="single" w:sz="4" w:space="0" w:color="auto"/>
            </w:tcBorders>
            <w:noWrap/>
            <w:vAlign w:val="bottom"/>
            <w:hideMark/>
          </w:tcPr>
          <w:p w14:paraId="27E3A7A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13,24</w:t>
            </w:r>
          </w:p>
        </w:tc>
        <w:tc>
          <w:tcPr>
            <w:tcW w:w="1176" w:type="dxa"/>
            <w:tcBorders>
              <w:top w:val="nil"/>
              <w:left w:val="nil"/>
              <w:bottom w:val="single" w:sz="4" w:space="0" w:color="auto"/>
              <w:right w:val="single" w:sz="4" w:space="0" w:color="auto"/>
            </w:tcBorders>
            <w:vAlign w:val="center"/>
            <w:hideMark/>
          </w:tcPr>
          <w:p w14:paraId="63A36EA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143,2</w:t>
            </w:r>
          </w:p>
        </w:tc>
      </w:tr>
      <w:tr w:rsidR="00904709" w:rsidRPr="006430EA" w14:paraId="62414C77"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1754D00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2019</w:t>
            </w:r>
          </w:p>
        </w:tc>
        <w:tc>
          <w:tcPr>
            <w:tcW w:w="1038" w:type="dxa"/>
            <w:tcBorders>
              <w:top w:val="nil"/>
              <w:left w:val="nil"/>
              <w:bottom w:val="single" w:sz="4" w:space="0" w:color="auto"/>
              <w:right w:val="single" w:sz="4" w:space="0" w:color="auto"/>
            </w:tcBorders>
            <w:noWrap/>
            <w:vAlign w:val="bottom"/>
            <w:hideMark/>
          </w:tcPr>
          <w:p w14:paraId="2BBDE71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9,93</w:t>
            </w:r>
          </w:p>
        </w:tc>
        <w:tc>
          <w:tcPr>
            <w:tcW w:w="1079" w:type="dxa"/>
            <w:tcBorders>
              <w:top w:val="nil"/>
              <w:left w:val="nil"/>
              <w:bottom w:val="single" w:sz="4" w:space="0" w:color="auto"/>
              <w:right w:val="single" w:sz="4" w:space="0" w:color="auto"/>
            </w:tcBorders>
            <w:noWrap/>
            <w:vAlign w:val="bottom"/>
            <w:hideMark/>
          </w:tcPr>
          <w:p w14:paraId="2F569CC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8,54</w:t>
            </w:r>
          </w:p>
        </w:tc>
        <w:tc>
          <w:tcPr>
            <w:tcW w:w="979" w:type="dxa"/>
            <w:tcBorders>
              <w:top w:val="nil"/>
              <w:left w:val="nil"/>
              <w:bottom w:val="single" w:sz="4" w:space="0" w:color="auto"/>
              <w:right w:val="single" w:sz="4" w:space="0" w:color="auto"/>
            </w:tcBorders>
            <w:noWrap/>
            <w:vAlign w:val="bottom"/>
            <w:hideMark/>
          </w:tcPr>
          <w:p w14:paraId="28C8F56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1,15</w:t>
            </w:r>
          </w:p>
        </w:tc>
        <w:tc>
          <w:tcPr>
            <w:tcW w:w="1201" w:type="dxa"/>
            <w:tcBorders>
              <w:top w:val="nil"/>
              <w:left w:val="nil"/>
              <w:bottom w:val="single" w:sz="4" w:space="0" w:color="auto"/>
              <w:right w:val="single" w:sz="4" w:space="0" w:color="auto"/>
            </w:tcBorders>
            <w:vAlign w:val="center"/>
            <w:hideMark/>
          </w:tcPr>
          <w:p w14:paraId="407A4C7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20,04</w:t>
            </w:r>
          </w:p>
        </w:tc>
        <w:tc>
          <w:tcPr>
            <w:tcW w:w="1089" w:type="dxa"/>
            <w:gridSpan w:val="2"/>
            <w:tcBorders>
              <w:top w:val="nil"/>
              <w:left w:val="nil"/>
              <w:bottom w:val="single" w:sz="4" w:space="0" w:color="auto"/>
              <w:right w:val="single" w:sz="4" w:space="0" w:color="auto"/>
            </w:tcBorders>
            <w:noWrap/>
            <w:vAlign w:val="bottom"/>
            <w:hideMark/>
          </w:tcPr>
          <w:p w14:paraId="2ED4ADA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9,93</w:t>
            </w:r>
          </w:p>
        </w:tc>
        <w:tc>
          <w:tcPr>
            <w:tcW w:w="993" w:type="dxa"/>
            <w:tcBorders>
              <w:top w:val="nil"/>
              <w:left w:val="nil"/>
              <w:bottom w:val="single" w:sz="4" w:space="0" w:color="auto"/>
              <w:right w:val="single" w:sz="4" w:space="0" w:color="auto"/>
            </w:tcBorders>
            <w:noWrap/>
            <w:vAlign w:val="bottom"/>
            <w:hideMark/>
          </w:tcPr>
          <w:p w14:paraId="3017990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8,54</w:t>
            </w:r>
          </w:p>
        </w:tc>
        <w:tc>
          <w:tcPr>
            <w:tcW w:w="1275" w:type="dxa"/>
            <w:tcBorders>
              <w:top w:val="nil"/>
              <w:left w:val="nil"/>
              <w:bottom w:val="single" w:sz="4" w:space="0" w:color="auto"/>
              <w:right w:val="single" w:sz="4" w:space="0" w:color="auto"/>
            </w:tcBorders>
            <w:noWrap/>
            <w:vAlign w:val="bottom"/>
            <w:hideMark/>
          </w:tcPr>
          <w:p w14:paraId="1456201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2,49</w:t>
            </w:r>
          </w:p>
        </w:tc>
        <w:tc>
          <w:tcPr>
            <w:tcW w:w="1327" w:type="dxa"/>
            <w:tcBorders>
              <w:top w:val="nil"/>
              <w:left w:val="nil"/>
              <w:bottom w:val="single" w:sz="4" w:space="0" w:color="auto"/>
              <w:right w:val="single" w:sz="4" w:space="0" w:color="auto"/>
            </w:tcBorders>
            <w:vAlign w:val="center"/>
            <w:hideMark/>
          </w:tcPr>
          <w:p w14:paraId="471B0DC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21,38</w:t>
            </w:r>
          </w:p>
        </w:tc>
        <w:tc>
          <w:tcPr>
            <w:tcW w:w="967" w:type="dxa"/>
            <w:gridSpan w:val="2"/>
            <w:tcBorders>
              <w:top w:val="nil"/>
              <w:left w:val="nil"/>
              <w:bottom w:val="single" w:sz="4" w:space="0" w:color="auto"/>
              <w:right w:val="single" w:sz="4" w:space="0" w:color="auto"/>
            </w:tcBorders>
            <w:noWrap/>
            <w:vAlign w:val="bottom"/>
            <w:hideMark/>
          </w:tcPr>
          <w:p w14:paraId="73ECF7F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19,87</w:t>
            </w:r>
          </w:p>
        </w:tc>
        <w:tc>
          <w:tcPr>
            <w:tcW w:w="1250" w:type="dxa"/>
            <w:tcBorders>
              <w:top w:val="nil"/>
              <w:left w:val="nil"/>
              <w:bottom w:val="single" w:sz="4" w:space="0" w:color="auto"/>
              <w:right w:val="single" w:sz="4" w:space="0" w:color="auto"/>
            </w:tcBorders>
            <w:noWrap/>
            <w:vAlign w:val="bottom"/>
            <w:hideMark/>
          </w:tcPr>
          <w:p w14:paraId="64F29D8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17,08</w:t>
            </w:r>
          </w:p>
        </w:tc>
        <w:tc>
          <w:tcPr>
            <w:tcW w:w="1111" w:type="dxa"/>
            <w:tcBorders>
              <w:top w:val="nil"/>
              <w:left w:val="nil"/>
              <w:bottom w:val="single" w:sz="4" w:space="0" w:color="auto"/>
              <w:right w:val="single" w:sz="4" w:space="0" w:color="auto"/>
            </w:tcBorders>
            <w:noWrap/>
            <w:vAlign w:val="bottom"/>
            <w:hideMark/>
          </w:tcPr>
          <w:p w14:paraId="4A92C86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3,65</w:t>
            </w:r>
          </w:p>
        </w:tc>
        <w:tc>
          <w:tcPr>
            <w:tcW w:w="1176" w:type="dxa"/>
            <w:tcBorders>
              <w:top w:val="nil"/>
              <w:left w:val="nil"/>
              <w:bottom w:val="single" w:sz="4" w:space="0" w:color="auto"/>
              <w:right w:val="single" w:sz="4" w:space="0" w:color="auto"/>
            </w:tcBorders>
            <w:vAlign w:val="center"/>
            <w:hideMark/>
          </w:tcPr>
          <w:p w14:paraId="7C1F926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41,42</w:t>
            </w:r>
          </w:p>
        </w:tc>
      </w:tr>
      <w:tr w:rsidR="00904709" w:rsidRPr="006430EA" w14:paraId="4D220580"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7E1F6E9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2020</w:t>
            </w:r>
          </w:p>
        </w:tc>
        <w:tc>
          <w:tcPr>
            <w:tcW w:w="1038" w:type="dxa"/>
            <w:tcBorders>
              <w:top w:val="nil"/>
              <w:left w:val="nil"/>
              <w:bottom w:val="single" w:sz="4" w:space="0" w:color="auto"/>
              <w:right w:val="single" w:sz="4" w:space="0" w:color="auto"/>
            </w:tcBorders>
            <w:noWrap/>
            <w:vAlign w:val="bottom"/>
            <w:hideMark/>
          </w:tcPr>
          <w:p w14:paraId="16E245E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43,37</w:t>
            </w:r>
          </w:p>
        </w:tc>
        <w:tc>
          <w:tcPr>
            <w:tcW w:w="1079" w:type="dxa"/>
            <w:tcBorders>
              <w:top w:val="nil"/>
              <w:left w:val="nil"/>
              <w:bottom w:val="single" w:sz="4" w:space="0" w:color="auto"/>
              <w:right w:val="single" w:sz="4" w:space="0" w:color="auto"/>
            </w:tcBorders>
            <w:noWrap/>
            <w:vAlign w:val="bottom"/>
            <w:hideMark/>
          </w:tcPr>
          <w:p w14:paraId="01A0D82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42,81</w:t>
            </w:r>
          </w:p>
        </w:tc>
        <w:tc>
          <w:tcPr>
            <w:tcW w:w="979" w:type="dxa"/>
            <w:tcBorders>
              <w:top w:val="nil"/>
              <w:left w:val="nil"/>
              <w:bottom w:val="single" w:sz="4" w:space="0" w:color="auto"/>
              <w:right w:val="single" w:sz="4" w:space="0" w:color="auto"/>
            </w:tcBorders>
            <w:noWrap/>
            <w:vAlign w:val="bottom"/>
            <w:hideMark/>
          </w:tcPr>
          <w:p w14:paraId="1292431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3,93</w:t>
            </w:r>
          </w:p>
        </w:tc>
        <w:tc>
          <w:tcPr>
            <w:tcW w:w="1201" w:type="dxa"/>
            <w:tcBorders>
              <w:top w:val="nil"/>
              <w:left w:val="nil"/>
              <w:bottom w:val="single" w:sz="4" w:space="0" w:color="auto"/>
              <w:right w:val="single" w:sz="4" w:space="0" w:color="auto"/>
            </w:tcBorders>
            <w:vAlign w:val="center"/>
            <w:hideMark/>
          </w:tcPr>
          <w:p w14:paraId="10239B4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90,11</w:t>
            </w:r>
          </w:p>
        </w:tc>
        <w:tc>
          <w:tcPr>
            <w:tcW w:w="1089" w:type="dxa"/>
            <w:gridSpan w:val="2"/>
            <w:tcBorders>
              <w:top w:val="nil"/>
              <w:left w:val="nil"/>
              <w:bottom w:val="single" w:sz="4" w:space="0" w:color="auto"/>
              <w:right w:val="single" w:sz="4" w:space="0" w:color="auto"/>
            </w:tcBorders>
            <w:noWrap/>
            <w:vAlign w:val="bottom"/>
            <w:hideMark/>
          </w:tcPr>
          <w:p w14:paraId="410999D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43,37</w:t>
            </w:r>
          </w:p>
        </w:tc>
        <w:tc>
          <w:tcPr>
            <w:tcW w:w="993" w:type="dxa"/>
            <w:tcBorders>
              <w:top w:val="nil"/>
              <w:left w:val="nil"/>
              <w:bottom w:val="single" w:sz="4" w:space="0" w:color="auto"/>
              <w:right w:val="single" w:sz="4" w:space="0" w:color="auto"/>
            </w:tcBorders>
            <w:noWrap/>
            <w:vAlign w:val="bottom"/>
            <w:hideMark/>
          </w:tcPr>
          <w:p w14:paraId="285F025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42,81</w:t>
            </w:r>
          </w:p>
        </w:tc>
        <w:tc>
          <w:tcPr>
            <w:tcW w:w="1275" w:type="dxa"/>
            <w:tcBorders>
              <w:top w:val="nil"/>
              <w:left w:val="nil"/>
              <w:bottom w:val="single" w:sz="4" w:space="0" w:color="auto"/>
              <w:right w:val="single" w:sz="4" w:space="0" w:color="auto"/>
            </w:tcBorders>
            <w:noWrap/>
            <w:vAlign w:val="bottom"/>
            <w:hideMark/>
          </w:tcPr>
          <w:p w14:paraId="5FEA8FB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9,37</w:t>
            </w:r>
          </w:p>
        </w:tc>
        <w:tc>
          <w:tcPr>
            <w:tcW w:w="1327" w:type="dxa"/>
            <w:tcBorders>
              <w:top w:val="nil"/>
              <w:left w:val="nil"/>
              <w:bottom w:val="single" w:sz="4" w:space="0" w:color="auto"/>
              <w:right w:val="single" w:sz="4" w:space="0" w:color="auto"/>
            </w:tcBorders>
            <w:vAlign w:val="center"/>
            <w:hideMark/>
          </w:tcPr>
          <w:p w14:paraId="44972DF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95,55</w:t>
            </w:r>
          </w:p>
        </w:tc>
        <w:tc>
          <w:tcPr>
            <w:tcW w:w="967" w:type="dxa"/>
            <w:gridSpan w:val="2"/>
            <w:tcBorders>
              <w:top w:val="nil"/>
              <w:left w:val="nil"/>
              <w:bottom w:val="single" w:sz="4" w:space="0" w:color="auto"/>
              <w:right w:val="single" w:sz="4" w:space="0" w:color="auto"/>
            </w:tcBorders>
            <w:noWrap/>
            <w:vAlign w:val="bottom"/>
            <w:hideMark/>
          </w:tcPr>
          <w:p w14:paraId="76CB9DE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86,75</w:t>
            </w:r>
          </w:p>
        </w:tc>
        <w:tc>
          <w:tcPr>
            <w:tcW w:w="1250" w:type="dxa"/>
            <w:tcBorders>
              <w:top w:val="nil"/>
              <w:left w:val="nil"/>
              <w:bottom w:val="single" w:sz="4" w:space="0" w:color="auto"/>
              <w:right w:val="single" w:sz="4" w:space="0" w:color="auto"/>
            </w:tcBorders>
            <w:noWrap/>
            <w:vAlign w:val="bottom"/>
            <w:hideMark/>
          </w:tcPr>
          <w:p w14:paraId="7C753E5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85,61</w:t>
            </w:r>
          </w:p>
        </w:tc>
        <w:tc>
          <w:tcPr>
            <w:tcW w:w="1111" w:type="dxa"/>
            <w:tcBorders>
              <w:top w:val="nil"/>
              <w:left w:val="nil"/>
              <w:bottom w:val="single" w:sz="4" w:space="0" w:color="auto"/>
              <w:right w:val="single" w:sz="4" w:space="0" w:color="auto"/>
            </w:tcBorders>
            <w:noWrap/>
            <w:vAlign w:val="bottom"/>
            <w:hideMark/>
          </w:tcPr>
          <w:p w14:paraId="38E696C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13,30</w:t>
            </w:r>
          </w:p>
        </w:tc>
        <w:tc>
          <w:tcPr>
            <w:tcW w:w="1176" w:type="dxa"/>
            <w:tcBorders>
              <w:top w:val="nil"/>
              <w:left w:val="nil"/>
              <w:bottom w:val="single" w:sz="4" w:space="0" w:color="auto"/>
              <w:right w:val="single" w:sz="4" w:space="0" w:color="auto"/>
            </w:tcBorders>
            <w:vAlign w:val="center"/>
            <w:hideMark/>
          </w:tcPr>
          <w:p w14:paraId="0134440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185,66</w:t>
            </w:r>
          </w:p>
        </w:tc>
      </w:tr>
      <w:tr w:rsidR="00904709" w:rsidRPr="006430EA" w14:paraId="3FD82F8A"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2D39D43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lastRenderedPageBreak/>
              <w:t>2021</w:t>
            </w:r>
          </w:p>
        </w:tc>
        <w:tc>
          <w:tcPr>
            <w:tcW w:w="1038" w:type="dxa"/>
            <w:tcBorders>
              <w:top w:val="nil"/>
              <w:left w:val="nil"/>
              <w:bottom w:val="single" w:sz="4" w:space="0" w:color="auto"/>
              <w:right w:val="single" w:sz="4" w:space="0" w:color="auto"/>
            </w:tcBorders>
            <w:noWrap/>
            <w:vAlign w:val="bottom"/>
            <w:hideMark/>
          </w:tcPr>
          <w:p w14:paraId="1E90448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102,08</w:t>
            </w:r>
          </w:p>
        </w:tc>
        <w:tc>
          <w:tcPr>
            <w:tcW w:w="1079" w:type="dxa"/>
            <w:tcBorders>
              <w:top w:val="nil"/>
              <w:left w:val="nil"/>
              <w:bottom w:val="single" w:sz="4" w:space="0" w:color="auto"/>
              <w:right w:val="single" w:sz="4" w:space="0" w:color="auto"/>
            </w:tcBorders>
            <w:noWrap/>
            <w:vAlign w:val="bottom"/>
            <w:hideMark/>
          </w:tcPr>
          <w:p w14:paraId="1FA218D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77,16</w:t>
            </w:r>
          </w:p>
        </w:tc>
        <w:tc>
          <w:tcPr>
            <w:tcW w:w="979" w:type="dxa"/>
            <w:tcBorders>
              <w:top w:val="nil"/>
              <w:left w:val="nil"/>
              <w:bottom w:val="single" w:sz="4" w:space="0" w:color="auto"/>
              <w:right w:val="single" w:sz="4" w:space="0" w:color="auto"/>
            </w:tcBorders>
            <w:noWrap/>
            <w:vAlign w:val="bottom"/>
            <w:hideMark/>
          </w:tcPr>
          <w:p w14:paraId="289F6DC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15,11</w:t>
            </w:r>
          </w:p>
        </w:tc>
        <w:tc>
          <w:tcPr>
            <w:tcW w:w="1201" w:type="dxa"/>
            <w:tcBorders>
              <w:top w:val="nil"/>
              <w:left w:val="nil"/>
              <w:bottom w:val="single" w:sz="4" w:space="0" w:color="auto"/>
              <w:right w:val="single" w:sz="4" w:space="0" w:color="auto"/>
            </w:tcBorders>
            <w:vAlign w:val="center"/>
            <w:hideMark/>
          </w:tcPr>
          <w:p w14:paraId="074379A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194,35</w:t>
            </w:r>
          </w:p>
        </w:tc>
        <w:tc>
          <w:tcPr>
            <w:tcW w:w="1089" w:type="dxa"/>
            <w:gridSpan w:val="2"/>
            <w:tcBorders>
              <w:top w:val="nil"/>
              <w:left w:val="nil"/>
              <w:bottom w:val="single" w:sz="4" w:space="0" w:color="auto"/>
              <w:right w:val="single" w:sz="4" w:space="0" w:color="auto"/>
            </w:tcBorders>
            <w:noWrap/>
            <w:vAlign w:val="bottom"/>
            <w:hideMark/>
          </w:tcPr>
          <w:p w14:paraId="429F005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102,08</w:t>
            </w:r>
          </w:p>
        </w:tc>
        <w:tc>
          <w:tcPr>
            <w:tcW w:w="993" w:type="dxa"/>
            <w:tcBorders>
              <w:top w:val="nil"/>
              <w:left w:val="nil"/>
              <w:bottom w:val="single" w:sz="4" w:space="0" w:color="auto"/>
              <w:right w:val="single" w:sz="4" w:space="0" w:color="auto"/>
            </w:tcBorders>
            <w:noWrap/>
            <w:vAlign w:val="bottom"/>
            <w:hideMark/>
          </w:tcPr>
          <w:p w14:paraId="68DDE3E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77,16</w:t>
            </w:r>
          </w:p>
        </w:tc>
        <w:tc>
          <w:tcPr>
            <w:tcW w:w="1275" w:type="dxa"/>
            <w:tcBorders>
              <w:top w:val="nil"/>
              <w:left w:val="nil"/>
              <w:bottom w:val="single" w:sz="4" w:space="0" w:color="auto"/>
              <w:right w:val="single" w:sz="4" w:space="0" w:color="auto"/>
            </w:tcBorders>
            <w:noWrap/>
            <w:vAlign w:val="bottom"/>
            <w:hideMark/>
          </w:tcPr>
          <w:p w14:paraId="237DC36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28,76</w:t>
            </w:r>
          </w:p>
        </w:tc>
        <w:tc>
          <w:tcPr>
            <w:tcW w:w="1327" w:type="dxa"/>
            <w:tcBorders>
              <w:top w:val="nil"/>
              <w:left w:val="nil"/>
              <w:bottom w:val="single" w:sz="4" w:space="0" w:color="auto"/>
              <w:right w:val="single" w:sz="4" w:space="0" w:color="auto"/>
            </w:tcBorders>
            <w:vAlign w:val="center"/>
            <w:hideMark/>
          </w:tcPr>
          <w:p w14:paraId="2ABE2B2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208</w:t>
            </w:r>
          </w:p>
        </w:tc>
        <w:tc>
          <w:tcPr>
            <w:tcW w:w="967" w:type="dxa"/>
            <w:gridSpan w:val="2"/>
            <w:tcBorders>
              <w:top w:val="nil"/>
              <w:left w:val="nil"/>
              <w:bottom w:val="single" w:sz="4" w:space="0" w:color="auto"/>
              <w:right w:val="single" w:sz="4" w:space="0" w:color="auto"/>
            </w:tcBorders>
            <w:noWrap/>
            <w:vAlign w:val="bottom"/>
            <w:hideMark/>
          </w:tcPr>
          <w:p w14:paraId="5C8922E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204,15</w:t>
            </w:r>
          </w:p>
        </w:tc>
        <w:tc>
          <w:tcPr>
            <w:tcW w:w="1250" w:type="dxa"/>
            <w:tcBorders>
              <w:top w:val="nil"/>
              <w:left w:val="nil"/>
              <w:bottom w:val="single" w:sz="4" w:space="0" w:color="auto"/>
              <w:right w:val="single" w:sz="4" w:space="0" w:color="auto"/>
            </w:tcBorders>
            <w:noWrap/>
            <w:vAlign w:val="bottom"/>
            <w:hideMark/>
          </w:tcPr>
          <w:p w14:paraId="140C94D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154,33</w:t>
            </w:r>
          </w:p>
        </w:tc>
        <w:tc>
          <w:tcPr>
            <w:tcW w:w="1111" w:type="dxa"/>
            <w:tcBorders>
              <w:top w:val="nil"/>
              <w:left w:val="nil"/>
              <w:bottom w:val="single" w:sz="4" w:space="0" w:color="auto"/>
              <w:right w:val="single" w:sz="4" w:space="0" w:color="auto"/>
            </w:tcBorders>
            <w:noWrap/>
            <w:vAlign w:val="bottom"/>
            <w:hideMark/>
          </w:tcPr>
          <w:p w14:paraId="41B6DA4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43,87</w:t>
            </w:r>
          </w:p>
        </w:tc>
        <w:tc>
          <w:tcPr>
            <w:tcW w:w="1176" w:type="dxa"/>
            <w:tcBorders>
              <w:top w:val="nil"/>
              <w:left w:val="nil"/>
              <w:bottom w:val="single" w:sz="4" w:space="0" w:color="auto"/>
              <w:right w:val="single" w:sz="4" w:space="0" w:color="auto"/>
            </w:tcBorders>
            <w:vAlign w:val="center"/>
            <w:hideMark/>
          </w:tcPr>
          <w:p w14:paraId="1EE12F1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402,35</w:t>
            </w:r>
          </w:p>
        </w:tc>
      </w:tr>
      <w:tr w:rsidR="00904709" w:rsidRPr="006430EA" w14:paraId="697DF2CF"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63A4A51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2022</w:t>
            </w:r>
          </w:p>
        </w:tc>
        <w:tc>
          <w:tcPr>
            <w:tcW w:w="1038" w:type="dxa"/>
            <w:tcBorders>
              <w:top w:val="nil"/>
              <w:left w:val="nil"/>
              <w:bottom w:val="single" w:sz="4" w:space="0" w:color="auto"/>
              <w:right w:val="single" w:sz="4" w:space="0" w:color="auto"/>
            </w:tcBorders>
            <w:noWrap/>
            <w:vAlign w:val="bottom"/>
            <w:hideMark/>
          </w:tcPr>
          <w:p w14:paraId="3E5E22A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80,44</w:t>
            </w:r>
          </w:p>
        </w:tc>
        <w:tc>
          <w:tcPr>
            <w:tcW w:w="1079" w:type="dxa"/>
            <w:tcBorders>
              <w:top w:val="nil"/>
              <w:left w:val="nil"/>
              <w:bottom w:val="single" w:sz="4" w:space="0" w:color="auto"/>
              <w:right w:val="single" w:sz="4" w:space="0" w:color="auto"/>
            </w:tcBorders>
            <w:noWrap/>
            <w:vAlign w:val="bottom"/>
            <w:hideMark/>
          </w:tcPr>
          <w:p w14:paraId="3C64E69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18,38</w:t>
            </w:r>
          </w:p>
        </w:tc>
        <w:tc>
          <w:tcPr>
            <w:tcW w:w="979" w:type="dxa"/>
            <w:tcBorders>
              <w:top w:val="nil"/>
              <w:left w:val="nil"/>
              <w:bottom w:val="single" w:sz="4" w:space="0" w:color="auto"/>
              <w:right w:val="single" w:sz="4" w:space="0" w:color="auto"/>
            </w:tcBorders>
            <w:noWrap/>
            <w:vAlign w:val="bottom"/>
            <w:hideMark/>
          </w:tcPr>
          <w:p w14:paraId="05F015D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8,48</w:t>
            </w:r>
          </w:p>
        </w:tc>
        <w:tc>
          <w:tcPr>
            <w:tcW w:w="1201" w:type="dxa"/>
            <w:tcBorders>
              <w:top w:val="nil"/>
              <w:left w:val="nil"/>
              <w:bottom w:val="single" w:sz="4" w:space="0" w:color="auto"/>
              <w:right w:val="single" w:sz="4" w:space="0" w:color="auto"/>
            </w:tcBorders>
            <w:vAlign w:val="center"/>
            <w:hideMark/>
          </w:tcPr>
          <w:p w14:paraId="668295C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107,9</w:t>
            </w:r>
          </w:p>
        </w:tc>
        <w:tc>
          <w:tcPr>
            <w:tcW w:w="1089" w:type="dxa"/>
            <w:gridSpan w:val="2"/>
            <w:tcBorders>
              <w:top w:val="nil"/>
              <w:left w:val="nil"/>
              <w:bottom w:val="single" w:sz="4" w:space="0" w:color="auto"/>
              <w:right w:val="single" w:sz="4" w:space="0" w:color="auto"/>
            </w:tcBorders>
            <w:noWrap/>
            <w:vAlign w:val="bottom"/>
            <w:hideMark/>
          </w:tcPr>
          <w:p w14:paraId="3AB991E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80,44</w:t>
            </w:r>
          </w:p>
        </w:tc>
        <w:tc>
          <w:tcPr>
            <w:tcW w:w="993" w:type="dxa"/>
            <w:tcBorders>
              <w:top w:val="nil"/>
              <w:left w:val="nil"/>
              <w:bottom w:val="single" w:sz="4" w:space="0" w:color="auto"/>
              <w:right w:val="single" w:sz="4" w:space="0" w:color="auto"/>
            </w:tcBorders>
            <w:noWrap/>
            <w:vAlign w:val="bottom"/>
            <w:hideMark/>
          </w:tcPr>
          <w:p w14:paraId="7C1ECF6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18,38</w:t>
            </w:r>
          </w:p>
        </w:tc>
        <w:tc>
          <w:tcPr>
            <w:tcW w:w="1275" w:type="dxa"/>
            <w:tcBorders>
              <w:top w:val="nil"/>
              <w:left w:val="nil"/>
              <w:bottom w:val="single" w:sz="4" w:space="0" w:color="auto"/>
              <w:right w:val="single" w:sz="4" w:space="0" w:color="auto"/>
            </w:tcBorders>
            <w:noWrap/>
            <w:vAlign w:val="bottom"/>
            <w:hideMark/>
          </w:tcPr>
          <w:p w14:paraId="4507EB7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9,78</w:t>
            </w:r>
          </w:p>
        </w:tc>
        <w:tc>
          <w:tcPr>
            <w:tcW w:w="1327" w:type="dxa"/>
            <w:tcBorders>
              <w:top w:val="nil"/>
              <w:left w:val="nil"/>
              <w:bottom w:val="single" w:sz="4" w:space="0" w:color="auto"/>
              <w:right w:val="single" w:sz="4" w:space="0" w:color="auto"/>
            </w:tcBorders>
            <w:vAlign w:val="center"/>
            <w:hideMark/>
          </w:tcPr>
          <w:p w14:paraId="5BE081C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109,21</w:t>
            </w:r>
          </w:p>
        </w:tc>
        <w:tc>
          <w:tcPr>
            <w:tcW w:w="967" w:type="dxa"/>
            <w:gridSpan w:val="2"/>
            <w:tcBorders>
              <w:top w:val="nil"/>
              <w:left w:val="nil"/>
              <w:bottom w:val="single" w:sz="4" w:space="0" w:color="auto"/>
              <w:right w:val="single" w:sz="4" w:space="0" w:color="auto"/>
            </w:tcBorders>
            <w:noWrap/>
            <w:vAlign w:val="bottom"/>
            <w:hideMark/>
          </w:tcPr>
          <w:p w14:paraId="4EE08C4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160,89</w:t>
            </w:r>
          </w:p>
        </w:tc>
        <w:tc>
          <w:tcPr>
            <w:tcW w:w="1250" w:type="dxa"/>
            <w:tcBorders>
              <w:top w:val="nil"/>
              <w:left w:val="nil"/>
              <w:bottom w:val="single" w:sz="4" w:space="0" w:color="auto"/>
              <w:right w:val="single" w:sz="4" w:space="0" w:color="auto"/>
            </w:tcBorders>
            <w:noWrap/>
            <w:vAlign w:val="bottom"/>
            <w:hideMark/>
          </w:tcPr>
          <w:p w14:paraId="17738FB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36,77</w:t>
            </w:r>
          </w:p>
        </w:tc>
        <w:tc>
          <w:tcPr>
            <w:tcW w:w="1111" w:type="dxa"/>
            <w:tcBorders>
              <w:top w:val="nil"/>
              <w:left w:val="nil"/>
              <w:bottom w:val="single" w:sz="4" w:space="0" w:color="auto"/>
              <w:right w:val="single" w:sz="4" w:space="0" w:color="auto"/>
            </w:tcBorders>
            <w:noWrap/>
            <w:vAlign w:val="bottom"/>
            <w:hideMark/>
          </w:tcPr>
          <w:p w14:paraId="475C165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18,27</w:t>
            </w:r>
          </w:p>
        </w:tc>
        <w:tc>
          <w:tcPr>
            <w:tcW w:w="1176" w:type="dxa"/>
            <w:tcBorders>
              <w:top w:val="nil"/>
              <w:left w:val="nil"/>
              <w:bottom w:val="single" w:sz="4" w:space="0" w:color="auto"/>
              <w:right w:val="single" w:sz="4" w:space="0" w:color="auto"/>
            </w:tcBorders>
            <w:vAlign w:val="center"/>
            <w:hideMark/>
          </w:tcPr>
          <w:p w14:paraId="32D326A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217,11</w:t>
            </w:r>
          </w:p>
        </w:tc>
      </w:tr>
      <w:tr w:rsidR="00904709" w:rsidRPr="006430EA" w14:paraId="040B5C85"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1FD8E6D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2023</w:t>
            </w:r>
          </w:p>
        </w:tc>
        <w:tc>
          <w:tcPr>
            <w:tcW w:w="1038" w:type="dxa"/>
            <w:tcBorders>
              <w:top w:val="nil"/>
              <w:left w:val="nil"/>
              <w:bottom w:val="single" w:sz="4" w:space="0" w:color="auto"/>
              <w:right w:val="single" w:sz="4" w:space="0" w:color="auto"/>
            </w:tcBorders>
            <w:noWrap/>
            <w:vAlign w:val="bottom"/>
            <w:hideMark/>
          </w:tcPr>
          <w:p w14:paraId="5F1D62D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51,19</w:t>
            </w:r>
          </w:p>
        </w:tc>
        <w:tc>
          <w:tcPr>
            <w:tcW w:w="1079" w:type="dxa"/>
            <w:tcBorders>
              <w:top w:val="nil"/>
              <w:left w:val="nil"/>
              <w:bottom w:val="single" w:sz="4" w:space="0" w:color="auto"/>
              <w:right w:val="single" w:sz="4" w:space="0" w:color="auto"/>
            </w:tcBorders>
            <w:noWrap/>
            <w:vAlign w:val="bottom"/>
            <w:hideMark/>
          </w:tcPr>
          <w:p w14:paraId="0565683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7,66</w:t>
            </w:r>
          </w:p>
        </w:tc>
        <w:tc>
          <w:tcPr>
            <w:tcW w:w="979" w:type="dxa"/>
            <w:tcBorders>
              <w:top w:val="nil"/>
              <w:left w:val="nil"/>
              <w:bottom w:val="single" w:sz="4" w:space="0" w:color="auto"/>
              <w:right w:val="single" w:sz="4" w:space="0" w:color="auto"/>
            </w:tcBorders>
            <w:noWrap/>
            <w:vAlign w:val="bottom"/>
            <w:hideMark/>
          </w:tcPr>
          <w:p w14:paraId="1E5BA98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7,46</w:t>
            </w:r>
          </w:p>
        </w:tc>
        <w:tc>
          <w:tcPr>
            <w:tcW w:w="1201" w:type="dxa"/>
            <w:tcBorders>
              <w:top w:val="nil"/>
              <w:left w:val="nil"/>
              <w:bottom w:val="single" w:sz="4" w:space="0" w:color="auto"/>
              <w:right w:val="single" w:sz="4" w:space="0" w:color="auto"/>
            </w:tcBorders>
            <w:vAlign w:val="center"/>
            <w:hideMark/>
          </w:tcPr>
          <w:p w14:paraId="3D824AB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66,31</w:t>
            </w:r>
          </w:p>
        </w:tc>
        <w:tc>
          <w:tcPr>
            <w:tcW w:w="1089" w:type="dxa"/>
            <w:gridSpan w:val="2"/>
            <w:tcBorders>
              <w:top w:val="nil"/>
              <w:left w:val="nil"/>
              <w:bottom w:val="single" w:sz="4" w:space="0" w:color="auto"/>
              <w:right w:val="single" w:sz="4" w:space="0" w:color="auto"/>
            </w:tcBorders>
            <w:noWrap/>
            <w:vAlign w:val="bottom"/>
            <w:hideMark/>
          </w:tcPr>
          <w:p w14:paraId="4A79700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51,19</w:t>
            </w:r>
          </w:p>
        </w:tc>
        <w:tc>
          <w:tcPr>
            <w:tcW w:w="993" w:type="dxa"/>
            <w:tcBorders>
              <w:top w:val="nil"/>
              <w:left w:val="nil"/>
              <w:bottom w:val="single" w:sz="4" w:space="0" w:color="auto"/>
              <w:right w:val="single" w:sz="4" w:space="0" w:color="auto"/>
            </w:tcBorders>
            <w:noWrap/>
            <w:vAlign w:val="bottom"/>
            <w:hideMark/>
          </w:tcPr>
          <w:p w14:paraId="2FCB87B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7,66</w:t>
            </w:r>
          </w:p>
        </w:tc>
        <w:tc>
          <w:tcPr>
            <w:tcW w:w="1275" w:type="dxa"/>
            <w:tcBorders>
              <w:top w:val="nil"/>
              <w:left w:val="nil"/>
              <w:bottom w:val="single" w:sz="4" w:space="0" w:color="auto"/>
              <w:right w:val="single" w:sz="4" w:space="0" w:color="auto"/>
            </w:tcBorders>
            <w:noWrap/>
            <w:vAlign w:val="bottom"/>
            <w:hideMark/>
          </w:tcPr>
          <w:p w14:paraId="2E21989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7,92</w:t>
            </w:r>
          </w:p>
        </w:tc>
        <w:tc>
          <w:tcPr>
            <w:tcW w:w="1327" w:type="dxa"/>
            <w:tcBorders>
              <w:top w:val="nil"/>
              <w:left w:val="nil"/>
              <w:bottom w:val="single" w:sz="4" w:space="0" w:color="auto"/>
              <w:right w:val="single" w:sz="4" w:space="0" w:color="auto"/>
            </w:tcBorders>
            <w:vAlign w:val="center"/>
            <w:hideMark/>
          </w:tcPr>
          <w:p w14:paraId="59E8E73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66,77</w:t>
            </w:r>
          </w:p>
        </w:tc>
        <w:tc>
          <w:tcPr>
            <w:tcW w:w="967" w:type="dxa"/>
            <w:gridSpan w:val="2"/>
            <w:tcBorders>
              <w:top w:val="nil"/>
              <w:left w:val="nil"/>
              <w:bottom w:val="single" w:sz="4" w:space="0" w:color="auto"/>
              <w:right w:val="single" w:sz="4" w:space="0" w:color="auto"/>
            </w:tcBorders>
            <w:noWrap/>
            <w:vAlign w:val="bottom"/>
            <w:hideMark/>
          </w:tcPr>
          <w:p w14:paraId="56FC53C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102,38</w:t>
            </w:r>
          </w:p>
        </w:tc>
        <w:tc>
          <w:tcPr>
            <w:tcW w:w="1250" w:type="dxa"/>
            <w:tcBorders>
              <w:top w:val="nil"/>
              <w:left w:val="nil"/>
              <w:bottom w:val="single" w:sz="4" w:space="0" w:color="auto"/>
              <w:right w:val="single" w:sz="4" w:space="0" w:color="auto"/>
            </w:tcBorders>
            <w:noWrap/>
            <w:vAlign w:val="bottom"/>
            <w:hideMark/>
          </w:tcPr>
          <w:p w14:paraId="29269E6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15,32</w:t>
            </w:r>
          </w:p>
        </w:tc>
        <w:tc>
          <w:tcPr>
            <w:tcW w:w="1111" w:type="dxa"/>
            <w:tcBorders>
              <w:top w:val="nil"/>
              <w:left w:val="nil"/>
              <w:bottom w:val="single" w:sz="4" w:space="0" w:color="auto"/>
              <w:right w:val="single" w:sz="4" w:space="0" w:color="auto"/>
            </w:tcBorders>
            <w:noWrap/>
            <w:vAlign w:val="bottom"/>
            <w:hideMark/>
          </w:tcPr>
          <w:p w14:paraId="4996EC1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15,38</w:t>
            </w:r>
          </w:p>
        </w:tc>
        <w:tc>
          <w:tcPr>
            <w:tcW w:w="1176" w:type="dxa"/>
            <w:tcBorders>
              <w:top w:val="nil"/>
              <w:left w:val="nil"/>
              <w:bottom w:val="single" w:sz="4" w:space="0" w:color="auto"/>
              <w:right w:val="single" w:sz="4" w:space="0" w:color="auto"/>
            </w:tcBorders>
            <w:vAlign w:val="center"/>
            <w:hideMark/>
          </w:tcPr>
          <w:p w14:paraId="3DEB398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133,08</w:t>
            </w:r>
          </w:p>
        </w:tc>
      </w:tr>
      <w:tr w:rsidR="00904709" w:rsidRPr="006430EA" w14:paraId="2A0727D6"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42E917A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2024</w:t>
            </w:r>
          </w:p>
        </w:tc>
        <w:tc>
          <w:tcPr>
            <w:tcW w:w="1038" w:type="dxa"/>
            <w:tcBorders>
              <w:top w:val="nil"/>
              <w:left w:val="nil"/>
              <w:bottom w:val="single" w:sz="4" w:space="0" w:color="auto"/>
              <w:right w:val="single" w:sz="4" w:space="0" w:color="auto"/>
            </w:tcBorders>
            <w:noWrap/>
            <w:vAlign w:val="bottom"/>
            <w:hideMark/>
          </w:tcPr>
          <w:p w14:paraId="033E655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64,41</w:t>
            </w:r>
          </w:p>
        </w:tc>
        <w:tc>
          <w:tcPr>
            <w:tcW w:w="1079" w:type="dxa"/>
            <w:tcBorders>
              <w:top w:val="nil"/>
              <w:left w:val="nil"/>
              <w:bottom w:val="single" w:sz="4" w:space="0" w:color="auto"/>
              <w:right w:val="single" w:sz="4" w:space="0" w:color="auto"/>
            </w:tcBorders>
            <w:noWrap/>
            <w:vAlign w:val="bottom"/>
            <w:hideMark/>
          </w:tcPr>
          <w:p w14:paraId="0BC2D9D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25,41</w:t>
            </w:r>
          </w:p>
        </w:tc>
        <w:tc>
          <w:tcPr>
            <w:tcW w:w="979" w:type="dxa"/>
            <w:tcBorders>
              <w:top w:val="nil"/>
              <w:left w:val="nil"/>
              <w:bottom w:val="single" w:sz="4" w:space="0" w:color="auto"/>
              <w:right w:val="single" w:sz="4" w:space="0" w:color="auto"/>
            </w:tcBorders>
            <w:noWrap/>
            <w:vAlign w:val="bottom"/>
            <w:hideMark/>
          </w:tcPr>
          <w:p w14:paraId="4D2B735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7,27</w:t>
            </w:r>
          </w:p>
        </w:tc>
        <w:tc>
          <w:tcPr>
            <w:tcW w:w="1201" w:type="dxa"/>
            <w:tcBorders>
              <w:top w:val="nil"/>
              <w:left w:val="nil"/>
              <w:bottom w:val="single" w:sz="4" w:space="0" w:color="auto"/>
              <w:right w:val="single" w:sz="4" w:space="0" w:color="auto"/>
            </w:tcBorders>
            <w:vAlign w:val="center"/>
            <w:hideMark/>
          </w:tcPr>
          <w:p w14:paraId="16F4622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97,09</w:t>
            </w:r>
          </w:p>
        </w:tc>
        <w:tc>
          <w:tcPr>
            <w:tcW w:w="1089" w:type="dxa"/>
            <w:gridSpan w:val="2"/>
            <w:tcBorders>
              <w:top w:val="nil"/>
              <w:left w:val="nil"/>
              <w:bottom w:val="single" w:sz="4" w:space="0" w:color="auto"/>
              <w:right w:val="single" w:sz="4" w:space="0" w:color="auto"/>
            </w:tcBorders>
            <w:noWrap/>
            <w:vAlign w:val="bottom"/>
            <w:hideMark/>
          </w:tcPr>
          <w:p w14:paraId="386569E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64,41</w:t>
            </w:r>
          </w:p>
        </w:tc>
        <w:tc>
          <w:tcPr>
            <w:tcW w:w="993" w:type="dxa"/>
            <w:tcBorders>
              <w:top w:val="nil"/>
              <w:left w:val="nil"/>
              <w:bottom w:val="single" w:sz="4" w:space="0" w:color="auto"/>
              <w:right w:val="single" w:sz="4" w:space="0" w:color="auto"/>
            </w:tcBorders>
            <w:noWrap/>
            <w:vAlign w:val="bottom"/>
            <w:hideMark/>
          </w:tcPr>
          <w:p w14:paraId="259B80B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25,41</w:t>
            </w:r>
          </w:p>
        </w:tc>
        <w:tc>
          <w:tcPr>
            <w:tcW w:w="1275" w:type="dxa"/>
            <w:tcBorders>
              <w:top w:val="nil"/>
              <w:left w:val="nil"/>
              <w:bottom w:val="single" w:sz="4" w:space="0" w:color="auto"/>
              <w:right w:val="single" w:sz="4" w:space="0" w:color="auto"/>
            </w:tcBorders>
            <w:noWrap/>
            <w:vAlign w:val="bottom"/>
            <w:hideMark/>
          </w:tcPr>
          <w:p w14:paraId="59A55A6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25,85</w:t>
            </w:r>
          </w:p>
        </w:tc>
        <w:tc>
          <w:tcPr>
            <w:tcW w:w="1327" w:type="dxa"/>
            <w:tcBorders>
              <w:top w:val="nil"/>
              <w:left w:val="nil"/>
              <w:bottom w:val="single" w:sz="4" w:space="0" w:color="auto"/>
              <w:right w:val="single" w:sz="4" w:space="0" w:color="auto"/>
            </w:tcBorders>
            <w:vAlign w:val="center"/>
            <w:hideMark/>
          </w:tcPr>
          <w:p w14:paraId="378AC3B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115,66</w:t>
            </w:r>
          </w:p>
        </w:tc>
        <w:tc>
          <w:tcPr>
            <w:tcW w:w="967" w:type="dxa"/>
            <w:gridSpan w:val="2"/>
            <w:tcBorders>
              <w:top w:val="nil"/>
              <w:left w:val="nil"/>
              <w:bottom w:val="single" w:sz="4" w:space="0" w:color="auto"/>
              <w:right w:val="single" w:sz="4" w:space="0" w:color="auto"/>
            </w:tcBorders>
            <w:noWrap/>
            <w:vAlign w:val="bottom"/>
            <w:hideMark/>
          </w:tcPr>
          <w:p w14:paraId="61822AB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128,81</w:t>
            </w:r>
          </w:p>
        </w:tc>
        <w:tc>
          <w:tcPr>
            <w:tcW w:w="1250" w:type="dxa"/>
            <w:tcBorders>
              <w:top w:val="nil"/>
              <w:left w:val="nil"/>
              <w:bottom w:val="single" w:sz="4" w:space="0" w:color="auto"/>
              <w:right w:val="single" w:sz="4" w:space="0" w:color="auto"/>
            </w:tcBorders>
            <w:noWrap/>
            <w:vAlign w:val="bottom"/>
            <w:hideMark/>
          </w:tcPr>
          <w:p w14:paraId="59AD073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50,82</w:t>
            </w:r>
          </w:p>
        </w:tc>
        <w:tc>
          <w:tcPr>
            <w:tcW w:w="1111" w:type="dxa"/>
            <w:tcBorders>
              <w:top w:val="nil"/>
              <w:left w:val="nil"/>
              <w:bottom w:val="single" w:sz="4" w:space="0" w:color="auto"/>
              <w:right w:val="single" w:sz="4" w:space="0" w:color="auto"/>
            </w:tcBorders>
            <w:noWrap/>
            <w:vAlign w:val="bottom"/>
            <w:hideMark/>
          </w:tcPr>
          <w:p w14:paraId="5DFAC24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33,12</w:t>
            </w:r>
          </w:p>
        </w:tc>
        <w:tc>
          <w:tcPr>
            <w:tcW w:w="1176" w:type="dxa"/>
            <w:tcBorders>
              <w:top w:val="nil"/>
              <w:left w:val="nil"/>
              <w:bottom w:val="single" w:sz="4" w:space="0" w:color="auto"/>
              <w:right w:val="single" w:sz="4" w:space="0" w:color="auto"/>
            </w:tcBorders>
            <w:vAlign w:val="center"/>
            <w:hideMark/>
          </w:tcPr>
          <w:p w14:paraId="77FC6DA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212,75</w:t>
            </w:r>
          </w:p>
        </w:tc>
      </w:tr>
      <w:tr w:rsidR="00904709" w:rsidRPr="006430EA" w14:paraId="080F47D9" w14:textId="77777777" w:rsidTr="00533899">
        <w:trPr>
          <w:trHeight w:val="381"/>
        </w:trPr>
        <w:tc>
          <w:tcPr>
            <w:tcW w:w="974" w:type="dxa"/>
            <w:tcBorders>
              <w:top w:val="nil"/>
              <w:left w:val="single" w:sz="4" w:space="0" w:color="auto"/>
              <w:bottom w:val="single" w:sz="4" w:space="0" w:color="auto"/>
              <w:right w:val="single" w:sz="4" w:space="0" w:color="auto"/>
            </w:tcBorders>
            <w:vAlign w:val="center"/>
            <w:hideMark/>
          </w:tcPr>
          <w:p w14:paraId="6F900EF0" w14:textId="33B29B64"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С</w:t>
            </w:r>
            <w:r w:rsidR="001C71D7">
              <w:rPr>
                <w:rFonts w:ascii="Times New Roman" w:eastAsia="Times New Roman" w:hAnsi="Times New Roman" w:cs="Times New Roman"/>
                <w:color w:val="000000"/>
                <w:sz w:val="20"/>
                <w:szCs w:val="20"/>
                <w:lang w:eastAsia="ru-RU"/>
              </w:rPr>
              <w:t>П</w:t>
            </w:r>
            <w:r w:rsidRPr="006430EA">
              <w:rPr>
                <w:rFonts w:ascii="Times New Roman" w:eastAsia="Times New Roman" w:hAnsi="Times New Roman" w:cs="Times New Roman"/>
                <w:color w:val="000000"/>
                <w:sz w:val="20"/>
                <w:szCs w:val="20"/>
                <w:lang w:eastAsia="ru-RU"/>
              </w:rPr>
              <w:t>И</w:t>
            </w:r>
          </w:p>
        </w:tc>
        <w:tc>
          <w:tcPr>
            <w:tcW w:w="1038" w:type="dxa"/>
            <w:tcBorders>
              <w:top w:val="nil"/>
              <w:left w:val="nil"/>
              <w:bottom w:val="single" w:sz="4" w:space="0" w:color="auto"/>
              <w:right w:val="single" w:sz="4" w:space="0" w:color="auto"/>
            </w:tcBorders>
            <w:vAlign w:val="center"/>
            <w:hideMark/>
          </w:tcPr>
          <w:p w14:paraId="0499F0FF" w14:textId="77777777" w:rsidR="00904709" w:rsidRPr="006430EA" w:rsidRDefault="00904709" w:rsidP="000F4E51">
            <w:pPr>
              <w:spacing w:line="240" w:lineRule="auto"/>
              <w:jc w:val="center"/>
              <w:rPr>
                <w:rFonts w:ascii="Times New Roman" w:hAnsi="Times New Roman" w:cs="Times New Roman"/>
                <w:color w:val="000000"/>
                <w:sz w:val="20"/>
                <w:szCs w:val="20"/>
                <w:lang w:val="en-US"/>
              </w:rPr>
            </w:pPr>
            <w:r w:rsidRPr="006430EA">
              <w:rPr>
                <w:rFonts w:ascii="Times New Roman" w:hAnsi="Times New Roman" w:cs="Times New Roman"/>
                <w:color w:val="000000"/>
                <w:sz w:val="20"/>
                <w:szCs w:val="20"/>
              </w:rPr>
              <w:t>4,3(-4,9; 14,4)</w:t>
            </w:r>
          </w:p>
        </w:tc>
        <w:tc>
          <w:tcPr>
            <w:tcW w:w="1079" w:type="dxa"/>
            <w:tcBorders>
              <w:top w:val="nil"/>
              <w:left w:val="nil"/>
              <w:bottom w:val="single" w:sz="4" w:space="0" w:color="auto"/>
              <w:right w:val="single" w:sz="4" w:space="0" w:color="auto"/>
            </w:tcBorders>
            <w:noWrap/>
            <w:vAlign w:val="bottom"/>
            <w:hideMark/>
          </w:tcPr>
          <w:p w14:paraId="20BF1804" w14:textId="77777777" w:rsidR="00904709" w:rsidRPr="006430EA" w:rsidRDefault="00904709" w:rsidP="000F4E51">
            <w:pPr>
              <w:spacing w:line="240" w:lineRule="auto"/>
              <w:jc w:val="center"/>
              <w:rPr>
                <w:rFonts w:ascii="Times New Roman" w:hAnsi="Times New Roman" w:cs="Times New Roman"/>
                <w:color w:val="000000"/>
                <w:sz w:val="20"/>
                <w:szCs w:val="20"/>
                <w:lang w:val="en-US"/>
              </w:rPr>
            </w:pPr>
            <w:r w:rsidRPr="006430EA">
              <w:rPr>
                <w:rFonts w:ascii="Times New Roman" w:hAnsi="Times New Roman" w:cs="Times New Roman"/>
                <w:color w:val="000000"/>
                <w:sz w:val="20"/>
                <w:szCs w:val="20"/>
              </w:rPr>
              <w:t>-2,7(-14,8; 11)</w:t>
            </w:r>
          </w:p>
        </w:tc>
        <w:tc>
          <w:tcPr>
            <w:tcW w:w="979" w:type="dxa"/>
            <w:tcBorders>
              <w:top w:val="nil"/>
              <w:left w:val="nil"/>
              <w:bottom w:val="single" w:sz="4" w:space="0" w:color="auto"/>
              <w:right w:val="single" w:sz="4" w:space="0" w:color="auto"/>
            </w:tcBorders>
            <w:noWrap/>
            <w:vAlign w:val="bottom"/>
            <w:hideMark/>
          </w:tcPr>
          <w:p w14:paraId="5E091FD4" w14:textId="77777777" w:rsidR="00904709" w:rsidRPr="006430EA" w:rsidRDefault="00904709" w:rsidP="000F4E51">
            <w:pPr>
              <w:spacing w:line="240" w:lineRule="auto"/>
              <w:jc w:val="center"/>
              <w:rPr>
                <w:rFonts w:ascii="Times New Roman" w:hAnsi="Times New Roman" w:cs="Times New Roman"/>
                <w:color w:val="000000"/>
                <w:sz w:val="20"/>
                <w:szCs w:val="20"/>
                <w:lang w:val="en-US"/>
              </w:rPr>
            </w:pPr>
            <w:r w:rsidRPr="006430EA">
              <w:rPr>
                <w:rFonts w:ascii="Times New Roman" w:hAnsi="Times New Roman" w:cs="Times New Roman"/>
                <w:color w:val="000000"/>
                <w:sz w:val="20"/>
                <w:szCs w:val="20"/>
              </w:rPr>
              <w:t>4,5(-6,8; 17,1)</w:t>
            </w:r>
          </w:p>
        </w:tc>
        <w:tc>
          <w:tcPr>
            <w:tcW w:w="1201" w:type="dxa"/>
            <w:tcBorders>
              <w:top w:val="nil"/>
              <w:left w:val="nil"/>
              <w:bottom w:val="single" w:sz="4" w:space="0" w:color="auto"/>
              <w:right w:val="single" w:sz="4" w:space="0" w:color="auto"/>
            </w:tcBorders>
            <w:vAlign w:val="center"/>
            <w:hideMark/>
          </w:tcPr>
          <w:p w14:paraId="1F16E1B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val="en-US" w:eastAsia="ru-RU"/>
              </w:rPr>
              <w:t>1.4 (-7.9;11.6)</w:t>
            </w:r>
          </w:p>
        </w:tc>
        <w:tc>
          <w:tcPr>
            <w:tcW w:w="1089" w:type="dxa"/>
            <w:gridSpan w:val="2"/>
            <w:tcBorders>
              <w:top w:val="nil"/>
              <w:left w:val="nil"/>
              <w:bottom w:val="single" w:sz="4" w:space="0" w:color="auto"/>
              <w:right w:val="single" w:sz="4" w:space="0" w:color="auto"/>
            </w:tcBorders>
            <w:noWrap/>
            <w:vAlign w:val="bottom"/>
            <w:hideMark/>
          </w:tcPr>
          <w:p w14:paraId="4BDDA07D" w14:textId="77777777" w:rsidR="00904709" w:rsidRPr="006430EA" w:rsidRDefault="00904709" w:rsidP="000F4E51">
            <w:pPr>
              <w:spacing w:line="240" w:lineRule="auto"/>
              <w:jc w:val="center"/>
              <w:rPr>
                <w:rFonts w:ascii="Times New Roman" w:hAnsi="Times New Roman" w:cs="Times New Roman"/>
                <w:color w:val="000000"/>
                <w:sz w:val="20"/>
                <w:szCs w:val="20"/>
                <w:lang w:val="en-US"/>
              </w:rPr>
            </w:pPr>
            <w:r w:rsidRPr="006430EA">
              <w:rPr>
                <w:rFonts w:ascii="Times New Roman" w:hAnsi="Times New Roman" w:cs="Times New Roman"/>
                <w:color w:val="000000"/>
                <w:sz w:val="20"/>
                <w:szCs w:val="20"/>
              </w:rPr>
              <w:t>4,3(-4,9; 14,4)</w:t>
            </w:r>
          </w:p>
        </w:tc>
        <w:tc>
          <w:tcPr>
            <w:tcW w:w="993" w:type="dxa"/>
            <w:tcBorders>
              <w:top w:val="nil"/>
              <w:left w:val="nil"/>
              <w:bottom w:val="single" w:sz="4" w:space="0" w:color="auto"/>
              <w:right w:val="single" w:sz="4" w:space="0" w:color="auto"/>
            </w:tcBorders>
            <w:noWrap/>
            <w:vAlign w:val="bottom"/>
            <w:hideMark/>
          </w:tcPr>
          <w:p w14:paraId="1062BD0C" w14:textId="77777777" w:rsidR="00904709" w:rsidRPr="006430EA" w:rsidRDefault="00904709" w:rsidP="000F4E51">
            <w:pPr>
              <w:spacing w:line="240" w:lineRule="auto"/>
              <w:jc w:val="center"/>
              <w:rPr>
                <w:rFonts w:ascii="Times New Roman" w:hAnsi="Times New Roman" w:cs="Times New Roman"/>
                <w:color w:val="000000"/>
                <w:sz w:val="20"/>
                <w:szCs w:val="20"/>
                <w:lang w:val="en-US"/>
              </w:rPr>
            </w:pPr>
            <w:r w:rsidRPr="006430EA">
              <w:rPr>
                <w:rFonts w:ascii="Times New Roman" w:hAnsi="Times New Roman" w:cs="Times New Roman"/>
                <w:color w:val="000000"/>
                <w:sz w:val="20"/>
                <w:szCs w:val="20"/>
              </w:rPr>
              <w:t>-2,7(-14,8; 11)</w:t>
            </w:r>
          </w:p>
        </w:tc>
        <w:tc>
          <w:tcPr>
            <w:tcW w:w="1275" w:type="dxa"/>
            <w:tcBorders>
              <w:top w:val="nil"/>
              <w:left w:val="nil"/>
              <w:bottom w:val="single" w:sz="4" w:space="0" w:color="auto"/>
              <w:right w:val="single" w:sz="4" w:space="0" w:color="auto"/>
            </w:tcBorders>
            <w:noWrap/>
            <w:vAlign w:val="bottom"/>
            <w:hideMark/>
          </w:tcPr>
          <w:p w14:paraId="36FB1C79" w14:textId="77777777" w:rsidR="00904709" w:rsidRPr="006430EA" w:rsidRDefault="00904709" w:rsidP="000F4E51">
            <w:pPr>
              <w:spacing w:line="240" w:lineRule="auto"/>
              <w:jc w:val="center"/>
              <w:rPr>
                <w:rFonts w:ascii="Times New Roman" w:hAnsi="Times New Roman" w:cs="Times New Roman"/>
                <w:color w:val="000000"/>
                <w:sz w:val="20"/>
                <w:szCs w:val="20"/>
                <w:lang w:val="en-US"/>
              </w:rPr>
            </w:pPr>
            <w:r w:rsidRPr="006430EA">
              <w:rPr>
                <w:rFonts w:ascii="Times New Roman" w:hAnsi="Times New Roman" w:cs="Times New Roman"/>
                <w:color w:val="000000"/>
                <w:sz w:val="20"/>
                <w:szCs w:val="20"/>
              </w:rPr>
              <w:t>-1,3(-11,3; 9,9)</w:t>
            </w:r>
          </w:p>
        </w:tc>
        <w:tc>
          <w:tcPr>
            <w:tcW w:w="1327" w:type="dxa"/>
            <w:tcBorders>
              <w:top w:val="nil"/>
              <w:left w:val="nil"/>
              <w:bottom w:val="single" w:sz="4" w:space="0" w:color="auto"/>
              <w:right w:val="single" w:sz="4" w:space="0" w:color="auto"/>
            </w:tcBorders>
            <w:vAlign w:val="center"/>
            <w:hideMark/>
          </w:tcPr>
          <w:p w14:paraId="5A8020C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1.1 (-7.7;10.7)</w:t>
            </w:r>
          </w:p>
        </w:tc>
        <w:tc>
          <w:tcPr>
            <w:tcW w:w="967" w:type="dxa"/>
            <w:gridSpan w:val="2"/>
            <w:tcBorders>
              <w:top w:val="nil"/>
              <w:left w:val="nil"/>
              <w:bottom w:val="single" w:sz="4" w:space="0" w:color="auto"/>
              <w:right w:val="single" w:sz="4" w:space="0" w:color="auto"/>
            </w:tcBorders>
            <w:noWrap/>
            <w:vAlign w:val="bottom"/>
            <w:hideMark/>
          </w:tcPr>
          <w:p w14:paraId="00755AF1" w14:textId="77777777" w:rsidR="00904709" w:rsidRPr="006430EA" w:rsidRDefault="00904709" w:rsidP="000F4E51">
            <w:pPr>
              <w:spacing w:line="240" w:lineRule="auto"/>
              <w:jc w:val="center"/>
              <w:rPr>
                <w:rFonts w:ascii="Times New Roman" w:hAnsi="Times New Roman" w:cs="Times New Roman"/>
                <w:color w:val="000000"/>
                <w:sz w:val="20"/>
                <w:szCs w:val="20"/>
                <w:lang w:val="en-US"/>
              </w:rPr>
            </w:pPr>
            <w:r w:rsidRPr="006430EA">
              <w:rPr>
                <w:rFonts w:ascii="Times New Roman" w:hAnsi="Times New Roman" w:cs="Times New Roman"/>
                <w:color w:val="000000"/>
                <w:sz w:val="20"/>
                <w:szCs w:val="20"/>
              </w:rPr>
              <w:t>4,3(-4,9; 14,4)</w:t>
            </w:r>
          </w:p>
        </w:tc>
        <w:tc>
          <w:tcPr>
            <w:tcW w:w="1250" w:type="dxa"/>
            <w:tcBorders>
              <w:top w:val="nil"/>
              <w:left w:val="nil"/>
              <w:bottom w:val="single" w:sz="4" w:space="0" w:color="auto"/>
              <w:right w:val="single" w:sz="4" w:space="0" w:color="auto"/>
            </w:tcBorders>
            <w:noWrap/>
            <w:vAlign w:val="bottom"/>
            <w:hideMark/>
          </w:tcPr>
          <w:p w14:paraId="312E8653" w14:textId="77777777" w:rsidR="00904709" w:rsidRPr="006430EA" w:rsidRDefault="00904709" w:rsidP="000F4E51">
            <w:pPr>
              <w:spacing w:line="240" w:lineRule="auto"/>
              <w:jc w:val="center"/>
              <w:rPr>
                <w:rFonts w:ascii="Times New Roman" w:hAnsi="Times New Roman" w:cs="Times New Roman"/>
                <w:color w:val="000000"/>
                <w:sz w:val="20"/>
                <w:szCs w:val="20"/>
                <w:lang w:val="en-US"/>
              </w:rPr>
            </w:pPr>
            <w:r w:rsidRPr="006430EA">
              <w:rPr>
                <w:rFonts w:ascii="Times New Roman" w:hAnsi="Times New Roman" w:cs="Times New Roman"/>
                <w:color w:val="000000"/>
                <w:sz w:val="20"/>
                <w:szCs w:val="20"/>
              </w:rPr>
              <w:t>-2,7(-14,8; 11)</w:t>
            </w:r>
          </w:p>
        </w:tc>
        <w:tc>
          <w:tcPr>
            <w:tcW w:w="1111" w:type="dxa"/>
            <w:tcBorders>
              <w:top w:val="nil"/>
              <w:left w:val="nil"/>
              <w:bottom w:val="single" w:sz="4" w:space="0" w:color="auto"/>
              <w:right w:val="single" w:sz="4" w:space="0" w:color="auto"/>
            </w:tcBorders>
            <w:noWrap/>
            <w:vAlign w:val="bottom"/>
            <w:hideMark/>
          </w:tcPr>
          <w:p w14:paraId="60E3EF86" w14:textId="77777777" w:rsidR="00904709" w:rsidRPr="006430EA" w:rsidRDefault="00904709" w:rsidP="000F4E51">
            <w:pPr>
              <w:spacing w:line="240" w:lineRule="auto"/>
              <w:jc w:val="center"/>
              <w:rPr>
                <w:rFonts w:ascii="Times New Roman" w:eastAsia="Times New Roman" w:hAnsi="Times New Roman" w:cs="Times New Roman"/>
                <w:color w:val="000000"/>
                <w:sz w:val="20"/>
                <w:szCs w:val="20"/>
                <w:lang w:val="en-US" w:eastAsia="ru-RU"/>
              </w:rPr>
            </w:pPr>
            <w:r w:rsidRPr="006430EA">
              <w:rPr>
                <w:rFonts w:ascii="Times New Roman" w:hAnsi="Times New Roman" w:cs="Times New Roman"/>
                <w:color w:val="000000"/>
                <w:sz w:val="20"/>
                <w:szCs w:val="20"/>
              </w:rPr>
              <w:t>1,</w:t>
            </w:r>
            <w:r w:rsidRPr="006430EA">
              <w:rPr>
                <w:rFonts w:ascii="Times New Roman" w:hAnsi="Times New Roman" w:cs="Times New Roman"/>
                <w:color w:val="000000"/>
                <w:sz w:val="20"/>
                <w:szCs w:val="20"/>
                <w:lang w:val="en-US"/>
              </w:rPr>
              <w:t>0</w:t>
            </w:r>
            <w:r w:rsidRPr="006430EA">
              <w:rPr>
                <w:rFonts w:ascii="Times New Roman" w:hAnsi="Times New Roman" w:cs="Times New Roman"/>
                <w:color w:val="000000"/>
                <w:sz w:val="20"/>
                <w:szCs w:val="20"/>
              </w:rPr>
              <w:t>(-8,2; 11,</w:t>
            </w:r>
            <w:r w:rsidRPr="006430EA">
              <w:rPr>
                <w:rFonts w:ascii="Times New Roman" w:hAnsi="Times New Roman" w:cs="Times New Roman"/>
                <w:color w:val="000000"/>
                <w:sz w:val="20"/>
                <w:szCs w:val="20"/>
                <w:lang w:val="en-US"/>
              </w:rPr>
              <w:t>0</w:t>
            </w:r>
            <w:r w:rsidRPr="006430EA">
              <w:rPr>
                <w:rFonts w:ascii="Times New Roman" w:hAnsi="Times New Roman" w:cs="Times New Roman"/>
                <w:color w:val="000000"/>
                <w:sz w:val="20"/>
                <w:szCs w:val="20"/>
              </w:rPr>
              <w:t>)</w:t>
            </w:r>
          </w:p>
        </w:tc>
        <w:tc>
          <w:tcPr>
            <w:tcW w:w="1176" w:type="dxa"/>
            <w:tcBorders>
              <w:top w:val="nil"/>
              <w:left w:val="nil"/>
              <w:bottom w:val="single" w:sz="4" w:space="0" w:color="auto"/>
              <w:right w:val="single" w:sz="4" w:space="0" w:color="auto"/>
            </w:tcBorders>
            <w:vAlign w:val="center"/>
            <w:hideMark/>
          </w:tcPr>
          <w:p w14:paraId="2368D71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val="en-US" w:eastAsia="ru-RU"/>
              </w:rPr>
              <w:t>1.3 (-7.7;11.1)</w:t>
            </w:r>
          </w:p>
        </w:tc>
      </w:tr>
      <w:tr w:rsidR="00904709" w:rsidRPr="006430EA" w14:paraId="465F3270" w14:textId="77777777" w:rsidTr="00533899">
        <w:trPr>
          <w:trHeight w:val="323"/>
        </w:trPr>
        <w:tc>
          <w:tcPr>
            <w:tcW w:w="14459" w:type="dxa"/>
            <w:gridSpan w:val="15"/>
            <w:tcBorders>
              <w:top w:val="nil"/>
              <w:left w:val="single" w:sz="4" w:space="0" w:color="auto"/>
              <w:bottom w:val="single" w:sz="4" w:space="0" w:color="auto"/>
              <w:right w:val="single" w:sz="4" w:space="0" w:color="auto"/>
            </w:tcBorders>
            <w:vAlign w:val="center"/>
            <w:hideMark/>
          </w:tcPr>
          <w:p w14:paraId="4D440AC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Женщины</w:t>
            </w:r>
          </w:p>
        </w:tc>
      </w:tr>
      <w:tr w:rsidR="001C71D7" w:rsidRPr="006430EA" w14:paraId="3A4D9A68" w14:textId="77777777" w:rsidTr="00533899">
        <w:trPr>
          <w:trHeight w:val="311"/>
        </w:trPr>
        <w:tc>
          <w:tcPr>
            <w:tcW w:w="974" w:type="dxa"/>
            <w:vMerge w:val="restart"/>
            <w:tcBorders>
              <w:top w:val="nil"/>
              <w:left w:val="single" w:sz="4" w:space="0" w:color="auto"/>
              <w:right w:val="single" w:sz="4" w:space="0" w:color="auto"/>
            </w:tcBorders>
            <w:vAlign w:val="center"/>
          </w:tcPr>
          <w:p w14:paraId="4D1ED5F8" w14:textId="3563C2B8"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Годы</w:t>
            </w:r>
          </w:p>
        </w:tc>
        <w:tc>
          <w:tcPr>
            <w:tcW w:w="4305" w:type="dxa"/>
            <w:gridSpan w:val="5"/>
            <w:tcBorders>
              <w:top w:val="nil"/>
              <w:left w:val="nil"/>
              <w:bottom w:val="single" w:sz="4" w:space="0" w:color="auto"/>
              <w:right w:val="single" w:sz="4" w:space="0" w:color="auto"/>
            </w:tcBorders>
            <w:noWrap/>
            <w:vAlign w:val="center"/>
          </w:tcPr>
          <w:p w14:paraId="3303586C"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Превентивная</w:t>
            </w:r>
          </w:p>
        </w:tc>
        <w:tc>
          <w:tcPr>
            <w:tcW w:w="4717" w:type="dxa"/>
            <w:gridSpan w:val="5"/>
            <w:tcBorders>
              <w:top w:val="nil"/>
              <w:left w:val="nil"/>
              <w:bottom w:val="single" w:sz="4" w:space="0" w:color="auto"/>
              <w:right w:val="single" w:sz="4" w:space="0" w:color="auto"/>
            </w:tcBorders>
            <w:noWrap/>
            <w:vAlign w:val="bottom"/>
          </w:tcPr>
          <w:p w14:paraId="2263EC18"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Излечимая</w:t>
            </w:r>
          </w:p>
        </w:tc>
        <w:tc>
          <w:tcPr>
            <w:tcW w:w="4463" w:type="dxa"/>
            <w:gridSpan w:val="4"/>
            <w:tcBorders>
              <w:top w:val="nil"/>
              <w:left w:val="nil"/>
              <w:bottom w:val="single" w:sz="4" w:space="0" w:color="auto"/>
              <w:right w:val="single" w:sz="4" w:space="0" w:color="auto"/>
            </w:tcBorders>
            <w:noWrap/>
            <w:vAlign w:val="bottom"/>
          </w:tcPr>
          <w:p w14:paraId="6E652BC8"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Предотвратимая</w:t>
            </w:r>
          </w:p>
        </w:tc>
      </w:tr>
      <w:tr w:rsidR="001C71D7" w:rsidRPr="006430EA" w14:paraId="0BA358C3" w14:textId="77777777" w:rsidTr="00533899">
        <w:trPr>
          <w:trHeight w:val="311"/>
        </w:trPr>
        <w:tc>
          <w:tcPr>
            <w:tcW w:w="974" w:type="dxa"/>
            <w:vMerge/>
            <w:tcBorders>
              <w:left w:val="single" w:sz="4" w:space="0" w:color="auto"/>
              <w:bottom w:val="single" w:sz="4" w:space="0" w:color="auto"/>
              <w:right w:val="single" w:sz="4" w:space="0" w:color="auto"/>
            </w:tcBorders>
            <w:vAlign w:val="center"/>
          </w:tcPr>
          <w:p w14:paraId="4E296045"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p>
        </w:tc>
        <w:tc>
          <w:tcPr>
            <w:tcW w:w="1038" w:type="dxa"/>
            <w:tcBorders>
              <w:top w:val="nil"/>
              <w:left w:val="nil"/>
              <w:bottom w:val="single" w:sz="4" w:space="0" w:color="auto"/>
              <w:right w:val="single" w:sz="4" w:space="0" w:color="auto"/>
            </w:tcBorders>
            <w:noWrap/>
            <w:vAlign w:val="center"/>
          </w:tcPr>
          <w:p w14:paraId="245F24C3"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ИБС</w:t>
            </w:r>
          </w:p>
        </w:tc>
        <w:tc>
          <w:tcPr>
            <w:tcW w:w="1079" w:type="dxa"/>
            <w:tcBorders>
              <w:top w:val="nil"/>
              <w:left w:val="nil"/>
              <w:bottom w:val="single" w:sz="4" w:space="0" w:color="auto"/>
              <w:right w:val="single" w:sz="4" w:space="0" w:color="auto"/>
            </w:tcBorders>
            <w:noWrap/>
            <w:vAlign w:val="center"/>
          </w:tcPr>
          <w:p w14:paraId="711223AE"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ЦВЗ</w:t>
            </w:r>
          </w:p>
        </w:tc>
        <w:tc>
          <w:tcPr>
            <w:tcW w:w="979" w:type="dxa"/>
            <w:tcBorders>
              <w:top w:val="nil"/>
              <w:left w:val="nil"/>
              <w:bottom w:val="single" w:sz="4" w:space="0" w:color="auto"/>
              <w:right w:val="single" w:sz="4" w:space="0" w:color="auto"/>
            </w:tcBorders>
            <w:noWrap/>
            <w:vAlign w:val="center"/>
          </w:tcPr>
          <w:p w14:paraId="5FEFB80E"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Другие</w:t>
            </w:r>
          </w:p>
        </w:tc>
        <w:tc>
          <w:tcPr>
            <w:tcW w:w="1201" w:type="dxa"/>
            <w:tcBorders>
              <w:top w:val="nil"/>
              <w:left w:val="nil"/>
              <w:bottom w:val="single" w:sz="4" w:space="0" w:color="auto"/>
              <w:right w:val="single" w:sz="4" w:space="0" w:color="auto"/>
            </w:tcBorders>
            <w:vAlign w:val="center"/>
          </w:tcPr>
          <w:p w14:paraId="0A74D605"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Всего</w:t>
            </w:r>
          </w:p>
        </w:tc>
        <w:tc>
          <w:tcPr>
            <w:tcW w:w="1089" w:type="dxa"/>
            <w:gridSpan w:val="2"/>
            <w:tcBorders>
              <w:top w:val="nil"/>
              <w:left w:val="nil"/>
              <w:bottom w:val="single" w:sz="4" w:space="0" w:color="auto"/>
              <w:right w:val="single" w:sz="4" w:space="0" w:color="auto"/>
            </w:tcBorders>
            <w:noWrap/>
            <w:vAlign w:val="center"/>
          </w:tcPr>
          <w:p w14:paraId="3F4324A1"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ИБС</w:t>
            </w:r>
          </w:p>
        </w:tc>
        <w:tc>
          <w:tcPr>
            <w:tcW w:w="993" w:type="dxa"/>
            <w:tcBorders>
              <w:top w:val="nil"/>
              <w:left w:val="nil"/>
              <w:bottom w:val="single" w:sz="4" w:space="0" w:color="auto"/>
              <w:right w:val="single" w:sz="4" w:space="0" w:color="auto"/>
            </w:tcBorders>
            <w:noWrap/>
            <w:vAlign w:val="center"/>
          </w:tcPr>
          <w:p w14:paraId="0DE111C7"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ЦВЗ</w:t>
            </w:r>
          </w:p>
        </w:tc>
        <w:tc>
          <w:tcPr>
            <w:tcW w:w="1275" w:type="dxa"/>
            <w:tcBorders>
              <w:top w:val="nil"/>
              <w:left w:val="nil"/>
              <w:bottom w:val="single" w:sz="4" w:space="0" w:color="auto"/>
              <w:right w:val="single" w:sz="4" w:space="0" w:color="auto"/>
            </w:tcBorders>
            <w:noWrap/>
            <w:vAlign w:val="center"/>
          </w:tcPr>
          <w:p w14:paraId="0E73B83E"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Другие</w:t>
            </w:r>
          </w:p>
        </w:tc>
        <w:tc>
          <w:tcPr>
            <w:tcW w:w="1327" w:type="dxa"/>
            <w:tcBorders>
              <w:top w:val="nil"/>
              <w:left w:val="nil"/>
              <w:bottom w:val="single" w:sz="4" w:space="0" w:color="auto"/>
              <w:right w:val="single" w:sz="4" w:space="0" w:color="auto"/>
            </w:tcBorders>
            <w:vAlign w:val="center"/>
          </w:tcPr>
          <w:p w14:paraId="086FD7CD"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Всего</w:t>
            </w:r>
          </w:p>
        </w:tc>
        <w:tc>
          <w:tcPr>
            <w:tcW w:w="967" w:type="dxa"/>
            <w:gridSpan w:val="2"/>
            <w:tcBorders>
              <w:top w:val="nil"/>
              <w:left w:val="nil"/>
              <w:bottom w:val="single" w:sz="4" w:space="0" w:color="auto"/>
              <w:right w:val="single" w:sz="4" w:space="0" w:color="auto"/>
            </w:tcBorders>
            <w:noWrap/>
            <w:vAlign w:val="center"/>
          </w:tcPr>
          <w:p w14:paraId="45B68C91"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ИБС</w:t>
            </w:r>
          </w:p>
        </w:tc>
        <w:tc>
          <w:tcPr>
            <w:tcW w:w="1250" w:type="dxa"/>
            <w:tcBorders>
              <w:top w:val="nil"/>
              <w:left w:val="nil"/>
              <w:bottom w:val="single" w:sz="4" w:space="0" w:color="auto"/>
              <w:right w:val="single" w:sz="4" w:space="0" w:color="auto"/>
            </w:tcBorders>
            <w:noWrap/>
            <w:vAlign w:val="center"/>
          </w:tcPr>
          <w:p w14:paraId="073B8041"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ЦВЗ</w:t>
            </w:r>
          </w:p>
        </w:tc>
        <w:tc>
          <w:tcPr>
            <w:tcW w:w="1111" w:type="dxa"/>
            <w:tcBorders>
              <w:top w:val="nil"/>
              <w:left w:val="nil"/>
              <w:bottom w:val="single" w:sz="4" w:space="0" w:color="auto"/>
              <w:right w:val="single" w:sz="4" w:space="0" w:color="auto"/>
            </w:tcBorders>
            <w:noWrap/>
            <w:vAlign w:val="center"/>
          </w:tcPr>
          <w:p w14:paraId="10B3EE78"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Другие</w:t>
            </w:r>
          </w:p>
        </w:tc>
        <w:tc>
          <w:tcPr>
            <w:tcW w:w="1176" w:type="dxa"/>
            <w:tcBorders>
              <w:top w:val="nil"/>
              <w:left w:val="nil"/>
              <w:bottom w:val="single" w:sz="4" w:space="0" w:color="auto"/>
              <w:right w:val="single" w:sz="4" w:space="0" w:color="auto"/>
            </w:tcBorders>
            <w:vAlign w:val="center"/>
          </w:tcPr>
          <w:p w14:paraId="61D0358D" w14:textId="77777777" w:rsidR="001C71D7" w:rsidRPr="006430EA" w:rsidRDefault="001C71D7"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hAnsi="Times New Roman" w:cs="Times New Roman"/>
                <w:sz w:val="20"/>
                <w:szCs w:val="20"/>
              </w:rPr>
              <w:t>Всего</w:t>
            </w:r>
          </w:p>
        </w:tc>
      </w:tr>
      <w:tr w:rsidR="00904709" w:rsidRPr="006430EA" w14:paraId="7E44199C"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1490F1F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2014</w:t>
            </w:r>
          </w:p>
        </w:tc>
        <w:tc>
          <w:tcPr>
            <w:tcW w:w="1038" w:type="dxa"/>
            <w:tcBorders>
              <w:top w:val="nil"/>
              <w:left w:val="nil"/>
              <w:bottom w:val="single" w:sz="4" w:space="0" w:color="auto"/>
              <w:right w:val="single" w:sz="4" w:space="0" w:color="auto"/>
            </w:tcBorders>
            <w:noWrap/>
            <w:vAlign w:val="bottom"/>
            <w:hideMark/>
          </w:tcPr>
          <w:p w14:paraId="179EF19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10,78</w:t>
            </w:r>
          </w:p>
        </w:tc>
        <w:tc>
          <w:tcPr>
            <w:tcW w:w="1079" w:type="dxa"/>
            <w:tcBorders>
              <w:top w:val="nil"/>
              <w:left w:val="nil"/>
              <w:bottom w:val="single" w:sz="4" w:space="0" w:color="auto"/>
              <w:right w:val="single" w:sz="4" w:space="0" w:color="auto"/>
            </w:tcBorders>
            <w:noWrap/>
            <w:vAlign w:val="bottom"/>
            <w:hideMark/>
          </w:tcPr>
          <w:p w14:paraId="47A5E59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24,76</w:t>
            </w:r>
          </w:p>
        </w:tc>
        <w:tc>
          <w:tcPr>
            <w:tcW w:w="979" w:type="dxa"/>
            <w:tcBorders>
              <w:top w:val="nil"/>
              <w:left w:val="nil"/>
              <w:bottom w:val="single" w:sz="4" w:space="0" w:color="auto"/>
              <w:right w:val="single" w:sz="4" w:space="0" w:color="auto"/>
            </w:tcBorders>
            <w:noWrap/>
            <w:vAlign w:val="bottom"/>
            <w:hideMark/>
          </w:tcPr>
          <w:p w14:paraId="4264FE1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1,05</w:t>
            </w:r>
          </w:p>
        </w:tc>
        <w:tc>
          <w:tcPr>
            <w:tcW w:w="1201" w:type="dxa"/>
            <w:tcBorders>
              <w:top w:val="nil"/>
              <w:left w:val="nil"/>
              <w:bottom w:val="single" w:sz="4" w:space="0" w:color="auto"/>
              <w:right w:val="single" w:sz="4" w:space="0" w:color="auto"/>
            </w:tcBorders>
            <w:vAlign w:val="center"/>
            <w:hideMark/>
          </w:tcPr>
          <w:p w14:paraId="377468F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36,59</w:t>
            </w:r>
          </w:p>
        </w:tc>
        <w:tc>
          <w:tcPr>
            <w:tcW w:w="1089" w:type="dxa"/>
            <w:gridSpan w:val="2"/>
            <w:tcBorders>
              <w:top w:val="nil"/>
              <w:left w:val="nil"/>
              <w:bottom w:val="single" w:sz="4" w:space="0" w:color="auto"/>
              <w:right w:val="single" w:sz="4" w:space="0" w:color="auto"/>
            </w:tcBorders>
            <w:noWrap/>
            <w:vAlign w:val="bottom"/>
            <w:hideMark/>
          </w:tcPr>
          <w:p w14:paraId="07EC60F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10,78</w:t>
            </w:r>
          </w:p>
        </w:tc>
        <w:tc>
          <w:tcPr>
            <w:tcW w:w="993" w:type="dxa"/>
            <w:tcBorders>
              <w:top w:val="nil"/>
              <w:left w:val="nil"/>
              <w:bottom w:val="single" w:sz="4" w:space="0" w:color="auto"/>
              <w:right w:val="single" w:sz="4" w:space="0" w:color="auto"/>
            </w:tcBorders>
            <w:noWrap/>
            <w:vAlign w:val="bottom"/>
            <w:hideMark/>
          </w:tcPr>
          <w:p w14:paraId="1250C04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24,76</w:t>
            </w:r>
          </w:p>
        </w:tc>
        <w:tc>
          <w:tcPr>
            <w:tcW w:w="1275" w:type="dxa"/>
            <w:tcBorders>
              <w:top w:val="nil"/>
              <w:left w:val="nil"/>
              <w:bottom w:val="single" w:sz="4" w:space="0" w:color="auto"/>
              <w:right w:val="single" w:sz="4" w:space="0" w:color="auto"/>
            </w:tcBorders>
            <w:noWrap/>
            <w:vAlign w:val="bottom"/>
            <w:hideMark/>
          </w:tcPr>
          <w:p w14:paraId="3EECD70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13,40</w:t>
            </w:r>
          </w:p>
        </w:tc>
        <w:tc>
          <w:tcPr>
            <w:tcW w:w="1327" w:type="dxa"/>
            <w:tcBorders>
              <w:top w:val="nil"/>
              <w:left w:val="nil"/>
              <w:bottom w:val="single" w:sz="4" w:space="0" w:color="auto"/>
              <w:right w:val="single" w:sz="4" w:space="0" w:color="auto"/>
            </w:tcBorders>
            <w:vAlign w:val="center"/>
            <w:hideMark/>
          </w:tcPr>
          <w:p w14:paraId="1F03129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48,94</w:t>
            </w:r>
          </w:p>
        </w:tc>
        <w:tc>
          <w:tcPr>
            <w:tcW w:w="967" w:type="dxa"/>
            <w:gridSpan w:val="2"/>
            <w:tcBorders>
              <w:top w:val="nil"/>
              <w:left w:val="nil"/>
              <w:bottom w:val="single" w:sz="4" w:space="0" w:color="auto"/>
              <w:right w:val="single" w:sz="4" w:space="0" w:color="auto"/>
            </w:tcBorders>
            <w:noWrap/>
            <w:vAlign w:val="bottom"/>
            <w:hideMark/>
          </w:tcPr>
          <w:p w14:paraId="53EC46C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21,56</w:t>
            </w:r>
          </w:p>
        </w:tc>
        <w:tc>
          <w:tcPr>
            <w:tcW w:w="1250" w:type="dxa"/>
            <w:tcBorders>
              <w:top w:val="nil"/>
              <w:left w:val="nil"/>
              <w:bottom w:val="single" w:sz="4" w:space="0" w:color="auto"/>
              <w:right w:val="single" w:sz="4" w:space="0" w:color="auto"/>
            </w:tcBorders>
            <w:noWrap/>
            <w:vAlign w:val="bottom"/>
            <w:hideMark/>
          </w:tcPr>
          <w:p w14:paraId="2A631A2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49,52</w:t>
            </w:r>
          </w:p>
        </w:tc>
        <w:tc>
          <w:tcPr>
            <w:tcW w:w="1111" w:type="dxa"/>
            <w:tcBorders>
              <w:top w:val="nil"/>
              <w:left w:val="nil"/>
              <w:bottom w:val="single" w:sz="4" w:space="0" w:color="auto"/>
              <w:right w:val="single" w:sz="4" w:space="0" w:color="auto"/>
            </w:tcBorders>
            <w:noWrap/>
            <w:vAlign w:val="bottom"/>
            <w:hideMark/>
          </w:tcPr>
          <w:p w14:paraId="36F015C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14,45</w:t>
            </w:r>
          </w:p>
        </w:tc>
        <w:tc>
          <w:tcPr>
            <w:tcW w:w="1176" w:type="dxa"/>
            <w:tcBorders>
              <w:top w:val="nil"/>
              <w:left w:val="nil"/>
              <w:bottom w:val="single" w:sz="4" w:space="0" w:color="auto"/>
              <w:right w:val="single" w:sz="4" w:space="0" w:color="auto"/>
            </w:tcBorders>
            <w:vAlign w:val="center"/>
            <w:hideMark/>
          </w:tcPr>
          <w:p w14:paraId="3381311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85,53</w:t>
            </w:r>
          </w:p>
        </w:tc>
      </w:tr>
      <w:tr w:rsidR="00904709" w:rsidRPr="006430EA" w14:paraId="114373BC"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15977DF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2015</w:t>
            </w:r>
          </w:p>
        </w:tc>
        <w:tc>
          <w:tcPr>
            <w:tcW w:w="1038" w:type="dxa"/>
            <w:tcBorders>
              <w:top w:val="nil"/>
              <w:left w:val="nil"/>
              <w:bottom w:val="single" w:sz="4" w:space="0" w:color="auto"/>
              <w:right w:val="single" w:sz="4" w:space="0" w:color="auto"/>
            </w:tcBorders>
            <w:noWrap/>
            <w:vAlign w:val="bottom"/>
            <w:hideMark/>
          </w:tcPr>
          <w:p w14:paraId="6FC8562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19,15</w:t>
            </w:r>
          </w:p>
        </w:tc>
        <w:tc>
          <w:tcPr>
            <w:tcW w:w="1079" w:type="dxa"/>
            <w:tcBorders>
              <w:top w:val="nil"/>
              <w:left w:val="nil"/>
              <w:bottom w:val="single" w:sz="4" w:space="0" w:color="auto"/>
              <w:right w:val="single" w:sz="4" w:space="0" w:color="auto"/>
            </w:tcBorders>
            <w:noWrap/>
            <w:vAlign w:val="bottom"/>
            <w:hideMark/>
          </w:tcPr>
          <w:p w14:paraId="739E05C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15,23</w:t>
            </w:r>
          </w:p>
        </w:tc>
        <w:tc>
          <w:tcPr>
            <w:tcW w:w="979" w:type="dxa"/>
            <w:tcBorders>
              <w:top w:val="nil"/>
              <w:left w:val="nil"/>
              <w:bottom w:val="single" w:sz="4" w:space="0" w:color="auto"/>
              <w:right w:val="single" w:sz="4" w:space="0" w:color="auto"/>
            </w:tcBorders>
            <w:noWrap/>
            <w:vAlign w:val="bottom"/>
            <w:hideMark/>
          </w:tcPr>
          <w:p w14:paraId="1051C8E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1,91</w:t>
            </w:r>
          </w:p>
        </w:tc>
        <w:tc>
          <w:tcPr>
            <w:tcW w:w="1201" w:type="dxa"/>
            <w:tcBorders>
              <w:top w:val="nil"/>
              <w:left w:val="nil"/>
              <w:bottom w:val="single" w:sz="4" w:space="0" w:color="auto"/>
              <w:right w:val="single" w:sz="4" w:space="0" w:color="auto"/>
            </w:tcBorders>
            <w:vAlign w:val="center"/>
            <w:hideMark/>
          </w:tcPr>
          <w:p w14:paraId="2C95967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36,29</w:t>
            </w:r>
          </w:p>
        </w:tc>
        <w:tc>
          <w:tcPr>
            <w:tcW w:w="1089" w:type="dxa"/>
            <w:gridSpan w:val="2"/>
            <w:tcBorders>
              <w:top w:val="nil"/>
              <w:left w:val="nil"/>
              <w:bottom w:val="single" w:sz="4" w:space="0" w:color="auto"/>
              <w:right w:val="single" w:sz="4" w:space="0" w:color="auto"/>
            </w:tcBorders>
            <w:noWrap/>
            <w:vAlign w:val="bottom"/>
            <w:hideMark/>
          </w:tcPr>
          <w:p w14:paraId="01B95A4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19,15</w:t>
            </w:r>
          </w:p>
        </w:tc>
        <w:tc>
          <w:tcPr>
            <w:tcW w:w="993" w:type="dxa"/>
            <w:tcBorders>
              <w:top w:val="nil"/>
              <w:left w:val="nil"/>
              <w:bottom w:val="single" w:sz="4" w:space="0" w:color="auto"/>
              <w:right w:val="single" w:sz="4" w:space="0" w:color="auto"/>
            </w:tcBorders>
            <w:noWrap/>
            <w:vAlign w:val="bottom"/>
            <w:hideMark/>
          </w:tcPr>
          <w:p w14:paraId="3EC9E90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15,23</w:t>
            </w:r>
          </w:p>
        </w:tc>
        <w:tc>
          <w:tcPr>
            <w:tcW w:w="1275" w:type="dxa"/>
            <w:tcBorders>
              <w:top w:val="nil"/>
              <w:left w:val="nil"/>
              <w:bottom w:val="single" w:sz="4" w:space="0" w:color="auto"/>
              <w:right w:val="single" w:sz="4" w:space="0" w:color="auto"/>
            </w:tcBorders>
            <w:noWrap/>
            <w:vAlign w:val="bottom"/>
            <w:hideMark/>
          </w:tcPr>
          <w:p w14:paraId="62FCAB9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5,62</w:t>
            </w:r>
          </w:p>
        </w:tc>
        <w:tc>
          <w:tcPr>
            <w:tcW w:w="1327" w:type="dxa"/>
            <w:tcBorders>
              <w:top w:val="nil"/>
              <w:left w:val="nil"/>
              <w:bottom w:val="single" w:sz="4" w:space="0" w:color="auto"/>
              <w:right w:val="single" w:sz="4" w:space="0" w:color="auto"/>
            </w:tcBorders>
            <w:vAlign w:val="center"/>
            <w:hideMark/>
          </w:tcPr>
          <w:p w14:paraId="124EF99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40,01</w:t>
            </w:r>
          </w:p>
        </w:tc>
        <w:tc>
          <w:tcPr>
            <w:tcW w:w="967" w:type="dxa"/>
            <w:gridSpan w:val="2"/>
            <w:tcBorders>
              <w:top w:val="nil"/>
              <w:left w:val="nil"/>
              <w:bottom w:val="single" w:sz="4" w:space="0" w:color="auto"/>
              <w:right w:val="single" w:sz="4" w:space="0" w:color="auto"/>
            </w:tcBorders>
            <w:noWrap/>
            <w:vAlign w:val="bottom"/>
            <w:hideMark/>
          </w:tcPr>
          <w:p w14:paraId="7AC947B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38,31</w:t>
            </w:r>
          </w:p>
        </w:tc>
        <w:tc>
          <w:tcPr>
            <w:tcW w:w="1250" w:type="dxa"/>
            <w:tcBorders>
              <w:top w:val="nil"/>
              <w:left w:val="nil"/>
              <w:bottom w:val="single" w:sz="4" w:space="0" w:color="auto"/>
              <w:right w:val="single" w:sz="4" w:space="0" w:color="auto"/>
            </w:tcBorders>
            <w:noWrap/>
            <w:vAlign w:val="bottom"/>
            <w:hideMark/>
          </w:tcPr>
          <w:p w14:paraId="16D0B34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30,47</w:t>
            </w:r>
          </w:p>
        </w:tc>
        <w:tc>
          <w:tcPr>
            <w:tcW w:w="1111" w:type="dxa"/>
            <w:tcBorders>
              <w:top w:val="nil"/>
              <w:left w:val="nil"/>
              <w:bottom w:val="single" w:sz="4" w:space="0" w:color="auto"/>
              <w:right w:val="single" w:sz="4" w:space="0" w:color="auto"/>
            </w:tcBorders>
            <w:noWrap/>
            <w:vAlign w:val="bottom"/>
            <w:hideMark/>
          </w:tcPr>
          <w:p w14:paraId="5F7ACAC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7,53</w:t>
            </w:r>
          </w:p>
        </w:tc>
        <w:tc>
          <w:tcPr>
            <w:tcW w:w="1176" w:type="dxa"/>
            <w:tcBorders>
              <w:top w:val="nil"/>
              <w:left w:val="nil"/>
              <w:bottom w:val="single" w:sz="4" w:space="0" w:color="auto"/>
              <w:right w:val="single" w:sz="4" w:space="0" w:color="auto"/>
            </w:tcBorders>
            <w:vAlign w:val="center"/>
            <w:hideMark/>
          </w:tcPr>
          <w:p w14:paraId="04C1937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76,31</w:t>
            </w:r>
          </w:p>
        </w:tc>
      </w:tr>
      <w:tr w:rsidR="00904709" w:rsidRPr="006430EA" w14:paraId="4272380E"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63BBA08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2016</w:t>
            </w:r>
          </w:p>
        </w:tc>
        <w:tc>
          <w:tcPr>
            <w:tcW w:w="1038" w:type="dxa"/>
            <w:tcBorders>
              <w:top w:val="nil"/>
              <w:left w:val="nil"/>
              <w:bottom w:val="single" w:sz="4" w:space="0" w:color="auto"/>
              <w:right w:val="single" w:sz="4" w:space="0" w:color="auto"/>
            </w:tcBorders>
            <w:noWrap/>
            <w:vAlign w:val="bottom"/>
            <w:hideMark/>
          </w:tcPr>
          <w:p w14:paraId="300B365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20,08</w:t>
            </w:r>
          </w:p>
        </w:tc>
        <w:tc>
          <w:tcPr>
            <w:tcW w:w="1079" w:type="dxa"/>
            <w:tcBorders>
              <w:top w:val="nil"/>
              <w:left w:val="nil"/>
              <w:bottom w:val="single" w:sz="4" w:space="0" w:color="auto"/>
              <w:right w:val="single" w:sz="4" w:space="0" w:color="auto"/>
            </w:tcBorders>
            <w:noWrap/>
            <w:vAlign w:val="bottom"/>
            <w:hideMark/>
          </w:tcPr>
          <w:p w14:paraId="3930576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18,46</w:t>
            </w:r>
          </w:p>
        </w:tc>
        <w:tc>
          <w:tcPr>
            <w:tcW w:w="979" w:type="dxa"/>
            <w:tcBorders>
              <w:top w:val="nil"/>
              <w:left w:val="nil"/>
              <w:bottom w:val="single" w:sz="4" w:space="0" w:color="auto"/>
              <w:right w:val="single" w:sz="4" w:space="0" w:color="auto"/>
            </w:tcBorders>
            <w:noWrap/>
            <w:vAlign w:val="bottom"/>
            <w:hideMark/>
          </w:tcPr>
          <w:p w14:paraId="0E962CA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2,57</w:t>
            </w:r>
          </w:p>
        </w:tc>
        <w:tc>
          <w:tcPr>
            <w:tcW w:w="1201" w:type="dxa"/>
            <w:tcBorders>
              <w:top w:val="nil"/>
              <w:left w:val="nil"/>
              <w:bottom w:val="single" w:sz="4" w:space="0" w:color="auto"/>
              <w:right w:val="single" w:sz="4" w:space="0" w:color="auto"/>
            </w:tcBorders>
            <w:vAlign w:val="center"/>
            <w:hideMark/>
          </w:tcPr>
          <w:p w14:paraId="323B4CB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41,11</w:t>
            </w:r>
          </w:p>
        </w:tc>
        <w:tc>
          <w:tcPr>
            <w:tcW w:w="1089" w:type="dxa"/>
            <w:gridSpan w:val="2"/>
            <w:tcBorders>
              <w:top w:val="nil"/>
              <w:left w:val="nil"/>
              <w:bottom w:val="single" w:sz="4" w:space="0" w:color="auto"/>
              <w:right w:val="single" w:sz="4" w:space="0" w:color="auto"/>
            </w:tcBorders>
            <w:noWrap/>
            <w:vAlign w:val="bottom"/>
            <w:hideMark/>
          </w:tcPr>
          <w:p w14:paraId="27FB111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20,08</w:t>
            </w:r>
          </w:p>
        </w:tc>
        <w:tc>
          <w:tcPr>
            <w:tcW w:w="993" w:type="dxa"/>
            <w:tcBorders>
              <w:top w:val="nil"/>
              <w:left w:val="nil"/>
              <w:bottom w:val="single" w:sz="4" w:space="0" w:color="auto"/>
              <w:right w:val="single" w:sz="4" w:space="0" w:color="auto"/>
            </w:tcBorders>
            <w:noWrap/>
            <w:vAlign w:val="bottom"/>
            <w:hideMark/>
          </w:tcPr>
          <w:p w14:paraId="65CAE4C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18,46</w:t>
            </w:r>
          </w:p>
        </w:tc>
        <w:tc>
          <w:tcPr>
            <w:tcW w:w="1275" w:type="dxa"/>
            <w:tcBorders>
              <w:top w:val="nil"/>
              <w:left w:val="nil"/>
              <w:bottom w:val="single" w:sz="4" w:space="0" w:color="auto"/>
              <w:right w:val="single" w:sz="4" w:space="0" w:color="auto"/>
            </w:tcBorders>
            <w:noWrap/>
            <w:vAlign w:val="bottom"/>
            <w:hideMark/>
          </w:tcPr>
          <w:p w14:paraId="33B6E50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7,13</w:t>
            </w:r>
          </w:p>
        </w:tc>
        <w:tc>
          <w:tcPr>
            <w:tcW w:w="1327" w:type="dxa"/>
            <w:tcBorders>
              <w:top w:val="nil"/>
              <w:left w:val="nil"/>
              <w:bottom w:val="single" w:sz="4" w:space="0" w:color="auto"/>
              <w:right w:val="single" w:sz="4" w:space="0" w:color="auto"/>
            </w:tcBorders>
            <w:vAlign w:val="center"/>
            <w:hideMark/>
          </w:tcPr>
          <w:p w14:paraId="0A7D35B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45,67</w:t>
            </w:r>
          </w:p>
        </w:tc>
        <w:tc>
          <w:tcPr>
            <w:tcW w:w="967" w:type="dxa"/>
            <w:gridSpan w:val="2"/>
            <w:tcBorders>
              <w:top w:val="nil"/>
              <w:left w:val="nil"/>
              <w:bottom w:val="single" w:sz="4" w:space="0" w:color="auto"/>
              <w:right w:val="single" w:sz="4" w:space="0" w:color="auto"/>
            </w:tcBorders>
            <w:noWrap/>
            <w:vAlign w:val="bottom"/>
            <w:hideMark/>
          </w:tcPr>
          <w:p w14:paraId="008307E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40,17</w:t>
            </w:r>
          </w:p>
        </w:tc>
        <w:tc>
          <w:tcPr>
            <w:tcW w:w="1250" w:type="dxa"/>
            <w:tcBorders>
              <w:top w:val="nil"/>
              <w:left w:val="nil"/>
              <w:bottom w:val="single" w:sz="4" w:space="0" w:color="auto"/>
              <w:right w:val="single" w:sz="4" w:space="0" w:color="auto"/>
            </w:tcBorders>
            <w:noWrap/>
            <w:vAlign w:val="bottom"/>
            <w:hideMark/>
          </w:tcPr>
          <w:p w14:paraId="3DD2C88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36,92</w:t>
            </w:r>
          </w:p>
        </w:tc>
        <w:tc>
          <w:tcPr>
            <w:tcW w:w="1111" w:type="dxa"/>
            <w:tcBorders>
              <w:top w:val="nil"/>
              <w:left w:val="nil"/>
              <w:bottom w:val="single" w:sz="4" w:space="0" w:color="auto"/>
              <w:right w:val="single" w:sz="4" w:space="0" w:color="auto"/>
            </w:tcBorders>
            <w:noWrap/>
            <w:vAlign w:val="bottom"/>
            <w:hideMark/>
          </w:tcPr>
          <w:p w14:paraId="5A6422A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9,70</w:t>
            </w:r>
          </w:p>
        </w:tc>
        <w:tc>
          <w:tcPr>
            <w:tcW w:w="1176" w:type="dxa"/>
            <w:tcBorders>
              <w:top w:val="nil"/>
              <w:left w:val="nil"/>
              <w:bottom w:val="single" w:sz="4" w:space="0" w:color="auto"/>
              <w:right w:val="single" w:sz="4" w:space="0" w:color="auto"/>
            </w:tcBorders>
            <w:vAlign w:val="center"/>
            <w:hideMark/>
          </w:tcPr>
          <w:p w14:paraId="4E91979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86,79</w:t>
            </w:r>
          </w:p>
        </w:tc>
      </w:tr>
      <w:tr w:rsidR="00904709" w:rsidRPr="006430EA" w14:paraId="24C1556A"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32DD38A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2017</w:t>
            </w:r>
          </w:p>
        </w:tc>
        <w:tc>
          <w:tcPr>
            <w:tcW w:w="1038" w:type="dxa"/>
            <w:tcBorders>
              <w:top w:val="nil"/>
              <w:left w:val="nil"/>
              <w:bottom w:val="single" w:sz="4" w:space="0" w:color="auto"/>
              <w:right w:val="single" w:sz="4" w:space="0" w:color="auto"/>
            </w:tcBorders>
            <w:noWrap/>
            <w:vAlign w:val="bottom"/>
            <w:hideMark/>
          </w:tcPr>
          <w:p w14:paraId="6BD2D75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16,13</w:t>
            </w:r>
          </w:p>
        </w:tc>
        <w:tc>
          <w:tcPr>
            <w:tcW w:w="1079" w:type="dxa"/>
            <w:tcBorders>
              <w:top w:val="nil"/>
              <w:left w:val="nil"/>
              <w:bottom w:val="single" w:sz="4" w:space="0" w:color="auto"/>
              <w:right w:val="single" w:sz="4" w:space="0" w:color="auto"/>
            </w:tcBorders>
            <w:noWrap/>
            <w:vAlign w:val="bottom"/>
            <w:hideMark/>
          </w:tcPr>
          <w:p w14:paraId="129B6CA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23,94</w:t>
            </w:r>
          </w:p>
        </w:tc>
        <w:tc>
          <w:tcPr>
            <w:tcW w:w="979" w:type="dxa"/>
            <w:tcBorders>
              <w:top w:val="nil"/>
              <w:left w:val="nil"/>
              <w:bottom w:val="single" w:sz="4" w:space="0" w:color="auto"/>
              <w:right w:val="single" w:sz="4" w:space="0" w:color="auto"/>
            </w:tcBorders>
            <w:noWrap/>
            <w:vAlign w:val="bottom"/>
            <w:hideMark/>
          </w:tcPr>
          <w:p w14:paraId="6FA368D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2,17</w:t>
            </w:r>
          </w:p>
        </w:tc>
        <w:tc>
          <w:tcPr>
            <w:tcW w:w="1201" w:type="dxa"/>
            <w:tcBorders>
              <w:top w:val="nil"/>
              <w:left w:val="nil"/>
              <w:bottom w:val="single" w:sz="4" w:space="0" w:color="auto"/>
              <w:right w:val="single" w:sz="4" w:space="0" w:color="auto"/>
            </w:tcBorders>
            <w:vAlign w:val="center"/>
            <w:hideMark/>
          </w:tcPr>
          <w:p w14:paraId="6AF96F0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42,23</w:t>
            </w:r>
          </w:p>
        </w:tc>
        <w:tc>
          <w:tcPr>
            <w:tcW w:w="1089" w:type="dxa"/>
            <w:gridSpan w:val="2"/>
            <w:tcBorders>
              <w:top w:val="nil"/>
              <w:left w:val="nil"/>
              <w:bottom w:val="single" w:sz="4" w:space="0" w:color="auto"/>
              <w:right w:val="single" w:sz="4" w:space="0" w:color="auto"/>
            </w:tcBorders>
            <w:noWrap/>
            <w:vAlign w:val="bottom"/>
            <w:hideMark/>
          </w:tcPr>
          <w:p w14:paraId="7E25032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16,13</w:t>
            </w:r>
          </w:p>
        </w:tc>
        <w:tc>
          <w:tcPr>
            <w:tcW w:w="993" w:type="dxa"/>
            <w:tcBorders>
              <w:top w:val="nil"/>
              <w:left w:val="nil"/>
              <w:bottom w:val="single" w:sz="4" w:space="0" w:color="auto"/>
              <w:right w:val="single" w:sz="4" w:space="0" w:color="auto"/>
            </w:tcBorders>
            <w:noWrap/>
            <w:vAlign w:val="bottom"/>
            <w:hideMark/>
          </w:tcPr>
          <w:p w14:paraId="6CF613F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23,94</w:t>
            </w:r>
          </w:p>
        </w:tc>
        <w:tc>
          <w:tcPr>
            <w:tcW w:w="1275" w:type="dxa"/>
            <w:tcBorders>
              <w:top w:val="nil"/>
              <w:left w:val="nil"/>
              <w:bottom w:val="single" w:sz="4" w:space="0" w:color="auto"/>
              <w:right w:val="single" w:sz="4" w:space="0" w:color="auto"/>
            </w:tcBorders>
            <w:noWrap/>
            <w:vAlign w:val="bottom"/>
            <w:hideMark/>
          </w:tcPr>
          <w:p w14:paraId="37695BE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8,28</w:t>
            </w:r>
          </w:p>
        </w:tc>
        <w:tc>
          <w:tcPr>
            <w:tcW w:w="1327" w:type="dxa"/>
            <w:tcBorders>
              <w:top w:val="nil"/>
              <w:left w:val="nil"/>
              <w:bottom w:val="single" w:sz="4" w:space="0" w:color="auto"/>
              <w:right w:val="single" w:sz="4" w:space="0" w:color="auto"/>
            </w:tcBorders>
            <w:vAlign w:val="center"/>
            <w:hideMark/>
          </w:tcPr>
          <w:p w14:paraId="5FF8618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48,35</w:t>
            </w:r>
          </w:p>
        </w:tc>
        <w:tc>
          <w:tcPr>
            <w:tcW w:w="967" w:type="dxa"/>
            <w:gridSpan w:val="2"/>
            <w:tcBorders>
              <w:top w:val="nil"/>
              <w:left w:val="nil"/>
              <w:bottom w:val="single" w:sz="4" w:space="0" w:color="auto"/>
              <w:right w:val="single" w:sz="4" w:space="0" w:color="auto"/>
            </w:tcBorders>
            <w:noWrap/>
            <w:vAlign w:val="bottom"/>
            <w:hideMark/>
          </w:tcPr>
          <w:p w14:paraId="56C3188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32,26</w:t>
            </w:r>
          </w:p>
        </w:tc>
        <w:tc>
          <w:tcPr>
            <w:tcW w:w="1250" w:type="dxa"/>
            <w:tcBorders>
              <w:top w:val="nil"/>
              <w:left w:val="nil"/>
              <w:bottom w:val="single" w:sz="4" w:space="0" w:color="auto"/>
              <w:right w:val="single" w:sz="4" w:space="0" w:color="auto"/>
            </w:tcBorders>
            <w:noWrap/>
            <w:vAlign w:val="bottom"/>
            <w:hideMark/>
          </w:tcPr>
          <w:p w14:paraId="159065E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47,87</w:t>
            </w:r>
          </w:p>
        </w:tc>
        <w:tc>
          <w:tcPr>
            <w:tcW w:w="1111" w:type="dxa"/>
            <w:tcBorders>
              <w:top w:val="nil"/>
              <w:left w:val="nil"/>
              <w:bottom w:val="single" w:sz="4" w:space="0" w:color="auto"/>
              <w:right w:val="single" w:sz="4" w:space="0" w:color="auto"/>
            </w:tcBorders>
            <w:noWrap/>
            <w:vAlign w:val="bottom"/>
            <w:hideMark/>
          </w:tcPr>
          <w:p w14:paraId="5FA33D7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10,45</w:t>
            </w:r>
          </w:p>
        </w:tc>
        <w:tc>
          <w:tcPr>
            <w:tcW w:w="1176" w:type="dxa"/>
            <w:tcBorders>
              <w:top w:val="nil"/>
              <w:left w:val="nil"/>
              <w:bottom w:val="single" w:sz="4" w:space="0" w:color="auto"/>
              <w:right w:val="single" w:sz="4" w:space="0" w:color="auto"/>
            </w:tcBorders>
            <w:vAlign w:val="center"/>
            <w:hideMark/>
          </w:tcPr>
          <w:p w14:paraId="1479EE8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90,59</w:t>
            </w:r>
          </w:p>
        </w:tc>
      </w:tr>
      <w:tr w:rsidR="00904709" w:rsidRPr="006430EA" w14:paraId="34BCDBBA"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27F6943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2018</w:t>
            </w:r>
          </w:p>
        </w:tc>
        <w:tc>
          <w:tcPr>
            <w:tcW w:w="1038" w:type="dxa"/>
            <w:tcBorders>
              <w:top w:val="nil"/>
              <w:left w:val="nil"/>
              <w:bottom w:val="single" w:sz="4" w:space="0" w:color="auto"/>
              <w:right w:val="single" w:sz="4" w:space="0" w:color="auto"/>
            </w:tcBorders>
            <w:noWrap/>
            <w:vAlign w:val="bottom"/>
            <w:hideMark/>
          </w:tcPr>
          <w:p w14:paraId="39A080C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9,07</w:t>
            </w:r>
          </w:p>
        </w:tc>
        <w:tc>
          <w:tcPr>
            <w:tcW w:w="1079" w:type="dxa"/>
            <w:tcBorders>
              <w:top w:val="nil"/>
              <w:left w:val="nil"/>
              <w:bottom w:val="single" w:sz="4" w:space="0" w:color="auto"/>
              <w:right w:val="single" w:sz="4" w:space="0" w:color="auto"/>
            </w:tcBorders>
            <w:noWrap/>
            <w:vAlign w:val="bottom"/>
            <w:hideMark/>
          </w:tcPr>
          <w:p w14:paraId="5D79561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18,67</w:t>
            </w:r>
          </w:p>
        </w:tc>
        <w:tc>
          <w:tcPr>
            <w:tcW w:w="979" w:type="dxa"/>
            <w:tcBorders>
              <w:top w:val="nil"/>
              <w:left w:val="nil"/>
              <w:bottom w:val="single" w:sz="4" w:space="0" w:color="auto"/>
              <w:right w:val="single" w:sz="4" w:space="0" w:color="auto"/>
            </w:tcBorders>
            <w:noWrap/>
            <w:vAlign w:val="bottom"/>
            <w:hideMark/>
          </w:tcPr>
          <w:p w14:paraId="12E89D9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1,09</w:t>
            </w:r>
          </w:p>
        </w:tc>
        <w:tc>
          <w:tcPr>
            <w:tcW w:w="1201" w:type="dxa"/>
            <w:tcBorders>
              <w:top w:val="nil"/>
              <w:left w:val="nil"/>
              <w:bottom w:val="single" w:sz="4" w:space="0" w:color="auto"/>
              <w:right w:val="single" w:sz="4" w:space="0" w:color="auto"/>
            </w:tcBorders>
            <w:vAlign w:val="center"/>
            <w:hideMark/>
          </w:tcPr>
          <w:p w14:paraId="00F2F05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28,84</w:t>
            </w:r>
          </w:p>
        </w:tc>
        <w:tc>
          <w:tcPr>
            <w:tcW w:w="1089" w:type="dxa"/>
            <w:gridSpan w:val="2"/>
            <w:tcBorders>
              <w:top w:val="nil"/>
              <w:left w:val="nil"/>
              <w:bottom w:val="single" w:sz="4" w:space="0" w:color="auto"/>
              <w:right w:val="single" w:sz="4" w:space="0" w:color="auto"/>
            </w:tcBorders>
            <w:noWrap/>
            <w:vAlign w:val="bottom"/>
            <w:hideMark/>
          </w:tcPr>
          <w:p w14:paraId="02FB19D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9,07</w:t>
            </w:r>
          </w:p>
        </w:tc>
        <w:tc>
          <w:tcPr>
            <w:tcW w:w="993" w:type="dxa"/>
            <w:tcBorders>
              <w:top w:val="nil"/>
              <w:left w:val="nil"/>
              <w:bottom w:val="single" w:sz="4" w:space="0" w:color="auto"/>
              <w:right w:val="single" w:sz="4" w:space="0" w:color="auto"/>
            </w:tcBorders>
            <w:noWrap/>
            <w:vAlign w:val="bottom"/>
            <w:hideMark/>
          </w:tcPr>
          <w:p w14:paraId="761A231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18,67</w:t>
            </w:r>
          </w:p>
        </w:tc>
        <w:tc>
          <w:tcPr>
            <w:tcW w:w="1275" w:type="dxa"/>
            <w:tcBorders>
              <w:top w:val="nil"/>
              <w:left w:val="nil"/>
              <w:bottom w:val="single" w:sz="4" w:space="0" w:color="auto"/>
              <w:right w:val="single" w:sz="4" w:space="0" w:color="auto"/>
            </w:tcBorders>
            <w:noWrap/>
            <w:vAlign w:val="bottom"/>
            <w:hideMark/>
          </w:tcPr>
          <w:p w14:paraId="63C12F9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5,27</w:t>
            </w:r>
          </w:p>
        </w:tc>
        <w:tc>
          <w:tcPr>
            <w:tcW w:w="1327" w:type="dxa"/>
            <w:tcBorders>
              <w:top w:val="nil"/>
              <w:left w:val="nil"/>
              <w:bottom w:val="single" w:sz="4" w:space="0" w:color="auto"/>
              <w:right w:val="single" w:sz="4" w:space="0" w:color="auto"/>
            </w:tcBorders>
            <w:vAlign w:val="center"/>
            <w:hideMark/>
          </w:tcPr>
          <w:p w14:paraId="054B735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33,02</w:t>
            </w:r>
          </w:p>
        </w:tc>
        <w:tc>
          <w:tcPr>
            <w:tcW w:w="967" w:type="dxa"/>
            <w:gridSpan w:val="2"/>
            <w:tcBorders>
              <w:top w:val="nil"/>
              <w:left w:val="nil"/>
              <w:bottom w:val="single" w:sz="4" w:space="0" w:color="auto"/>
              <w:right w:val="single" w:sz="4" w:space="0" w:color="auto"/>
            </w:tcBorders>
            <w:noWrap/>
            <w:vAlign w:val="bottom"/>
            <w:hideMark/>
          </w:tcPr>
          <w:p w14:paraId="3A93E4D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18,14</w:t>
            </w:r>
          </w:p>
        </w:tc>
        <w:tc>
          <w:tcPr>
            <w:tcW w:w="1250" w:type="dxa"/>
            <w:tcBorders>
              <w:top w:val="nil"/>
              <w:left w:val="nil"/>
              <w:bottom w:val="single" w:sz="4" w:space="0" w:color="auto"/>
              <w:right w:val="single" w:sz="4" w:space="0" w:color="auto"/>
            </w:tcBorders>
            <w:noWrap/>
            <w:vAlign w:val="bottom"/>
            <w:hideMark/>
          </w:tcPr>
          <w:p w14:paraId="56BF9E1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37,34</w:t>
            </w:r>
          </w:p>
        </w:tc>
        <w:tc>
          <w:tcPr>
            <w:tcW w:w="1111" w:type="dxa"/>
            <w:tcBorders>
              <w:top w:val="nil"/>
              <w:left w:val="nil"/>
              <w:bottom w:val="single" w:sz="4" w:space="0" w:color="auto"/>
              <w:right w:val="single" w:sz="4" w:space="0" w:color="auto"/>
            </w:tcBorders>
            <w:noWrap/>
            <w:vAlign w:val="bottom"/>
            <w:hideMark/>
          </w:tcPr>
          <w:p w14:paraId="1021C8B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6,37</w:t>
            </w:r>
          </w:p>
        </w:tc>
        <w:tc>
          <w:tcPr>
            <w:tcW w:w="1176" w:type="dxa"/>
            <w:tcBorders>
              <w:top w:val="nil"/>
              <w:left w:val="nil"/>
              <w:bottom w:val="single" w:sz="4" w:space="0" w:color="auto"/>
              <w:right w:val="single" w:sz="4" w:space="0" w:color="auto"/>
            </w:tcBorders>
            <w:vAlign w:val="center"/>
            <w:hideMark/>
          </w:tcPr>
          <w:p w14:paraId="7B1D792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61,85</w:t>
            </w:r>
          </w:p>
        </w:tc>
      </w:tr>
      <w:tr w:rsidR="00904709" w:rsidRPr="006430EA" w14:paraId="5E7C8FCC"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4C46486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2019</w:t>
            </w:r>
          </w:p>
        </w:tc>
        <w:tc>
          <w:tcPr>
            <w:tcW w:w="1038" w:type="dxa"/>
            <w:tcBorders>
              <w:top w:val="nil"/>
              <w:left w:val="nil"/>
              <w:bottom w:val="single" w:sz="4" w:space="0" w:color="auto"/>
              <w:right w:val="single" w:sz="4" w:space="0" w:color="auto"/>
            </w:tcBorders>
            <w:noWrap/>
            <w:vAlign w:val="bottom"/>
            <w:hideMark/>
          </w:tcPr>
          <w:p w14:paraId="3F54B5D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4,26</w:t>
            </w:r>
          </w:p>
        </w:tc>
        <w:tc>
          <w:tcPr>
            <w:tcW w:w="1079" w:type="dxa"/>
            <w:tcBorders>
              <w:top w:val="nil"/>
              <w:left w:val="nil"/>
              <w:bottom w:val="single" w:sz="4" w:space="0" w:color="auto"/>
              <w:right w:val="single" w:sz="4" w:space="0" w:color="auto"/>
            </w:tcBorders>
            <w:noWrap/>
            <w:vAlign w:val="bottom"/>
            <w:hideMark/>
          </w:tcPr>
          <w:p w14:paraId="2FCFEC5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4,84</w:t>
            </w:r>
          </w:p>
        </w:tc>
        <w:tc>
          <w:tcPr>
            <w:tcW w:w="979" w:type="dxa"/>
            <w:tcBorders>
              <w:top w:val="nil"/>
              <w:left w:val="nil"/>
              <w:bottom w:val="single" w:sz="4" w:space="0" w:color="auto"/>
              <w:right w:val="single" w:sz="4" w:space="0" w:color="auto"/>
            </w:tcBorders>
            <w:noWrap/>
            <w:vAlign w:val="bottom"/>
            <w:hideMark/>
          </w:tcPr>
          <w:p w14:paraId="56A9ADA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1,06</w:t>
            </w:r>
          </w:p>
        </w:tc>
        <w:tc>
          <w:tcPr>
            <w:tcW w:w="1201" w:type="dxa"/>
            <w:tcBorders>
              <w:top w:val="nil"/>
              <w:left w:val="nil"/>
              <w:bottom w:val="single" w:sz="4" w:space="0" w:color="auto"/>
              <w:right w:val="single" w:sz="4" w:space="0" w:color="auto"/>
            </w:tcBorders>
            <w:vAlign w:val="center"/>
            <w:hideMark/>
          </w:tcPr>
          <w:p w14:paraId="4677AB6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10,16</w:t>
            </w:r>
          </w:p>
        </w:tc>
        <w:tc>
          <w:tcPr>
            <w:tcW w:w="1089" w:type="dxa"/>
            <w:gridSpan w:val="2"/>
            <w:tcBorders>
              <w:top w:val="nil"/>
              <w:left w:val="nil"/>
              <w:bottom w:val="single" w:sz="4" w:space="0" w:color="auto"/>
              <w:right w:val="single" w:sz="4" w:space="0" w:color="auto"/>
            </w:tcBorders>
            <w:noWrap/>
            <w:vAlign w:val="bottom"/>
            <w:hideMark/>
          </w:tcPr>
          <w:p w14:paraId="77F81A3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4,26</w:t>
            </w:r>
          </w:p>
        </w:tc>
        <w:tc>
          <w:tcPr>
            <w:tcW w:w="993" w:type="dxa"/>
            <w:tcBorders>
              <w:top w:val="nil"/>
              <w:left w:val="nil"/>
              <w:bottom w:val="single" w:sz="4" w:space="0" w:color="auto"/>
              <w:right w:val="single" w:sz="4" w:space="0" w:color="auto"/>
            </w:tcBorders>
            <w:noWrap/>
            <w:vAlign w:val="bottom"/>
            <w:hideMark/>
          </w:tcPr>
          <w:p w14:paraId="04126A8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4,84</w:t>
            </w:r>
          </w:p>
        </w:tc>
        <w:tc>
          <w:tcPr>
            <w:tcW w:w="1275" w:type="dxa"/>
            <w:tcBorders>
              <w:top w:val="nil"/>
              <w:left w:val="nil"/>
              <w:bottom w:val="single" w:sz="4" w:space="0" w:color="auto"/>
              <w:right w:val="single" w:sz="4" w:space="0" w:color="auto"/>
            </w:tcBorders>
            <w:noWrap/>
            <w:vAlign w:val="bottom"/>
            <w:hideMark/>
          </w:tcPr>
          <w:p w14:paraId="518C851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2,20</w:t>
            </w:r>
          </w:p>
        </w:tc>
        <w:tc>
          <w:tcPr>
            <w:tcW w:w="1327" w:type="dxa"/>
            <w:tcBorders>
              <w:top w:val="nil"/>
              <w:left w:val="nil"/>
              <w:bottom w:val="single" w:sz="4" w:space="0" w:color="auto"/>
              <w:right w:val="single" w:sz="4" w:space="0" w:color="auto"/>
            </w:tcBorders>
            <w:vAlign w:val="center"/>
            <w:hideMark/>
          </w:tcPr>
          <w:p w14:paraId="16DAC65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11,3</w:t>
            </w:r>
          </w:p>
        </w:tc>
        <w:tc>
          <w:tcPr>
            <w:tcW w:w="967" w:type="dxa"/>
            <w:gridSpan w:val="2"/>
            <w:tcBorders>
              <w:top w:val="nil"/>
              <w:left w:val="nil"/>
              <w:bottom w:val="single" w:sz="4" w:space="0" w:color="auto"/>
              <w:right w:val="single" w:sz="4" w:space="0" w:color="auto"/>
            </w:tcBorders>
            <w:noWrap/>
            <w:vAlign w:val="bottom"/>
            <w:hideMark/>
          </w:tcPr>
          <w:p w14:paraId="61F771D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8,52</w:t>
            </w:r>
          </w:p>
        </w:tc>
        <w:tc>
          <w:tcPr>
            <w:tcW w:w="1250" w:type="dxa"/>
            <w:tcBorders>
              <w:top w:val="nil"/>
              <w:left w:val="nil"/>
              <w:bottom w:val="single" w:sz="4" w:space="0" w:color="auto"/>
              <w:right w:val="single" w:sz="4" w:space="0" w:color="auto"/>
            </w:tcBorders>
            <w:noWrap/>
            <w:vAlign w:val="bottom"/>
            <w:hideMark/>
          </w:tcPr>
          <w:p w14:paraId="6CD6F91A"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9,67</w:t>
            </w:r>
          </w:p>
        </w:tc>
        <w:tc>
          <w:tcPr>
            <w:tcW w:w="1111" w:type="dxa"/>
            <w:tcBorders>
              <w:top w:val="nil"/>
              <w:left w:val="nil"/>
              <w:bottom w:val="single" w:sz="4" w:space="0" w:color="auto"/>
              <w:right w:val="single" w:sz="4" w:space="0" w:color="auto"/>
            </w:tcBorders>
            <w:noWrap/>
            <w:vAlign w:val="bottom"/>
            <w:hideMark/>
          </w:tcPr>
          <w:p w14:paraId="0E1F5CE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3,26</w:t>
            </w:r>
          </w:p>
        </w:tc>
        <w:tc>
          <w:tcPr>
            <w:tcW w:w="1176" w:type="dxa"/>
            <w:tcBorders>
              <w:top w:val="nil"/>
              <w:left w:val="nil"/>
              <w:bottom w:val="single" w:sz="4" w:space="0" w:color="auto"/>
              <w:right w:val="single" w:sz="4" w:space="0" w:color="auto"/>
            </w:tcBorders>
            <w:vAlign w:val="center"/>
            <w:hideMark/>
          </w:tcPr>
          <w:p w14:paraId="643BA02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21,45</w:t>
            </w:r>
          </w:p>
        </w:tc>
      </w:tr>
      <w:tr w:rsidR="00904709" w:rsidRPr="006430EA" w14:paraId="136565DB"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6BA580D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2020</w:t>
            </w:r>
          </w:p>
        </w:tc>
        <w:tc>
          <w:tcPr>
            <w:tcW w:w="1038" w:type="dxa"/>
            <w:tcBorders>
              <w:top w:val="nil"/>
              <w:left w:val="nil"/>
              <w:bottom w:val="single" w:sz="4" w:space="0" w:color="auto"/>
              <w:right w:val="single" w:sz="4" w:space="0" w:color="auto"/>
            </w:tcBorders>
            <w:noWrap/>
            <w:vAlign w:val="bottom"/>
            <w:hideMark/>
          </w:tcPr>
          <w:p w14:paraId="474BA77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11,65</w:t>
            </w:r>
          </w:p>
        </w:tc>
        <w:tc>
          <w:tcPr>
            <w:tcW w:w="1079" w:type="dxa"/>
            <w:tcBorders>
              <w:top w:val="nil"/>
              <w:left w:val="nil"/>
              <w:bottom w:val="single" w:sz="4" w:space="0" w:color="auto"/>
              <w:right w:val="single" w:sz="4" w:space="0" w:color="auto"/>
            </w:tcBorders>
            <w:noWrap/>
            <w:vAlign w:val="bottom"/>
            <w:hideMark/>
          </w:tcPr>
          <w:p w14:paraId="3C65776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18,95</w:t>
            </w:r>
          </w:p>
        </w:tc>
        <w:tc>
          <w:tcPr>
            <w:tcW w:w="979" w:type="dxa"/>
            <w:tcBorders>
              <w:top w:val="nil"/>
              <w:left w:val="nil"/>
              <w:bottom w:val="single" w:sz="4" w:space="0" w:color="auto"/>
              <w:right w:val="single" w:sz="4" w:space="0" w:color="auto"/>
            </w:tcBorders>
            <w:noWrap/>
            <w:vAlign w:val="bottom"/>
            <w:hideMark/>
          </w:tcPr>
          <w:p w14:paraId="1BA249B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1,96</w:t>
            </w:r>
          </w:p>
        </w:tc>
        <w:tc>
          <w:tcPr>
            <w:tcW w:w="1201" w:type="dxa"/>
            <w:tcBorders>
              <w:top w:val="nil"/>
              <w:left w:val="nil"/>
              <w:bottom w:val="single" w:sz="4" w:space="0" w:color="auto"/>
              <w:right w:val="single" w:sz="4" w:space="0" w:color="auto"/>
            </w:tcBorders>
            <w:vAlign w:val="center"/>
            <w:hideMark/>
          </w:tcPr>
          <w:p w14:paraId="3BF3AEA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32,56</w:t>
            </w:r>
          </w:p>
        </w:tc>
        <w:tc>
          <w:tcPr>
            <w:tcW w:w="1089" w:type="dxa"/>
            <w:gridSpan w:val="2"/>
            <w:tcBorders>
              <w:top w:val="nil"/>
              <w:left w:val="nil"/>
              <w:bottom w:val="single" w:sz="4" w:space="0" w:color="auto"/>
              <w:right w:val="single" w:sz="4" w:space="0" w:color="auto"/>
            </w:tcBorders>
            <w:noWrap/>
            <w:vAlign w:val="bottom"/>
            <w:hideMark/>
          </w:tcPr>
          <w:p w14:paraId="0E80121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11,65</w:t>
            </w:r>
          </w:p>
        </w:tc>
        <w:tc>
          <w:tcPr>
            <w:tcW w:w="993" w:type="dxa"/>
            <w:tcBorders>
              <w:top w:val="nil"/>
              <w:left w:val="nil"/>
              <w:bottom w:val="single" w:sz="4" w:space="0" w:color="auto"/>
              <w:right w:val="single" w:sz="4" w:space="0" w:color="auto"/>
            </w:tcBorders>
            <w:noWrap/>
            <w:vAlign w:val="bottom"/>
            <w:hideMark/>
          </w:tcPr>
          <w:p w14:paraId="6242B28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18,95</w:t>
            </w:r>
          </w:p>
        </w:tc>
        <w:tc>
          <w:tcPr>
            <w:tcW w:w="1275" w:type="dxa"/>
            <w:tcBorders>
              <w:top w:val="nil"/>
              <w:left w:val="nil"/>
              <w:bottom w:val="single" w:sz="4" w:space="0" w:color="auto"/>
              <w:right w:val="single" w:sz="4" w:space="0" w:color="auto"/>
            </w:tcBorders>
            <w:noWrap/>
            <w:vAlign w:val="bottom"/>
            <w:hideMark/>
          </w:tcPr>
          <w:p w14:paraId="33C7CB6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6,73</w:t>
            </w:r>
          </w:p>
        </w:tc>
        <w:tc>
          <w:tcPr>
            <w:tcW w:w="1327" w:type="dxa"/>
            <w:tcBorders>
              <w:top w:val="nil"/>
              <w:left w:val="nil"/>
              <w:bottom w:val="single" w:sz="4" w:space="0" w:color="auto"/>
              <w:right w:val="single" w:sz="4" w:space="0" w:color="auto"/>
            </w:tcBorders>
            <w:vAlign w:val="center"/>
            <w:hideMark/>
          </w:tcPr>
          <w:p w14:paraId="12D2C02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37,32</w:t>
            </w:r>
          </w:p>
        </w:tc>
        <w:tc>
          <w:tcPr>
            <w:tcW w:w="967" w:type="dxa"/>
            <w:gridSpan w:val="2"/>
            <w:tcBorders>
              <w:top w:val="nil"/>
              <w:left w:val="nil"/>
              <w:bottom w:val="single" w:sz="4" w:space="0" w:color="auto"/>
              <w:right w:val="single" w:sz="4" w:space="0" w:color="auto"/>
            </w:tcBorders>
            <w:noWrap/>
            <w:vAlign w:val="bottom"/>
            <w:hideMark/>
          </w:tcPr>
          <w:p w14:paraId="3A235A1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23,30</w:t>
            </w:r>
          </w:p>
        </w:tc>
        <w:tc>
          <w:tcPr>
            <w:tcW w:w="1250" w:type="dxa"/>
            <w:tcBorders>
              <w:top w:val="nil"/>
              <w:left w:val="nil"/>
              <w:bottom w:val="single" w:sz="4" w:space="0" w:color="auto"/>
              <w:right w:val="single" w:sz="4" w:space="0" w:color="auto"/>
            </w:tcBorders>
            <w:noWrap/>
            <w:vAlign w:val="bottom"/>
            <w:hideMark/>
          </w:tcPr>
          <w:p w14:paraId="7942D7D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37,89</w:t>
            </w:r>
          </w:p>
        </w:tc>
        <w:tc>
          <w:tcPr>
            <w:tcW w:w="1111" w:type="dxa"/>
            <w:tcBorders>
              <w:top w:val="nil"/>
              <w:left w:val="nil"/>
              <w:bottom w:val="single" w:sz="4" w:space="0" w:color="auto"/>
              <w:right w:val="single" w:sz="4" w:space="0" w:color="auto"/>
            </w:tcBorders>
            <w:noWrap/>
            <w:vAlign w:val="bottom"/>
            <w:hideMark/>
          </w:tcPr>
          <w:p w14:paraId="146091D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8,69</w:t>
            </w:r>
          </w:p>
        </w:tc>
        <w:tc>
          <w:tcPr>
            <w:tcW w:w="1176" w:type="dxa"/>
            <w:tcBorders>
              <w:top w:val="nil"/>
              <w:left w:val="nil"/>
              <w:bottom w:val="single" w:sz="4" w:space="0" w:color="auto"/>
              <w:right w:val="single" w:sz="4" w:space="0" w:color="auto"/>
            </w:tcBorders>
            <w:vAlign w:val="center"/>
            <w:hideMark/>
          </w:tcPr>
          <w:p w14:paraId="57C749C1"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69,88</w:t>
            </w:r>
          </w:p>
        </w:tc>
      </w:tr>
      <w:tr w:rsidR="00904709" w:rsidRPr="006430EA" w14:paraId="182E3303"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340135E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2021</w:t>
            </w:r>
          </w:p>
        </w:tc>
        <w:tc>
          <w:tcPr>
            <w:tcW w:w="1038" w:type="dxa"/>
            <w:tcBorders>
              <w:top w:val="nil"/>
              <w:left w:val="nil"/>
              <w:bottom w:val="single" w:sz="4" w:space="0" w:color="auto"/>
              <w:right w:val="single" w:sz="4" w:space="0" w:color="auto"/>
            </w:tcBorders>
            <w:noWrap/>
            <w:vAlign w:val="bottom"/>
            <w:hideMark/>
          </w:tcPr>
          <w:p w14:paraId="2D7D093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41,68</w:t>
            </w:r>
          </w:p>
        </w:tc>
        <w:tc>
          <w:tcPr>
            <w:tcW w:w="1079" w:type="dxa"/>
            <w:tcBorders>
              <w:top w:val="nil"/>
              <w:left w:val="nil"/>
              <w:bottom w:val="single" w:sz="4" w:space="0" w:color="auto"/>
              <w:right w:val="single" w:sz="4" w:space="0" w:color="auto"/>
            </w:tcBorders>
            <w:noWrap/>
            <w:vAlign w:val="bottom"/>
            <w:hideMark/>
          </w:tcPr>
          <w:p w14:paraId="30D6CB2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31,95</w:t>
            </w:r>
          </w:p>
        </w:tc>
        <w:tc>
          <w:tcPr>
            <w:tcW w:w="979" w:type="dxa"/>
            <w:tcBorders>
              <w:top w:val="nil"/>
              <w:left w:val="nil"/>
              <w:bottom w:val="single" w:sz="4" w:space="0" w:color="auto"/>
              <w:right w:val="single" w:sz="4" w:space="0" w:color="auto"/>
            </w:tcBorders>
            <w:noWrap/>
            <w:vAlign w:val="bottom"/>
            <w:hideMark/>
          </w:tcPr>
          <w:p w14:paraId="3B3CB15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8,65</w:t>
            </w:r>
          </w:p>
        </w:tc>
        <w:tc>
          <w:tcPr>
            <w:tcW w:w="1201" w:type="dxa"/>
            <w:tcBorders>
              <w:top w:val="nil"/>
              <w:left w:val="nil"/>
              <w:bottom w:val="single" w:sz="4" w:space="0" w:color="auto"/>
              <w:right w:val="single" w:sz="4" w:space="0" w:color="auto"/>
            </w:tcBorders>
            <w:vAlign w:val="center"/>
            <w:hideMark/>
          </w:tcPr>
          <w:p w14:paraId="226D5C4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82,28</w:t>
            </w:r>
          </w:p>
        </w:tc>
        <w:tc>
          <w:tcPr>
            <w:tcW w:w="1089" w:type="dxa"/>
            <w:gridSpan w:val="2"/>
            <w:tcBorders>
              <w:top w:val="nil"/>
              <w:left w:val="nil"/>
              <w:bottom w:val="single" w:sz="4" w:space="0" w:color="auto"/>
              <w:right w:val="single" w:sz="4" w:space="0" w:color="auto"/>
            </w:tcBorders>
            <w:noWrap/>
            <w:vAlign w:val="bottom"/>
            <w:hideMark/>
          </w:tcPr>
          <w:p w14:paraId="587B118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41,68</w:t>
            </w:r>
          </w:p>
        </w:tc>
        <w:tc>
          <w:tcPr>
            <w:tcW w:w="993" w:type="dxa"/>
            <w:tcBorders>
              <w:top w:val="nil"/>
              <w:left w:val="nil"/>
              <w:bottom w:val="single" w:sz="4" w:space="0" w:color="auto"/>
              <w:right w:val="single" w:sz="4" w:space="0" w:color="auto"/>
            </w:tcBorders>
            <w:noWrap/>
            <w:vAlign w:val="bottom"/>
            <w:hideMark/>
          </w:tcPr>
          <w:p w14:paraId="045C1ED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31,95</w:t>
            </w:r>
          </w:p>
        </w:tc>
        <w:tc>
          <w:tcPr>
            <w:tcW w:w="1275" w:type="dxa"/>
            <w:tcBorders>
              <w:top w:val="nil"/>
              <w:left w:val="nil"/>
              <w:bottom w:val="single" w:sz="4" w:space="0" w:color="auto"/>
              <w:right w:val="single" w:sz="4" w:space="0" w:color="auto"/>
            </w:tcBorders>
            <w:noWrap/>
            <w:vAlign w:val="bottom"/>
            <w:hideMark/>
          </w:tcPr>
          <w:p w14:paraId="5D17094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16,41</w:t>
            </w:r>
          </w:p>
        </w:tc>
        <w:tc>
          <w:tcPr>
            <w:tcW w:w="1327" w:type="dxa"/>
            <w:tcBorders>
              <w:top w:val="nil"/>
              <w:left w:val="nil"/>
              <w:bottom w:val="single" w:sz="4" w:space="0" w:color="auto"/>
              <w:right w:val="single" w:sz="4" w:space="0" w:color="auto"/>
            </w:tcBorders>
            <w:vAlign w:val="center"/>
            <w:hideMark/>
          </w:tcPr>
          <w:p w14:paraId="57CC8C7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90,04</w:t>
            </w:r>
          </w:p>
        </w:tc>
        <w:tc>
          <w:tcPr>
            <w:tcW w:w="967" w:type="dxa"/>
            <w:gridSpan w:val="2"/>
            <w:tcBorders>
              <w:top w:val="nil"/>
              <w:left w:val="nil"/>
              <w:bottom w:val="single" w:sz="4" w:space="0" w:color="auto"/>
              <w:right w:val="single" w:sz="4" w:space="0" w:color="auto"/>
            </w:tcBorders>
            <w:noWrap/>
            <w:vAlign w:val="bottom"/>
            <w:hideMark/>
          </w:tcPr>
          <w:p w14:paraId="5D36761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83,35</w:t>
            </w:r>
          </w:p>
        </w:tc>
        <w:tc>
          <w:tcPr>
            <w:tcW w:w="1250" w:type="dxa"/>
            <w:tcBorders>
              <w:top w:val="nil"/>
              <w:left w:val="nil"/>
              <w:bottom w:val="single" w:sz="4" w:space="0" w:color="auto"/>
              <w:right w:val="single" w:sz="4" w:space="0" w:color="auto"/>
            </w:tcBorders>
            <w:noWrap/>
            <w:vAlign w:val="bottom"/>
            <w:hideMark/>
          </w:tcPr>
          <w:p w14:paraId="0D5E4D8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63,91</w:t>
            </w:r>
          </w:p>
        </w:tc>
        <w:tc>
          <w:tcPr>
            <w:tcW w:w="1111" w:type="dxa"/>
            <w:tcBorders>
              <w:top w:val="nil"/>
              <w:left w:val="nil"/>
              <w:bottom w:val="single" w:sz="4" w:space="0" w:color="auto"/>
              <w:right w:val="single" w:sz="4" w:space="0" w:color="auto"/>
            </w:tcBorders>
            <w:noWrap/>
            <w:vAlign w:val="bottom"/>
            <w:hideMark/>
          </w:tcPr>
          <w:p w14:paraId="75D09B0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25,06</w:t>
            </w:r>
          </w:p>
        </w:tc>
        <w:tc>
          <w:tcPr>
            <w:tcW w:w="1176" w:type="dxa"/>
            <w:tcBorders>
              <w:top w:val="nil"/>
              <w:left w:val="nil"/>
              <w:bottom w:val="single" w:sz="4" w:space="0" w:color="auto"/>
              <w:right w:val="single" w:sz="4" w:space="0" w:color="auto"/>
            </w:tcBorders>
            <w:vAlign w:val="center"/>
            <w:hideMark/>
          </w:tcPr>
          <w:p w14:paraId="5ED7CF0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172,32</w:t>
            </w:r>
          </w:p>
        </w:tc>
      </w:tr>
      <w:tr w:rsidR="00904709" w:rsidRPr="006430EA" w14:paraId="0A7C8F7E"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3F67AA0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2022</w:t>
            </w:r>
          </w:p>
        </w:tc>
        <w:tc>
          <w:tcPr>
            <w:tcW w:w="1038" w:type="dxa"/>
            <w:tcBorders>
              <w:top w:val="nil"/>
              <w:left w:val="nil"/>
              <w:bottom w:val="single" w:sz="4" w:space="0" w:color="auto"/>
              <w:right w:val="single" w:sz="4" w:space="0" w:color="auto"/>
            </w:tcBorders>
            <w:noWrap/>
            <w:vAlign w:val="bottom"/>
            <w:hideMark/>
          </w:tcPr>
          <w:p w14:paraId="06F34B6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22,64</w:t>
            </w:r>
          </w:p>
        </w:tc>
        <w:tc>
          <w:tcPr>
            <w:tcW w:w="1079" w:type="dxa"/>
            <w:tcBorders>
              <w:top w:val="nil"/>
              <w:left w:val="nil"/>
              <w:bottom w:val="single" w:sz="4" w:space="0" w:color="auto"/>
              <w:right w:val="single" w:sz="4" w:space="0" w:color="auto"/>
            </w:tcBorders>
            <w:noWrap/>
            <w:vAlign w:val="bottom"/>
            <w:hideMark/>
          </w:tcPr>
          <w:p w14:paraId="3EA16FD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7,12</w:t>
            </w:r>
          </w:p>
        </w:tc>
        <w:tc>
          <w:tcPr>
            <w:tcW w:w="979" w:type="dxa"/>
            <w:tcBorders>
              <w:top w:val="nil"/>
              <w:left w:val="nil"/>
              <w:bottom w:val="single" w:sz="4" w:space="0" w:color="auto"/>
              <w:right w:val="single" w:sz="4" w:space="0" w:color="auto"/>
            </w:tcBorders>
            <w:noWrap/>
            <w:vAlign w:val="bottom"/>
            <w:hideMark/>
          </w:tcPr>
          <w:p w14:paraId="524D2DE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4,35</w:t>
            </w:r>
          </w:p>
        </w:tc>
        <w:tc>
          <w:tcPr>
            <w:tcW w:w="1201" w:type="dxa"/>
            <w:tcBorders>
              <w:top w:val="nil"/>
              <w:left w:val="nil"/>
              <w:bottom w:val="single" w:sz="4" w:space="0" w:color="auto"/>
              <w:right w:val="single" w:sz="4" w:space="0" w:color="auto"/>
            </w:tcBorders>
            <w:vAlign w:val="center"/>
            <w:hideMark/>
          </w:tcPr>
          <w:p w14:paraId="75E6CEB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34,28</w:t>
            </w:r>
          </w:p>
        </w:tc>
        <w:tc>
          <w:tcPr>
            <w:tcW w:w="1089" w:type="dxa"/>
            <w:gridSpan w:val="2"/>
            <w:tcBorders>
              <w:top w:val="nil"/>
              <w:left w:val="nil"/>
              <w:bottom w:val="single" w:sz="4" w:space="0" w:color="auto"/>
              <w:right w:val="single" w:sz="4" w:space="0" w:color="auto"/>
            </w:tcBorders>
            <w:noWrap/>
            <w:vAlign w:val="bottom"/>
            <w:hideMark/>
          </w:tcPr>
          <w:p w14:paraId="3295D7A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22,64</w:t>
            </w:r>
          </w:p>
        </w:tc>
        <w:tc>
          <w:tcPr>
            <w:tcW w:w="993" w:type="dxa"/>
            <w:tcBorders>
              <w:top w:val="nil"/>
              <w:left w:val="nil"/>
              <w:bottom w:val="single" w:sz="4" w:space="0" w:color="auto"/>
              <w:right w:val="single" w:sz="4" w:space="0" w:color="auto"/>
            </w:tcBorders>
            <w:noWrap/>
            <w:vAlign w:val="bottom"/>
            <w:hideMark/>
          </w:tcPr>
          <w:p w14:paraId="397E843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7,12</w:t>
            </w:r>
          </w:p>
        </w:tc>
        <w:tc>
          <w:tcPr>
            <w:tcW w:w="1275" w:type="dxa"/>
            <w:tcBorders>
              <w:top w:val="nil"/>
              <w:left w:val="nil"/>
              <w:bottom w:val="single" w:sz="4" w:space="0" w:color="auto"/>
              <w:right w:val="single" w:sz="4" w:space="0" w:color="auto"/>
            </w:tcBorders>
            <w:noWrap/>
            <w:vAlign w:val="bottom"/>
            <w:hideMark/>
          </w:tcPr>
          <w:p w14:paraId="45A349C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4,90</w:t>
            </w:r>
          </w:p>
        </w:tc>
        <w:tc>
          <w:tcPr>
            <w:tcW w:w="1327" w:type="dxa"/>
            <w:tcBorders>
              <w:top w:val="nil"/>
              <w:left w:val="nil"/>
              <w:bottom w:val="single" w:sz="4" w:space="0" w:color="auto"/>
              <w:right w:val="single" w:sz="4" w:space="0" w:color="auto"/>
            </w:tcBorders>
            <w:vAlign w:val="center"/>
            <w:hideMark/>
          </w:tcPr>
          <w:p w14:paraId="24527E0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34,83</w:t>
            </w:r>
          </w:p>
        </w:tc>
        <w:tc>
          <w:tcPr>
            <w:tcW w:w="967" w:type="dxa"/>
            <w:gridSpan w:val="2"/>
            <w:tcBorders>
              <w:top w:val="nil"/>
              <w:left w:val="nil"/>
              <w:bottom w:val="single" w:sz="4" w:space="0" w:color="auto"/>
              <w:right w:val="single" w:sz="4" w:space="0" w:color="auto"/>
            </w:tcBorders>
            <w:noWrap/>
            <w:vAlign w:val="bottom"/>
            <w:hideMark/>
          </w:tcPr>
          <w:p w14:paraId="0BB8F25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45,28</w:t>
            </w:r>
          </w:p>
        </w:tc>
        <w:tc>
          <w:tcPr>
            <w:tcW w:w="1250" w:type="dxa"/>
            <w:tcBorders>
              <w:top w:val="nil"/>
              <w:left w:val="nil"/>
              <w:bottom w:val="single" w:sz="4" w:space="0" w:color="auto"/>
              <w:right w:val="single" w:sz="4" w:space="0" w:color="auto"/>
            </w:tcBorders>
            <w:noWrap/>
            <w:vAlign w:val="bottom"/>
            <w:hideMark/>
          </w:tcPr>
          <w:p w14:paraId="51359E6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14,24</w:t>
            </w:r>
          </w:p>
        </w:tc>
        <w:tc>
          <w:tcPr>
            <w:tcW w:w="1111" w:type="dxa"/>
            <w:tcBorders>
              <w:top w:val="nil"/>
              <w:left w:val="nil"/>
              <w:bottom w:val="single" w:sz="4" w:space="0" w:color="auto"/>
              <w:right w:val="single" w:sz="4" w:space="0" w:color="auto"/>
            </w:tcBorders>
            <w:noWrap/>
            <w:vAlign w:val="bottom"/>
            <w:hideMark/>
          </w:tcPr>
          <w:p w14:paraId="110A314E"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9,25</w:t>
            </w:r>
          </w:p>
        </w:tc>
        <w:tc>
          <w:tcPr>
            <w:tcW w:w="1176" w:type="dxa"/>
            <w:tcBorders>
              <w:top w:val="nil"/>
              <w:left w:val="nil"/>
              <w:bottom w:val="single" w:sz="4" w:space="0" w:color="auto"/>
              <w:right w:val="single" w:sz="4" w:space="0" w:color="auto"/>
            </w:tcBorders>
            <w:vAlign w:val="center"/>
            <w:hideMark/>
          </w:tcPr>
          <w:p w14:paraId="4F12420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69,11</w:t>
            </w:r>
          </w:p>
        </w:tc>
      </w:tr>
      <w:tr w:rsidR="00904709" w:rsidRPr="006430EA" w14:paraId="6526205D"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6799930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2023</w:t>
            </w:r>
          </w:p>
        </w:tc>
        <w:tc>
          <w:tcPr>
            <w:tcW w:w="1038" w:type="dxa"/>
            <w:tcBorders>
              <w:top w:val="nil"/>
              <w:left w:val="nil"/>
              <w:bottom w:val="single" w:sz="4" w:space="0" w:color="auto"/>
              <w:right w:val="single" w:sz="4" w:space="0" w:color="auto"/>
            </w:tcBorders>
            <w:noWrap/>
            <w:vAlign w:val="bottom"/>
            <w:hideMark/>
          </w:tcPr>
          <w:p w14:paraId="09AABE4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14,43</w:t>
            </w:r>
          </w:p>
        </w:tc>
        <w:tc>
          <w:tcPr>
            <w:tcW w:w="1079" w:type="dxa"/>
            <w:tcBorders>
              <w:top w:val="nil"/>
              <w:left w:val="nil"/>
              <w:bottom w:val="single" w:sz="4" w:space="0" w:color="auto"/>
              <w:right w:val="single" w:sz="4" w:space="0" w:color="auto"/>
            </w:tcBorders>
            <w:noWrap/>
            <w:vAlign w:val="bottom"/>
            <w:hideMark/>
          </w:tcPr>
          <w:p w14:paraId="7653576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3,71</w:t>
            </w:r>
          </w:p>
        </w:tc>
        <w:tc>
          <w:tcPr>
            <w:tcW w:w="979" w:type="dxa"/>
            <w:tcBorders>
              <w:top w:val="nil"/>
              <w:left w:val="nil"/>
              <w:bottom w:val="single" w:sz="4" w:space="0" w:color="auto"/>
              <w:right w:val="single" w:sz="4" w:space="0" w:color="auto"/>
            </w:tcBorders>
            <w:noWrap/>
            <w:vAlign w:val="bottom"/>
            <w:hideMark/>
          </w:tcPr>
          <w:p w14:paraId="764C020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3,45</w:t>
            </w:r>
          </w:p>
        </w:tc>
        <w:tc>
          <w:tcPr>
            <w:tcW w:w="1201" w:type="dxa"/>
            <w:tcBorders>
              <w:top w:val="nil"/>
              <w:left w:val="nil"/>
              <w:bottom w:val="single" w:sz="4" w:space="0" w:color="auto"/>
              <w:right w:val="single" w:sz="4" w:space="0" w:color="auto"/>
            </w:tcBorders>
            <w:vAlign w:val="center"/>
            <w:hideMark/>
          </w:tcPr>
          <w:p w14:paraId="5CF7701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21,59</w:t>
            </w:r>
          </w:p>
        </w:tc>
        <w:tc>
          <w:tcPr>
            <w:tcW w:w="1089" w:type="dxa"/>
            <w:gridSpan w:val="2"/>
            <w:tcBorders>
              <w:top w:val="nil"/>
              <w:left w:val="nil"/>
              <w:bottom w:val="single" w:sz="4" w:space="0" w:color="auto"/>
              <w:right w:val="single" w:sz="4" w:space="0" w:color="auto"/>
            </w:tcBorders>
            <w:noWrap/>
            <w:vAlign w:val="bottom"/>
            <w:hideMark/>
          </w:tcPr>
          <w:p w14:paraId="1B93BAD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14,43</w:t>
            </w:r>
          </w:p>
        </w:tc>
        <w:tc>
          <w:tcPr>
            <w:tcW w:w="993" w:type="dxa"/>
            <w:tcBorders>
              <w:top w:val="nil"/>
              <w:left w:val="nil"/>
              <w:bottom w:val="single" w:sz="4" w:space="0" w:color="auto"/>
              <w:right w:val="single" w:sz="4" w:space="0" w:color="auto"/>
            </w:tcBorders>
            <w:noWrap/>
            <w:vAlign w:val="bottom"/>
            <w:hideMark/>
          </w:tcPr>
          <w:p w14:paraId="0D744C9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3,71</w:t>
            </w:r>
          </w:p>
        </w:tc>
        <w:tc>
          <w:tcPr>
            <w:tcW w:w="1275" w:type="dxa"/>
            <w:tcBorders>
              <w:top w:val="nil"/>
              <w:left w:val="nil"/>
              <w:bottom w:val="single" w:sz="4" w:space="0" w:color="auto"/>
              <w:right w:val="single" w:sz="4" w:space="0" w:color="auto"/>
            </w:tcBorders>
            <w:noWrap/>
            <w:vAlign w:val="bottom"/>
            <w:hideMark/>
          </w:tcPr>
          <w:p w14:paraId="41ABC979"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4,71</w:t>
            </w:r>
          </w:p>
        </w:tc>
        <w:tc>
          <w:tcPr>
            <w:tcW w:w="1327" w:type="dxa"/>
            <w:tcBorders>
              <w:top w:val="nil"/>
              <w:left w:val="nil"/>
              <w:bottom w:val="single" w:sz="4" w:space="0" w:color="auto"/>
              <w:right w:val="single" w:sz="4" w:space="0" w:color="auto"/>
            </w:tcBorders>
            <w:vAlign w:val="center"/>
            <w:hideMark/>
          </w:tcPr>
          <w:p w14:paraId="765D07C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22,85</w:t>
            </w:r>
          </w:p>
        </w:tc>
        <w:tc>
          <w:tcPr>
            <w:tcW w:w="967" w:type="dxa"/>
            <w:gridSpan w:val="2"/>
            <w:tcBorders>
              <w:top w:val="nil"/>
              <w:left w:val="nil"/>
              <w:bottom w:val="single" w:sz="4" w:space="0" w:color="auto"/>
              <w:right w:val="single" w:sz="4" w:space="0" w:color="auto"/>
            </w:tcBorders>
            <w:noWrap/>
            <w:vAlign w:val="bottom"/>
            <w:hideMark/>
          </w:tcPr>
          <w:p w14:paraId="69FFB7C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28,86</w:t>
            </w:r>
          </w:p>
        </w:tc>
        <w:tc>
          <w:tcPr>
            <w:tcW w:w="1250" w:type="dxa"/>
            <w:tcBorders>
              <w:top w:val="nil"/>
              <w:left w:val="nil"/>
              <w:bottom w:val="single" w:sz="4" w:space="0" w:color="auto"/>
              <w:right w:val="single" w:sz="4" w:space="0" w:color="auto"/>
            </w:tcBorders>
            <w:noWrap/>
            <w:vAlign w:val="bottom"/>
            <w:hideMark/>
          </w:tcPr>
          <w:p w14:paraId="123940F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7,41</w:t>
            </w:r>
          </w:p>
        </w:tc>
        <w:tc>
          <w:tcPr>
            <w:tcW w:w="1111" w:type="dxa"/>
            <w:tcBorders>
              <w:top w:val="nil"/>
              <w:left w:val="nil"/>
              <w:bottom w:val="single" w:sz="4" w:space="0" w:color="auto"/>
              <w:right w:val="single" w:sz="4" w:space="0" w:color="auto"/>
            </w:tcBorders>
            <w:noWrap/>
            <w:vAlign w:val="bottom"/>
            <w:hideMark/>
          </w:tcPr>
          <w:p w14:paraId="397DA25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8,16</w:t>
            </w:r>
          </w:p>
        </w:tc>
        <w:tc>
          <w:tcPr>
            <w:tcW w:w="1176" w:type="dxa"/>
            <w:tcBorders>
              <w:top w:val="nil"/>
              <w:left w:val="nil"/>
              <w:bottom w:val="single" w:sz="4" w:space="0" w:color="auto"/>
              <w:right w:val="single" w:sz="4" w:space="0" w:color="auto"/>
            </w:tcBorders>
            <w:vAlign w:val="center"/>
            <w:hideMark/>
          </w:tcPr>
          <w:p w14:paraId="23C8B07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44,44</w:t>
            </w:r>
          </w:p>
        </w:tc>
      </w:tr>
      <w:tr w:rsidR="00904709" w:rsidRPr="006430EA" w14:paraId="3222022A" w14:textId="77777777" w:rsidTr="00533899">
        <w:trPr>
          <w:trHeight w:val="311"/>
        </w:trPr>
        <w:tc>
          <w:tcPr>
            <w:tcW w:w="974" w:type="dxa"/>
            <w:tcBorders>
              <w:top w:val="nil"/>
              <w:left w:val="single" w:sz="4" w:space="0" w:color="auto"/>
              <w:bottom w:val="single" w:sz="4" w:space="0" w:color="auto"/>
              <w:right w:val="single" w:sz="4" w:space="0" w:color="auto"/>
            </w:tcBorders>
            <w:vAlign w:val="center"/>
            <w:hideMark/>
          </w:tcPr>
          <w:p w14:paraId="02B481E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2024</w:t>
            </w:r>
          </w:p>
        </w:tc>
        <w:tc>
          <w:tcPr>
            <w:tcW w:w="1038" w:type="dxa"/>
            <w:tcBorders>
              <w:top w:val="nil"/>
              <w:left w:val="nil"/>
              <w:bottom w:val="single" w:sz="4" w:space="0" w:color="auto"/>
              <w:right w:val="single" w:sz="4" w:space="0" w:color="auto"/>
            </w:tcBorders>
            <w:noWrap/>
            <w:vAlign w:val="bottom"/>
            <w:hideMark/>
          </w:tcPr>
          <w:p w14:paraId="61E846E5"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21,03</w:t>
            </w:r>
          </w:p>
        </w:tc>
        <w:tc>
          <w:tcPr>
            <w:tcW w:w="1079" w:type="dxa"/>
            <w:tcBorders>
              <w:top w:val="nil"/>
              <w:left w:val="nil"/>
              <w:bottom w:val="single" w:sz="4" w:space="0" w:color="auto"/>
              <w:right w:val="single" w:sz="4" w:space="0" w:color="auto"/>
            </w:tcBorders>
            <w:noWrap/>
            <w:vAlign w:val="bottom"/>
            <w:hideMark/>
          </w:tcPr>
          <w:p w14:paraId="26F4A01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9,97</w:t>
            </w:r>
          </w:p>
        </w:tc>
        <w:tc>
          <w:tcPr>
            <w:tcW w:w="979" w:type="dxa"/>
            <w:tcBorders>
              <w:top w:val="nil"/>
              <w:left w:val="nil"/>
              <w:bottom w:val="single" w:sz="4" w:space="0" w:color="auto"/>
              <w:right w:val="single" w:sz="4" w:space="0" w:color="auto"/>
            </w:tcBorders>
            <w:noWrap/>
            <w:vAlign w:val="bottom"/>
            <w:hideMark/>
          </w:tcPr>
          <w:p w14:paraId="11ADE46D"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3,05</w:t>
            </w:r>
          </w:p>
        </w:tc>
        <w:tc>
          <w:tcPr>
            <w:tcW w:w="1201" w:type="dxa"/>
            <w:tcBorders>
              <w:top w:val="nil"/>
              <w:left w:val="nil"/>
              <w:bottom w:val="single" w:sz="4" w:space="0" w:color="auto"/>
              <w:right w:val="single" w:sz="4" w:space="0" w:color="auto"/>
            </w:tcBorders>
            <w:vAlign w:val="center"/>
            <w:hideMark/>
          </w:tcPr>
          <w:p w14:paraId="5720F62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34,04</w:t>
            </w:r>
          </w:p>
        </w:tc>
        <w:tc>
          <w:tcPr>
            <w:tcW w:w="1089" w:type="dxa"/>
            <w:gridSpan w:val="2"/>
            <w:tcBorders>
              <w:top w:val="nil"/>
              <w:left w:val="nil"/>
              <w:bottom w:val="single" w:sz="4" w:space="0" w:color="auto"/>
              <w:right w:val="single" w:sz="4" w:space="0" w:color="auto"/>
            </w:tcBorders>
            <w:noWrap/>
            <w:vAlign w:val="bottom"/>
            <w:hideMark/>
          </w:tcPr>
          <w:p w14:paraId="2690E84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21,03</w:t>
            </w:r>
          </w:p>
        </w:tc>
        <w:tc>
          <w:tcPr>
            <w:tcW w:w="993" w:type="dxa"/>
            <w:tcBorders>
              <w:top w:val="nil"/>
              <w:left w:val="nil"/>
              <w:bottom w:val="single" w:sz="4" w:space="0" w:color="auto"/>
              <w:right w:val="single" w:sz="4" w:space="0" w:color="auto"/>
            </w:tcBorders>
            <w:noWrap/>
            <w:vAlign w:val="bottom"/>
            <w:hideMark/>
          </w:tcPr>
          <w:p w14:paraId="202AB92B"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9,97</w:t>
            </w:r>
          </w:p>
        </w:tc>
        <w:tc>
          <w:tcPr>
            <w:tcW w:w="1275" w:type="dxa"/>
            <w:tcBorders>
              <w:top w:val="nil"/>
              <w:left w:val="nil"/>
              <w:bottom w:val="single" w:sz="4" w:space="0" w:color="auto"/>
              <w:right w:val="single" w:sz="4" w:space="0" w:color="auto"/>
            </w:tcBorders>
            <w:noWrap/>
            <w:vAlign w:val="bottom"/>
            <w:hideMark/>
          </w:tcPr>
          <w:p w14:paraId="220E58E6"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10,54</w:t>
            </w:r>
          </w:p>
        </w:tc>
        <w:tc>
          <w:tcPr>
            <w:tcW w:w="1327" w:type="dxa"/>
            <w:tcBorders>
              <w:top w:val="nil"/>
              <w:left w:val="nil"/>
              <w:bottom w:val="single" w:sz="4" w:space="0" w:color="auto"/>
              <w:right w:val="single" w:sz="4" w:space="0" w:color="auto"/>
            </w:tcBorders>
            <w:vAlign w:val="center"/>
            <w:hideMark/>
          </w:tcPr>
          <w:p w14:paraId="1B7544D3"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41,54</w:t>
            </w:r>
          </w:p>
        </w:tc>
        <w:tc>
          <w:tcPr>
            <w:tcW w:w="967" w:type="dxa"/>
            <w:gridSpan w:val="2"/>
            <w:tcBorders>
              <w:top w:val="nil"/>
              <w:left w:val="nil"/>
              <w:bottom w:val="single" w:sz="4" w:space="0" w:color="auto"/>
              <w:right w:val="single" w:sz="4" w:space="0" w:color="auto"/>
            </w:tcBorders>
            <w:noWrap/>
            <w:vAlign w:val="bottom"/>
            <w:hideMark/>
          </w:tcPr>
          <w:p w14:paraId="7CDE2140"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42,05</w:t>
            </w:r>
          </w:p>
        </w:tc>
        <w:tc>
          <w:tcPr>
            <w:tcW w:w="1250" w:type="dxa"/>
            <w:tcBorders>
              <w:top w:val="nil"/>
              <w:left w:val="nil"/>
              <w:bottom w:val="single" w:sz="4" w:space="0" w:color="auto"/>
              <w:right w:val="single" w:sz="4" w:space="0" w:color="auto"/>
            </w:tcBorders>
            <w:noWrap/>
            <w:vAlign w:val="bottom"/>
            <w:hideMark/>
          </w:tcPr>
          <w:p w14:paraId="70AE82D7"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19,94</w:t>
            </w:r>
          </w:p>
        </w:tc>
        <w:tc>
          <w:tcPr>
            <w:tcW w:w="1111" w:type="dxa"/>
            <w:tcBorders>
              <w:top w:val="nil"/>
              <w:left w:val="nil"/>
              <w:bottom w:val="single" w:sz="4" w:space="0" w:color="auto"/>
              <w:right w:val="single" w:sz="4" w:space="0" w:color="auto"/>
            </w:tcBorders>
            <w:noWrap/>
            <w:vAlign w:val="bottom"/>
            <w:hideMark/>
          </w:tcPr>
          <w:p w14:paraId="71DE7634"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13,59</w:t>
            </w:r>
          </w:p>
        </w:tc>
        <w:tc>
          <w:tcPr>
            <w:tcW w:w="1176" w:type="dxa"/>
            <w:tcBorders>
              <w:top w:val="nil"/>
              <w:left w:val="nil"/>
              <w:bottom w:val="single" w:sz="4" w:space="0" w:color="auto"/>
              <w:right w:val="single" w:sz="4" w:space="0" w:color="auto"/>
            </w:tcBorders>
            <w:vAlign w:val="center"/>
            <w:hideMark/>
          </w:tcPr>
          <w:p w14:paraId="7E698BB8"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75,58</w:t>
            </w:r>
          </w:p>
        </w:tc>
      </w:tr>
      <w:tr w:rsidR="00904709" w:rsidRPr="006430EA" w14:paraId="18ECBCAA" w14:textId="77777777" w:rsidTr="00533899">
        <w:trPr>
          <w:trHeight w:val="945"/>
        </w:trPr>
        <w:tc>
          <w:tcPr>
            <w:tcW w:w="974" w:type="dxa"/>
            <w:tcBorders>
              <w:top w:val="nil"/>
              <w:left w:val="single" w:sz="4" w:space="0" w:color="auto"/>
              <w:bottom w:val="single" w:sz="4" w:space="0" w:color="auto"/>
              <w:right w:val="single" w:sz="4" w:space="0" w:color="auto"/>
            </w:tcBorders>
            <w:vAlign w:val="center"/>
            <w:hideMark/>
          </w:tcPr>
          <w:p w14:paraId="5DB9C386" w14:textId="448905FE"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С</w:t>
            </w:r>
            <w:r w:rsidR="001C71D7">
              <w:rPr>
                <w:rFonts w:ascii="Times New Roman" w:eastAsia="Times New Roman" w:hAnsi="Times New Roman" w:cs="Times New Roman"/>
                <w:color w:val="000000"/>
                <w:sz w:val="20"/>
                <w:szCs w:val="20"/>
                <w:lang w:eastAsia="ru-RU"/>
              </w:rPr>
              <w:t>П</w:t>
            </w:r>
            <w:r w:rsidRPr="006430EA">
              <w:rPr>
                <w:rFonts w:ascii="Times New Roman" w:eastAsia="Times New Roman" w:hAnsi="Times New Roman" w:cs="Times New Roman"/>
                <w:color w:val="000000"/>
                <w:sz w:val="20"/>
                <w:szCs w:val="20"/>
                <w:lang w:eastAsia="ru-RU"/>
              </w:rPr>
              <w:t>И</w:t>
            </w:r>
          </w:p>
        </w:tc>
        <w:tc>
          <w:tcPr>
            <w:tcW w:w="1038" w:type="dxa"/>
            <w:tcBorders>
              <w:top w:val="nil"/>
              <w:left w:val="nil"/>
              <w:bottom w:val="single" w:sz="4" w:space="0" w:color="auto"/>
              <w:right w:val="single" w:sz="4" w:space="0" w:color="auto"/>
            </w:tcBorders>
            <w:vAlign w:val="center"/>
            <w:hideMark/>
          </w:tcPr>
          <w:p w14:paraId="3A8EC359"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4,8(-6,8; 17,8)</w:t>
            </w:r>
          </w:p>
        </w:tc>
        <w:tc>
          <w:tcPr>
            <w:tcW w:w="1079" w:type="dxa"/>
            <w:tcBorders>
              <w:top w:val="nil"/>
              <w:left w:val="nil"/>
              <w:bottom w:val="single" w:sz="4" w:space="0" w:color="auto"/>
              <w:right w:val="single" w:sz="4" w:space="0" w:color="auto"/>
            </w:tcBorders>
            <w:noWrap/>
            <w:vAlign w:val="bottom"/>
            <w:hideMark/>
          </w:tcPr>
          <w:p w14:paraId="11E8F4BE"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-5,4(-16,6; 7,3)</w:t>
            </w:r>
          </w:p>
        </w:tc>
        <w:tc>
          <w:tcPr>
            <w:tcW w:w="979" w:type="dxa"/>
            <w:tcBorders>
              <w:top w:val="nil"/>
              <w:left w:val="nil"/>
              <w:bottom w:val="single" w:sz="4" w:space="0" w:color="auto"/>
              <w:right w:val="single" w:sz="4" w:space="0" w:color="auto"/>
            </w:tcBorders>
            <w:noWrap/>
            <w:vAlign w:val="bottom"/>
            <w:hideMark/>
          </w:tcPr>
          <w:p w14:paraId="3101D479"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11,4(-5,1; 30,8)</w:t>
            </w:r>
          </w:p>
        </w:tc>
        <w:tc>
          <w:tcPr>
            <w:tcW w:w="1201" w:type="dxa"/>
            <w:tcBorders>
              <w:top w:val="nil"/>
              <w:left w:val="nil"/>
              <w:bottom w:val="single" w:sz="4" w:space="0" w:color="auto"/>
              <w:right w:val="single" w:sz="4" w:space="0" w:color="auto"/>
            </w:tcBorders>
            <w:vAlign w:val="center"/>
            <w:hideMark/>
          </w:tcPr>
          <w:p w14:paraId="2E40E952"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val="en-US" w:eastAsia="ru-RU"/>
              </w:rPr>
              <w:t>0.6 (-10.0;12,4)</w:t>
            </w:r>
          </w:p>
        </w:tc>
        <w:tc>
          <w:tcPr>
            <w:tcW w:w="1089" w:type="dxa"/>
            <w:gridSpan w:val="2"/>
            <w:tcBorders>
              <w:top w:val="nil"/>
              <w:left w:val="nil"/>
              <w:bottom w:val="single" w:sz="4" w:space="0" w:color="auto"/>
              <w:right w:val="single" w:sz="4" w:space="0" w:color="auto"/>
            </w:tcBorders>
            <w:noWrap/>
            <w:vAlign w:val="bottom"/>
            <w:hideMark/>
          </w:tcPr>
          <w:p w14:paraId="0B43AD95"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4,8(-6,8; 17,8)</w:t>
            </w:r>
          </w:p>
        </w:tc>
        <w:tc>
          <w:tcPr>
            <w:tcW w:w="993" w:type="dxa"/>
            <w:tcBorders>
              <w:top w:val="nil"/>
              <w:left w:val="nil"/>
              <w:bottom w:val="single" w:sz="4" w:space="0" w:color="auto"/>
              <w:right w:val="single" w:sz="4" w:space="0" w:color="auto"/>
            </w:tcBorders>
            <w:noWrap/>
            <w:vAlign w:val="bottom"/>
            <w:hideMark/>
          </w:tcPr>
          <w:p w14:paraId="3E66E8D9"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-5,4(-16,6; 7,3)</w:t>
            </w:r>
          </w:p>
        </w:tc>
        <w:tc>
          <w:tcPr>
            <w:tcW w:w="1275" w:type="dxa"/>
            <w:tcBorders>
              <w:top w:val="nil"/>
              <w:left w:val="nil"/>
              <w:bottom w:val="single" w:sz="4" w:space="0" w:color="auto"/>
              <w:right w:val="single" w:sz="4" w:space="0" w:color="auto"/>
            </w:tcBorders>
            <w:noWrap/>
            <w:vAlign w:val="bottom"/>
            <w:hideMark/>
          </w:tcPr>
          <w:p w14:paraId="0CFF9DC2"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-0,2(-10,4; 11,2)</w:t>
            </w:r>
          </w:p>
        </w:tc>
        <w:tc>
          <w:tcPr>
            <w:tcW w:w="1327" w:type="dxa"/>
            <w:tcBorders>
              <w:top w:val="nil"/>
              <w:left w:val="nil"/>
              <w:bottom w:val="single" w:sz="4" w:space="0" w:color="auto"/>
              <w:right w:val="single" w:sz="4" w:space="0" w:color="auto"/>
            </w:tcBorders>
            <w:vAlign w:val="center"/>
            <w:hideMark/>
          </w:tcPr>
          <w:p w14:paraId="4553D58C"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val="en-US" w:eastAsia="ru-RU"/>
              </w:rPr>
              <w:t>-0.1 (-10.2;11.0)</w:t>
            </w:r>
          </w:p>
        </w:tc>
        <w:tc>
          <w:tcPr>
            <w:tcW w:w="967" w:type="dxa"/>
            <w:gridSpan w:val="2"/>
            <w:tcBorders>
              <w:top w:val="nil"/>
              <w:left w:val="nil"/>
              <w:bottom w:val="single" w:sz="4" w:space="0" w:color="auto"/>
              <w:right w:val="single" w:sz="4" w:space="0" w:color="auto"/>
            </w:tcBorders>
            <w:noWrap/>
            <w:vAlign w:val="bottom"/>
            <w:hideMark/>
          </w:tcPr>
          <w:p w14:paraId="3C342CEF"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4,8(-6,8; 17,8)</w:t>
            </w:r>
          </w:p>
        </w:tc>
        <w:tc>
          <w:tcPr>
            <w:tcW w:w="1250" w:type="dxa"/>
            <w:tcBorders>
              <w:top w:val="nil"/>
              <w:left w:val="nil"/>
              <w:bottom w:val="single" w:sz="4" w:space="0" w:color="auto"/>
              <w:right w:val="single" w:sz="4" w:space="0" w:color="auto"/>
            </w:tcBorders>
            <w:noWrap/>
            <w:vAlign w:val="bottom"/>
            <w:hideMark/>
          </w:tcPr>
          <w:p w14:paraId="38AC94D5"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-5,4(-16,6; 7,3)</w:t>
            </w:r>
          </w:p>
        </w:tc>
        <w:tc>
          <w:tcPr>
            <w:tcW w:w="1111" w:type="dxa"/>
            <w:tcBorders>
              <w:top w:val="nil"/>
              <w:left w:val="nil"/>
              <w:bottom w:val="single" w:sz="4" w:space="0" w:color="auto"/>
              <w:right w:val="single" w:sz="4" w:space="0" w:color="auto"/>
            </w:tcBorders>
            <w:noWrap/>
            <w:vAlign w:val="bottom"/>
            <w:hideMark/>
          </w:tcPr>
          <w:p w14:paraId="4FD67835" w14:textId="77777777" w:rsidR="00904709" w:rsidRPr="006430EA" w:rsidRDefault="00904709" w:rsidP="000F4E51">
            <w:pPr>
              <w:spacing w:line="240" w:lineRule="auto"/>
              <w:jc w:val="center"/>
              <w:rPr>
                <w:rFonts w:ascii="Times New Roman" w:hAnsi="Times New Roman" w:cs="Times New Roman"/>
                <w:color w:val="000000"/>
                <w:sz w:val="20"/>
                <w:szCs w:val="20"/>
              </w:rPr>
            </w:pPr>
            <w:r w:rsidRPr="006430EA">
              <w:rPr>
                <w:rFonts w:ascii="Times New Roman" w:hAnsi="Times New Roman" w:cs="Times New Roman"/>
                <w:color w:val="000000"/>
                <w:sz w:val="20"/>
                <w:szCs w:val="20"/>
              </w:rPr>
              <w:t>2,7(-8; 14,6)</w:t>
            </w:r>
          </w:p>
        </w:tc>
        <w:tc>
          <w:tcPr>
            <w:tcW w:w="1176" w:type="dxa"/>
            <w:tcBorders>
              <w:top w:val="nil"/>
              <w:left w:val="nil"/>
              <w:bottom w:val="single" w:sz="4" w:space="0" w:color="auto"/>
              <w:right w:val="single" w:sz="4" w:space="0" w:color="auto"/>
            </w:tcBorders>
            <w:vAlign w:val="center"/>
            <w:hideMark/>
          </w:tcPr>
          <w:p w14:paraId="71CE785F" w14:textId="77777777"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val="en-US" w:eastAsia="ru-RU"/>
              </w:rPr>
              <w:t>0.2 (-10.1;11.6)</w:t>
            </w:r>
          </w:p>
        </w:tc>
      </w:tr>
      <w:tr w:rsidR="00904709" w:rsidRPr="006430EA" w14:paraId="4216A465" w14:textId="77777777" w:rsidTr="00533899">
        <w:trPr>
          <w:trHeight w:val="323"/>
        </w:trPr>
        <w:tc>
          <w:tcPr>
            <w:tcW w:w="14459" w:type="dxa"/>
            <w:gridSpan w:val="15"/>
            <w:tcBorders>
              <w:top w:val="nil"/>
              <w:left w:val="single" w:sz="4" w:space="0" w:color="auto"/>
              <w:bottom w:val="single" w:sz="4" w:space="0" w:color="auto"/>
              <w:right w:val="single" w:sz="4" w:space="0" w:color="auto"/>
            </w:tcBorders>
            <w:vAlign w:val="center"/>
            <w:hideMark/>
          </w:tcPr>
          <w:p w14:paraId="4D0E8BD1" w14:textId="3F780EDC" w:rsidR="00904709" w:rsidRPr="006430EA" w:rsidRDefault="00904709" w:rsidP="000F4E51">
            <w:pPr>
              <w:spacing w:after="0" w:line="240" w:lineRule="auto"/>
              <w:jc w:val="center"/>
              <w:rPr>
                <w:rFonts w:ascii="Times New Roman" w:eastAsia="Times New Roman" w:hAnsi="Times New Roman" w:cs="Times New Roman"/>
                <w:color w:val="000000"/>
                <w:sz w:val="20"/>
                <w:szCs w:val="20"/>
                <w:lang w:eastAsia="ru-RU"/>
              </w:rPr>
            </w:pPr>
            <w:r w:rsidRPr="006430EA">
              <w:rPr>
                <w:rFonts w:ascii="Times New Roman" w:eastAsia="Times New Roman" w:hAnsi="Times New Roman" w:cs="Times New Roman"/>
                <w:color w:val="000000"/>
                <w:sz w:val="20"/>
                <w:szCs w:val="20"/>
                <w:lang w:eastAsia="ru-RU"/>
              </w:rPr>
              <w:t>среднегодовое процентное изменение (С</w:t>
            </w:r>
            <w:r w:rsidR="001C71D7">
              <w:rPr>
                <w:rFonts w:ascii="Times New Roman" w:eastAsia="Times New Roman" w:hAnsi="Times New Roman" w:cs="Times New Roman"/>
                <w:color w:val="000000"/>
                <w:sz w:val="20"/>
                <w:szCs w:val="20"/>
                <w:lang w:eastAsia="ru-RU"/>
              </w:rPr>
              <w:t>П</w:t>
            </w:r>
            <w:r w:rsidRPr="006430EA">
              <w:rPr>
                <w:rFonts w:ascii="Times New Roman" w:eastAsia="Times New Roman" w:hAnsi="Times New Roman" w:cs="Times New Roman"/>
                <w:color w:val="000000"/>
                <w:sz w:val="20"/>
                <w:szCs w:val="20"/>
                <w:lang w:eastAsia="ru-RU"/>
              </w:rPr>
              <w:t>И)</w:t>
            </w:r>
          </w:p>
        </w:tc>
      </w:tr>
    </w:tbl>
    <w:p w14:paraId="79AD9DDD" w14:textId="77777777" w:rsidR="00904709" w:rsidRDefault="00904709" w:rsidP="000F4E51">
      <w:pPr>
        <w:spacing w:after="0" w:line="240" w:lineRule="auto"/>
        <w:ind w:left="851" w:right="-1135" w:firstLine="567"/>
        <w:jc w:val="both"/>
        <w:rPr>
          <w:rFonts w:ascii="Times New Roman" w:hAnsi="Times New Roman" w:cs="Times New Roman"/>
          <w:sz w:val="28"/>
          <w:szCs w:val="28"/>
        </w:rPr>
      </w:pPr>
    </w:p>
    <w:p w14:paraId="148E2C10" w14:textId="77777777" w:rsidR="00904709" w:rsidRDefault="00904709" w:rsidP="000F4E51">
      <w:pPr>
        <w:spacing w:after="0" w:line="240" w:lineRule="auto"/>
        <w:ind w:left="851" w:right="-1135" w:firstLine="567"/>
        <w:jc w:val="both"/>
        <w:rPr>
          <w:rFonts w:ascii="Times New Roman" w:hAnsi="Times New Roman" w:cs="Times New Roman"/>
          <w:sz w:val="28"/>
          <w:szCs w:val="28"/>
        </w:rPr>
      </w:pPr>
    </w:p>
    <w:p w14:paraId="2D3D1032" w14:textId="77777777" w:rsidR="00904709" w:rsidRDefault="00904709" w:rsidP="000F4E51">
      <w:pPr>
        <w:spacing w:after="0" w:line="240" w:lineRule="auto"/>
        <w:ind w:left="851" w:right="-1135" w:firstLine="567"/>
        <w:jc w:val="both"/>
        <w:rPr>
          <w:rFonts w:ascii="Times New Roman" w:hAnsi="Times New Roman" w:cs="Times New Roman"/>
          <w:sz w:val="28"/>
          <w:szCs w:val="28"/>
        </w:rPr>
      </w:pPr>
    </w:p>
    <w:p w14:paraId="1AA3125A" w14:textId="77777777" w:rsidR="00904709" w:rsidRDefault="00904709" w:rsidP="000F4E51">
      <w:pPr>
        <w:spacing w:after="0" w:line="240" w:lineRule="auto"/>
        <w:ind w:left="851" w:right="-1135" w:firstLine="567"/>
        <w:jc w:val="both"/>
        <w:rPr>
          <w:rFonts w:ascii="Times New Roman" w:hAnsi="Times New Roman" w:cs="Times New Roman"/>
          <w:sz w:val="28"/>
          <w:szCs w:val="28"/>
        </w:rPr>
        <w:sectPr w:rsidR="00904709" w:rsidSect="00904709">
          <w:pgSz w:w="16838" w:h="11906" w:orient="landscape"/>
          <w:pgMar w:top="850" w:right="1134" w:bottom="1701" w:left="1134" w:header="708" w:footer="708" w:gutter="0"/>
          <w:cols w:space="708"/>
          <w:docGrid w:linePitch="360"/>
        </w:sectPr>
      </w:pPr>
    </w:p>
    <w:p w14:paraId="7A4D43D0" w14:textId="77777777" w:rsidR="00981353" w:rsidRPr="001C71D7" w:rsidRDefault="00981353" w:rsidP="00C6385D">
      <w:pPr>
        <w:spacing w:after="0" w:line="240" w:lineRule="auto"/>
        <w:ind w:firstLine="567"/>
        <w:jc w:val="both"/>
        <w:rPr>
          <w:rFonts w:ascii="Times New Roman" w:hAnsi="Times New Roman" w:cs="Times New Roman"/>
          <w:sz w:val="28"/>
          <w:szCs w:val="28"/>
        </w:rPr>
      </w:pPr>
      <w:r w:rsidRPr="00023E8A">
        <w:rPr>
          <w:rFonts w:ascii="Times New Roman" w:hAnsi="Times New Roman" w:cs="Times New Roman"/>
          <w:sz w:val="28"/>
          <w:szCs w:val="28"/>
        </w:rPr>
        <w:lastRenderedPageBreak/>
        <w:t xml:space="preserve">В </w:t>
      </w:r>
      <w:r>
        <w:rPr>
          <w:rFonts w:ascii="Times New Roman" w:hAnsi="Times New Roman" w:cs="Times New Roman"/>
          <w:sz w:val="28"/>
          <w:szCs w:val="28"/>
        </w:rPr>
        <w:t>целом по населению</w:t>
      </w:r>
      <w:r w:rsidRPr="00023E8A">
        <w:rPr>
          <w:rFonts w:ascii="Times New Roman" w:hAnsi="Times New Roman" w:cs="Times New Roman"/>
          <w:sz w:val="28"/>
          <w:szCs w:val="28"/>
        </w:rPr>
        <w:t xml:space="preserve"> СПИ предотвратимой смертности составил +0,9% в год (95% ДИ: -8,5; 11,2), что указывает на отсутствие направленного долгосрочного тренда. Аналогичные значения были получены для </w:t>
      </w:r>
      <w:r>
        <w:rPr>
          <w:rFonts w:ascii="Times New Roman" w:hAnsi="Times New Roman" w:cs="Times New Roman"/>
          <w:sz w:val="28"/>
          <w:szCs w:val="28"/>
        </w:rPr>
        <w:t>превентивной</w:t>
      </w:r>
      <w:r w:rsidRPr="00023E8A">
        <w:rPr>
          <w:rFonts w:ascii="Times New Roman" w:hAnsi="Times New Roman" w:cs="Times New Roman"/>
          <w:sz w:val="28"/>
          <w:szCs w:val="28"/>
        </w:rPr>
        <w:t xml:space="preserve"> (+1,1%) и излечимой смертности (+0,6%). Для смертности от </w:t>
      </w:r>
      <w:r>
        <w:rPr>
          <w:rFonts w:ascii="Times New Roman" w:hAnsi="Times New Roman" w:cs="Times New Roman"/>
          <w:sz w:val="28"/>
          <w:szCs w:val="28"/>
        </w:rPr>
        <w:t>ИБС</w:t>
      </w:r>
      <w:r w:rsidRPr="00023E8A">
        <w:rPr>
          <w:rFonts w:ascii="Times New Roman" w:hAnsi="Times New Roman" w:cs="Times New Roman"/>
          <w:sz w:val="28"/>
          <w:szCs w:val="28"/>
        </w:rPr>
        <w:t xml:space="preserve"> наблюдалась тенденция к увеличению (СПИ примерно на +4,5% в год), </w:t>
      </w:r>
      <w:r>
        <w:rPr>
          <w:rFonts w:ascii="Times New Roman" w:hAnsi="Times New Roman" w:cs="Times New Roman"/>
          <w:sz w:val="28"/>
          <w:szCs w:val="28"/>
        </w:rPr>
        <w:t>тогда</w:t>
      </w:r>
      <w:r w:rsidRPr="00023E8A">
        <w:rPr>
          <w:rFonts w:ascii="Times New Roman" w:hAnsi="Times New Roman" w:cs="Times New Roman"/>
          <w:sz w:val="28"/>
          <w:szCs w:val="28"/>
        </w:rPr>
        <w:t xml:space="preserve"> как для </w:t>
      </w:r>
      <w:r>
        <w:rPr>
          <w:rFonts w:ascii="Times New Roman" w:hAnsi="Times New Roman" w:cs="Times New Roman"/>
          <w:sz w:val="28"/>
          <w:szCs w:val="28"/>
        </w:rPr>
        <w:t>ЦВЗ</w:t>
      </w:r>
      <w:r w:rsidRPr="00023E8A">
        <w:rPr>
          <w:rFonts w:ascii="Times New Roman" w:hAnsi="Times New Roman" w:cs="Times New Roman"/>
          <w:sz w:val="28"/>
          <w:szCs w:val="28"/>
        </w:rPr>
        <w:t xml:space="preserve"> наблюдалась </w:t>
      </w:r>
      <w:r w:rsidRPr="001C71D7">
        <w:rPr>
          <w:rFonts w:ascii="Times New Roman" w:hAnsi="Times New Roman" w:cs="Times New Roman"/>
          <w:sz w:val="28"/>
          <w:szCs w:val="28"/>
        </w:rPr>
        <w:t xml:space="preserve">тенденция к снижению (СПИ примерно на -3,8%), однако данные изменения не достигли статистической значимости (таблица </w:t>
      </w:r>
      <w:r>
        <w:rPr>
          <w:rFonts w:ascii="Times New Roman" w:hAnsi="Times New Roman" w:cs="Times New Roman"/>
          <w:sz w:val="28"/>
          <w:szCs w:val="28"/>
        </w:rPr>
        <w:t>9</w:t>
      </w:r>
      <w:r w:rsidRPr="001C71D7">
        <w:rPr>
          <w:rFonts w:ascii="Times New Roman" w:hAnsi="Times New Roman" w:cs="Times New Roman"/>
          <w:sz w:val="28"/>
          <w:szCs w:val="28"/>
        </w:rPr>
        <w:t>).</w:t>
      </w:r>
    </w:p>
    <w:p w14:paraId="7D03C568" w14:textId="77777777" w:rsidR="00904709" w:rsidRPr="00023E8A" w:rsidRDefault="00904709" w:rsidP="00C6385D">
      <w:pPr>
        <w:spacing w:after="0" w:line="240" w:lineRule="auto"/>
        <w:ind w:firstLine="567"/>
        <w:jc w:val="both"/>
        <w:rPr>
          <w:rFonts w:ascii="Times New Roman" w:hAnsi="Times New Roman" w:cs="Times New Roman"/>
          <w:sz w:val="28"/>
          <w:szCs w:val="28"/>
        </w:rPr>
      </w:pPr>
      <w:r w:rsidRPr="00023E8A">
        <w:rPr>
          <w:rFonts w:ascii="Times New Roman" w:hAnsi="Times New Roman" w:cs="Times New Roman"/>
          <w:sz w:val="28"/>
          <w:szCs w:val="28"/>
        </w:rPr>
        <w:t xml:space="preserve">Среди мужчин </w:t>
      </w:r>
      <w:r>
        <w:rPr>
          <w:rFonts w:ascii="Times New Roman" w:hAnsi="Times New Roman" w:cs="Times New Roman"/>
          <w:sz w:val="28"/>
          <w:szCs w:val="28"/>
        </w:rPr>
        <w:t>СПИ</w:t>
      </w:r>
      <w:r w:rsidRPr="00023E8A">
        <w:rPr>
          <w:rFonts w:ascii="Times New Roman" w:hAnsi="Times New Roman" w:cs="Times New Roman"/>
          <w:sz w:val="28"/>
          <w:szCs w:val="28"/>
        </w:rPr>
        <w:t xml:space="preserve"> предотвратимой смертности составил +1,3% в год, при этом </w:t>
      </w:r>
      <w:r>
        <w:rPr>
          <w:rFonts w:ascii="Times New Roman" w:hAnsi="Times New Roman" w:cs="Times New Roman"/>
          <w:sz w:val="28"/>
          <w:szCs w:val="28"/>
        </w:rPr>
        <w:t xml:space="preserve">для ИБС сохранялось </w:t>
      </w:r>
      <w:r w:rsidRPr="00023E8A">
        <w:rPr>
          <w:rFonts w:ascii="Times New Roman" w:hAnsi="Times New Roman" w:cs="Times New Roman"/>
          <w:sz w:val="28"/>
          <w:szCs w:val="28"/>
        </w:rPr>
        <w:t xml:space="preserve">тенденция к </w:t>
      </w:r>
      <w:r>
        <w:rPr>
          <w:rFonts w:ascii="Times New Roman" w:hAnsi="Times New Roman" w:cs="Times New Roman"/>
          <w:sz w:val="28"/>
          <w:szCs w:val="28"/>
        </w:rPr>
        <w:t>росту</w:t>
      </w:r>
      <w:r w:rsidRPr="00023E8A">
        <w:rPr>
          <w:rFonts w:ascii="Times New Roman" w:hAnsi="Times New Roman" w:cs="Times New Roman"/>
          <w:sz w:val="28"/>
          <w:szCs w:val="28"/>
        </w:rPr>
        <w:t xml:space="preserve"> (</w:t>
      </w:r>
      <w:r>
        <w:rPr>
          <w:rFonts w:ascii="Times New Roman" w:hAnsi="Times New Roman" w:cs="Times New Roman"/>
          <w:sz w:val="28"/>
          <w:szCs w:val="28"/>
        </w:rPr>
        <w:t>СПИ</w:t>
      </w:r>
      <w:r w:rsidRPr="00023E8A">
        <w:rPr>
          <w:rFonts w:ascii="Times New Roman" w:hAnsi="Times New Roman" w:cs="Times New Roman"/>
          <w:sz w:val="28"/>
          <w:szCs w:val="28"/>
        </w:rPr>
        <w:t xml:space="preserve"> +4,3%), а </w:t>
      </w:r>
      <w:r>
        <w:rPr>
          <w:rFonts w:ascii="Times New Roman" w:hAnsi="Times New Roman" w:cs="Times New Roman"/>
          <w:sz w:val="28"/>
          <w:szCs w:val="28"/>
        </w:rPr>
        <w:t xml:space="preserve">для ЦВЗ – снижению </w:t>
      </w:r>
      <w:r w:rsidRPr="00023E8A">
        <w:rPr>
          <w:rFonts w:ascii="Times New Roman" w:hAnsi="Times New Roman" w:cs="Times New Roman"/>
          <w:sz w:val="28"/>
          <w:szCs w:val="28"/>
        </w:rPr>
        <w:t>(</w:t>
      </w:r>
      <w:r>
        <w:rPr>
          <w:rFonts w:ascii="Times New Roman" w:hAnsi="Times New Roman" w:cs="Times New Roman"/>
          <w:sz w:val="28"/>
          <w:szCs w:val="28"/>
        </w:rPr>
        <w:t>СПИ</w:t>
      </w:r>
      <w:r w:rsidRPr="00023E8A">
        <w:rPr>
          <w:rFonts w:ascii="Times New Roman" w:hAnsi="Times New Roman" w:cs="Times New Roman"/>
          <w:sz w:val="28"/>
          <w:szCs w:val="28"/>
        </w:rPr>
        <w:t xml:space="preserve"> -2,7%). У женщин значения </w:t>
      </w:r>
      <w:r>
        <w:rPr>
          <w:rFonts w:ascii="Times New Roman" w:hAnsi="Times New Roman" w:cs="Times New Roman"/>
          <w:sz w:val="28"/>
          <w:szCs w:val="28"/>
        </w:rPr>
        <w:t>СПИ</w:t>
      </w:r>
      <w:r w:rsidRPr="00023E8A">
        <w:rPr>
          <w:rFonts w:ascii="Times New Roman" w:hAnsi="Times New Roman" w:cs="Times New Roman"/>
          <w:sz w:val="28"/>
          <w:szCs w:val="28"/>
        </w:rPr>
        <w:t xml:space="preserve"> были в целом ниже и ближе к нулю: предотвратимой смертности составил +0,2% в год, что соответствует практически стабильному уровню показателей в долгосрочной перспективе. Наиболее выраженная отрицательная динамика у женщин наблюдалась для смертности от </w:t>
      </w:r>
      <w:r>
        <w:rPr>
          <w:rFonts w:ascii="Times New Roman" w:hAnsi="Times New Roman" w:cs="Times New Roman"/>
          <w:sz w:val="28"/>
          <w:szCs w:val="28"/>
        </w:rPr>
        <w:t>ЦВЗ</w:t>
      </w:r>
      <w:r w:rsidRPr="00023E8A">
        <w:rPr>
          <w:rFonts w:ascii="Times New Roman" w:hAnsi="Times New Roman" w:cs="Times New Roman"/>
          <w:sz w:val="28"/>
          <w:szCs w:val="28"/>
        </w:rPr>
        <w:t xml:space="preserve"> (С</w:t>
      </w:r>
      <w:r>
        <w:rPr>
          <w:rFonts w:ascii="Times New Roman" w:hAnsi="Times New Roman" w:cs="Times New Roman"/>
          <w:sz w:val="28"/>
          <w:szCs w:val="28"/>
        </w:rPr>
        <w:t>ПИ</w:t>
      </w:r>
      <w:r w:rsidRPr="00023E8A">
        <w:rPr>
          <w:rFonts w:ascii="Times New Roman" w:hAnsi="Times New Roman" w:cs="Times New Roman"/>
          <w:sz w:val="28"/>
          <w:szCs w:val="28"/>
        </w:rPr>
        <w:t xml:space="preserve"> -5,4%), </w:t>
      </w:r>
      <w:r>
        <w:rPr>
          <w:rFonts w:ascii="Times New Roman" w:hAnsi="Times New Roman" w:cs="Times New Roman"/>
          <w:sz w:val="28"/>
          <w:szCs w:val="28"/>
        </w:rPr>
        <w:t xml:space="preserve">тогда как </w:t>
      </w:r>
      <w:r w:rsidRPr="00023E8A">
        <w:rPr>
          <w:rFonts w:ascii="Times New Roman" w:hAnsi="Times New Roman" w:cs="Times New Roman"/>
          <w:sz w:val="28"/>
          <w:szCs w:val="28"/>
        </w:rPr>
        <w:t>для</w:t>
      </w:r>
      <w:r>
        <w:rPr>
          <w:rFonts w:ascii="Times New Roman" w:hAnsi="Times New Roman" w:cs="Times New Roman"/>
          <w:sz w:val="28"/>
          <w:szCs w:val="28"/>
        </w:rPr>
        <w:t xml:space="preserve"> ИБС сохранялась </w:t>
      </w:r>
      <w:r w:rsidRPr="00023E8A">
        <w:rPr>
          <w:rFonts w:ascii="Times New Roman" w:hAnsi="Times New Roman" w:cs="Times New Roman"/>
          <w:sz w:val="28"/>
          <w:szCs w:val="28"/>
        </w:rPr>
        <w:t>тенденция к росту (</w:t>
      </w:r>
      <w:r>
        <w:rPr>
          <w:rFonts w:ascii="Times New Roman" w:hAnsi="Times New Roman" w:cs="Times New Roman"/>
          <w:sz w:val="28"/>
          <w:szCs w:val="28"/>
        </w:rPr>
        <w:t>СПИ</w:t>
      </w:r>
      <w:r w:rsidRPr="00023E8A">
        <w:rPr>
          <w:rFonts w:ascii="Times New Roman" w:hAnsi="Times New Roman" w:cs="Times New Roman"/>
          <w:sz w:val="28"/>
          <w:szCs w:val="28"/>
        </w:rPr>
        <w:t xml:space="preserve"> +4,8%).</w:t>
      </w:r>
    </w:p>
    <w:p w14:paraId="14B92843" w14:textId="77777777" w:rsidR="00904709" w:rsidRPr="00023E8A" w:rsidRDefault="00904709" w:rsidP="00C6385D">
      <w:pPr>
        <w:spacing w:after="0" w:line="240" w:lineRule="auto"/>
        <w:ind w:firstLine="567"/>
        <w:jc w:val="both"/>
        <w:rPr>
          <w:rFonts w:ascii="Times New Roman" w:hAnsi="Times New Roman" w:cs="Times New Roman"/>
          <w:sz w:val="28"/>
          <w:szCs w:val="28"/>
        </w:rPr>
      </w:pPr>
      <w:r w:rsidRPr="00023E8A">
        <w:rPr>
          <w:rFonts w:ascii="Times New Roman" w:hAnsi="Times New Roman" w:cs="Times New Roman"/>
          <w:sz w:val="28"/>
          <w:szCs w:val="28"/>
        </w:rPr>
        <w:t xml:space="preserve">Таким образом, значения </w:t>
      </w:r>
      <w:r>
        <w:rPr>
          <w:rFonts w:ascii="Times New Roman" w:hAnsi="Times New Roman" w:cs="Times New Roman"/>
          <w:sz w:val="28"/>
          <w:szCs w:val="28"/>
        </w:rPr>
        <w:t>СПИ</w:t>
      </w:r>
      <w:r w:rsidRPr="00023E8A">
        <w:rPr>
          <w:rFonts w:ascii="Times New Roman" w:hAnsi="Times New Roman" w:cs="Times New Roman"/>
          <w:sz w:val="28"/>
          <w:szCs w:val="28"/>
        </w:rPr>
        <w:t xml:space="preserve"> отражают сочетание периодов резкого</w:t>
      </w:r>
      <w:r>
        <w:rPr>
          <w:rFonts w:ascii="Times New Roman" w:hAnsi="Times New Roman" w:cs="Times New Roman"/>
          <w:sz w:val="28"/>
          <w:szCs w:val="28"/>
        </w:rPr>
        <w:t xml:space="preserve"> снижения</w:t>
      </w:r>
      <w:r w:rsidRPr="00023E8A">
        <w:rPr>
          <w:rFonts w:ascii="Times New Roman" w:hAnsi="Times New Roman" w:cs="Times New Roman"/>
          <w:sz w:val="28"/>
          <w:szCs w:val="28"/>
        </w:rPr>
        <w:t xml:space="preserve"> (2014-2019 гг.), экстремального роста (2020-2021 гг.) и последующей нестабильной нормализации (2022-2024 гг.).</w:t>
      </w:r>
    </w:p>
    <w:p w14:paraId="1E4A4106" w14:textId="77777777" w:rsidR="00904709" w:rsidRDefault="00904709" w:rsidP="00C6385D">
      <w:pPr>
        <w:spacing w:after="0" w:line="240" w:lineRule="auto"/>
        <w:ind w:firstLine="567"/>
        <w:jc w:val="both"/>
        <w:rPr>
          <w:rFonts w:ascii="Times New Roman" w:hAnsi="Times New Roman" w:cs="Times New Roman"/>
          <w:sz w:val="28"/>
          <w:szCs w:val="28"/>
        </w:rPr>
      </w:pPr>
      <w:r w:rsidRPr="00023E8A">
        <w:rPr>
          <w:rFonts w:ascii="Times New Roman" w:hAnsi="Times New Roman" w:cs="Times New Roman"/>
          <w:sz w:val="28"/>
          <w:szCs w:val="28"/>
        </w:rPr>
        <w:t xml:space="preserve">В целом, данные таблицы указывают на то, что предотвратимая смертность от </w:t>
      </w:r>
      <w:r>
        <w:rPr>
          <w:rFonts w:ascii="Times New Roman" w:hAnsi="Times New Roman" w:cs="Times New Roman"/>
          <w:sz w:val="28"/>
          <w:szCs w:val="28"/>
        </w:rPr>
        <w:t>БСК</w:t>
      </w:r>
      <w:r w:rsidRPr="00023E8A">
        <w:rPr>
          <w:rFonts w:ascii="Times New Roman" w:hAnsi="Times New Roman" w:cs="Times New Roman"/>
          <w:sz w:val="28"/>
          <w:szCs w:val="28"/>
        </w:rPr>
        <w:t xml:space="preserve"> в 2014-2024 годах не характеризуется устойчивым линейным трендом. Несмотря на </w:t>
      </w:r>
      <w:r>
        <w:rPr>
          <w:rFonts w:ascii="Times New Roman" w:hAnsi="Times New Roman" w:cs="Times New Roman"/>
          <w:sz w:val="28"/>
          <w:szCs w:val="28"/>
        </w:rPr>
        <w:t xml:space="preserve">выраженное </w:t>
      </w:r>
      <w:r w:rsidRPr="00023E8A">
        <w:rPr>
          <w:rFonts w:ascii="Times New Roman" w:hAnsi="Times New Roman" w:cs="Times New Roman"/>
          <w:sz w:val="28"/>
          <w:szCs w:val="28"/>
        </w:rPr>
        <w:t xml:space="preserve">снижение показателей в допандемический период, экстремальный рост в годы пандемии и сохраняющаяся нестабильность в 2024 году существенно повлияли на результаты анализа тренда. Гендерное неравенство сохраняется на протяжении всего периода, при </w:t>
      </w:r>
      <w:r>
        <w:rPr>
          <w:rFonts w:ascii="Times New Roman" w:hAnsi="Times New Roman" w:cs="Times New Roman"/>
          <w:sz w:val="28"/>
          <w:szCs w:val="28"/>
        </w:rPr>
        <w:t>стабильно более высоких уровнях смертности среди мужчин.</w:t>
      </w:r>
    </w:p>
    <w:p w14:paraId="21AD3CE0" w14:textId="77777777" w:rsidR="00904709" w:rsidRPr="001F411F" w:rsidRDefault="00904709" w:rsidP="00C6385D">
      <w:pPr>
        <w:spacing w:after="0" w:line="240" w:lineRule="auto"/>
        <w:ind w:firstLine="567"/>
        <w:jc w:val="both"/>
        <w:rPr>
          <w:rFonts w:ascii="Times New Roman" w:hAnsi="Times New Roman" w:cs="Times New Roman"/>
          <w:sz w:val="28"/>
          <w:szCs w:val="28"/>
        </w:rPr>
      </w:pPr>
      <w:r w:rsidRPr="001F411F">
        <w:rPr>
          <w:rFonts w:ascii="Times New Roman" w:hAnsi="Times New Roman" w:cs="Times New Roman"/>
          <w:sz w:val="28"/>
          <w:szCs w:val="28"/>
        </w:rPr>
        <w:t>Анализ абсолютных изменений показал, что в целом по населению основной вклад в рост предотвра</w:t>
      </w:r>
      <w:r>
        <w:rPr>
          <w:rFonts w:ascii="Times New Roman" w:hAnsi="Times New Roman" w:cs="Times New Roman"/>
          <w:sz w:val="28"/>
          <w:szCs w:val="28"/>
        </w:rPr>
        <w:t xml:space="preserve">тимой </w:t>
      </w:r>
      <w:r w:rsidRPr="001F411F">
        <w:rPr>
          <w:rFonts w:ascii="Times New Roman" w:hAnsi="Times New Roman" w:cs="Times New Roman"/>
          <w:sz w:val="28"/>
          <w:szCs w:val="28"/>
        </w:rPr>
        <w:t xml:space="preserve">смертности от </w:t>
      </w:r>
      <w:r>
        <w:rPr>
          <w:rFonts w:ascii="Times New Roman" w:hAnsi="Times New Roman" w:cs="Times New Roman"/>
          <w:sz w:val="28"/>
          <w:szCs w:val="28"/>
        </w:rPr>
        <w:t>БСК внесла ИБС</w:t>
      </w:r>
      <w:r w:rsidRPr="001F411F">
        <w:rPr>
          <w:rFonts w:ascii="Times New Roman" w:hAnsi="Times New Roman" w:cs="Times New Roman"/>
          <w:sz w:val="28"/>
          <w:szCs w:val="28"/>
        </w:rPr>
        <w:t xml:space="preserve">. </w:t>
      </w:r>
      <w:r>
        <w:rPr>
          <w:rFonts w:ascii="Times New Roman" w:hAnsi="Times New Roman" w:cs="Times New Roman"/>
          <w:sz w:val="28"/>
          <w:szCs w:val="28"/>
        </w:rPr>
        <w:t>Абсолютное у</w:t>
      </w:r>
      <w:r w:rsidRPr="001F411F">
        <w:rPr>
          <w:rFonts w:ascii="Times New Roman" w:hAnsi="Times New Roman" w:cs="Times New Roman"/>
          <w:sz w:val="28"/>
          <w:szCs w:val="28"/>
        </w:rPr>
        <w:t>величение предотвра</w:t>
      </w:r>
      <w:r>
        <w:rPr>
          <w:rFonts w:ascii="Times New Roman" w:hAnsi="Times New Roman" w:cs="Times New Roman"/>
          <w:sz w:val="28"/>
          <w:szCs w:val="28"/>
        </w:rPr>
        <w:t xml:space="preserve">тимой </w:t>
      </w:r>
      <w:r w:rsidRPr="001F411F">
        <w:rPr>
          <w:rFonts w:ascii="Times New Roman" w:hAnsi="Times New Roman" w:cs="Times New Roman"/>
          <w:sz w:val="28"/>
          <w:szCs w:val="28"/>
        </w:rPr>
        <w:t>смертности от ИБС составило абсолютно 41,06 на 100000 населения, при значительно более выраженном росте среди мужчин (+70,64), чем среди женщин (+20,49).</w:t>
      </w:r>
      <w:r>
        <w:rPr>
          <w:rFonts w:ascii="Times New Roman" w:hAnsi="Times New Roman" w:cs="Times New Roman"/>
          <w:sz w:val="28"/>
          <w:szCs w:val="28"/>
        </w:rPr>
        <w:t xml:space="preserve"> </w:t>
      </w:r>
      <w:r w:rsidRPr="001F411F">
        <w:rPr>
          <w:rFonts w:ascii="Times New Roman" w:hAnsi="Times New Roman" w:cs="Times New Roman"/>
          <w:sz w:val="28"/>
          <w:szCs w:val="28"/>
        </w:rPr>
        <w:t xml:space="preserve">В то же время смертность от ЦВЗ демонстрировала </w:t>
      </w:r>
      <w:r>
        <w:rPr>
          <w:rFonts w:ascii="Times New Roman" w:hAnsi="Times New Roman" w:cs="Times New Roman"/>
          <w:sz w:val="28"/>
          <w:szCs w:val="28"/>
        </w:rPr>
        <w:t xml:space="preserve">устойчивое </w:t>
      </w:r>
      <w:r w:rsidRPr="001F411F">
        <w:rPr>
          <w:rFonts w:ascii="Times New Roman" w:hAnsi="Times New Roman" w:cs="Times New Roman"/>
          <w:sz w:val="28"/>
          <w:szCs w:val="28"/>
        </w:rPr>
        <w:t xml:space="preserve">абсолютное снижение во всех категориях. В целом по населению предотвратимая смертность от ЦВЗ снизилась на 30,24 на 100 000 населения; </w:t>
      </w:r>
      <w:r>
        <w:rPr>
          <w:rFonts w:ascii="Times New Roman" w:hAnsi="Times New Roman" w:cs="Times New Roman"/>
          <w:sz w:val="28"/>
          <w:szCs w:val="28"/>
        </w:rPr>
        <w:t xml:space="preserve">сопоставимое </w:t>
      </w:r>
      <w:r w:rsidRPr="001F411F">
        <w:rPr>
          <w:rFonts w:ascii="Times New Roman" w:hAnsi="Times New Roman" w:cs="Times New Roman"/>
          <w:sz w:val="28"/>
          <w:szCs w:val="28"/>
        </w:rPr>
        <w:t>снижение отмеч</w:t>
      </w:r>
      <w:r>
        <w:rPr>
          <w:rFonts w:ascii="Times New Roman" w:hAnsi="Times New Roman" w:cs="Times New Roman"/>
          <w:sz w:val="28"/>
          <w:szCs w:val="28"/>
        </w:rPr>
        <w:t xml:space="preserve">алось </w:t>
      </w:r>
      <w:r w:rsidRPr="001F411F">
        <w:rPr>
          <w:rFonts w:ascii="Times New Roman" w:hAnsi="Times New Roman" w:cs="Times New Roman"/>
          <w:sz w:val="28"/>
          <w:szCs w:val="28"/>
        </w:rPr>
        <w:t>у мужчин (–33,02) и женщин (–29,58).</w:t>
      </w:r>
      <w:r>
        <w:rPr>
          <w:rFonts w:ascii="Times New Roman" w:hAnsi="Times New Roman" w:cs="Times New Roman"/>
          <w:sz w:val="28"/>
          <w:szCs w:val="28"/>
        </w:rPr>
        <w:t xml:space="preserve"> </w:t>
      </w:r>
      <w:r w:rsidRPr="001F411F">
        <w:rPr>
          <w:rFonts w:ascii="Times New Roman" w:hAnsi="Times New Roman" w:cs="Times New Roman"/>
          <w:sz w:val="28"/>
          <w:szCs w:val="28"/>
        </w:rPr>
        <w:t>Изменения смертности от других причин БСК были менее выраженными и неоднородными. В целом по населению отмеч</w:t>
      </w:r>
      <w:r>
        <w:rPr>
          <w:rFonts w:ascii="Times New Roman" w:hAnsi="Times New Roman" w:cs="Times New Roman"/>
          <w:sz w:val="28"/>
          <w:szCs w:val="28"/>
        </w:rPr>
        <w:t>алось</w:t>
      </w:r>
      <w:r w:rsidRPr="001F411F">
        <w:rPr>
          <w:rFonts w:ascii="Times New Roman" w:hAnsi="Times New Roman" w:cs="Times New Roman"/>
          <w:sz w:val="28"/>
          <w:szCs w:val="28"/>
        </w:rPr>
        <w:t xml:space="preserve"> небольшое увеличение предотвра</w:t>
      </w:r>
      <w:r>
        <w:rPr>
          <w:rFonts w:ascii="Times New Roman" w:hAnsi="Times New Roman" w:cs="Times New Roman"/>
          <w:sz w:val="28"/>
          <w:szCs w:val="28"/>
        </w:rPr>
        <w:t xml:space="preserve">тимой </w:t>
      </w:r>
      <w:r w:rsidRPr="001F411F">
        <w:rPr>
          <w:rFonts w:ascii="Times New Roman" w:hAnsi="Times New Roman" w:cs="Times New Roman"/>
          <w:sz w:val="28"/>
          <w:szCs w:val="28"/>
        </w:rPr>
        <w:t xml:space="preserve">смертности (+3,45), </w:t>
      </w:r>
      <w:r>
        <w:rPr>
          <w:rFonts w:ascii="Times New Roman" w:hAnsi="Times New Roman" w:cs="Times New Roman"/>
          <w:sz w:val="28"/>
          <w:szCs w:val="28"/>
        </w:rPr>
        <w:t>преимущественно</w:t>
      </w:r>
      <w:r w:rsidRPr="001F411F">
        <w:rPr>
          <w:rFonts w:ascii="Times New Roman" w:hAnsi="Times New Roman" w:cs="Times New Roman"/>
          <w:sz w:val="28"/>
          <w:szCs w:val="28"/>
        </w:rPr>
        <w:t xml:space="preserve"> за счет мужского населения (+5,47), тогда как у женщин изменения были </w:t>
      </w:r>
      <w:r>
        <w:rPr>
          <w:rFonts w:ascii="Times New Roman" w:hAnsi="Times New Roman" w:cs="Times New Roman"/>
          <w:sz w:val="28"/>
          <w:szCs w:val="28"/>
        </w:rPr>
        <w:t>минималь</w:t>
      </w:r>
      <w:r w:rsidRPr="001F411F">
        <w:rPr>
          <w:rFonts w:ascii="Times New Roman" w:hAnsi="Times New Roman" w:cs="Times New Roman"/>
          <w:sz w:val="28"/>
          <w:szCs w:val="28"/>
        </w:rPr>
        <w:t>ными.</w:t>
      </w:r>
    </w:p>
    <w:p w14:paraId="0E0531F9" w14:textId="77777777" w:rsidR="00904709" w:rsidRDefault="00904709" w:rsidP="00C6385D">
      <w:pPr>
        <w:spacing w:after="0" w:line="240" w:lineRule="auto"/>
        <w:ind w:firstLine="567"/>
        <w:jc w:val="both"/>
        <w:rPr>
          <w:rFonts w:ascii="Times New Roman" w:hAnsi="Times New Roman" w:cs="Times New Roman"/>
          <w:sz w:val="28"/>
          <w:szCs w:val="28"/>
        </w:rPr>
      </w:pPr>
      <w:r w:rsidRPr="001F411F">
        <w:rPr>
          <w:rFonts w:ascii="Times New Roman" w:hAnsi="Times New Roman" w:cs="Times New Roman"/>
          <w:sz w:val="28"/>
          <w:szCs w:val="28"/>
        </w:rPr>
        <w:t>В сумме предотвратимая смертность от БСК увеличилась на 10,17 на 100000 населения, при этом рост был обусловлен исключительно мужчинами (+39,00), тогда как среди женщин наблюдалось снижение (–9,95).</w:t>
      </w:r>
    </w:p>
    <w:p w14:paraId="785AD3B4" w14:textId="1DE0CBF2" w:rsidR="00904709" w:rsidRPr="001C71D7" w:rsidRDefault="00904709" w:rsidP="00C638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Относительные изменения смертности: </w:t>
      </w:r>
      <w:r w:rsidRPr="001F411F">
        <w:rPr>
          <w:rFonts w:ascii="Times New Roman" w:hAnsi="Times New Roman" w:cs="Times New Roman"/>
          <w:sz w:val="28"/>
          <w:szCs w:val="28"/>
        </w:rPr>
        <w:t xml:space="preserve">анализ подтвердил роль </w:t>
      </w:r>
      <w:r>
        <w:rPr>
          <w:rFonts w:ascii="Times New Roman" w:hAnsi="Times New Roman" w:cs="Times New Roman"/>
          <w:sz w:val="28"/>
          <w:szCs w:val="28"/>
        </w:rPr>
        <w:t xml:space="preserve">ИБС </w:t>
      </w:r>
      <w:r w:rsidRPr="001F411F">
        <w:rPr>
          <w:rFonts w:ascii="Times New Roman" w:hAnsi="Times New Roman" w:cs="Times New Roman"/>
          <w:sz w:val="28"/>
          <w:szCs w:val="28"/>
        </w:rPr>
        <w:t xml:space="preserve">в </w:t>
      </w:r>
      <w:r>
        <w:rPr>
          <w:rFonts w:ascii="Times New Roman" w:hAnsi="Times New Roman" w:cs="Times New Roman"/>
          <w:sz w:val="28"/>
          <w:szCs w:val="28"/>
        </w:rPr>
        <w:t xml:space="preserve">неблагоприятной </w:t>
      </w:r>
      <w:r w:rsidRPr="001F411F">
        <w:rPr>
          <w:rFonts w:ascii="Times New Roman" w:hAnsi="Times New Roman" w:cs="Times New Roman"/>
          <w:sz w:val="28"/>
          <w:szCs w:val="28"/>
        </w:rPr>
        <w:t xml:space="preserve">динамике смертности. В целом по населению относительный рост смертности от ИБС составил 115%, при более выраженном увеличении </w:t>
      </w:r>
      <w:r w:rsidRPr="001F411F">
        <w:rPr>
          <w:rFonts w:ascii="Times New Roman" w:hAnsi="Times New Roman" w:cs="Times New Roman"/>
          <w:sz w:val="28"/>
          <w:szCs w:val="28"/>
        </w:rPr>
        <w:lastRenderedPageBreak/>
        <w:t>среди мужчин (121%) по сравнению с женщинами (95%).</w:t>
      </w:r>
      <w:r>
        <w:rPr>
          <w:rFonts w:ascii="Times New Roman" w:hAnsi="Times New Roman" w:cs="Times New Roman"/>
          <w:sz w:val="28"/>
          <w:szCs w:val="28"/>
        </w:rPr>
        <w:t xml:space="preserve"> </w:t>
      </w:r>
      <w:r w:rsidRPr="001F411F">
        <w:rPr>
          <w:rFonts w:ascii="Times New Roman" w:hAnsi="Times New Roman" w:cs="Times New Roman"/>
          <w:sz w:val="28"/>
          <w:szCs w:val="28"/>
        </w:rPr>
        <w:t xml:space="preserve">Для </w:t>
      </w:r>
      <w:r>
        <w:rPr>
          <w:rFonts w:ascii="Times New Roman" w:hAnsi="Times New Roman" w:cs="Times New Roman"/>
          <w:sz w:val="28"/>
          <w:szCs w:val="28"/>
        </w:rPr>
        <w:t>ЦВЗ</w:t>
      </w:r>
      <w:r w:rsidRPr="001F411F">
        <w:rPr>
          <w:rFonts w:ascii="Times New Roman" w:hAnsi="Times New Roman" w:cs="Times New Roman"/>
          <w:sz w:val="28"/>
          <w:szCs w:val="28"/>
        </w:rPr>
        <w:t xml:space="preserve"> во всех группах зафиксировано снижение смертности. В целом по населению снижение составило 48%, при более выраженном </w:t>
      </w:r>
      <w:r>
        <w:rPr>
          <w:rFonts w:ascii="Times New Roman" w:hAnsi="Times New Roman" w:cs="Times New Roman"/>
          <w:sz w:val="28"/>
          <w:szCs w:val="28"/>
        </w:rPr>
        <w:t xml:space="preserve">сокращении среди </w:t>
      </w:r>
      <w:r w:rsidRPr="001F411F">
        <w:rPr>
          <w:rFonts w:ascii="Times New Roman" w:hAnsi="Times New Roman" w:cs="Times New Roman"/>
          <w:sz w:val="28"/>
          <w:szCs w:val="28"/>
        </w:rPr>
        <w:t>женщин (–60%), чем среди мужчин (–39%).</w:t>
      </w:r>
      <w:r>
        <w:rPr>
          <w:rFonts w:ascii="Times New Roman" w:hAnsi="Times New Roman" w:cs="Times New Roman"/>
          <w:sz w:val="28"/>
          <w:szCs w:val="28"/>
        </w:rPr>
        <w:t xml:space="preserve"> </w:t>
      </w:r>
      <w:r w:rsidRPr="001F411F">
        <w:rPr>
          <w:rFonts w:ascii="Times New Roman" w:hAnsi="Times New Roman" w:cs="Times New Roman"/>
          <w:sz w:val="28"/>
          <w:szCs w:val="28"/>
        </w:rPr>
        <w:t>Относительные изменения смертности от других причин БСК</w:t>
      </w:r>
      <w:r>
        <w:rPr>
          <w:rFonts w:ascii="Times New Roman" w:hAnsi="Times New Roman" w:cs="Times New Roman"/>
          <w:sz w:val="28"/>
          <w:szCs w:val="28"/>
        </w:rPr>
        <w:t xml:space="preserve"> характеризовались высокой вариабельностью</w:t>
      </w:r>
      <w:r w:rsidRPr="001F411F">
        <w:rPr>
          <w:rFonts w:ascii="Times New Roman" w:hAnsi="Times New Roman" w:cs="Times New Roman"/>
          <w:sz w:val="28"/>
          <w:szCs w:val="28"/>
        </w:rPr>
        <w:t xml:space="preserve">, с выраженным ростом </w:t>
      </w:r>
      <w:r>
        <w:rPr>
          <w:rFonts w:ascii="Times New Roman" w:hAnsi="Times New Roman" w:cs="Times New Roman"/>
          <w:sz w:val="28"/>
          <w:szCs w:val="28"/>
        </w:rPr>
        <w:t>в превентивной категорий</w:t>
      </w:r>
      <w:r w:rsidRPr="001F411F">
        <w:rPr>
          <w:rFonts w:ascii="Times New Roman" w:hAnsi="Times New Roman" w:cs="Times New Roman"/>
          <w:sz w:val="28"/>
          <w:szCs w:val="28"/>
        </w:rPr>
        <w:t>, что, вероятно, связано с низкими исходными уровнями показателей.</w:t>
      </w:r>
      <w:r>
        <w:rPr>
          <w:rFonts w:ascii="Times New Roman" w:hAnsi="Times New Roman" w:cs="Times New Roman"/>
          <w:sz w:val="28"/>
          <w:szCs w:val="28"/>
        </w:rPr>
        <w:t xml:space="preserve"> </w:t>
      </w:r>
      <w:r w:rsidRPr="001F411F">
        <w:rPr>
          <w:rFonts w:ascii="Times New Roman" w:hAnsi="Times New Roman" w:cs="Times New Roman"/>
          <w:sz w:val="28"/>
          <w:szCs w:val="28"/>
        </w:rPr>
        <w:t>В целом</w:t>
      </w:r>
      <w:r>
        <w:rPr>
          <w:rFonts w:ascii="Times New Roman" w:hAnsi="Times New Roman" w:cs="Times New Roman"/>
          <w:sz w:val="28"/>
          <w:szCs w:val="28"/>
        </w:rPr>
        <w:t xml:space="preserve"> относительная</w:t>
      </w:r>
      <w:r w:rsidRPr="001F411F">
        <w:rPr>
          <w:rFonts w:ascii="Times New Roman" w:hAnsi="Times New Roman" w:cs="Times New Roman"/>
          <w:sz w:val="28"/>
          <w:szCs w:val="28"/>
        </w:rPr>
        <w:t xml:space="preserve"> предотвра</w:t>
      </w:r>
      <w:r>
        <w:rPr>
          <w:rFonts w:ascii="Times New Roman" w:hAnsi="Times New Roman" w:cs="Times New Roman"/>
          <w:sz w:val="28"/>
          <w:szCs w:val="28"/>
        </w:rPr>
        <w:t>тимая</w:t>
      </w:r>
      <w:r w:rsidRPr="001F411F">
        <w:rPr>
          <w:rFonts w:ascii="Times New Roman" w:hAnsi="Times New Roman" w:cs="Times New Roman"/>
          <w:sz w:val="28"/>
          <w:szCs w:val="28"/>
        </w:rPr>
        <w:t xml:space="preserve"> смертность от БСК увеличилась на 8% в общей популяции и на 22% среди мужчин, тогда как у женщин отмечалось снижение на 12%, что подчёркивает сохран</w:t>
      </w:r>
      <w:r>
        <w:rPr>
          <w:rFonts w:ascii="Times New Roman" w:hAnsi="Times New Roman" w:cs="Times New Roman"/>
          <w:sz w:val="28"/>
          <w:szCs w:val="28"/>
        </w:rPr>
        <w:t xml:space="preserve">яющее гендерное </w:t>
      </w:r>
      <w:r w:rsidRPr="001C71D7">
        <w:rPr>
          <w:rFonts w:ascii="Times New Roman" w:hAnsi="Times New Roman" w:cs="Times New Roman"/>
          <w:sz w:val="28"/>
          <w:szCs w:val="28"/>
        </w:rPr>
        <w:t xml:space="preserve">неравенство в динамике смертности, таблица </w:t>
      </w:r>
      <w:r w:rsidR="006D6E83">
        <w:rPr>
          <w:rFonts w:ascii="Times New Roman" w:hAnsi="Times New Roman" w:cs="Times New Roman"/>
          <w:sz w:val="28"/>
          <w:szCs w:val="28"/>
        </w:rPr>
        <w:t>10</w:t>
      </w:r>
      <w:r w:rsidRPr="001C71D7">
        <w:rPr>
          <w:rFonts w:ascii="Times New Roman" w:hAnsi="Times New Roman" w:cs="Times New Roman"/>
          <w:sz w:val="28"/>
          <w:szCs w:val="28"/>
        </w:rPr>
        <w:t>.</w:t>
      </w:r>
    </w:p>
    <w:p w14:paraId="45065294" w14:textId="77777777" w:rsidR="00C6385D" w:rsidRDefault="00C6385D" w:rsidP="00C6385D">
      <w:pPr>
        <w:spacing w:after="0" w:line="240" w:lineRule="auto"/>
        <w:ind w:firstLine="567"/>
        <w:jc w:val="both"/>
        <w:rPr>
          <w:rFonts w:ascii="Times New Roman" w:hAnsi="Times New Roman" w:cs="Times New Roman"/>
          <w:sz w:val="28"/>
          <w:szCs w:val="28"/>
        </w:rPr>
      </w:pPr>
    </w:p>
    <w:p w14:paraId="4F788DB6" w14:textId="6B6AFACD" w:rsidR="00904709" w:rsidRDefault="00904709" w:rsidP="00C6385D">
      <w:pPr>
        <w:spacing w:after="0" w:line="240" w:lineRule="auto"/>
        <w:jc w:val="both"/>
        <w:rPr>
          <w:rFonts w:ascii="Times New Roman" w:hAnsi="Times New Roman" w:cs="Times New Roman"/>
          <w:sz w:val="28"/>
          <w:szCs w:val="28"/>
        </w:rPr>
      </w:pPr>
      <w:r w:rsidRPr="001C71D7">
        <w:rPr>
          <w:rFonts w:ascii="Times New Roman" w:hAnsi="Times New Roman" w:cs="Times New Roman"/>
          <w:sz w:val="28"/>
          <w:szCs w:val="28"/>
        </w:rPr>
        <w:t xml:space="preserve">Таблица </w:t>
      </w:r>
      <w:r w:rsidR="006D6E83">
        <w:rPr>
          <w:rFonts w:ascii="Times New Roman" w:hAnsi="Times New Roman" w:cs="Times New Roman"/>
          <w:sz w:val="28"/>
          <w:szCs w:val="28"/>
        </w:rPr>
        <w:t>10</w:t>
      </w:r>
      <w:r w:rsidR="00C6385D">
        <w:rPr>
          <w:rFonts w:ascii="Times New Roman" w:hAnsi="Times New Roman" w:cs="Times New Roman"/>
          <w:sz w:val="28"/>
          <w:szCs w:val="28"/>
        </w:rPr>
        <w:t xml:space="preserve"> -</w:t>
      </w:r>
      <w:r w:rsidRPr="001C71D7">
        <w:rPr>
          <w:rFonts w:ascii="Times New Roman" w:hAnsi="Times New Roman" w:cs="Times New Roman"/>
          <w:sz w:val="28"/>
          <w:szCs w:val="28"/>
        </w:rPr>
        <w:t xml:space="preserve"> Абсолютные</w:t>
      </w:r>
      <w:r w:rsidRPr="000B2A05">
        <w:rPr>
          <w:rFonts w:ascii="Times New Roman" w:hAnsi="Times New Roman" w:cs="Times New Roman"/>
          <w:sz w:val="28"/>
          <w:szCs w:val="28"/>
        </w:rPr>
        <w:t xml:space="preserve"> и относительные изменения показателя предотвратимой смертности </w:t>
      </w:r>
      <w:r w:rsidRPr="000B2A05">
        <w:rPr>
          <w:rFonts w:ascii="Times New Roman" w:eastAsia="Times New Roman" w:hAnsi="Times New Roman" w:cs="Times New Roman"/>
          <w:sz w:val="28"/>
          <w:szCs w:val="28"/>
          <w:lang w:eastAsia="ru-RU"/>
        </w:rPr>
        <w:t xml:space="preserve">от </w:t>
      </w:r>
      <w:r w:rsidRPr="000B2A05">
        <w:rPr>
          <w:rFonts w:ascii="Times New Roman" w:hAnsi="Times New Roman" w:cs="Times New Roman"/>
          <w:sz w:val="28"/>
          <w:szCs w:val="28"/>
        </w:rPr>
        <w:t>болезней системы кровообращения</w:t>
      </w:r>
      <w:r w:rsidRPr="000B2A05">
        <w:rPr>
          <w:rFonts w:ascii="Times New Roman" w:eastAsia="Times New Roman" w:hAnsi="Times New Roman" w:cs="Times New Roman"/>
          <w:sz w:val="28"/>
          <w:szCs w:val="28"/>
          <w:lang w:eastAsia="ru-RU"/>
        </w:rPr>
        <w:t xml:space="preserve"> </w:t>
      </w:r>
      <w:r w:rsidRPr="000B2A05">
        <w:rPr>
          <w:rFonts w:ascii="Times New Roman" w:hAnsi="Times New Roman" w:cs="Times New Roman"/>
          <w:sz w:val="28"/>
          <w:szCs w:val="28"/>
        </w:rPr>
        <w:t>с 2014 по 202</w:t>
      </w:r>
      <w:r>
        <w:rPr>
          <w:rFonts w:ascii="Times New Roman" w:hAnsi="Times New Roman" w:cs="Times New Roman"/>
          <w:sz w:val="28"/>
          <w:szCs w:val="28"/>
        </w:rPr>
        <w:t>4</w:t>
      </w:r>
      <w:r w:rsidRPr="000B2A05">
        <w:rPr>
          <w:rFonts w:ascii="Times New Roman" w:hAnsi="Times New Roman" w:cs="Times New Roman"/>
          <w:sz w:val="28"/>
          <w:szCs w:val="28"/>
        </w:rPr>
        <w:t xml:space="preserve"> год</w:t>
      </w:r>
    </w:p>
    <w:p w14:paraId="5EE1598E" w14:textId="77777777" w:rsidR="00904709" w:rsidRDefault="00904709" w:rsidP="00C6385D">
      <w:pPr>
        <w:spacing w:after="0" w:line="240" w:lineRule="auto"/>
        <w:ind w:firstLine="567"/>
        <w:jc w:val="both"/>
        <w:rPr>
          <w:rFonts w:ascii="Times New Roman" w:eastAsia="Times New Roman" w:hAnsi="Times New Roman" w:cs="Times New Roman"/>
          <w:sz w:val="24"/>
          <w:szCs w:val="24"/>
          <w:lang w:eastAsia="ru-RU"/>
        </w:rPr>
      </w:pPr>
    </w:p>
    <w:tbl>
      <w:tblPr>
        <w:tblStyle w:val="ae"/>
        <w:tblW w:w="9356" w:type="dxa"/>
        <w:tblInd w:w="137" w:type="dxa"/>
        <w:tblLook w:val="04A0" w:firstRow="1" w:lastRow="0" w:firstColumn="1" w:lastColumn="0" w:noHBand="0" w:noVBand="1"/>
      </w:tblPr>
      <w:tblGrid>
        <w:gridCol w:w="1602"/>
        <w:gridCol w:w="803"/>
        <w:gridCol w:w="850"/>
        <w:gridCol w:w="851"/>
        <w:gridCol w:w="814"/>
        <w:gridCol w:w="887"/>
        <w:gridCol w:w="850"/>
        <w:gridCol w:w="818"/>
        <w:gridCol w:w="883"/>
        <w:gridCol w:w="998"/>
      </w:tblGrid>
      <w:tr w:rsidR="00904709" w:rsidRPr="00B52651" w14:paraId="20075313" w14:textId="77777777" w:rsidTr="00C6385D">
        <w:trPr>
          <w:trHeight w:val="612"/>
        </w:trPr>
        <w:tc>
          <w:tcPr>
            <w:tcW w:w="1602" w:type="dxa"/>
            <w:vMerge w:val="restart"/>
            <w:hideMark/>
          </w:tcPr>
          <w:p w14:paraId="06357FA5"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Причины смерти</w:t>
            </w:r>
          </w:p>
        </w:tc>
        <w:tc>
          <w:tcPr>
            <w:tcW w:w="2504" w:type="dxa"/>
            <w:gridSpan w:val="3"/>
            <w:hideMark/>
          </w:tcPr>
          <w:p w14:paraId="4D6E955D"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Всего</w:t>
            </w:r>
          </w:p>
        </w:tc>
        <w:tc>
          <w:tcPr>
            <w:tcW w:w="2551" w:type="dxa"/>
            <w:gridSpan w:val="3"/>
            <w:hideMark/>
          </w:tcPr>
          <w:p w14:paraId="2664E202"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Мужчины</w:t>
            </w:r>
          </w:p>
        </w:tc>
        <w:tc>
          <w:tcPr>
            <w:tcW w:w="2699" w:type="dxa"/>
            <w:gridSpan w:val="3"/>
            <w:hideMark/>
          </w:tcPr>
          <w:p w14:paraId="073F3CAC"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Женщины</w:t>
            </w:r>
          </w:p>
        </w:tc>
      </w:tr>
      <w:tr w:rsidR="00904709" w:rsidRPr="00B52651" w14:paraId="5ADF084C" w14:textId="77777777" w:rsidTr="00C6385D">
        <w:trPr>
          <w:trHeight w:val="324"/>
        </w:trPr>
        <w:tc>
          <w:tcPr>
            <w:tcW w:w="1602" w:type="dxa"/>
            <w:vMerge/>
            <w:hideMark/>
          </w:tcPr>
          <w:p w14:paraId="540AC968" w14:textId="77777777" w:rsidR="00904709" w:rsidRPr="003C6BE8" w:rsidRDefault="00904709" w:rsidP="000F4E51">
            <w:pPr>
              <w:rPr>
                <w:rFonts w:ascii="Times New Roman" w:eastAsia="Times New Roman" w:hAnsi="Times New Roman" w:cs="Times New Roman"/>
                <w:color w:val="000000"/>
                <w:sz w:val="20"/>
                <w:szCs w:val="20"/>
                <w:lang w:eastAsia="ru-RU"/>
              </w:rPr>
            </w:pPr>
          </w:p>
        </w:tc>
        <w:tc>
          <w:tcPr>
            <w:tcW w:w="803" w:type="dxa"/>
            <w:hideMark/>
          </w:tcPr>
          <w:p w14:paraId="3CDD7BE4"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w:t>
            </w:r>
          </w:p>
        </w:tc>
        <w:tc>
          <w:tcPr>
            <w:tcW w:w="850" w:type="dxa"/>
            <w:hideMark/>
          </w:tcPr>
          <w:p w14:paraId="17E69CE4"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2</w:t>
            </w:r>
          </w:p>
        </w:tc>
        <w:tc>
          <w:tcPr>
            <w:tcW w:w="851" w:type="dxa"/>
            <w:hideMark/>
          </w:tcPr>
          <w:p w14:paraId="051DA01D"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3</w:t>
            </w:r>
          </w:p>
        </w:tc>
        <w:tc>
          <w:tcPr>
            <w:tcW w:w="814" w:type="dxa"/>
            <w:hideMark/>
          </w:tcPr>
          <w:p w14:paraId="5C941E5F"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w:t>
            </w:r>
          </w:p>
        </w:tc>
        <w:tc>
          <w:tcPr>
            <w:tcW w:w="887" w:type="dxa"/>
            <w:hideMark/>
          </w:tcPr>
          <w:p w14:paraId="395E184D"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2</w:t>
            </w:r>
          </w:p>
        </w:tc>
        <w:tc>
          <w:tcPr>
            <w:tcW w:w="850" w:type="dxa"/>
            <w:hideMark/>
          </w:tcPr>
          <w:p w14:paraId="69D70A20"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3</w:t>
            </w:r>
          </w:p>
        </w:tc>
        <w:tc>
          <w:tcPr>
            <w:tcW w:w="818" w:type="dxa"/>
            <w:hideMark/>
          </w:tcPr>
          <w:p w14:paraId="79AC6AC1"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w:t>
            </w:r>
          </w:p>
        </w:tc>
        <w:tc>
          <w:tcPr>
            <w:tcW w:w="883" w:type="dxa"/>
            <w:hideMark/>
          </w:tcPr>
          <w:p w14:paraId="668854FD"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2</w:t>
            </w:r>
          </w:p>
        </w:tc>
        <w:tc>
          <w:tcPr>
            <w:tcW w:w="998" w:type="dxa"/>
            <w:hideMark/>
          </w:tcPr>
          <w:p w14:paraId="173156E3"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3</w:t>
            </w:r>
          </w:p>
        </w:tc>
      </w:tr>
      <w:tr w:rsidR="00904709" w:rsidRPr="00B52651" w14:paraId="765812FB" w14:textId="77777777" w:rsidTr="00C6385D">
        <w:trPr>
          <w:trHeight w:val="456"/>
        </w:trPr>
        <w:tc>
          <w:tcPr>
            <w:tcW w:w="1602" w:type="dxa"/>
            <w:hideMark/>
          </w:tcPr>
          <w:p w14:paraId="394E308A" w14:textId="77777777" w:rsidR="00904709" w:rsidRPr="003C6BE8" w:rsidRDefault="00904709" w:rsidP="000F4E51">
            <w:pP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 </w:t>
            </w:r>
          </w:p>
        </w:tc>
        <w:tc>
          <w:tcPr>
            <w:tcW w:w="7754" w:type="dxa"/>
            <w:gridSpan w:val="9"/>
            <w:hideMark/>
          </w:tcPr>
          <w:p w14:paraId="07A8EB50"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Абсолютные изменения (на 100 000 популяций)</w:t>
            </w:r>
          </w:p>
        </w:tc>
      </w:tr>
      <w:tr w:rsidR="00904709" w:rsidRPr="00B52651" w14:paraId="22C06D4C" w14:textId="77777777" w:rsidTr="00C6385D">
        <w:trPr>
          <w:trHeight w:val="324"/>
        </w:trPr>
        <w:tc>
          <w:tcPr>
            <w:tcW w:w="1602" w:type="dxa"/>
            <w:hideMark/>
          </w:tcPr>
          <w:p w14:paraId="2BDD2CDB" w14:textId="77777777" w:rsidR="00904709" w:rsidRPr="003C6BE8" w:rsidRDefault="00904709" w:rsidP="000F4E51">
            <w:pP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sz w:val="20"/>
                <w:szCs w:val="20"/>
                <w:lang w:eastAsia="ru-RU"/>
              </w:rPr>
              <w:t>ИБС</w:t>
            </w:r>
          </w:p>
        </w:tc>
        <w:tc>
          <w:tcPr>
            <w:tcW w:w="803" w:type="dxa"/>
            <w:noWrap/>
            <w:hideMark/>
          </w:tcPr>
          <w:p w14:paraId="5F0EA932"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20,53</w:t>
            </w:r>
          </w:p>
        </w:tc>
        <w:tc>
          <w:tcPr>
            <w:tcW w:w="850" w:type="dxa"/>
            <w:noWrap/>
            <w:hideMark/>
          </w:tcPr>
          <w:p w14:paraId="507DC29F"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20,53</w:t>
            </w:r>
          </w:p>
        </w:tc>
        <w:tc>
          <w:tcPr>
            <w:tcW w:w="851" w:type="dxa"/>
            <w:noWrap/>
            <w:hideMark/>
          </w:tcPr>
          <w:p w14:paraId="03A03757"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41,06</w:t>
            </w:r>
          </w:p>
        </w:tc>
        <w:tc>
          <w:tcPr>
            <w:tcW w:w="814" w:type="dxa"/>
            <w:noWrap/>
            <w:hideMark/>
          </w:tcPr>
          <w:p w14:paraId="3477B576"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35,32</w:t>
            </w:r>
          </w:p>
        </w:tc>
        <w:tc>
          <w:tcPr>
            <w:tcW w:w="887" w:type="dxa"/>
            <w:noWrap/>
            <w:hideMark/>
          </w:tcPr>
          <w:p w14:paraId="6F7933D3"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35,32</w:t>
            </w:r>
          </w:p>
        </w:tc>
        <w:tc>
          <w:tcPr>
            <w:tcW w:w="850" w:type="dxa"/>
            <w:noWrap/>
            <w:hideMark/>
          </w:tcPr>
          <w:p w14:paraId="17C61C31"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70,64</w:t>
            </w:r>
          </w:p>
        </w:tc>
        <w:tc>
          <w:tcPr>
            <w:tcW w:w="818" w:type="dxa"/>
            <w:noWrap/>
            <w:hideMark/>
          </w:tcPr>
          <w:p w14:paraId="26344511"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10,25</w:t>
            </w:r>
          </w:p>
        </w:tc>
        <w:tc>
          <w:tcPr>
            <w:tcW w:w="883" w:type="dxa"/>
            <w:noWrap/>
            <w:hideMark/>
          </w:tcPr>
          <w:p w14:paraId="3E4A58AB"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10,25</w:t>
            </w:r>
          </w:p>
        </w:tc>
        <w:tc>
          <w:tcPr>
            <w:tcW w:w="998" w:type="dxa"/>
            <w:noWrap/>
            <w:hideMark/>
          </w:tcPr>
          <w:p w14:paraId="45387A80"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20,49</w:t>
            </w:r>
          </w:p>
        </w:tc>
      </w:tr>
      <w:tr w:rsidR="00904709" w:rsidRPr="00B52651" w14:paraId="07CD8433" w14:textId="77777777" w:rsidTr="00C6385D">
        <w:trPr>
          <w:trHeight w:val="324"/>
        </w:trPr>
        <w:tc>
          <w:tcPr>
            <w:tcW w:w="1602" w:type="dxa"/>
            <w:hideMark/>
          </w:tcPr>
          <w:p w14:paraId="4B2DCC8F" w14:textId="77777777" w:rsidR="00904709" w:rsidRPr="003C6BE8" w:rsidRDefault="00904709" w:rsidP="000F4E51">
            <w:pP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sz w:val="20"/>
                <w:szCs w:val="20"/>
                <w:lang w:eastAsia="ru-RU"/>
              </w:rPr>
              <w:t>ЦВЗ</w:t>
            </w:r>
          </w:p>
        </w:tc>
        <w:tc>
          <w:tcPr>
            <w:tcW w:w="803" w:type="dxa"/>
            <w:noWrap/>
            <w:hideMark/>
          </w:tcPr>
          <w:p w14:paraId="370D5C85"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-15,12</w:t>
            </w:r>
          </w:p>
        </w:tc>
        <w:tc>
          <w:tcPr>
            <w:tcW w:w="850" w:type="dxa"/>
            <w:noWrap/>
            <w:hideMark/>
          </w:tcPr>
          <w:p w14:paraId="16A33A9A"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-15,12</w:t>
            </w:r>
          </w:p>
        </w:tc>
        <w:tc>
          <w:tcPr>
            <w:tcW w:w="851" w:type="dxa"/>
            <w:noWrap/>
            <w:hideMark/>
          </w:tcPr>
          <w:p w14:paraId="0F0BE916"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-30,24</w:t>
            </w:r>
          </w:p>
        </w:tc>
        <w:tc>
          <w:tcPr>
            <w:tcW w:w="814" w:type="dxa"/>
            <w:noWrap/>
            <w:hideMark/>
          </w:tcPr>
          <w:p w14:paraId="56F99AE0"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-16,51</w:t>
            </w:r>
          </w:p>
        </w:tc>
        <w:tc>
          <w:tcPr>
            <w:tcW w:w="887" w:type="dxa"/>
            <w:noWrap/>
            <w:hideMark/>
          </w:tcPr>
          <w:p w14:paraId="40B771D2"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-16,51</w:t>
            </w:r>
          </w:p>
        </w:tc>
        <w:tc>
          <w:tcPr>
            <w:tcW w:w="850" w:type="dxa"/>
            <w:noWrap/>
            <w:hideMark/>
          </w:tcPr>
          <w:p w14:paraId="58965516"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-33,02</w:t>
            </w:r>
          </w:p>
        </w:tc>
        <w:tc>
          <w:tcPr>
            <w:tcW w:w="818" w:type="dxa"/>
            <w:noWrap/>
            <w:hideMark/>
          </w:tcPr>
          <w:p w14:paraId="1A4B17FE"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-14,79</w:t>
            </w:r>
          </w:p>
        </w:tc>
        <w:tc>
          <w:tcPr>
            <w:tcW w:w="883" w:type="dxa"/>
            <w:noWrap/>
            <w:hideMark/>
          </w:tcPr>
          <w:p w14:paraId="4DE42D6F"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-14,79</w:t>
            </w:r>
          </w:p>
        </w:tc>
        <w:tc>
          <w:tcPr>
            <w:tcW w:w="998" w:type="dxa"/>
            <w:noWrap/>
            <w:hideMark/>
          </w:tcPr>
          <w:p w14:paraId="45AFE413"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-29,58</w:t>
            </w:r>
          </w:p>
        </w:tc>
      </w:tr>
      <w:tr w:rsidR="00904709" w:rsidRPr="00B52651" w14:paraId="331B7007" w14:textId="77777777" w:rsidTr="00C6385D">
        <w:trPr>
          <w:trHeight w:val="324"/>
        </w:trPr>
        <w:tc>
          <w:tcPr>
            <w:tcW w:w="1602" w:type="dxa"/>
            <w:hideMark/>
          </w:tcPr>
          <w:p w14:paraId="72553D17" w14:textId="77777777" w:rsidR="00904709" w:rsidRPr="003C6BE8" w:rsidRDefault="00904709" w:rsidP="000F4E51">
            <w:pP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sz w:val="20"/>
                <w:szCs w:val="20"/>
                <w:lang w:eastAsia="ru-RU"/>
              </w:rPr>
              <w:t>Другие</w:t>
            </w:r>
          </w:p>
        </w:tc>
        <w:tc>
          <w:tcPr>
            <w:tcW w:w="803" w:type="dxa"/>
            <w:noWrap/>
            <w:hideMark/>
          </w:tcPr>
          <w:p w14:paraId="4B158DC5"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3,45</w:t>
            </w:r>
          </w:p>
        </w:tc>
        <w:tc>
          <w:tcPr>
            <w:tcW w:w="850" w:type="dxa"/>
            <w:noWrap/>
            <w:hideMark/>
          </w:tcPr>
          <w:p w14:paraId="14ECA67F"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-4,10</w:t>
            </w:r>
          </w:p>
        </w:tc>
        <w:tc>
          <w:tcPr>
            <w:tcW w:w="851" w:type="dxa"/>
            <w:noWrap/>
            <w:hideMark/>
          </w:tcPr>
          <w:p w14:paraId="55BC0724"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-0,66</w:t>
            </w:r>
          </w:p>
        </w:tc>
        <w:tc>
          <w:tcPr>
            <w:tcW w:w="814" w:type="dxa"/>
            <w:noWrap/>
            <w:hideMark/>
          </w:tcPr>
          <w:p w14:paraId="296AC1FA"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5,47</w:t>
            </w:r>
          </w:p>
        </w:tc>
        <w:tc>
          <w:tcPr>
            <w:tcW w:w="887" w:type="dxa"/>
            <w:noWrap/>
            <w:hideMark/>
          </w:tcPr>
          <w:p w14:paraId="7FA05BBF"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-4,09</w:t>
            </w:r>
          </w:p>
        </w:tc>
        <w:tc>
          <w:tcPr>
            <w:tcW w:w="850" w:type="dxa"/>
            <w:noWrap/>
            <w:hideMark/>
          </w:tcPr>
          <w:p w14:paraId="45ECBCFA"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1,38</w:t>
            </w:r>
          </w:p>
        </w:tc>
        <w:tc>
          <w:tcPr>
            <w:tcW w:w="818" w:type="dxa"/>
            <w:noWrap/>
            <w:hideMark/>
          </w:tcPr>
          <w:p w14:paraId="261A8FC6"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2,00</w:t>
            </w:r>
          </w:p>
        </w:tc>
        <w:tc>
          <w:tcPr>
            <w:tcW w:w="883" w:type="dxa"/>
            <w:noWrap/>
            <w:hideMark/>
          </w:tcPr>
          <w:p w14:paraId="640A674F"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-2,86</w:t>
            </w:r>
          </w:p>
        </w:tc>
        <w:tc>
          <w:tcPr>
            <w:tcW w:w="998" w:type="dxa"/>
            <w:noWrap/>
            <w:hideMark/>
          </w:tcPr>
          <w:p w14:paraId="7E2A2D5E"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-0,86</w:t>
            </w:r>
          </w:p>
        </w:tc>
      </w:tr>
      <w:tr w:rsidR="00904709" w:rsidRPr="00B52651" w14:paraId="0C2DC224" w14:textId="77777777" w:rsidTr="00C6385D">
        <w:trPr>
          <w:trHeight w:val="324"/>
        </w:trPr>
        <w:tc>
          <w:tcPr>
            <w:tcW w:w="1602" w:type="dxa"/>
            <w:hideMark/>
          </w:tcPr>
          <w:p w14:paraId="3EA58034" w14:textId="77777777" w:rsidR="00904709" w:rsidRPr="003C6BE8" w:rsidRDefault="00904709" w:rsidP="000F4E51">
            <w:pP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sz w:val="20"/>
                <w:szCs w:val="20"/>
                <w:lang w:eastAsia="ru-RU"/>
              </w:rPr>
              <w:t>Всего</w:t>
            </w:r>
          </w:p>
        </w:tc>
        <w:tc>
          <w:tcPr>
            <w:tcW w:w="803" w:type="dxa"/>
            <w:noWrap/>
            <w:hideMark/>
          </w:tcPr>
          <w:p w14:paraId="6E34258D"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8,85</w:t>
            </w:r>
          </w:p>
        </w:tc>
        <w:tc>
          <w:tcPr>
            <w:tcW w:w="850" w:type="dxa"/>
            <w:noWrap/>
            <w:hideMark/>
          </w:tcPr>
          <w:p w14:paraId="61918A2E"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1,30</w:t>
            </w:r>
          </w:p>
        </w:tc>
        <w:tc>
          <w:tcPr>
            <w:tcW w:w="851" w:type="dxa"/>
            <w:noWrap/>
            <w:hideMark/>
          </w:tcPr>
          <w:p w14:paraId="276EFF92"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10,17</w:t>
            </w:r>
          </w:p>
        </w:tc>
        <w:tc>
          <w:tcPr>
            <w:tcW w:w="814" w:type="dxa"/>
            <w:noWrap/>
            <w:hideMark/>
          </w:tcPr>
          <w:p w14:paraId="684F5D5A"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24,28</w:t>
            </w:r>
          </w:p>
        </w:tc>
        <w:tc>
          <w:tcPr>
            <w:tcW w:w="887" w:type="dxa"/>
            <w:noWrap/>
            <w:hideMark/>
          </w:tcPr>
          <w:p w14:paraId="47BD3351"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14,72</w:t>
            </w:r>
          </w:p>
        </w:tc>
        <w:tc>
          <w:tcPr>
            <w:tcW w:w="850" w:type="dxa"/>
            <w:noWrap/>
            <w:hideMark/>
          </w:tcPr>
          <w:p w14:paraId="40667A4D"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39,00</w:t>
            </w:r>
          </w:p>
        </w:tc>
        <w:tc>
          <w:tcPr>
            <w:tcW w:w="818" w:type="dxa"/>
            <w:noWrap/>
            <w:hideMark/>
          </w:tcPr>
          <w:p w14:paraId="366EA794"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-2,55</w:t>
            </w:r>
          </w:p>
        </w:tc>
        <w:tc>
          <w:tcPr>
            <w:tcW w:w="883" w:type="dxa"/>
            <w:noWrap/>
            <w:hideMark/>
          </w:tcPr>
          <w:p w14:paraId="4E1F96CE"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-7,40</w:t>
            </w:r>
          </w:p>
        </w:tc>
        <w:tc>
          <w:tcPr>
            <w:tcW w:w="998" w:type="dxa"/>
            <w:noWrap/>
            <w:hideMark/>
          </w:tcPr>
          <w:p w14:paraId="2CE945F6"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-9,95</w:t>
            </w:r>
          </w:p>
        </w:tc>
      </w:tr>
      <w:tr w:rsidR="00904709" w:rsidRPr="00B52651" w14:paraId="4C052C36" w14:textId="77777777" w:rsidTr="00C6385D">
        <w:trPr>
          <w:trHeight w:val="324"/>
        </w:trPr>
        <w:tc>
          <w:tcPr>
            <w:tcW w:w="1602" w:type="dxa"/>
            <w:hideMark/>
          </w:tcPr>
          <w:p w14:paraId="527D9566" w14:textId="77777777" w:rsidR="00904709" w:rsidRPr="003C6BE8" w:rsidRDefault="00904709" w:rsidP="000F4E51">
            <w:pP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 </w:t>
            </w:r>
          </w:p>
        </w:tc>
        <w:tc>
          <w:tcPr>
            <w:tcW w:w="7754" w:type="dxa"/>
            <w:gridSpan w:val="9"/>
            <w:hideMark/>
          </w:tcPr>
          <w:p w14:paraId="36D95E58"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Относительные изменения (%)</w:t>
            </w:r>
          </w:p>
        </w:tc>
      </w:tr>
      <w:tr w:rsidR="00904709" w:rsidRPr="00B52651" w14:paraId="7FCB7E92" w14:textId="77777777" w:rsidTr="00C6385D">
        <w:trPr>
          <w:trHeight w:val="324"/>
        </w:trPr>
        <w:tc>
          <w:tcPr>
            <w:tcW w:w="1602" w:type="dxa"/>
            <w:hideMark/>
          </w:tcPr>
          <w:p w14:paraId="7D7DF013" w14:textId="77777777" w:rsidR="00904709" w:rsidRPr="003C6BE8" w:rsidRDefault="00904709" w:rsidP="000F4E51">
            <w:pP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sz w:val="20"/>
                <w:szCs w:val="20"/>
                <w:lang w:eastAsia="ru-RU"/>
              </w:rPr>
              <w:t>ИБС</w:t>
            </w:r>
          </w:p>
        </w:tc>
        <w:tc>
          <w:tcPr>
            <w:tcW w:w="803" w:type="dxa"/>
            <w:noWrap/>
            <w:hideMark/>
          </w:tcPr>
          <w:p w14:paraId="63700EA6"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115%</w:t>
            </w:r>
          </w:p>
        </w:tc>
        <w:tc>
          <w:tcPr>
            <w:tcW w:w="850" w:type="dxa"/>
            <w:noWrap/>
            <w:hideMark/>
          </w:tcPr>
          <w:p w14:paraId="5CEED8FC"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115%</w:t>
            </w:r>
          </w:p>
        </w:tc>
        <w:tc>
          <w:tcPr>
            <w:tcW w:w="851" w:type="dxa"/>
            <w:noWrap/>
            <w:hideMark/>
          </w:tcPr>
          <w:p w14:paraId="52071DDA"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115%</w:t>
            </w:r>
          </w:p>
        </w:tc>
        <w:tc>
          <w:tcPr>
            <w:tcW w:w="814" w:type="dxa"/>
            <w:noWrap/>
            <w:hideMark/>
          </w:tcPr>
          <w:p w14:paraId="76111A05"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121%</w:t>
            </w:r>
          </w:p>
        </w:tc>
        <w:tc>
          <w:tcPr>
            <w:tcW w:w="887" w:type="dxa"/>
            <w:noWrap/>
            <w:hideMark/>
          </w:tcPr>
          <w:p w14:paraId="09202C41"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121%</w:t>
            </w:r>
          </w:p>
        </w:tc>
        <w:tc>
          <w:tcPr>
            <w:tcW w:w="850" w:type="dxa"/>
            <w:noWrap/>
            <w:hideMark/>
          </w:tcPr>
          <w:p w14:paraId="324E6599"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121%</w:t>
            </w:r>
          </w:p>
        </w:tc>
        <w:tc>
          <w:tcPr>
            <w:tcW w:w="818" w:type="dxa"/>
            <w:noWrap/>
            <w:hideMark/>
          </w:tcPr>
          <w:p w14:paraId="049C69F7"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95%</w:t>
            </w:r>
          </w:p>
        </w:tc>
        <w:tc>
          <w:tcPr>
            <w:tcW w:w="883" w:type="dxa"/>
            <w:noWrap/>
            <w:hideMark/>
          </w:tcPr>
          <w:p w14:paraId="7F99D1DD"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95%</w:t>
            </w:r>
          </w:p>
        </w:tc>
        <w:tc>
          <w:tcPr>
            <w:tcW w:w="998" w:type="dxa"/>
            <w:noWrap/>
            <w:hideMark/>
          </w:tcPr>
          <w:p w14:paraId="4B1500C6"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95%</w:t>
            </w:r>
          </w:p>
        </w:tc>
      </w:tr>
      <w:tr w:rsidR="00904709" w:rsidRPr="00B52651" w14:paraId="333F3D9E" w14:textId="77777777" w:rsidTr="00C6385D">
        <w:trPr>
          <w:trHeight w:val="324"/>
        </w:trPr>
        <w:tc>
          <w:tcPr>
            <w:tcW w:w="1602" w:type="dxa"/>
            <w:hideMark/>
          </w:tcPr>
          <w:p w14:paraId="3CC3B4A7" w14:textId="77777777" w:rsidR="00904709" w:rsidRPr="003C6BE8" w:rsidRDefault="00904709" w:rsidP="000F4E51">
            <w:pP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sz w:val="20"/>
                <w:szCs w:val="20"/>
                <w:lang w:eastAsia="ru-RU"/>
              </w:rPr>
              <w:t>ЦВЗ</w:t>
            </w:r>
          </w:p>
        </w:tc>
        <w:tc>
          <w:tcPr>
            <w:tcW w:w="803" w:type="dxa"/>
            <w:noWrap/>
            <w:hideMark/>
          </w:tcPr>
          <w:p w14:paraId="3AF65032"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-48%</w:t>
            </w:r>
          </w:p>
        </w:tc>
        <w:tc>
          <w:tcPr>
            <w:tcW w:w="850" w:type="dxa"/>
            <w:noWrap/>
            <w:hideMark/>
          </w:tcPr>
          <w:p w14:paraId="166F6CBA"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-48%</w:t>
            </w:r>
          </w:p>
        </w:tc>
        <w:tc>
          <w:tcPr>
            <w:tcW w:w="851" w:type="dxa"/>
            <w:noWrap/>
            <w:hideMark/>
          </w:tcPr>
          <w:p w14:paraId="4BAAD7E3"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-48%</w:t>
            </w:r>
          </w:p>
        </w:tc>
        <w:tc>
          <w:tcPr>
            <w:tcW w:w="814" w:type="dxa"/>
            <w:noWrap/>
            <w:hideMark/>
          </w:tcPr>
          <w:p w14:paraId="742901C5"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-39%</w:t>
            </w:r>
          </w:p>
        </w:tc>
        <w:tc>
          <w:tcPr>
            <w:tcW w:w="887" w:type="dxa"/>
            <w:noWrap/>
            <w:hideMark/>
          </w:tcPr>
          <w:p w14:paraId="6435C864"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-39%</w:t>
            </w:r>
          </w:p>
        </w:tc>
        <w:tc>
          <w:tcPr>
            <w:tcW w:w="850" w:type="dxa"/>
            <w:noWrap/>
            <w:hideMark/>
          </w:tcPr>
          <w:p w14:paraId="7E559ED5"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-39%</w:t>
            </w:r>
          </w:p>
        </w:tc>
        <w:tc>
          <w:tcPr>
            <w:tcW w:w="818" w:type="dxa"/>
            <w:noWrap/>
            <w:hideMark/>
          </w:tcPr>
          <w:p w14:paraId="35BB50E8"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-60%</w:t>
            </w:r>
          </w:p>
        </w:tc>
        <w:tc>
          <w:tcPr>
            <w:tcW w:w="883" w:type="dxa"/>
            <w:noWrap/>
            <w:hideMark/>
          </w:tcPr>
          <w:p w14:paraId="6E1BB41D"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-60%</w:t>
            </w:r>
          </w:p>
        </w:tc>
        <w:tc>
          <w:tcPr>
            <w:tcW w:w="998" w:type="dxa"/>
            <w:noWrap/>
            <w:hideMark/>
          </w:tcPr>
          <w:p w14:paraId="37D9A297"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-60%</w:t>
            </w:r>
          </w:p>
        </w:tc>
      </w:tr>
      <w:tr w:rsidR="00904709" w:rsidRPr="00B52651" w14:paraId="4327C040" w14:textId="77777777" w:rsidTr="00C6385D">
        <w:trPr>
          <w:trHeight w:val="324"/>
        </w:trPr>
        <w:tc>
          <w:tcPr>
            <w:tcW w:w="1602" w:type="dxa"/>
            <w:hideMark/>
          </w:tcPr>
          <w:p w14:paraId="1C2BAA2C" w14:textId="77777777" w:rsidR="00904709" w:rsidRPr="003C6BE8" w:rsidRDefault="00904709" w:rsidP="000F4E51">
            <w:pP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sz w:val="20"/>
                <w:szCs w:val="20"/>
                <w:lang w:eastAsia="ru-RU"/>
              </w:rPr>
              <w:t>Другие</w:t>
            </w:r>
          </w:p>
        </w:tc>
        <w:tc>
          <w:tcPr>
            <w:tcW w:w="803" w:type="dxa"/>
            <w:noWrap/>
            <w:hideMark/>
          </w:tcPr>
          <w:p w14:paraId="522C104E"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256%</w:t>
            </w:r>
          </w:p>
        </w:tc>
        <w:tc>
          <w:tcPr>
            <w:tcW w:w="850" w:type="dxa"/>
            <w:noWrap/>
            <w:hideMark/>
          </w:tcPr>
          <w:p w14:paraId="7F7A749F"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-20%</w:t>
            </w:r>
          </w:p>
        </w:tc>
        <w:tc>
          <w:tcPr>
            <w:tcW w:w="851" w:type="dxa"/>
            <w:noWrap/>
            <w:hideMark/>
          </w:tcPr>
          <w:p w14:paraId="17D8F45F"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-3%</w:t>
            </w:r>
          </w:p>
        </w:tc>
        <w:tc>
          <w:tcPr>
            <w:tcW w:w="814" w:type="dxa"/>
            <w:noWrap/>
            <w:hideMark/>
          </w:tcPr>
          <w:p w14:paraId="792396AF"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303%</w:t>
            </w:r>
          </w:p>
        </w:tc>
        <w:tc>
          <w:tcPr>
            <w:tcW w:w="887" w:type="dxa"/>
            <w:noWrap/>
            <w:hideMark/>
          </w:tcPr>
          <w:p w14:paraId="65589DED"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-14%</w:t>
            </w:r>
          </w:p>
        </w:tc>
        <w:tc>
          <w:tcPr>
            <w:tcW w:w="850" w:type="dxa"/>
            <w:noWrap/>
            <w:hideMark/>
          </w:tcPr>
          <w:p w14:paraId="13AF6BBC"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4%</w:t>
            </w:r>
          </w:p>
        </w:tc>
        <w:tc>
          <w:tcPr>
            <w:tcW w:w="818" w:type="dxa"/>
            <w:noWrap/>
            <w:hideMark/>
          </w:tcPr>
          <w:p w14:paraId="4BC4CE95"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191%</w:t>
            </w:r>
          </w:p>
        </w:tc>
        <w:tc>
          <w:tcPr>
            <w:tcW w:w="883" w:type="dxa"/>
            <w:noWrap/>
            <w:hideMark/>
          </w:tcPr>
          <w:p w14:paraId="58360850"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-21%</w:t>
            </w:r>
          </w:p>
        </w:tc>
        <w:tc>
          <w:tcPr>
            <w:tcW w:w="998" w:type="dxa"/>
            <w:noWrap/>
            <w:hideMark/>
          </w:tcPr>
          <w:p w14:paraId="2BE9CB44"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-6%</w:t>
            </w:r>
          </w:p>
        </w:tc>
      </w:tr>
      <w:tr w:rsidR="00904709" w:rsidRPr="00B52651" w14:paraId="3B8C099E" w14:textId="77777777" w:rsidTr="00C6385D">
        <w:trPr>
          <w:trHeight w:val="324"/>
        </w:trPr>
        <w:tc>
          <w:tcPr>
            <w:tcW w:w="1602" w:type="dxa"/>
            <w:hideMark/>
          </w:tcPr>
          <w:p w14:paraId="67073B34" w14:textId="77777777" w:rsidR="00904709" w:rsidRPr="003C6BE8" w:rsidRDefault="00904709" w:rsidP="000F4E51">
            <w:pP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sz w:val="20"/>
                <w:szCs w:val="20"/>
                <w:lang w:eastAsia="ru-RU"/>
              </w:rPr>
              <w:t>Всего</w:t>
            </w:r>
          </w:p>
        </w:tc>
        <w:tc>
          <w:tcPr>
            <w:tcW w:w="803" w:type="dxa"/>
            <w:noWrap/>
            <w:hideMark/>
          </w:tcPr>
          <w:p w14:paraId="1B771F92"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18%</w:t>
            </w:r>
          </w:p>
        </w:tc>
        <w:tc>
          <w:tcPr>
            <w:tcW w:w="850" w:type="dxa"/>
            <w:noWrap/>
            <w:hideMark/>
          </w:tcPr>
          <w:p w14:paraId="4402EA2C"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2%</w:t>
            </w:r>
          </w:p>
        </w:tc>
        <w:tc>
          <w:tcPr>
            <w:tcW w:w="851" w:type="dxa"/>
            <w:noWrap/>
            <w:hideMark/>
          </w:tcPr>
          <w:p w14:paraId="3EDE746C"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8%</w:t>
            </w:r>
          </w:p>
        </w:tc>
        <w:tc>
          <w:tcPr>
            <w:tcW w:w="814" w:type="dxa"/>
            <w:noWrap/>
            <w:hideMark/>
          </w:tcPr>
          <w:p w14:paraId="77253649"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33%</w:t>
            </w:r>
          </w:p>
        </w:tc>
        <w:tc>
          <w:tcPr>
            <w:tcW w:w="887" w:type="dxa"/>
            <w:noWrap/>
            <w:hideMark/>
          </w:tcPr>
          <w:p w14:paraId="69A093AA"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15%</w:t>
            </w:r>
          </w:p>
        </w:tc>
        <w:tc>
          <w:tcPr>
            <w:tcW w:w="850" w:type="dxa"/>
            <w:noWrap/>
            <w:hideMark/>
          </w:tcPr>
          <w:p w14:paraId="504DD86B"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22%</w:t>
            </w:r>
          </w:p>
        </w:tc>
        <w:tc>
          <w:tcPr>
            <w:tcW w:w="818" w:type="dxa"/>
            <w:noWrap/>
            <w:hideMark/>
          </w:tcPr>
          <w:p w14:paraId="55745DC8"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-7%</w:t>
            </w:r>
          </w:p>
        </w:tc>
        <w:tc>
          <w:tcPr>
            <w:tcW w:w="883" w:type="dxa"/>
            <w:noWrap/>
            <w:hideMark/>
          </w:tcPr>
          <w:p w14:paraId="6C3EA47C"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-15%</w:t>
            </w:r>
          </w:p>
        </w:tc>
        <w:tc>
          <w:tcPr>
            <w:tcW w:w="998" w:type="dxa"/>
            <w:noWrap/>
            <w:hideMark/>
          </w:tcPr>
          <w:p w14:paraId="3A39194A" w14:textId="77777777" w:rsidR="00904709" w:rsidRPr="003C6BE8" w:rsidRDefault="00904709" w:rsidP="000F4E51">
            <w:pPr>
              <w:jc w:val="cente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-12%</w:t>
            </w:r>
          </w:p>
        </w:tc>
      </w:tr>
      <w:tr w:rsidR="00904709" w:rsidRPr="00B52651" w14:paraId="3F532271" w14:textId="77777777" w:rsidTr="00C6385D">
        <w:trPr>
          <w:trHeight w:val="624"/>
        </w:trPr>
        <w:tc>
          <w:tcPr>
            <w:tcW w:w="9356" w:type="dxa"/>
            <w:gridSpan w:val="10"/>
            <w:hideMark/>
          </w:tcPr>
          <w:p w14:paraId="0659D528" w14:textId="77777777" w:rsidR="00904709" w:rsidRPr="003C6BE8" w:rsidRDefault="00904709" w:rsidP="000F4E51">
            <w:pPr>
              <w:rPr>
                <w:rFonts w:ascii="Times New Roman" w:eastAsia="Times New Roman" w:hAnsi="Times New Roman" w:cs="Times New Roman"/>
                <w:color w:val="000000"/>
                <w:sz w:val="20"/>
                <w:szCs w:val="20"/>
                <w:lang w:eastAsia="ru-RU"/>
              </w:rPr>
            </w:pPr>
            <w:r w:rsidRPr="003C6BE8">
              <w:rPr>
                <w:rFonts w:ascii="Times New Roman" w:eastAsia="Times New Roman" w:hAnsi="Times New Roman" w:cs="Times New Roman"/>
                <w:color w:val="000000"/>
                <w:sz w:val="20"/>
                <w:szCs w:val="20"/>
                <w:lang w:eastAsia="ru-RU"/>
              </w:rPr>
              <w:t>Превентивная -1; Излечимая – 2; Предотвратимая -3; Ишемическая болезнь сердца – ИБС; Цереброваскулярные заболевания – ЦВЗ</w:t>
            </w:r>
          </w:p>
        </w:tc>
      </w:tr>
    </w:tbl>
    <w:p w14:paraId="735D2AC1" w14:textId="77777777" w:rsidR="00904709" w:rsidRPr="00B52651" w:rsidRDefault="00904709" w:rsidP="000F4E51">
      <w:pPr>
        <w:spacing w:after="0" w:line="240" w:lineRule="auto"/>
        <w:ind w:right="141" w:firstLine="567"/>
        <w:jc w:val="both"/>
        <w:rPr>
          <w:rFonts w:ascii="Times New Roman" w:hAnsi="Times New Roman" w:cs="Times New Roman"/>
          <w:sz w:val="28"/>
          <w:szCs w:val="28"/>
        </w:rPr>
      </w:pPr>
    </w:p>
    <w:p w14:paraId="583E28EB" w14:textId="77777777" w:rsidR="00904709" w:rsidRDefault="00904709" w:rsidP="00C6385D">
      <w:pPr>
        <w:spacing w:after="0" w:line="240" w:lineRule="auto"/>
        <w:ind w:firstLine="567"/>
        <w:jc w:val="both"/>
        <w:rPr>
          <w:rFonts w:ascii="Times New Roman" w:hAnsi="Times New Roman" w:cs="Times New Roman"/>
          <w:sz w:val="28"/>
          <w:szCs w:val="28"/>
        </w:rPr>
      </w:pPr>
      <w:r w:rsidRPr="000B2A05">
        <w:rPr>
          <w:rFonts w:ascii="Times New Roman" w:hAnsi="Times New Roman" w:cs="Times New Roman"/>
          <w:sz w:val="28"/>
          <w:szCs w:val="28"/>
        </w:rPr>
        <w:t>Данные о стоимости статистической жизни (</w:t>
      </w:r>
      <w:r w:rsidRPr="000B2A05">
        <w:rPr>
          <w:rFonts w:ascii="Times New Roman" w:hAnsi="Times New Roman" w:cs="Times New Roman"/>
          <w:sz w:val="28"/>
          <w:szCs w:val="28"/>
          <w:lang w:val="en-US"/>
        </w:rPr>
        <w:t>VSL</w:t>
      </w:r>
      <w:r w:rsidRPr="000B2A05">
        <w:rPr>
          <w:rFonts w:ascii="Times New Roman" w:hAnsi="Times New Roman" w:cs="Times New Roman"/>
          <w:sz w:val="28"/>
          <w:szCs w:val="28"/>
        </w:rPr>
        <w:t>), связанной с предотвратимой смертностью от БСК в период с 2014 по 202</w:t>
      </w:r>
      <w:r>
        <w:rPr>
          <w:rFonts w:ascii="Times New Roman" w:hAnsi="Times New Roman" w:cs="Times New Roman"/>
          <w:sz w:val="28"/>
          <w:szCs w:val="28"/>
        </w:rPr>
        <w:t>4</w:t>
      </w:r>
      <w:r w:rsidRPr="000B2A05">
        <w:rPr>
          <w:rFonts w:ascii="Times New Roman" w:hAnsi="Times New Roman" w:cs="Times New Roman"/>
          <w:sz w:val="28"/>
          <w:szCs w:val="28"/>
        </w:rPr>
        <w:t xml:space="preserve"> год, представленные в рамках трех сценариев оценки (</w:t>
      </w:r>
      <w:r w:rsidRPr="000B2A05">
        <w:rPr>
          <w:rFonts w:ascii="Times New Roman" w:hAnsi="Times New Roman" w:cs="Times New Roman"/>
          <w:sz w:val="28"/>
          <w:szCs w:val="28"/>
          <w:lang w:val="en-US"/>
        </w:rPr>
        <w:t>VSL</w:t>
      </w:r>
      <w:r w:rsidRPr="000B2A05">
        <w:rPr>
          <w:rFonts w:ascii="Times New Roman" w:hAnsi="Times New Roman" w:cs="Times New Roman"/>
          <w:sz w:val="28"/>
          <w:szCs w:val="28"/>
        </w:rPr>
        <w:t xml:space="preserve"> = 4,8, 0,5 и 0,9 млн долларов США), отражают экономическое бремя предотвратимых смертей от </w:t>
      </w:r>
      <w:r>
        <w:rPr>
          <w:rFonts w:ascii="Times New Roman" w:hAnsi="Times New Roman" w:cs="Times New Roman"/>
          <w:sz w:val="28"/>
          <w:szCs w:val="28"/>
        </w:rPr>
        <w:t>БСК</w:t>
      </w:r>
      <w:r w:rsidRPr="000B2A05">
        <w:rPr>
          <w:rFonts w:ascii="Times New Roman" w:hAnsi="Times New Roman" w:cs="Times New Roman"/>
          <w:sz w:val="28"/>
          <w:szCs w:val="28"/>
        </w:rPr>
        <w:t xml:space="preserve"> в денежном выражении. Эти данные, дезагрегированные по полу и году, отражают ценность, которую общество придает снижению риска смертности от предотвратимых сердечно-сосудистых причин.</w:t>
      </w:r>
    </w:p>
    <w:p w14:paraId="63B4B47B" w14:textId="1E54ACD0" w:rsidR="00904709" w:rsidRPr="001C21E8" w:rsidRDefault="00904709" w:rsidP="00C6385D">
      <w:pPr>
        <w:spacing w:after="0" w:line="240" w:lineRule="auto"/>
        <w:ind w:firstLine="567"/>
        <w:jc w:val="both"/>
        <w:rPr>
          <w:rFonts w:ascii="Times New Roman" w:hAnsi="Times New Roman" w:cs="Times New Roman"/>
          <w:sz w:val="28"/>
          <w:szCs w:val="28"/>
        </w:rPr>
      </w:pPr>
      <w:r w:rsidRPr="001C21E8">
        <w:rPr>
          <w:rFonts w:ascii="Times New Roman" w:hAnsi="Times New Roman" w:cs="Times New Roman"/>
          <w:sz w:val="28"/>
          <w:szCs w:val="28"/>
        </w:rPr>
        <w:t xml:space="preserve">Оценка экономических потерь, рассчитанная на основе </w:t>
      </w:r>
      <w:r w:rsidRPr="000B2A05">
        <w:rPr>
          <w:rFonts w:ascii="Times New Roman" w:hAnsi="Times New Roman" w:cs="Times New Roman"/>
          <w:sz w:val="28"/>
          <w:szCs w:val="28"/>
          <w:lang w:val="en-US"/>
        </w:rPr>
        <w:t>VSL</w:t>
      </w:r>
      <w:r w:rsidRPr="001C21E8">
        <w:rPr>
          <w:rFonts w:ascii="Times New Roman" w:hAnsi="Times New Roman" w:cs="Times New Roman"/>
          <w:sz w:val="28"/>
          <w:szCs w:val="28"/>
        </w:rPr>
        <w:t xml:space="preserve"> с параметрами γ = 0,1 и r = 5%, показала, что предотвратимая смертность от заболеваний </w:t>
      </w:r>
      <w:r>
        <w:rPr>
          <w:rFonts w:ascii="Times New Roman" w:hAnsi="Times New Roman" w:cs="Times New Roman"/>
          <w:sz w:val="28"/>
          <w:szCs w:val="28"/>
        </w:rPr>
        <w:t>БСК</w:t>
      </w:r>
      <w:r w:rsidRPr="001C21E8">
        <w:rPr>
          <w:rFonts w:ascii="Times New Roman" w:hAnsi="Times New Roman" w:cs="Times New Roman"/>
          <w:sz w:val="28"/>
          <w:szCs w:val="28"/>
        </w:rPr>
        <w:t xml:space="preserve"> сопровождалась </w:t>
      </w:r>
      <w:r>
        <w:rPr>
          <w:rFonts w:ascii="Times New Roman" w:hAnsi="Times New Roman" w:cs="Times New Roman"/>
          <w:sz w:val="28"/>
          <w:szCs w:val="28"/>
        </w:rPr>
        <w:t xml:space="preserve">существенными </w:t>
      </w:r>
      <w:r w:rsidRPr="001C21E8">
        <w:rPr>
          <w:rFonts w:ascii="Times New Roman" w:hAnsi="Times New Roman" w:cs="Times New Roman"/>
          <w:sz w:val="28"/>
          <w:szCs w:val="28"/>
        </w:rPr>
        <w:t xml:space="preserve">и нестабильными экономическими потерями на протяжении всего периода </w:t>
      </w:r>
      <w:r w:rsidR="00B330EA" w:rsidRPr="001C21E8">
        <w:rPr>
          <w:rFonts w:ascii="Times New Roman" w:hAnsi="Times New Roman" w:cs="Times New Roman"/>
          <w:sz w:val="28"/>
          <w:szCs w:val="28"/>
        </w:rPr>
        <w:t xml:space="preserve">2014–2024 </w:t>
      </w:r>
      <w:r w:rsidRPr="001C21E8">
        <w:rPr>
          <w:rFonts w:ascii="Times New Roman" w:hAnsi="Times New Roman" w:cs="Times New Roman"/>
          <w:sz w:val="28"/>
          <w:szCs w:val="28"/>
        </w:rPr>
        <w:t xml:space="preserve">годов, независимо от используемого сценария </w:t>
      </w:r>
      <w:r w:rsidRPr="000B2A05">
        <w:rPr>
          <w:rFonts w:ascii="Times New Roman" w:hAnsi="Times New Roman" w:cs="Times New Roman"/>
          <w:sz w:val="28"/>
          <w:szCs w:val="28"/>
          <w:lang w:val="en-US"/>
        </w:rPr>
        <w:t>VSL</w:t>
      </w:r>
      <w:r w:rsidRPr="001C21E8">
        <w:rPr>
          <w:rFonts w:ascii="Times New Roman" w:hAnsi="Times New Roman" w:cs="Times New Roman"/>
          <w:sz w:val="28"/>
          <w:szCs w:val="28"/>
        </w:rPr>
        <w:t>.</w:t>
      </w:r>
    </w:p>
    <w:p w14:paraId="267CCF37" w14:textId="7E2519FB" w:rsidR="00904709" w:rsidRPr="001C21E8" w:rsidRDefault="00904709" w:rsidP="00C6385D">
      <w:pPr>
        <w:spacing w:after="0" w:line="240" w:lineRule="auto"/>
        <w:ind w:firstLine="567"/>
        <w:jc w:val="both"/>
        <w:rPr>
          <w:rFonts w:ascii="Times New Roman" w:hAnsi="Times New Roman" w:cs="Times New Roman"/>
          <w:sz w:val="28"/>
          <w:szCs w:val="28"/>
        </w:rPr>
      </w:pPr>
      <w:r w:rsidRPr="001C21E8">
        <w:rPr>
          <w:rFonts w:ascii="Times New Roman" w:hAnsi="Times New Roman" w:cs="Times New Roman"/>
          <w:sz w:val="28"/>
          <w:szCs w:val="28"/>
        </w:rPr>
        <w:lastRenderedPageBreak/>
        <w:t>В целом, общие экономические потери в популяции продемонстрировали выраженную волатильность. В 2014-2017</w:t>
      </w:r>
      <w:r>
        <w:rPr>
          <w:rFonts w:ascii="Times New Roman" w:hAnsi="Times New Roman" w:cs="Times New Roman"/>
          <w:sz w:val="28"/>
          <w:szCs w:val="28"/>
        </w:rPr>
        <w:t>гг</w:t>
      </w:r>
      <w:r w:rsidRPr="001C21E8">
        <w:rPr>
          <w:rFonts w:ascii="Times New Roman" w:hAnsi="Times New Roman" w:cs="Times New Roman"/>
          <w:sz w:val="28"/>
          <w:szCs w:val="28"/>
        </w:rPr>
        <w:t xml:space="preserve"> наблюдался постепенный рост потерь: с 648,39 млн долларов США в 2014 году до 992,35 млн долларов США в 2017 году (по сценарию </w:t>
      </w:r>
      <w:r w:rsidRPr="000B2A05">
        <w:rPr>
          <w:rFonts w:ascii="Times New Roman" w:hAnsi="Times New Roman" w:cs="Times New Roman"/>
          <w:sz w:val="28"/>
          <w:szCs w:val="28"/>
          <w:lang w:val="en-US"/>
        </w:rPr>
        <w:t>VSL</w:t>
      </w:r>
      <w:r w:rsidRPr="001C21E8">
        <w:rPr>
          <w:rFonts w:ascii="Times New Roman" w:hAnsi="Times New Roman" w:cs="Times New Roman"/>
          <w:sz w:val="28"/>
          <w:szCs w:val="28"/>
        </w:rPr>
        <w:t xml:space="preserve"> = 4,8). В </w:t>
      </w:r>
      <w:r w:rsidR="00B330EA" w:rsidRPr="001C21E8">
        <w:rPr>
          <w:rFonts w:ascii="Times New Roman" w:hAnsi="Times New Roman" w:cs="Times New Roman"/>
          <w:sz w:val="28"/>
          <w:szCs w:val="28"/>
        </w:rPr>
        <w:t xml:space="preserve">2018–2019 </w:t>
      </w:r>
      <w:r w:rsidRPr="001C21E8">
        <w:rPr>
          <w:rFonts w:ascii="Times New Roman" w:hAnsi="Times New Roman" w:cs="Times New Roman"/>
          <w:sz w:val="28"/>
          <w:szCs w:val="28"/>
        </w:rPr>
        <w:t>годах потери резко снизились, достигнув минимума в 2019 году (193,15 млн долларов США), что соответствует периоду самых низких уровней предотвратимой смертности.</w:t>
      </w:r>
      <w:r>
        <w:rPr>
          <w:rFonts w:ascii="Times New Roman" w:hAnsi="Times New Roman" w:cs="Times New Roman"/>
          <w:sz w:val="28"/>
          <w:szCs w:val="28"/>
        </w:rPr>
        <w:t xml:space="preserve"> </w:t>
      </w:r>
      <w:r w:rsidRPr="001C21E8">
        <w:rPr>
          <w:rFonts w:ascii="Times New Roman" w:hAnsi="Times New Roman" w:cs="Times New Roman"/>
          <w:sz w:val="28"/>
          <w:szCs w:val="28"/>
        </w:rPr>
        <w:t xml:space="preserve">Начиная с 2020 года, экономические потери снова значительно возросли, достигнув максимальных значений в 2021 году: 1 728,77 млн долларов США для населения в целом и 2 739,48 млн долларов США для мужчин. </w:t>
      </w:r>
      <w:r>
        <w:rPr>
          <w:rFonts w:ascii="Times New Roman" w:hAnsi="Times New Roman" w:cs="Times New Roman"/>
          <w:sz w:val="28"/>
          <w:szCs w:val="28"/>
        </w:rPr>
        <w:t>Данный</w:t>
      </w:r>
      <w:r w:rsidRPr="001C21E8">
        <w:rPr>
          <w:rFonts w:ascii="Times New Roman" w:hAnsi="Times New Roman" w:cs="Times New Roman"/>
          <w:sz w:val="28"/>
          <w:szCs w:val="28"/>
        </w:rPr>
        <w:t xml:space="preserve"> скачок отражает резк</w:t>
      </w:r>
      <w:r>
        <w:rPr>
          <w:rFonts w:ascii="Times New Roman" w:hAnsi="Times New Roman" w:cs="Times New Roman"/>
          <w:sz w:val="28"/>
          <w:szCs w:val="28"/>
        </w:rPr>
        <w:t xml:space="preserve">ий рост </w:t>
      </w:r>
      <w:r w:rsidRPr="001C21E8">
        <w:rPr>
          <w:rFonts w:ascii="Times New Roman" w:hAnsi="Times New Roman" w:cs="Times New Roman"/>
          <w:sz w:val="28"/>
          <w:szCs w:val="28"/>
        </w:rPr>
        <w:t>предотвратим</w:t>
      </w:r>
      <w:r>
        <w:rPr>
          <w:rFonts w:ascii="Times New Roman" w:hAnsi="Times New Roman" w:cs="Times New Roman"/>
          <w:sz w:val="28"/>
          <w:szCs w:val="28"/>
        </w:rPr>
        <w:t>ой</w:t>
      </w:r>
      <w:r w:rsidRPr="001C21E8">
        <w:rPr>
          <w:rFonts w:ascii="Times New Roman" w:hAnsi="Times New Roman" w:cs="Times New Roman"/>
          <w:sz w:val="28"/>
          <w:szCs w:val="28"/>
        </w:rPr>
        <w:t xml:space="preserve"> смерт</w:t>
      </w:r>
      <w:r>
        <w:rPr>
          <w:rFonts w:ascii="Times New Roman" w:hAnsi="Times New Roman" w:cs="Times New Roman"/>
          <w:sz w:val="28"/>
          <w:szCs w:val="28"/>
        </w:rPr>
        <w:t xml:space="preserve">ности в период </w:t>
      </w:r>
      <w:r w:rsidRPr="001C21E8">
        <w:rPr>
          <w:rFonts w:ascii="Times New Roman" w:hAnsi="Times New Roman" w:cs="Times New Roman"/>
          <w:sz w:val="28"/>
          <w:szCs w:val="28"/>
        </w:rPr>
        <w:t>пандемии COVID-19. В последующие годы (</w:t>
      </w:r>
      <w:r w:rsidR="00B330EA" w:rsidRPr="001C21E8">
        <w:rPr>
          <w:rFonts w:ascii="Times New Roman" w:hAnsi="Times New Roman" w:cs="Times New Roman"/>
          <w:sz w:val="28"/>
          <w:szCs w:val="28"/>
        </w:rPr>
        <w:t>2022–2024</w:t>
      </w:r>
      <w:r w:rsidRPr="001C21E8">
        <w:rPr>
          <w:rFonts w:ascii="Times New Roman" w:hAnsi="Times New Roman" w:cs="Times New Roman"/>
          <w:sz w:val="28"/>
          <w:szCs w:val="28"/>
        </w:rPr>
        <w:t xml:space="preserve">) наблюдалось снижение экономических потерь, </w:t>
      </w:r>
      <w:r>
        <w:rPr>
          <w:rFonts w:ascii="Times New Roman" w:hAnsi="Times New Roman" w:cs="Times New Roman"/>
          <w:sz w:val="28"/>
          <w:szCs w:val="28"/>
        </w:rPr>
        <w:t xml:space="preserve">однако </w:t>
      </w:r>
      <w:r w:rsidRPr="001C21E8">
        <w:rPr>
          <w:rFonts w:ascii="Times New Roman" w:hAnsi="Times New Roman" w:cs="Times New Roman"/>
          <w:sz w:val="28"/>
          <w:szCs w:val="28"/>
        </w:rPr>
        <w:t>их уровень оставался выше допандеми</w:t>
      </w:r>
      <w:r>
        <w:rPr>
          <w:rFonts w:ascii="Times New Roman" w:hAnsi="Times New Roman" w:cs="Times New Roman"/>
          <w:sz w:val="28"/>
          <w:szCs w:val="28"/>
        </w:rPr>
        <w:t xml:space="preserve">ческих </w:t>
      </w:r>
      <w:r w:rsidRPr="001C21E8">
        <w:rPr>
          <w:rFonts w:ascii="Times New Roman" w:hAnsi="Times New Roman" w:cs="Times New Roman"/>
          <w:sz w:val="28"/>
          <w:szCs w:val="28"/>
        </w:rPr>
        <w:t>значений, что указывает на неполное восстановление ситуации.</w:t>
      </w:r>
    </w:p>
    <w:p w14:paraId="1D26467A" w14:textId="14120A74" w:rsidR="00904709" w:rsidRPr="001C71D7" w:rsidRDefault="00904709" w:rsidP="00C638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Во все годы основная доля экономических потерь приходилась на </w:t>
      </w:r>
      <w:r w:rsidRPr="001C21E8">
        <w:rPr>
          <w:rFonts w:ascii="Times New Roman" w:hAnsi="Times New Roman" w:cs="Times New Roman"/>
          <w:sz w:val="28"/>
          <w:szCs w:val="28"/>
        </w:rPr>
        <w:t>мужское население</w:t>
      </w:r>
      <w:r>
        <w:rPr>
          <w:rFonts w:ascii="Times New Roman" w:hAnsi="Times New Roman" w:cs="Times New Roman"/>
          <w:sz w:val="28"/>
          <w:szCs w:val="28"/>
        </w:rPr>
        <w:t xml:space="preserve">. </w:t>
      </w:r>
      <w:r w:rsidRPr="001C21E8">
        <w:rPr>
          <w:rFonts w:ascii="Times New Roman" w:hAnsi="Times New Roman" w:cs="Times New Roman"/>
          <w:sz w:val="28"/>
          <w:szCs w:val="28"/>
        </w:rPr>
        <w:t xml:space="preserve">Так, в 2021 году потери среди мужчин более чем в 2,5 раза </w:t>
      </w:r>
      <w:r>
        <w:rPr>
          <w:rFonts w:ascii="Times New Roman" w:hAnsi="Times New Roman" w:cs="Times New Roman"/>
          <w:sz w:val="28"/>
          <w:szCs w:val="28"/>
        </w:rPr>
        <w:t>превышали</w:t>
      </w:r>
      <w:r w:rsidRPr="001C21E8">
        <w:rPr>
          <w:rFonts w:ascii="Times New Roman" w:hAnsi="Times New Roman" w:cs="Times New Roman"/>
          <w:sz w:val="28"/>
          <w:szCs w:val="28"/>
        </w:rPr>
        <w:t xml:space="preserve"> потери среди женщин (2 739,48 против 1 073,24 млн долларов США). Аналогичное соотношение сохранялось и в другие годы, </w:t>
      </w:r>
      <w:r>
        <w:rPr>
          <w:rFonts w:ascii="Times New Roman" w:hAnsi="Times New Roman" w:cs="Times New Roman"/>
          <w:sz w:val="28"/>
          <w:szCs w:val="28"/>
        </w:rPr>
        <w:t>отражая</w:t>
      </w:r>
      <w:r w:rsidRPr="001C21E8">
        <w:rPr>
          <w:rFonts w:ascii="Times New Roman" w:hAnsi="Times New Roman" w:cs="Times New Roman"/>
          <w:sz w:val="28"/>
          <w:szCs w:val="28"/>
        </w:rPr>
        <w:t xml:space="preserve"> более высоки</w:t>
      </w:r>
      <w:r>
        <w:rPr>
          <w:rFonts w:ascii="Times New Roman" w:hAnsi="Times New Roman" w:cs="Times New Roman"/>
          <w:sz w:val="28"/>
          <w:szCs w:val="28"/>
        </w:rPr>
        <w:t>е</w:t>
      </w:r>
      <w:r w:rsidRPr="001C21E8">
        <w:rPr>
          <w:rFonts w:ascii="Times New Roman" w:hAnsi="Times New Roman" w:cs="Times New Roman"/>
          <w:sz w:val="28"/>
          <w:szCs w:val="28"/>
        </w:rPr>
        <w:t xml:space="preserve"> уров</w:t>
      </w:r>
      <w:r>
        <w:rPr>
          <w:rFonts w:ascii="Times New Roman" w:hAnsi="Times New Roman" w:cs="Times New Roman"/>
          <w:sz w:val="28"/>
          <w:szCs w:val="28"/>
        </w:rPr>
        <w:t>ни</w:t>
      </w:r>
      <w:r w:rsidRPr="001C21E8">
        <w:rPr>
          <w:rFonts w:ascii="Times New Roman" w:hAnsi="Times New Roman" w:cs="Times New Roman"/>
          <w:sz w:val="28"/>
          <w:szCs w:val="28"/>
        </w:rPr>
        <w:t xml:space="preserve"> предотвратимой смертности и более значи</w:t>
      </w:r>
      <w:r>
        <w:rPr>
          <w:rFonts w:ascii="Times New Roman" w:hAnsi="Times New Roman" w:cs="Times New Roman"/>
          <w:sz w:val="28"/>
          <w:szCs w:val="28"/>
        </w:rPr>
        <w:t>мый</w:t>
      </w:r>
      <w:r w:rsidRPr="001C21E8">
        <w:rPr>
          <w:rFonts w:ascii="Times New Roman" w:hAnsi="Times New Roman" w:cs="Times New Roman"/>
          <w:sz w:val="28"/>
          <w:szCs w:val="28"/>
        </w:rPr>
        <w:t xml:space="preserve"> вклад мужчин в экономическое </w:t>
      </w:r>
      <w:r w:rsidRPr="001C71D7">
        <w:rPr>
          <w:rFonts w:ascii="Times New Roman" w:hAnsi="Times New Roman" w:cs="Times New Roman"/>
          <w:sz w:val="28"/>
          <w:szCs w:val="28"/>
        </w:rPr>
        <w:t xml:space="preserve">бремя БСК, таблица </w:t>
      </w:r>
      <w:r w:rsidR="006D6E83">
        <w:rPr>
          <w:rFonts w:ascii="Times New Roman" w:hAnsi="Times New Roman" w:cs="Times New Roman"/>
          <w:sz w:val="28"/>
          <w:szCs w:val="28"/>
        </w:rPr>
        <w:t>11</w:t>
      </w:r>
      <w:r w:rsidRPr="001C71D7">
        <w:rPr>
          <w:rFonts w:ascii="Times New Roman" w:hAnsi="Times New Roman" w:cs="Times New Roman"/>
          <w:sz w:val="28"/>
          <w:szCs w:val="28"/>
        </w:rPr>
        <w:t>.</w:t>
      </w:r>
    </w:p>
    <w:p w14:paraId="606A7376" w14:textId="77777777" w:rsidR="00904709" w:rsidRDefault="00904709" w:rsidP="00C6385D">
      <w:pPr>
        <w:spacing w:after="0" w:line="240" w:lineRule="auto"/>
        <w:ind w:firstLine="567"/>
        <w:jc w:val="both"/>
        <w:rPr>
          <w:rFonts w:ascii="Times New Roman" w:hAnsi="Times New Roman" w:cs="Times New Roman"/>
          <w:sz w:val="28"/>
          <w:szCs w:val="28"/>
        </w:rPr>
      </w:pPr>
      <w:r w:rsidRPr="001C71D7">
        <w:rPr>
          <w:rFonts w:ascii="Times New Roman" w:hAnsi="Times New Roman" w:cs="Times New Roman"/>
          <w:sz w:val="28"/>
          <w:szCs w:val="28"/>
        </w:rPr>
        <w:t>Анализ различных сценариев оценки VSL (0,5; 0,9; 4,8) показал, что абсолютный уровень экономических потерь существенно варьирует, однако общая временная динамика и гендерные различия остаются устойчивыми. Во всех сценариях пики</w:t>
      </w:r>
      <w:r w:rsidRPr="001C21E8">
        <w:rPr>
          <w:rFonts w:ascii="Times New Roman" w:hAnsi="Times New Roman" w:cs="Times New Roman"/>
          <w:sz w:val="28"/>
          <w:szCs w:val="28"/>
        </w:rPr>
        <w:t xml:space="preserve"> экономического ущерба при</w:t>
      </w:r>
      <w:r>
        <w:rPr>
          <w:rFonts w:ascii="Times New Roman" w:hAnsi="Times New Roman" w:cs="Times New Roman"/>
          <w:sz w:val="28"/>
          <w:szCs w:val="28"/>
        </w:rPr>
        <w:t xml:space="preserve">ходилось </w:t>
      </w:r>
      <w:r w:rsidRPr="001C21E8">
        <w:rPr>
          <w:rFonts w:ascii="Times New Roman" w:hAnsi="Times New Roman" w:cs="Times New Roman"/>
          <w:sz w:val="28"/>
          <w:szCs w:val="28"/>
        </w:rPr>
        <w:t>на 2021 год, а минимальные значения — на 2019 год.</w:t>
      </w:r>
    </w:p>
    <w:p w14:paraId="2EBD875C" w14:textId="77777777" w:rsidR="00C6385D" w:rsidRDefault="00C6385D" w:rsidP="000F4E51">
      <w:pPr>
        <w:spacing w:after="0" w:line="240" w:lineRule="auto"/>
        <w:ind w:left="284" w:right="-851" w:firstLine="567"/>
        <w:jc w:val="both"/>
        <w:rPr>
          <w:rFonts w:ascii="Times New Roman" w:hAnsi="Times New Roman" w:cs="Times New Roman"/>
          <w:sz w:val="28"/>
          <w:szCs w:val="28"/>
        </w:rPr>
      </w:pPr>
    </w:p>
    <w:p w14:paraId="6EDC5818" w14:textId="375426EA" w:rsidR="00904709" w:rsidRPr="000B2A05" w:rsidRDefault="00904709" w:rsidP="00FC2E89">
      <w:pPr>
        <w:spacing w:after="0" w:line="240" w:lineRule="auto"/>
        <w:jc w:val="both"/>
        <w:rPr>
          <w:rFonts w:ascii="Times New Roman" w:eastAsia="Times New Roman" w:hAnsi="Times New Roman" w:cs="Times New Roman"/>
          <w:sz w:val="24"/>
          <w:szCs w:val="24"/>
          <w:lang w:eastAsia="ru-RU"/>
        </w:rPr>
      </w:pPr>
      <w:r w:rsidRPr="000B2A05">
        <w:rPr>
          <w:rFonts w:ascii="Times New Roman" w:hAnsi="Times New Roman" w:cs="Times New Roman"/>
          <w:sz w:val="28"/>
          <w:szCs w:val="28"/>
        </w:rPr>
        <w:t xml:space="preserve">Таблица </w:t>
      </w:r>
      <w:r w:rsidR="006D6E83">
        <w:rPr>
          <w:rFonts w:ascii="Times New Roman" w:hAnsi="Times New Roman" w:cs="Times New Roman"/>
          <w:sz w:val="28"/>
          <w:szCs w:val="28"/>
        </w:rPr>
        <w:t>11</w:t>
      </w:r>
      <w:r w:rsidR="00C6385D">
        <w:rPr>
          <w:rFonts w:ascii="Times New Roman" w:hAnsi="Times New Roman" w:cs="Times New Roman"/>
          <w:sz w:val="28"/>
          <w:szCs w:val="28"/>
        </w:rPr>
        <w:t xml:space="preserve"> -</w:t>
      </w:r>
      <w:r w:rsidRPr="000B2A05">
        <w:rPr>
          <w:rFonts w:ascii="Times New Roman" w:hAnsi="Times New Roman" w:cs="Times New Roman"/>
          <w:sz w:val="28"/>
          <w:szCs w:val="28"/>
        </w:rPr>
        <w:t xml:space="preserve"> Экономические последствия предотвратимой смертности от болезней системы кровообращения</w:t>
      </w:r>
      <w:r w:rsidRPr="000B2A05">
        <w:rPr>
          <w:rFonts w:ascii="Times New Roman" w:eastAsia="Times New Roman" w:hAnsi="Times New Roman" w:cs="Times New Roman"/>
          <w:sz w:val="28"/>
          <w:szCs w:val="28"/>
          <w:lang w:eastAsia="ru-RU"/>
        </w:rPr>
        <w:t xml:space="preserve"> </w:t>
      </w:r>
      <w:r w:rsidRPr="000B2A05">
        <w:rPr>
          <w:rFonts w:ascii="Times New Roman" w:hAnsi="Times New Roman" w:cs="Times New Roman"/>
          <w:sz w:val="28"/>
          <w:szCs w:val="28"/>
        </w:rPr>
        <w:t>с 2014 по 202</w:t>
      </w:r>
      <w:r>
        <w:rPr>
          <w:rFonts w:ascii="Times New Roman" w:hAnsi="Times New Roman" w:cs="Times New Roman"/>
          <w:sz w:val="28"/>
          <w:szCs w:val="28"/>
        </w:rPr>
        <w:t>4</w:t>
      </w:r>
      <w:r w:rsidRPr="000B2A05">
        <w:rPr>
          <w:rFonts w:ascii="Times New Roman" w:hAnsi="Times New Roman" w:cs="Times New Roman"/>
          <w:sz w:val="28"/>
          <w:szCs w:val="28"/>
        </w:rPr>
        <w:t xml:space="preserve"> год</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984"/>
        <w:gridCol w:w="1797"/>
        <w:gridCol w:w="1838"/>
        <w:gridCol w:w="1894"/>
      </w:tblGrid>
      <w:tr w:rsidR="00904709" w:rsidRPr="000B2A05" w14:paraId="524E4193" w14:textId="77777777" w:rsidTr="00FC2E89">
        <w:trPr>
          <w:trHeight w:val="937"/>
        </w:trPr>
        <w:tc>
          <w:tcPr>
            <w:tcW w:w="1985" w:type="dxa"/>
            <w:vMerge w:val="restart"/>
            <w:noWrap/>
            <w:vAlign w:val="bottom"/>
          </w:tcPr>
          <w:p w14:paraId="162C95F2" w14:textId="77777777" w:rsidR="00904709" w:rsidRPr="000B2A05"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Год</w:t>
            </w:r>
          </w:p>
        </w:tc>
        <w:tc>
          <w:tcPr>
            <w:tcW w:w="1984" w:type="dxa"/>
            <w:vMerge w:val="restart"/>
            <w:noWrap/>
            <w:vAlign w:val="bottom"/>
          </w:tcPr>
          <w:p w14:paraId="478116E4" w14:textId="77777777" w:rsidR="00904709" w:rsidRPr="000B2A05" w:rsidRDefault="00904709" w:rsidP="000F4E51">
            <w:pPr>
              <w:spacing w:after="0" w:line="240" w:lineRule="auto"/>
              <w:rPr>
                <w:rFonts w:ascii="Times New Roman" w:eastAsia="Times New Roman" w:hAnsi="Times New Roman" w:cs="Times New Roman"/>
                <w:sz w:val="24"/>
                <w:szCs w:val="24"/>
                <w:lang w:eastAsia="ru-RU"/>
              </w:rPr>
            </w:pPr>
            <w:r w:rsidRPr="000B2A05">
              <w:rPr>
                <w:rFonts w:ascii="Times New Roman" w:eastAsia="Times New Roman" w:hAnsi="Times New Roman" w:cs="Times New Roman"/>
                <w:sz w:val="24"/>
                <w:szCs w:val="24"/>
                <w:lang w:eastAsia="ru-RU"/>
              </w:rPr>
              <w:t>Пол</w:t>
            </w:r>
          </w:p>
        </w:tc>
        <w:tc>
          <w:tcPr>
            <w:tcW w:w="5529" w:type="dxa"/>
            <w:gridSpan w:val="3"/>
            <w:vAlign w:val="center"/>
          </w:tcPr>
          <w:p w14:paraId="3E580896" w14:textId="77777777" w:rsidR="00904709" w:rsidRPr="000B2A05" w:rsidRDefault="00904709" w:rsidP="000F4E51">
            <w:pPr>
              <w:spacing w:after="0" w:line="240" w:lineRule="auto"/>
              <w:jc w:val="center"/>
              <w:rPr>
                <w:rFonts w:ascii="Times New Roman" w:eastAsia="Times New Roman" w:hAnsi="Times New Roman" w:cs="Times New Roman"/>
                <w:color w:val="000000"/>
                <w:sz w:val="24"/>
                <w:szCs w:val="24"/>
                <w:lang w:val="en-US" w:eastAsia="ru-RU"/>
              </w:rPr>
            </w:pPr>
            <w:r w:rsidRPr="000B2A05">
              <w:rPr>
                <w:rFonts w:ascii="Times New Roman" w:eastAsia="Times New Roman" w:hAnsi="Times New Roman" w:cs="Times New Roman"/>
                <w:color w:val="000000"/>
                <w:sz w:val="24"/>
                <w:szCs w:val="24"/>
                <w:lang w:eastAsia="ru-RU"/>
              </w:rPr>
              <w:t>Стоимость статистической жизни от болезней системы кровообращения (</w:t>
            </w:r>
            <w:r w:rsidRPr="000B2A05">
              <w:rPr>
                <w:rFonts w:ascii="Times New Roman" w:eastAsia="Times New Roman" w:hAnsi="Times New Roman" w:cs="Times New Roman"/>
                <w:color w:val="000000"/>
                <w:sz w:val="24"/>
                <w:szCs w:val="24"/>
                <w:lang w:val="en-US" w:eastAsia="ru-RU"/>
              </w:rPr>
              <w:t>γ</w:t>
            </w:r>
            <w:r w:rsidRPr="000B2A05">
              <w:rPr>
                <w:rFonts w:ascii="Times New Roman" w:eastAsia="Times New Roman" w:hAnsi="Times New Roman" w:cs="Times New Roman"/>
                <w:color w:val="000000"/>
                <w:sz w:val="24"/>
                <w:szCs w:val="24"/>
                <w:lang w:eastAsia="ru-RU"/>
              </w:rPr>
              <w:t xml:space="preserve"> = 0,1, </w:t>
            </w:r>
            <w:r w:rsidRPr="000B2A05">
              <w:rPr>
                <w:rFonts w:ascii="Times New Roman" w:eastAsia="Times New Roman" w:hAnsi="Times New Roman" w:cs="Times New Roman"/>
                <w:color w:val="000000"/>
                <w:sz w:val="24"/>
                <w:szCs w:val="24"/>
                <w:lang w:val="en-US" w:eastAsia="ru-RU"/>
              </w:rPr>
              <w:t>r</w:t>
            </w:r>
            <w:r w:rsidRPr="000B2A05">
              <w:rPr>
                <w:rFonts w:ascii="Times New Roman" w:eastAsia="Times New Roman" w:hAnsi="Times New Roman" w:cs="Times New Roman"/>
                <w:color w:val="000000"/>
                <w:sz w:val="24"/>
                <w:szCs w:val="24"/>
                <w:lang w:eastAsia="ru-RU"/>
              </w:rPr>
              <w:t xml:space="preserve"> = 5%) в млн. долл. </w:t>
            </w:r>
            <w:r w:rsidRPr="000B2A05">
              <w:rPr>
                <w:rFonts w:ascii="Times New Roman" w:eastAsia="Times New Roman" w:hAnsi="Times New Roman" w:cs="Times New Roman"/>
                <w:color w:val="000000"/>
                <w:sz w:val="24"/>
                <w:szCs w:val="24"/>
                <w:lang w:val="en-US" w:eastAsia="ru-RU"/>
              </w:rPr>
              <w:t>США</w:t>
            </w:r>
          </w:p>
        </w:tc>
      </w:tr>
      <w:tr w:rsidR="00904709" w:rsidRPr="000B2A05" w14:paraId="0251875D" w14:textId="77777777" w:rsidTr="00FC2E89">
        <w:trPr>
          <w:trHeight w:val="386"/>
        </w:trPr>
        <w:tc>
          <w:tcPr>
            <w:tcW w:w="1985" w:type="dxa"/>
            <w:vMerge/>
            <w:noWrap/>
            <w:vAlign w:val="bottom"/>
          </w:tcPr>
          <w:p w14:paraId="1F369180"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val="en-US" w:eastAsia="ru-RU"/>
              </w:rPr>
            </w:pPr>
          </w:p>
        </w:tc>
        <w:tc>
          <w:tcPr>
            <w:tcW w:w="1984" w:type="dxa"/>
            <w:vMerge/>
            <w:noWrap/>
            <w:vAlign w:val="bottom"/>
          </w:tcPr>
          <w:p w14:paraId="0B78A0F6" w14:textId="77777777" w:rsidR="00904709" w:rsidRPr="000B2A05" w:rsidRDefault="00904709" w:rsidP="000F4E51">
            <w:pPr>
              <w:spacing w:after="0" w:line="240" w:lineRule="auto"/>
              <w:rPr>
                <w:rFonts w:ascii="Times New Roman" w:eastAsia="Times New Roman" w:hAnsi="Times New Roman" w:cs="Times New Roman"/>
                <w:color w:val="1B1B1B"/>
                <w:sz w:val="24"/>
                <w:szCs w:val="24"/>
                <w:lang w:val="en-US" w:eastAsia="ru-RU"/>
              </w:rPr>
            </w:pPr>
          </w:p>
        </w:tc>
        <w:tc>
          <w:tcPr>
            <w:tcW w:w="1797" w:type="dxa"/>
            <w:vAlign w:val="center"/>
          </w:tcPr>
          <w:p w14:paraId="2DC3BF75" w14:textId="77777777" w:rsidR="00904709" w:rsidRPr="000B2A05" w:rsidRDefault="00904709" w:rsidP="000F4E51">
            <w:pPr>
              <w:spacing w:after="0" w:line="240" w:lineRule="auto"/>
              <w:jc w:val="center"/>
              <w:rPr>
                <w:rFonts w:ascii="Times New Roman" w:eastAsia="Times New Roman" w:hAnsi="Times New Roman" w:cs="Times New Roman"/>
                <w:color w:val="000000"/>
                <w:sz w:val="24"/>
                <w:szCs w:val="24"/>
                <w:lang w:val="en-US" w:eastAsia="ru-RU"/>
              </w:rPr>
            </w:pPr>
            <w:r w:rsidRPr="000B2A05">
              <w:rPr>
                <w:rFonts w:ascii="Times New Roman" w:eastAsia="Times New Roman" w:hAnsi="Times New Roman" w:cs="Times New Roman"/>
                <w:color w:val="1B1B1B"/>
                <w:sz w:val="24"/>
                <w:szCs w:val="24"/>
                <w:lang w:val="en-US" w:eastAsia="ru-RU"/>
              </w:rPr>
              <w:t xml:space="preserve">VSL - </w:t>
            </w:r>
            <w:r w:rsidRPr="000B2A05">
              <w:rPr>
                <w:rFonts w:ascii="Times New Roman" w:eastAsia="Times New Roman" w:hAnsi="Times New Roman" w:cs="Times New Roman"/>
                <w:color w:val="1B1B1B"/>
                <w:sz w:val="24"/>
                <w:szCs w:val="24"/>
                <w:lang w:eastAsia="ru-RU"/>
              </w:rPr>
              <w:t>4,8</w:t>
            </w:r>
          </w:p>
        </w:tc>
        <w:tc>
          <w:tcPr>
            <w:tcW w:w="1838" w:type="dxa"/>
          </w:tcPr>
          <w:p w14:paraId="4994A6EC" w14:textId="77777777" w:rsidR="00904709" w:rsidRPr="000B2A05"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1B1B1B"/>
                <w:sz w:val="24"/>
                <w:szCs w:val="24"/>
                <w:lang w:val="en-US" w:eastAsia="ru-RU"/>
              </w:rPr>
              <w:t xml:space="preserve">VSL -  </w:t>
            </w:r>
            <w:r w:rsidRPr="000B2A05">
              <w:rPr>
                <w:rFonts w:ascii="Times New Roman" w:eastAsia="Times New Roman" w:hAnsi="Times New Roman" w:cs="Times New Roman"/>
                <w:color w:val="1B1B1B"/>
                <w:sz w:val="24"/>
                <w:szCs w:val="24"/>
                <w:lang w:eastAsia="ru-RU"/>
              </w:rPr>
              <w:t>0,5</w:t>
            </w:r>
          </w:p>
        </w:tc>
        <w:tc>
          <w:tcPr>
            <w:tcW w:w="1894" w:type="dxa"/>
          </w:tcPr>
          <w:p w14:paraId="66D48725"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val="en-US" w:eastAsia="ru-RU"/>
              </w:rPr>
              <w:t xml:space="preserve">VSL - </w:t>
            </w:r>
            <w:r w:rsidRPr="000B2A05">
              <w:rPr>
                <w:rFonts w:ascii="Times New Roman" w:eastAsia="Times New Roman" w:hAnsi="Times New Roman" w:cs="Times New Roman"/>
                <w:color w:val="1B1B1B"/>
                <w:sz w:val="24"/>
                <w:szCs w:val="24"/>
                <w:lang w:eastAsia="ru-RU"/>
              </w:rPr>
              <w:t>0,9</w:t>
            </w:r>
          </w:p>
        </w:tc>
      </w:tr>
      <w:tr w:rsidR="00904709" w:rsidRPr="000B2A05" w14:paraId="0D459040" w14:textId="77777777" w:rsidTr="00FC2E89">
        <w:trPr>
          <w:trHeight w:val="288"/>
        </w:trPr>
        <w:tc>
          <w:tcPr>
            <w:tcW w:w="1985" w:type="dxa"/>
            <w:vMerge w:val="restart"/>
            <w:noWrap/>
            <w:vAlign w:val="center"/>
            <w:hideMark/>
          </w:tcPr>
          <w:p w14:paraId="0CC2A400" w14:textId="77777777" w:rsidR="00904709" w:rsidRPr="000B2A05"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2014</w:t>
            </w:r>
          </w:p>
        </w:tc>
        <w:tc>
          <w:tcPr>
            <w:tcW w:w="1984" w:type="dxa"/>
            <w:noWrap/>
            <w:vAlign w:val="bottom"/>
            <w:hideMark/>
          </w:tcPr>
          <w:p w14:paraId="221A43BC"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всего</w:t>
            </w:r>
          </w:p>
        </w:tc>
        <w:tc>
          <w:tcPr>
            <w:tcW w:w="1797" w:type="dxa"/>
            <w:hideMark/>
          </w:tcPr>
          <w:p w14:paraId="64A54273"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648,39</w:t>
            </w:r>
          </w:p>
        </w:tc>
        <w:tc>
          <w:tcPr>
            <w:tcW w:w="1838" w:type="dxa"/>
          </w:tcPr>
          <w:p w14:paraId="32F32B74"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67,54</w:t>
            </w:r>
          </w:p>
        </w:tc>
        <w:tc>
          <w:tcPr>
            <w:tcW w:w="1894" w:type="dxa"/>
          </w:tcPr>
          <w:p w14:paraId="35D6D210"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121,57</w:t>
            </w:r>
          </w:p>
        </w:tc>
      </w:tr>
      <w:tr w:rsidR="00904709" w:rsidRPr="000B2A05" w14:paraId="5E5A3725" w14:textId="77777777" w:rsidTr="00FC2E89">
        <w:trPr>
          <w:trHeight w:val="288"/>
        </w:trPr>
        <w:tc>
          <w:tcPr>
            <w:tcW w:w="1985" w:type="dxa"/>
            <w:vMerge/>
            <w:vAlign w:val="center"/>
            <w:hideMark/>
          </w:tcPr>
          <w:p w14:paraId="40BB91F6"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76DB525F"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мужчины</w:t>
            </w:r>
          </w:p>
        </w:tc>
        <w:tc>
          <w:tcPr>
            <w:tcW w:w="1797" w:type="dxa"/>
            <w:hideMark/>
          </w:tcPr>
          <w:p w14:paraId="56F3F5B4"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1047,06</w:t>
            </w:r>
          </w:p>
        </w:tc>
        <w:tc>
          <w:tcPr>
            <w:tcW w:w="1838" w:type="dxa"/>
          </w:tcPr>
          <w:p w14:paraId="6825E982"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109,07</w:t>
            </w:r>
          </w:p>
        </w:tc>
        <w:tc>
          <w:tcPr>
            <w:tcW w:w="1894" w:type="dxa"/>
          </w:tcPr>
          <w:p w14:paraId="117C0861"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196,32</w:t>
            </w:r>
          </w:p>
        </w:tc>
      </w:tr>
      <w:tr w:rsidR="00904709" w:rsidRPr="000B2A05" w14:paraId="4D78F41D" w14:textId="77777777" w:rsidTr="00FC2E89">
        <w:trPr>
          <w:trHeight w:val="300"/>
        </w:trPr>
        <w:tc>
          <w:tcPr>
            <w:tcW w:w="1985" w:type="dxa"/>
            <w:vMerge/>
            <w:vAlign w:val="center"/>
            <w:hideMark/>
          </w:tcPr>
          <w:p w14:paraId="46027257"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66E93CA9"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женщины</w:t>
            </w:r>
          </w:p>
        </w:tc>
        <w:tc>
          <w:tcPr>
            <w:tcW w:w="1797" w:type="dxa"/>
            <w:hideMark/>
          </w:tcPr>
          <w:p w14:paraId="1CC8FD0F"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446,77</w:t>
            </w:r>
          </w:p>
        </w:tc>
        <w:tc>
          <w:tcPr>
            <w:tcW w:w="1838" w:type="dxa"/>
          </w:tcPr>
          <w:p w14:paraId="65A0DDDF"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46,54</w:t>
            </w:r>
          </w:p>
        </w:tc>
        <w:tc>
          <w:tcPr>
            <w:tcW w:w="1894" w:type="dxa"/>
          </w:tcPr>
          <w:p w14:paraId="676CA168"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83,77</w:t>
            </w:r>
          </w:p>
        </w:tc>
      </w:tr>
      <w:tr w:rsidR="00904709" w:rsidRPr="000B2A05" w14:paraId="33996338" w14:textId="77777777" w:rsidTr="00FC2E89">
        <w:trPr>
          <w:trHeight w:val="288"/>
        </w:trPr>
        <w:tc>
          <w:tcPr>
            <w:tcW w:w="1985" w:type="dxa"/>
            <w:vMerge w:val="restart"/>
            <w:noWrap/>
            <w:vAlign w:val="center"/>
            <w:hideMark/>
          </w:tcPr>
          <w:p w14:paraId="3439D481" w14:textId="77777777" w:rsidR="00904709" w:rsidRPr="000B2A05"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2015</w:t>
            </w:r>
          </w:p>
        </w:tc>
        <w:tc>
          <w:tcPr>
            <w:tcW w:w="1984" w:type="dxa"/>
            <w:noWrap/>
            <w:vAlign w:val="bottom"/>
            <w:hideMark/>
          </w:tcPr>
          <w:p w14:paraId="299A15C8"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всего</w:t>
            </w:r>
          </w:p>
        </w:tc>
        <w:tc>
          <w:tcPr>
            <w:tcW w:w="1797" w:type="dxa"/>
            <w:hideMark/>
          </w:tcPr>
          <w:p w14:paraId="174266FC"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804,37</w:t>
            </w:r>
          </w:p>
        </w:tc>
        <w:tc>
          <w:tcPr>
            <w:tcW w:w="1838" w:type="dxa"/>
          </w:tcPr>
          <w:p w14:paraId="69759667"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83,79</w:t>
            </w:r>
          </w:p>
        </w:tc>
        <w:tc>
          <w:tcPr>
            <w:tcW w:w="1894" w:type="dxa"/>
          </w:tcPr>
          <w:p w14:paraId="5F17EAD9"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150,82</w:t>
            </w:r>
          </w:p>
        </w:tc>
      </w:tr>
      <w:tr w:rsidR="00904709" w:rsidRPr="000B2A05" w14:paraId="7676BE4A" w14:textId="77777777" w:rsidTr="00FC2E89">
        <w:trPr>
          <w:trHeight w:val="288"/>
        </w:trPr>
        <w:tc>
          <w:tcPr>
            <w:tcW w:w="1985" w:type="dxa"/>
            <w:vMerge/>
            <w:vAlign w:val="center"/>
            <w:hideMark/>
          </w:tcPr>
          <w:p w14:paraId="1E8033C3"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374E8034"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мужчины</w:t>
            </w:r>
          </w:p>
        </w:tc>
        <w:tc>
          <w:tcPr>
            <w:tcW w:w="1797" w:type="dxa"/>
            <w:hideMark/>
          </w:tcPr>
          <w:p w14:paraId="599925DA"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1315,81</w:t>
            </w:r>
          </w:p>
        </w:tc>
        <w:tc>
          <w:tcPr>
            <w:tcW w:w="1838" w:type="dxa"/>
          </w:tcPr>
          <w:p w14:paraId="634E09AA"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137,06</w:t>
            </w:r>
          </w:p>
        </w:tc>
        <w:tc>
          <w:tcPr>
            <w:tcW w:w="1894" w:type="dxa"/>
          </w:tcPr>
          <w:p w14:paraId="43D5A70F"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246,71</w:t>
            </w:r>
          </w:p>
        </w:tc>
      </w:tr>
      <w:tr w:rsidR="00904709" w:rsidRPr="000B2A05" w14:paraId="22ACC9A3" w14:textId="77777777" w:rsidTr="00FC2E89">
        <w:trPr>
          <w:trHeight w:val="300"/>
        </w:trPr>
        <w:tc>
          <w:tcPr>
            <w:tcW w:w="1985" w:type="dxa"/>
            <w:vMerge/>
            <w:vAlign w:val="center"/>
            <w:hideMark/>
          </w:tcPr>
          <w:p w14:paraId="446F26E7"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773435DF"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женщины</w:t>
            </w:r>
          </w:p>
        </w:tc>
        <w:tc>
          <w:tcPr>
            <w:tcW w:w="1797" w:type="dxa"/>
            <w:hideMark/>
          </w:tcPr>
          <w:p w14:paraId="29039091"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453,59</w:t>
            </w:r>
          </w:p>
        </w:tc>
        <w:tc>
          <w:tcPr>
            <w:tcW w:w="1838" w:type="dxa"/>
          </w:tcPr>
          <w:p w14:paraId="08CDDB87"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47,25</w:t>
            </w:r>
          </w:p>
        </w:tc>
        <w:tc>
          <w:tcPr>
            <w:tcW w:w="1894" w:type="dxa"/>
          </w:tcPr>
          <w:p w14:paraId="5C6B7D25"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85,05</w:t>
            </w:r>
          </w:p>
        </w:tc>
      </w:tr>
      <w:tr w:rsidR="00904709" w:rsidRPr="000B2A05" w14:paraId="32AF23B4" w14:textId="77777777" w:rsidTr="00FC2E89">
        <w:trPr>
          <w:trHeight w:val="288"/>
        </w:trPr>
        <w:tc>
          <w:tcPr>
            <w:tcW w:w="1985" w:type="dxa"/>
            <w:vMerge w:val="restart"/>
            <w:noWrap/>
            <w:vAlign w:val="center"/>
            <w:hideMark/>
          </w:tcPr>
          <w:p w14:paraId="59C039D8" w14:textId="77777777" w:rsidR="00904709" w:rsidRPr="000B2A05"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2016</w:t>
            </w:r>
          </w:p>
        </w:tc>
        <w:tc>
          <w:tcPr>
            <w:tcW w:w="1984" w:type="dxa"/>
            <w:noWrap/>
            <w:vAlign w:val="bottom"/>
            <w:hideMark/>
          </w:tcPr>
          <w:p w14:paraId="3E78062F"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всего</w:t>
            </w:r>
          </w:p>
        </w:tc>
        <w:tc>
          <w:tcPr>
            <w:tcW w:w="1797" w:type="dxa"/>
            <w:hideMark/>
          </w:tcPr>
          <w:p w14:paraId="1D921670"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949,58</w:t>
            </w:r>
          </w:p>
        </w:tc>
        <w:tc>
          <w:tcPr>
            <w:tcW w:w="1838" w:type="dxa"/>
          </w:tcPr>
          <w:p w14:paraId="0873869B"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98,91</w:t>
            </w:r>
          </w:p>
        </w:tc>
        <w:tc>
          <w:tcPr>
            <w:tcW w:w="1894" w:type="dxa"/>
          </w:tcPr>
          <w:p w14:paraId="52FF9976"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178,05</w:t>
            </w:r>
          </w:p>
        </w:tc>
      </w:tr>
      <w:tr w:rsidR="00904709" w:rsidRPr="000B2A05" w14:paraId="08950B48" w14:textId="77777777" w:rsidTr="00FC2E89">
        <w:trPr>
          <w:trHeight w:val="288"/>
        </w:trPr>
        <w:tc>
          <w:tcPr>
            <w:tcW w:w="1985" w:type="dxa"/>
            <w:vMerge/>
            <w:vAlign w:val="center"/>
            <w:hideMark/>
          </w:tcPr>
          <w:p w14:paraId="03F97015"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134D983E"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мужчины</w:t>
            </w:r>
          </w:p>
        </w:tc>
        <w:tc>
          <w:tcPr>
            <w:tcW w:w="1797" w:type="dxa"/>
            <w:hideMark/>
          </w:tcPr>
          <w:p w14:paraId="22D6485C"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1544,00</w:t>
            </w:r>
          </w:p>
        </w:tc>
        <w:tc>
          <w:tcPr>
            <w:tcW w:w="1838" w:type="dxa"/>
          </w:tcPr>
          <w:p w14:paraId="11A2AFFD"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160,83</w:t>
            </w:r>
          </w:p>
        </w:tc>
        <w:tc>
          <w:tcPr>
            <w:tcW w:w="1894" w:type="dxa"/>
          </w:tcPr>
          <w:p w14:paraId="29464A17"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289,50</w:t>
            </w:r>
          </w:p>
        </w:tc>
      </w:tr>
      <w:tr w:rsidR="00904709" w:rsidRPr="000B2A05" w14:paraId="60B116CD" w14:textId="77777777" w:rsidTr="00FC2E89">
        <w:trPr>
          <w:trHeight w:val="300"/>
        </w:trPr>
        <w:tc>
          <w:tcPr>
            <w:tcW w:w="1985" w:type="dxa"/>
            <w:vMerge/>
            <w:vAlign w:val="center"/>
            <w:hideMark/>
          </w:tcPr>
          <w:p w14:paraId="58DE821A"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6B31FB15"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женщины</w:t>
            </w:r>
          </w:p>
        </w:tc>
        <w:tc>
          <w:tcPr>
            <w:tcW w:w="1797" w:type="dxa"/>
            <w:hideMark/>
          </w:tcPr>
          <w:p w14:paraId="777A3416"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552,74</w:t>
            </w:r>
          </w:p>
        </w:tc>
        <w:tc>
          <w:tcPr>
            <w:tcW w:w="1838" w:type="dxa"/>
          </w:tcPr>
          <w:p w14:paraId="262D19B8"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57,58</w:t>
            </w:r>
          </w:p>
        </w:tc>
        <w:tc>
          <w:tcPr>
            <w:tcW w:w="1894" w:type="dxa"/>
          </w:tcPr>
          <w:p w14:paraId="2B4066B6"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103,64</w:t>
            </w:r>
          </w:p>
        </w:tc>
      </w:tr>
      <w:tr w:rsidR="00904709" w:rsidRPr="000B2A05" w14:paraId="1EB4A572" w14:textId="77777777" w:rsidTr="00FC2E89">
        <w:trPr>
          <w:trHeight w:val="288"/>
        </w:trPr>
        <w:tc>
          <w:tcPr>
            <w:tcW w:w="1985" w:type="dxa"/>
            <w:vMerge w:val="restart"/>
            <w:noWrap/>
            <w:vAlign w:val="center"/>
            <w:hideMark/>
          </w:tcPr>
          <w:p w14:paraId="04C4A9A4" w14:textId="77777777" w:rsidR="00904709" w:rsidRPr="000B2A05"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2017</w:t>
            </w:r>
          </w:p>
        </w:tc>
        <w:tc>
          <w:tcPr>
            <w:tcW w:w="1984" w:type="dxa"/>
            <w:noWrap/>
            <w:vAlign w:val="bottom"/>
            <w:hideMark/>
          </w:tcPr>
          <w:p w14:paraId="07ACB307"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всего</w:t>
            </w:r>
          </w:p>
        </w:tc>
        <w:tc>
          <w:tcPr>
            <w:tcW w:w="1797" w:type="dxa"/>
            <w:hideMark/>
          </w:tcPr>
          <w:p w14:paraId="075CBABC"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992,35</w:t>
            </w:r>
          </w:p>
        </w:tc>
        <w:tc>
          <w:tcPr>
            <w:tcW w:w="1838" w:type="dxa"/>
          </w:tcPr>
          <w:p w14:paraId="0B7471B4"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103,37</w:t>
            </w:r>
          </w:p>
        </w:tc>
        <w:tc>
          <w:tcPr>
            <w:tcW w:w="1894" w:type="dxa"/>
          </w:tcPr>
          <w:p w14:paraId="0D3AAABC"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186,07</w:t>
            </w:r>
          </w:p>
        </w:tc>
      </w:tr>
      <w:tr w:rsidR="00904709" w:rsidRPr="000B2A05" w14:paraId="4004E60A" w14:textId="77777777" w:rsidTr="00FC2E89">
        <w:trPr>
          <w:trHeight w:val="288"/>
        </w:trPr>
        <w:tc>
          <w:tcPr>
            <w:tcW w:w="1985" w:type="dxa"/>
            <w:vMerge/>
            <w:vAlign w:val="center"/>
            <w:hideMark/>
          </w:tcPr>
          <w:p w14:paraId="133BD445"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794B03F9"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мужчины</w:t>
            </w:r>
          </w:p>
        </w:tc>
        <w:tc>
          <w:tcPr>
            <w:tcW w:w="1797" w:type="dxa"/>
            <w:hideMark/>
          </w:tcPr>
          <w:p w14:paraId="4DE46E67"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1573,02</w:t>
            </w:r>
          </w:p>
        </w:tc>
        <w:tc>
          <w:tcPr>
            <w:tcW w:w="1838" w:type="dxa"/>
          </w:tcPr>
          <w:p w14:paraId="4F6C4480"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163,86</w:t>
            </w:r>
          </w:p>
        </w:tc>
        <w:tc>
          <w:tcPr>
            <w:tcW w:w="1894" w:type="dxa"/>
          </w:tcPr>
          <w:p w14:paraId="078CCF99"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294,94</w:t>
            </w:r>
          </w:p>
        </w:tc>
      </w:tr>
      <w:tr w:rsidR="00904709" w:rsidRPr="000B2A05" w14:paraId="5BD9F2B9" w14:textId="77777777" w:rsidTr="00FC2E89">
        <w:trPr>
          <w:trHeight w:val="300"/>
        </w:trPr>
        <w:tc>
          <w:tcPr>
            <w:tcW w:w="1985" w:type="dxa"/>
            <w:vMerge/>
            <w:vAlign w:val="center"/>
            <w:hideMark/>
          </w:tcPr>
          <w:p w14:paraId="16F9F616"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0E62656A"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женщины</w:t>
            </w:r>
          </w:p>
        </w:tc>
        <w:tc>
          <w:tcPr>
            <w:tcW w:w="1797" w:type="dxa"/>
            <w:hideMark/>
          </w:tcPr>
          <w:p w14:paraId="6FD9488E"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606,75</w:t>
            </w:r>
          </w:p>
        </w:tc>
        <w:tc>
          <w:tcPr>
            <w:tcW w:w="1838" w:type="dxa"/>
          </w:tcPr>
          <w:p w14:paraId="7DC16080"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63,20</w:t>
            </w:r>
          </w:p>
        </w:tc>
        <w:tc>
          <w:tcPr>
            <w:tcW w:w="1894" w:type="dxa"/>
          </w:tcPr>
          <w:p w14:paraId="7EA00482"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113,77</w:t>
            </w:r>
          </w:p>
        </w:tc>
      </w:tr>
      <w:tr w:rsidR="00904709" w:rsidRPr="000B2A05" w14:paraId="32C213B1" w14:textId="77777777" w:rsidTr="00FC2E89">
        <w:trPr>
          <w:trHeight w:val="288"/>
        </w:trPr>
        <w:tc>
          <w:tcPr>
            <w:tcW w:w="1985" w:type="dxa"/>
            <w:vMerge w:val="restart"/>
            <w:noWrap/>
            <w:vAlign w:val="center"/>
            <w:hideMark/>
          </w:tcPr>
          <w:p w14:paraId="53419B04" w14:textId="77777777" w:rsidR="00904709" w:rsidRPr="000B2A05"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2018</w:t>
            </w:r>
          </w:p>
        </w:tc>
        <w:tc>
          <w:tcPr>
            <w:tcW w:w="1984" w:type="dxa"/>
            <w:noWrap/>
            <w:vAlign w:val="bottom"/>
            <w:hideMark/>
          </w:tcPr>
          <w:p w14:paraId="16E4D34E"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всего</w:t>
            </w:r>
          </w:p>
        </w:tc>
        <w:tc>
          <w:tcPr>
            <w:tcW w:w="1797" w:type="dxa"/>
            <w:hideMark/>
          </w:tcPr>
          <w:p w14:paraId="638B0B8F"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547,82</w:t>
            </w:r>
          </w:p>
        </w:tc>
        <w:tc>
          <w:tcPr>
            <w:tcW w:w="1838" w:type="dxa"/>
          </w:tcPr>
          <w:p w14:paraId="68475DF0"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57,07</w:t>
            </w:r>
          </w:p>
        </w:tc>
        <w:tc>
          <w:tcPr>
            <w:tcW w:w="1894" w:type="dxa"/>
          </w:tcPr>
          <w:p w14:paraId="14EBBD19"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102,72</w:t>
            </w:r>
          </w:p>
        </w:tc>
      </w:tr>
      <w:tr w:rsidR="00904709" w:rsidRPr="000B2A05" w14:paraId="20F418FF" w14:textId="77777777" w:rsidTr="00FC2E89">
        <w:trPr>
          <w:trHeight w:val="288"/>
        </w:trPr>
        <w:tc>
          <w:tcPr>
            <w:tcW w:w="1985" w:type="dxa"/>
            <w:vMerge/>
            <w:vAlign w:val="center"/>
            <w:hideMark/>
          </w:tcPr>
          <w:p w14:paraId="5A7A3C33"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1E6454A2"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мужчины</w:t>
            </w:r>
          </w:p>
        </w:tc>
        <w:tc>
          <w:tcPr>
            <w:tcW w:w="1797" w:type="dxa"/>
            <w:hideMark/>
          </w:tcPr>
          <w:p w14:paraId="0A0F981B"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843,89</w:t>
            </w:r>
          </w:p>
        </w:tc>
        <w:tc>
          <w:tcPr>
            <w:tcW w:w="1838" w:type="dxa"/>
          </w:tcPr>
          <w:p w14:paraId="134B01B4"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87,91</w:t>
            </w:r>
          </w:p>
        </w:tc>
        <w:tc>
          <w:tcPr>
            <w:tcW w:w="1894" w:type="dxa"/>
          </w:tcPr>
          <w:p w14:paraId="3F8D0B37"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158,23</w:t>
            </w:r>
          </w:p>
        </w:tc>
      </w:tr>
      <w:tr w:rsidR="00904709" w:rsidRPr="000B2A05" w14:paraId="5AA7A74E" w14:textId="77777777" w:rsidTr="00FC2E89">
        <w:trPr>
          <w:trHeight w:val="300"/>
        </w:trPr>
        <w:tc>
          <w:tcPr>
            <w:tcW w:w="1985" w:type="dxa"/>
            <w:vMerge/>
            <w:vAlign w:val="center"/>
            <w:hideMark/>
          </w:tcPr>
          <w:p w14:paraId="4F6FA436"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08FB8097"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женщины</w:t>
            </w:r>
          </w:p>
        </w:tc>
        <w:tc>
          <w:tcPr>
            <w:tcW w:w="1797" w:type="dxa"/>
            <w:hideMark/>
          </w:tcPr>
          <w:p w14:paraId="3380D395"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362,66</w:t>
            </w:r>
          </w:p>
        </w:tc>
        <w:tc>
          <w:tcPr>
            <w:tcW w:w="1838" w:type="dxa"/>
          </w:tcPr>
          <w:p w14:paraId="7041D3D7"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37,78</w:t>
            </w:r>
          </w:p>
        </w:tc>
        <w:tc>
          <w:tcPr>
            <w:tcW w:w="1894" w:type="dxa"/>
          </w:tcPr>
          <w:p w14:paraId="2868E1B5"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68,00</w:t>
            </w:r>
          </w:p>
        </w:tc>
      </w:tr>
      <w:tr w:rsidR="00904709" w:rsidRPr="000B2A05" w14:paraId="364A8DC9" w14:textId="77777777" w:rsidTr="00FC2E89">
        <w:trPr>
          <w:trHeight w:val="288"/>
        </w:trPr>
        <w:tc>
          <w:tcPr>
            <w:tcW w:w="1985" w:type="dxa"/>
            <w:vMerge w:val="restart"/>
            <w:noWrap/>
            <w:vAlign w:val="center"/>
            <w:hideMark/>
          </w:tcPr>
          <w:p w14:paraId="6CCA5145" w14:textId="77777777" w:rsidR="00904709" w:rsidRPr="000B2A05"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lastRenderedPageBreak/>
              <w:t>2019</w:t>
            </w:r>
          </w:p>
        </w:tc>
        <w:tc>
          <w:tcPr>
            <w:tcW w:w="1984" w:type="dxa"/>
            <w:noWrap/>
            <w:vAlign w:val="bottom"/>
            <w:hideMark/>
          </w:tcPr>
          <w:p w14:paraId="289CC086"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всего</w:t>
            </w:r>
          </w:p>
        </w:tc>
        <w:tc>
          <w:tcPr>
            <w:tcW w:w="1797" w:type="dxa"/>
            <w:hideMark/>
          </w:tcPr>
          <w:p w14:paraId="2092A348"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193,15</w:t>
            </w:r>
          </w:p>
        </w:tc>
        <w:tc>
          <w:tcPr>
            <w:tcW w:w="1838" w:type="dxa"/>
          </w:tcPr>
          <w:p w14:paraId="348EC963"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20,12</w:t>
            </w:r>
          </w:p>
        </w:tc>
        <w:tc>
          <w:tcPr>
            <w:tcW w:w="1894" w:type="dxa"/>
          </w:tcPr>
          <w:p w14:paraId="64D0B8B3"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36,22</w:t>
            </w:r>
          </w:p>
        </w:tc>
      </w:tr>
      <w:tr w:rsidR="00904709" w:rsidRPr="000B2A05" w14:paraId="2B09B44F" w14:textId="77777777" w:rsidTr="00FC2E89">
        <w:trPr>
          <w:trHeight w:val="288"/>
        </w:trPr>
        <w:tc>
          <w:tcPr>
            <w:tcW w:w="1985" w:type="dxa"/>
            <w:vMerge/>
            <w:vAlign w:val="center"/>
            <w:hideMark/>
          </w:tcPr>
          <w:p w14:paraId="652E1AEE"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34CBFE2B"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мужчины</w:t>
            </w:r>
          </w:p>
        </w:tc>
        <w:tc>
          <w:tcPr>
            <w:tcW w:w="1797" w:type="dxa"/>
            <w:hideMark/>
          </w:tcPr>
          <w:p w14:paraId="10E28C12"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275,09</w:t>
            </w:r>
          </w:p>
        </w:tc>
        <w:tc>
          <w:tcPr>
            <w:tcW w:w="1838" w:type="dxa"/>
          </w:tcPr>
          <w:p w14:paraId="5E2436D9"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28,66</w:t>
            </w:r>
          </w:p>
        </w:tc>
        <w:tc>
          <w:tcPr>
            <w:tcW w:w="1894" w:type="dxa"/>
          </w:tcPr>
          <w:p w14:paraId="2E591865"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51,58</w:t>
            </w:r>
          </w:p>
        </w:tc>
      </w:tr>
      <w:tr w:rsidR="00904709" w:rsidRPr="000B2A05" w14:paraId="7BDDE90F" w14:textId="77777777" w:rsidTr="00FC2E89">
        <w:trPr>
          <w:trHeight w:val="300"/>
        </w:trPr>
        <w:tc>
          <w:tcPr>
            <w:tcW w:w="1985" w:type="dxa"/>
            <w:vMerge/>
            <w:vAlign w:val="center"/>
            <w:hideMark/>
          </w:tcPr>
          <w:p w14:paraId="2E56F778"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596075FB"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женщины</w:t>
            </w:r>
          </w:p>
        </w:tc>
        <w:tc>
          <w:tcPr>
            <w:tcW w:w="1797" w:type="dxa"/>
            <w:hideMark/>
          </w:tcPr>
          <w:p w14:paraId="649B11A5"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141,64</w:t>
            </w:r>
          </w:p>
        </w:tc>
        <w:tc>
          <w:tcPr>
            <w:tcW w:w="1838" w:type="dxa"/>
          </w:tcPr>
          <w:p w14:paraId="2C00E3A0"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14,75</w:t>
            </w:r>
          </w:p>
        </w:tc>
        <w:tc>
          <w:tcPr>
            <w:tcW w:w="1894" w:type="dxa"/>
          </w:tcPr>
          <w:p w14:paraId="39292E31"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26,56</w:t>
            </w:r>
          </w:p>
        </w:tc>
      </w:tr>
      <w:tr w:rsidR="00904709" w:rsidRPr="000B2A05" w14:paraId="4215E170" w14:textId="77777777" w:rsidTr="00FC2E89">
        <w:trPr>
          <w:trHeight w:val="288"/>
        </w:trPr>
        <w:tc>
          <w:tcPr>
            <w:tcW w:w="1985" w:type="dxa"/>
            <w:vMerge w:val="restart"/>
            <w:noWrap/>
            <w:vAlign w:val="center"/>
            <w:hideMark/>
          </w:tcPr>
          <w:p w14:paraId="0B42EDCC" w14:textId="77777777" w:rsidR="00904709" w:rsidRPr="000B2A05"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2020</w:t>
            </w:r>
          </w:p>
        </w:tc>
        <w:tc>
          <w:tcPr>
            <w:tcW w:w="1984" w:type="dxa"/>
            <w:noWrap/>
            <w:vAlign w:val="bottom"/>
            <w:hideMark/>
          </w:tcPr>
          <w:p w14:paraId="21A95CA4"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всего</w:t>
            </w:r>
          </w:p>
        </w:tc>
        <w:tc>
          <w:tcPr>
            <w:tcW w:w="1797" w:type="dxa"/>
            <w:hideMark/>
          </w:tcPr>
          <w:p w14:paraId="7953B586"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704,78</w:t>
            </w:r>
          </w:p>
        </w:tc>
        <w:tc>
          <w:tcPr>
            <w:tcW w:w="1838" w:type="dxa"/>
          </w:tcPr>
          <w:p w14:paraId="1B67CD7E"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73,41</w:t>
            </w:r>
          </w:p>
        </w:tc>
        <w:tc>
          <w:tcPr>
            <w:tcW w:w="1894" w:type="dxa"/>
          </w:tcPr>
          <w:p w14:paraId="78431F54"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132,15</w:t>
            </w:r>
          </w:p>
        </w:tc>
      </w:tr>
      <w:tr w:rsidR="00904709" w:rsidRPr="000B2A05" w14:paraId="3398A0F0" w14:textId="77777777" w:rsidTr="00FC2E89">
        <w:trPr>
          <w:trHeight w:val="288"/>
        </w:trPr>
        <w:tc>
          <w:tcPr>
            <w:tcW w:w="1985" w:type="dxa"/>
            <w:vMerge/>
            <w:vAlign w:val="center"/>
            <w:hideMark/>
          </w:tcPr>
          <w:p w14:paraId="5C764C58"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415BB0D3"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мужчины</w:t>
            </w:r>
          </w:p>
        </w:tc>
        <w:tc>
          <w:tcPr>
            <w:tcW w:w="1797" w:type="dxa"/>
            <w:hideMark/>
          </w:tcPr>
          <w:p w14:paraId="759B54DB"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1134,52</w:t>
            </w:r>
          </w:p>
        </w:tc>
        <w:tc>
          <w:tcPr>
            <w:tcW w:w="1838" w:type="dxa"/>
          </w:tcPr>
          <w:p w14:paraId="63135D54"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118,18</w:t>
            </w:r>
          </w:p>
        </w:tc>
        <w:tc>
          <w:tcPr>
            <w:tcW w:w="1894" w:type="dxa"/>
          </w:tcPr>
          <w:p w14:paraId="78F03E72"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212,72</w:t>
            </w:r>
          </w:p>
        </w:tc>
      </w:tr>
      <w:tr w:rsidR="00904709" w:rsidRPr="000B2A05" w14:paraId="10E3B4BB" w14:textId="77777777" w:rsidTr="00FC2E89">
        <w:trPr>
          <w:trHeight w:val="300"/>
        </w:trPr>
        <w:tc>
          <w:tcPr>
            <w:tcW w:w="1985" w:type="dxa"/>
            <w:vMerge/>
            <w:vAlign w:val="center"/>
            <w:hideMark/>
          </w:tcPr>
          <w:p w14:paraId="0162E50B"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49F97FE8"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женщины</w:t>
            </w:r>
          </w:p>
        </w:tc>
        <w:tc>
          <w:tcPr>
            <w:tcW w:w="1797" w:type="dxa"/>
            <w:hideMark/>
          </w:tcPr>
          <w:p w14:paraId="03ACC7DE"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421,27</w:t>
            </w:r>
          </w:p>
        </w:tc>
        <w:tc>
          <w:tcPr>
            <w:tcW w:w="1838" w:type="dxa"/>
          </w:tcPr>
          <w:p w14:paraId="167C53C3"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43,88</w:t>
            </w:r>
          </w:p>
        </w:tc>
        <w:tc>
          <w:tcPr>
            <w:tcW w:w="1894" w:type="dxa"/>
          </w:tcPr>
          <w:p w14:paraId="3AA61796"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78,99</w:t>
            </w:r>
          </w:p>
        </w:tc>
      </w:tr>
      <w:tr w:rsidR="00904709" w:rsidRPr="000B2A05" w14:paraId="4186229D" w14:textId="77777777" w:rsidTr="00FC2E89">
        <w:trPr>
          <w:trHeight w:val="288"/>
        </w:trPr>
        <w:tc>
          <w:tcPr>
            <w:tcW w:w="1985" w:type="dxa"/>
            <w:vMerge w:val="restart"/>
            <w:noWrap/>
            <w:vAlign w:val="center"/>
            <w:hideMark/>
          </w:tcPr>
          <w:p w14:paraId="0A99183E" w14:textId="77777777" w:rsidR="00904709" w:rsidRPr="000B2A05"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2021</w:t>
            </w:r>
          </w:p>
        </w:tc>
        <w:tc>
          <w:tcPr>
            <w:tcW w:w="1984" w:type="dxa"/>
            <w:noWrap/>
            <w:vAlign w:val="bottom"/>
            <w:hideMark/>
          </w:tcPr>
          <w:p w14:paraId="2E43BFBE"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всего</w:t>
            </w:r>
          </w:p>
        </w:tc>
        <w:tc>
          <w:tcPr>
            <w:tcW w:w="1797" w:type="dxa"/>
            <w:hideMark/>
          </w:tcPr>
          <w:p w14:paraId="781F9EDB"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1728,77</w:t>
            </w:r>
          </w:p>
        </w:tc>
        <w:tc>
          <w:tcPr>
            <w:tcW w:w="1838" w:type="dxa"/>
          </w:tcPr>
          <w:p w14:paraId="701E38A8"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180,08</w:t>
            </w:r>
          </w:p>
        </w:tc>
        <w:tc>
          <w:tcPr>
            <w:tcW w:w="1894" w:type="dxa"/>
          </w:tcPr>
          <w:p w14:paraId="52708409"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324,14</w:t>
            </w:r>
          </w:p>
        </w:tc>
      </w:tr>
      <w:tr w:rsidR="00904709" w:rsidRPr="000B2A05" w14:paraId="5A6290B6" w14:textId="77777777" w:rsidTr="00FC2E89">
        <w:trPr>
          <w:trHeight w:val="288"/>
        </w:trPr>
        <w:tc>
          <w:tcPr>
            <w:tcW w:w="1985" w:type="dxa"/>
            <w:vMerge/>
            <w:vAlign w:val="center"/>
            <w:hideMark/>
          </w:tcPr>
          <w:p w14:paraId="51EAB69A"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346C1C6B"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мужчины</w:t>
            </w:r>
          </w:p>
        </w:tc>
        <w:tc>
          <w:tcPr>
            <w:tcW w:w="1797" w:type="dxa"/>
            <w:hideMark/>
          </w:tcPr>
          <w:p w14:paraId="328B12FB"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2739,48</w:t>
            </w:r>
          </w:p>
        </w:tc>
        <w:tc>
          <w:tcPr>
            <w:tcW w:w="1838" w:type="dxa"/>
          </w:tcPr>
          <w:p w14:paraId="1C64066C"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285,36</w:t>
            </w:r>
          </w:p>
        </w:tc>
        <w:tc>
          <w:tcPr>
            <w:tcW w:w="1894" w:type="dxa"/>
          </w:tcPr>
          <w:p w14:paraId="44570B8A"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513,65</w:t>
            </w:r>
          </w:p>
        </w:tc>
      </w:tr>
      <w:tr w:rsidR="00904709" w:rsidRPr="000B2A05" w14:paraId="19031AA5" w14:textId="77777777" w:rsidTr="00FC2E89">
        <w:trPr>
          <w:trHeight w:val="300"/>
        </w:trPr>
        <w:tc>
          <w:tcPr>
            <w:tcW w:w="1985" w:type="dxa"/>
            <w:vMerge/>
            <w:vAlign w:val="center"/>
            <w:hideMark/>
          </w:tcPr>
          <w:p w14:paraId="12567F52"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1B5F212B"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женщины</w:t>
            </w:r>
          </w:p>
        </w:tc>
        <w:tc>
          <w:tcPr>
            <w:tcW w:w="1797" w:type="dxa"/>
            <w:hideMark/>
          </w:tcPr>
          <w:p w14:paraId="2B8820D3"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1073,24</w:t>
            </w:r>
          </w:p>
        </w:tc>
        <w:tc>
          <w:tcPr>
            <w:tcW w:w="1838" w:type="dxa"/>
          </w:tcPr>
          <w:p w14:paraId="20600CF4"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111,80</w:t>
            </w:r>
          </w:p>
        </w:tc>
        <w:tc>
          <w:tcPr>
            <w:tcW w:w="1894" w:type="dxa"/>
          </w:tcPr>
          <w:p w14:paraId="1FDDBF5D"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201,23</w:t>
            </w:r>
          </w:p>
        </w:tc>
      </w:tr>
      <w:tr w:rsidR="00904709" w:rsidRPr="000B2A05" w14:paraId="7D131EAB" w14:textId="77777777" w:rsidTr="00FC2E89">
        <w:trPr>
          <w:trHeight w:val="288"/>
        </w:trPr>
        <w:tc>
          <w:tcPr>
            <w:tcW w:w="1985" w:type="dxa"/>
            <w:vMerge w:val="restart"/>
            <w:noWrap/>
            <w:vAlign w:val="center"/>
            <w:hideMark/>
          </w:tcPr>
          <w:p w14:paraId="2721E6D6" w14:textId="77777777" w:rsidR="00904709" w:rsidRPr="000B2A05"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2022</w:t>
            </w:r>
          </w:p>
        </w:tc>
        <w:tc>
          <w:tcPr>
            <w:tcW w:w="1984" w:type="dxa"/>
            <w:noWrap/>
            <w:vAlign w:val="bottom"/>
            <w:hideMark/>
          </w:tcPr>
          <w:p w14:paraId="5AA170BD"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всего</w:t>
            </w:r>
          </w:p>
        </w:tc>
        <w:tc>
          <w:tcPr>
            <w:tcW w:w="1797" w:type="dxa"/>
            <w:hideMark/>
          </w:tcPr>
          <w:p w14:paraId="7E6EEA0F"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1028,62</w:t>
            </w:r>
          </w:p>
        </w:tc>
        <w:tc>
          <w:tcPr>
            <w:tcW w:w="1838" w:type="dxa"/>
          </w:tcPr>
          <w:p w14:paraId="001634C5"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107,15</w:t>
            </w:r>
          </w:p>
        </w:tc>
        <w:tc>
          <w:tcPr>
            <w:tcW w:w="1894" w:type="dxa"/>
          </w:tcPr>
          <w:p w14:paraId="6EF30BA8"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192,87</w:t>
            </w:r>
          </w:p>
        </w:tc>
      </w:tr>
      <w:tr w:rsidR="00904709" w:rsidRPr="000B2A05" w14:paraId="4C470C2C" w14:textId="77777777" w:rsidTr="00FC2E89">
        <w:trPr>
          <w:trHeight w:val="288"/>
        </w:trPr>
        <w:tc>
          <w:tcPr>
            <w:tcW w:w="1985" w:type="dxa"/>
            <w:vMerge/>
            <w:vAlign w:val="center"/>
            <w:hideMark/>
          </w:tcPr>
          <w:p w14:paraId="618C90A9"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68969E0D"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мужчины</w:t>
            </w:r>
          </w:p>
        </w:tc>
        <w:tc>
          <w:tcPr>
            <w:tcW w:w="1797" w:type="dxa"/>
            <w:hideMark/>
          </w:tcPr>
          <w:p w14:paraId="753A3FD2"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1762,80</w:t>
            </w:r>
          </w:p>
        </w:tc>
        <w:tc>
          <w:tcPr>
            <w:tcW w:w="1838" w:type="dxa"/>
          </w:tcPr>
          <w:p w14:paraId="56AF5918"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183,62</w:t>
            </w:r>
          </w:p>
        </w:tc>
        <w:tc>
          <w:tcPr>
            <w:tcW w:w="1894" w:type="dxa"/>
          </w:tcPr>
          <w:p w14:paraId="1FF9C6A9"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330,52</w:t>
            </w:r>
          </w:p>
        </w:tc>
      </w:tr>
      <w:tr w:rsidR="00904709" w:rsidRPr="000B2A05" w14:paraId="37C69223" w14:textId="77777777" w:rsidTr="00FC2E89">
        <w:trPr>
          <w:trHeight w:val="300"/>
        </w:trPr>
        <w:tc>
          <w:tcPr>
            <w:tcW w:w="1985" w:type="dxa"/>
            <w:vMerge/>
            <w:vAlign w:val="center"/>
            <w:hideMark/>
          </w:tcPr>
          <w:p w14:paraId="5CAAD876"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213F16F6"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женщины</w:t>
            </w:r>
          </w:p>
        </w:tc>
        <w:tc>
          <w:tcPr>
            <w:tcW w:w="1797" w:type="dxa"/>
            <w:hideMark/>
          </w:tcPr>
          <w:p w14:paraId="0C60AB05"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516,01</w:t>
            </w:r>
          </w:p>
        </w:tc>
        <w:tc>
          <w:tcPr>
            <w:tcW w:w="1838" w:type="dxa"/>
          </w:tcPr>
          <w:p w14:paraId="738D9583"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53,75</w:t>
            </w:r>
          </w:p>
        </w:tc>
        <w:tc>
          <w:tcPr>
            <w:tcW w:w="1894" w:type="dxa"/>
          </w:tcPr>
          <w:p w14:paraId="19ADB35C"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96,75</w:t>
            </w:r>
          </w:p>
        </w:tc>
      </w:tr>
      <w:tr w:rsidR="00904709" w:rsidRPr="000B2A05" w14:paraId="6DD51AC7" w14:textId="77777777" w:rsidTr="00FC2E89">
        <w:trPr>
          <w:trHeight w:val="288"/>
        </w:trPr>
        <w:tc>
          <w:tcPr>
            <w:tcW w:w="1985" w:type="dxa"/>
            <w:vMerge w:val="restart"/>
            <w:noWrap/>
            <w:vAlign w:val="center"/>
            <w:hideMark/>
          </w:tcPr>
          <w:p w14:paraId="57E107A7" w14:textId="77777777" w:rsidR="00904709" w:rsidRPr="000B2A05"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2023</w:t>
            </w:r>
          </w:p>
        </w:tc>
        <w:tc>
          <w:tcPr>
            <w:tcW w:w="1984" w:type="dxa"/>
            <w:noWrap/>
            <w:vAlign w:val="bottom"/>
            <w:hideMark/>
          </w:tcPr>
          <w:p w14:paraId="6EEF81AF"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всего</w:t>
            </w:r>
          </w:p>
        </w:tc>
        <w:tc>
          <w:tcPr>
            <w:tcW w:w="1797" w:type="dxa"/>
            <w:hideMark/>
          </w:tcPr>
          <w:p w14:paraId="754F059D"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764,02</w:t>
            </w:r>
          </w:p>
        </w:tc>
        <w:tc>
          <w:tcPr>
            <w:tcW w:w="1838" w:type="dxa"/>
          </w:tcPr>
          <w:p w14:paraId="73975FBA"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79,59</w:t>
            </w:r>
          </w:p>
        </w:tc>
        <w:tc>
          <w:tcPr>
            <w:tcW w:w="1894" w:type="dxa"/>
          </w:tcPr>
          <w:p w14:paraId="114060FA"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143,25</w:t>
            </w:r>
          </w:p>
        </w:tc>
      </w:tr>
      <w:tr w:rsidR="00904709" w:rsidRPr="000B2A05" w14:paraId="3A919A63" w14:textId="77777777" w:rsidTr="00FC2E89">
        <w:trPr>
          <w:trHeight w:val="288"/>
        </w:trPr>
        <w:tc>
          <w:tcPr>
            <w:tcW w:w="1985" w:type="dxa"/>
            <w:vMerge/>
            <w:vAlign w:val="center"/>
            <w:hideMark/>
          </w:tcPr>
          <w:p w14:paraId="23713AD5"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49EABEA4"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мужчины</w:t>
            </w:r>
          </w:p>
        </w:tc>
        <w:tc>
          <w:tcPr>
            <w:tcW w:w="1797" w:type="dxa"/>
            <w:hideMark/>
          </w:tcPr>
          <w:p w14:paraId="4DA07B6F"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1313,95</w:t>
            </w:r>
          </w:p>
        </w:tc>
        <w:tc>
          <w:tcPr>
            <w:tcW w:w="1838" w:type="dxa"/>
          </w:tcPr>
          <w:p w14:paraId="20AC33B5"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136,87</w:t>
            </w:r>
          </w:p>
        </w:tc>
        <w:tc>
          <w:tcPr>
            <w:tcW w:w="1894" w:type="dxa"/>
          </w:tcPr>
          <w:p w14:paraId="09486D31"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246,37</w:t>
            </w:r>
          </w:p>
        </w:tc>
      </w:tr>
      <w:tr w:rsidR="00904709" w:rsidRPr="000B2A05" w14:paraId="214868E3" w14:textId="77777777" w:rsidTr="00FC2E89">
        <w:trPr>
          <w:trHeight w:val="300"/>
        </w:trPr>
        <w:tc>
          <w:tcPr>
            <w:tcW w:w="1985" w:type="dxa"/>
            <w:vMerge/>
            <w:vAlign w:val="center"/>
            <w:hideMark/>
          </w:tcPr>
          <w:p w14:paraId="7EDC9A88"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hideMark/>
          </w:tcPr>
          <w:p w14:paraId="70215A0D" w14:textId="77777777" w:rsidR="00904709" w:rsidRPr="000B2A05" w:rsidRDefault="00904709" w:rsidP="000F4E51">
            <w:pPr>
              <w:spacing w:after="0" w:line="240" w:lineRule="auto"/>
              <w:rPr>
                <w:rFonts w:ascii="Times New Roman" w:eastAsia="Times New Roman" w:hAnsi="Times New Roman" w:cs="Times New Roman"/>
                <w:color w:val="000000"/>
                <w:sz w:val="24"/>
                <w:szCs w:val="24"/>
                <w:lang w:eastAsia="ru-RU"/>
              </w:rPr>
            </w:pPr>
            <w:r w:rsidRPr="000B2A05">
              <w:rPr>
                <w:rFonts w:ascii="Times New Roman" w:eastAsia="Times New Roman" w:hAnsi="Times New Roman" w:cs="Times New Roman"/>
                <w:color w:val="000000"/>
                <w:sz w:val="24"/>
                <w:szCs w:val="24"/>
                <w:lang w:eastAsia="ru-RU"/>
              </w:rPr>
              <w:t>женщины</w:t>
            </w:r>
          </w:p>
        </w:tc>
        <w:tc>
          <w:tcPr>
            <w:tcW w:w="1797" w:type="dxa"/>
            <w:hideMark/>
          </w:tcPr>
          <w:p w14:paraId="4A888E4C"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388,48</w:t>
            </w:r>
          </w:p>
        </w:tc>
        <w:tc>
          <w:tcPr>
            <w:tcW w:w="1838" w:type="dxa"/>
          </w:tcPr>
          <w:p w14:paraId="73C7D0E6"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40,47</w:t>
            </w:r>
          </w:p>
        </w:tc>
        <w:tc>
          <w:tcPr>
            <w:tcW w:w="1894" w:type="dxa"/>
          </w:tcPr>
          <w:p w14:paraId="53A5F8D8"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0B2A05">
              <w:rPr>
                <w:rFonts w:ascii="Times New Roman" w:eastAsia="Times New Roman" w:hAnsi="Times New Roman" w:cs="Times New Roman"/>
                <w:color w:val="1B1B1B"/>
                <w:sz w:val="24"/>
                <w:szCs w:val="24"/>
                <w:lang w:eastAsia="ru-RU"/>
              </w:rPr>
              <w:t>72,84</w:t>
            </w:r>
          </w:p>
        </w:tc>
      </w:tr>
      <w:tr w:rsidR="00904709" w:rsidRPr="000B2A05" w14:paraId="101092E7" w14:textId="77777777" w:rsidTr="00FC2E89">
        <w:trPr>
          <w:trHeight w:val="300"/>
        </w:trPr>
        <w:tc>
          <w:tcPr>
            <w:tcW w:w="1985" w:type="dxa"/>
            <w:vMerge w:val="restart"/>
            <w:vAlign w:val="center"/>
          </w:tcPr>
          <w:p w14:paraId="71EC8DF3" w14:textId="77777777" w:rsidR="00904709" w:rsidRPr="001C21E8"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21E8">
              <w:rPr>
                <w:rFonts w:ascii="Times New Roman" w:eastAsia="Times New Roman" w:hAnsi="Times New Roman" w:cs="Times New Roman"/>
                <w:color w:val="000000"/>
                <w:sz w:val="24"/>
                <w:szCs w:val="24"/>
                <w:lang w:eastAsia="ru-RU"/>
              </w:rPr>
              <w:t>2024</w:t>
            </w:r>
          </w:p>
        </w:tc>
        <w:tc>
          <w:tcPr>
            <w:tcW w:w="1984" w:type="dxa"/>
            <w:noWrap/>
            <w:vAlign w:val="bottom"/>
          </w:tcPr>
          <w:p w14:paraId="1B0E9A0B" w14:textId="77777777" w:rsidR="00904709" w:rsidRPr="001C21E8" w:rsidRDefault="00904709" w:rsidP="000F4E51">
            <w:pPr>
              <w:spacing w:after="0" w:line="240" w:lineRule="auto"/>
              <w:rPr>
                <w:rFonts w:ascii="Times New Roman" w:eastAsia="Times New Roman" w:hAnsi="Times New Roman" w:cs="Times New Roman"/>
                <w:color w:val="000000"/>
                <w:sz w:val="24"/>
                <w:szCs w:val="24"/>
                <w:lang w:eastAsia="ru-RU"/>
              </w:rPr>
            </w:pPr>
            <w:r w:rsidRPr="001C21E8">
              <w:rPr>
                <w:rFonts w:ascii="Times New Roman" w:eastAsia="Times New Roman" w:hAnsi="Times New Roman" w:cs="Times New Roman"/>
                <w:color w:val="000000"/>
                <w:sz w:val="24"/>
                <w:szCs w:val="24"/>
                <w:lang w:eastAsia="ru-RU"/>
              </w:rPr>
              <w:t>всего</w:t>
            </w:r>
          </w:p>
        </w:tc>
        <w:tc>
          <w:tcPr>
            <w:tcW w:w="1797" w:type="dxa"/>
          </w:tcPr>
          <w:p w14:paraId="1A3847BA" w14:textId="77777777" w:rsidR="00904709" w:rsidRPr="001C21E8"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1C21E8">
              <w:rPr>
                <w:rFonts w:ascii="Times New Roman" w:eastAsia="Times New Roman" w:hAnsi="Times New Roman" w:cs="Times New Roman"/>
                <w:color w:val="1B1B1B"/>
                <w:sz w:val="24"/>
                <w:szCs w:val="24"/>
                <w:lang w:eastAsia="ru-RU"/>
              </w:rPr>
              <w:t>676,79</w:t>
            </w:r>
          </w:p>
        </w:tc>
        <w:tc>
          <w:tcPr>
            <w:tcW w:w="1838" w:type="dxa"/>
          </w:tcPr>
          <w:p w14:paraId="7C247918"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FA384D">
              <w:rPr>
                <w:rFonts w:ascii="Times New Roman" w:eastAsia="Times New Roman" w:hAnsi="Times New Roman" w:cs="Times New Roman"/>
                <w:color w:val="1B1B1B"/>
                <w:sz w:val="24"/>
                <w:szCs w:val="24"/>
                <w:lang w:eastAsia="ru-RU"/>
              </w:rPr>
              <w:t>70,50</w:t>
            </w:r>
          </w:p>
        </w:tc>
        <w:tc>
          <w:tcPr>
            <w:tcW w:w="1894" w:type="dxa"/>
          </w:tcPr>
          <w:p w14:paraId="1E467559"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FA384D">
              <w:rPr>
                <w:rFonts w:ascii="Times New Roman" w:eastAsia="Times New Roman" w:hAnsi="Times New Roman" w:cs="Times New Roman"/>
                <w:color w:val="1B1B1B"/>
                <w:sz w:val="24"/>
                <w:szCs w:val="24"/>
                <w:lang w:eastAsia="ru-RU"/>
              </w:rPr>
              <w:t>126,90</w:t>
            </w:r>
          </w:p>
        </w:tc>
      </w:tr>
      <w:tr w:rsidR="00904709" w:rsidRPr="000B2A05" w14:paraId="2C84D725" w14:textId="77777777" w:rsidTr="00FC2E89">
        <w:trPr>
          <w:trHeight w:val="300"/>
        </w:trPr>
        <w:tc>
          <w:tcPr>
            <w:tcW w:w="1985" w:type="dxa"/>
            <w:vMerge/>
            <w:vAlign w:val="center"/>
          </w:tcPr>
          <w:p w14:paraId="66E06AE7" w14:textId="77777777" w:rsidR="00904709" w:rsidRPr="001C21E8"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tcPr>
          <w:p w14:paraId="4A720898" w14:textId="77777777" w:rsidR="00904709" w:rsidRPr="001C21E8" w:rsidRDefault="00904709" w:rsidP="000F4E51">
            <w:pPr>
              <w:spacing w:after="0" w:line="240" w:lineRule="auto"/>
              <w:rPr>
                <w:rFonts w:ascii="Times New Roman" w:eastAsia="Times New Roman" w:hAnsi="Times New Roman" w:cs="Times New Roman"/>
                <w:color w:val="000000"/>
                <w:sz w:val="24"/>
                <w:szCs w:val="24"/>
                <w:lang w:eastAsia="ru-RU"/>
              </w:rPr>
            </w:pPr>
            <w:r w:rsidRPr="001C21E8">
              <w:rPr>
                <w:rFonts w:ascii="Times New Roman" w:eastAsia="Times New Roman" w:hAnsi="Times New Roman" w:cs="Times New Roman"/>
                <w:color w:val="000000"/>
                <w:sz w:val="24"/>
                <w:szCs w:val="24"/>
                <w:lang w:eastAsia="ru-RU"/>
              </w:rPr>
              <w:t>мужчины</w:t>
            </w:r>
          </w:p>
        </w:tc>
        <w:tc>
          <w:tcPr>
            <w:tcW w:w="1797" w:type="dxa"/>
          </w:tcPr>
          <w:p w14:paraId="13C07F8B" w14:textId="77777777" w:rsidR="00904709" w:rsidRPr="001C21E8"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1C21E8">
              <w:rPr>
                <w:rFonts w:ascii="Times New Roman" w:eastAsia="Times New Roman" w:hAnsi="Times New Roman" w:cs="Times New Roman"/>
                <w:color w:val="1B1B1B"/>
                <w:sz w:val="24"/>
                <w:szCs w:val="24"/>
                <w:lang w:eastAsia="ru-RU"/>
              </w:rPr>
              <w:t>1102,98</w:t>
            </w:r>
          </w:p>
        </w:tc>
        <w:tc>
          <w:tcPr>
            <w:tcW w:w="1838" w:type="dxa"/>
          </w:tcPr>
          <w:p w14:paraId="5AE9C68B"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FA384D">
              <w:rPr>
                <w:rFonts w:ascii="Times New Roman" w:eastAsia="Times New Roman" w:hAnsi="Times New Roman" w:cs="Times New Roman"/>
                <w:color w:val="1B1B1B"/>
                <w:sz w:val="24"/>
                <w:szCs w:val="24"/>
                <w:lang w:eastAsia="ru-RU"/>
              </w:rPr>
              <w:t>114,89</w:t>
            </w:r>
          </w:p>
        </w:tc>
        <w:tc>
          <w:tcPr>
            <w:tcW w:w="1894" w:type="dxa"/>
          </w:tcPr>
          <w:p w14:paraId="5572B489"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FA384D">
              <w:rPr>
                <w:rFonts w:ascii="Times New Roman" w:eastAsia="Times New Roman" w:hAnsi="Times New Roman" w:cs="Times New Roman"/>
                <w:color w:val="1B1B1B"/>
                <w:sz w:val="24"/>
                <w:szCs w:val="24"/>
                <w:lang w:eastAsia="ru-RU"/>
              </w:rPr>
              <w:t>206,81</w:t>
            </w:r>
          </w:p>
        </w:tc>
      </w:tr>
      <w:tr w:rsidR="00904709" w:rsidRPr="000B2A05" w14:paraId="63A908D3" w14:textId="77777777" w:rsidTr="00FC2E89">
        <w:trPr>
          <w:trHeight w:val="300"/>
        </w:trPr>
        <w:tc>
          <w:tcPr>
            <w:tcW w:w="1985" w:type="dxa"/>
            <w:vMerge/>
            <w:vAlign w:val="center"/>
          </w:tcPr>
          <w:p w14:paraId="7F3E6514" w14:textId="77777777" w:rsidR="00904709" w:rsidRPr="001C21E8" w:rsidRDefault="00904709" w:rsidP="000F4E51">
            <w:pPr>
              <w:spacing w:after="0" w:line="240" w:lineRule="auto"/>
              <w:rPr>
                <w:rFonts w:ascii="Times New Roman" w:eastAsia="Times New Roman" w:hAnsi="Times New Roman" w:cs="Times New Roman"/>
                <w:color w:val="000000"/>
                <w:sz w:val="24"/>
                <w:szCs w:val="24"/>
                <w:lang w:eastAsia="ru-RU"/>
              </w:rPr>
            </w:pPr>
          </w:p>
        </w:tc>
        <w:tc>
          <w:tcPr>
            <w:tcW w:w="1984" w:type="dxa"/>
            <w:noWrap/>
            <w:vAlign w:val="bottom"/>
          </w:tcPr>
          <w:p w14:paraId="17B8AAC7" w14:textId="77777777" w:rsidR="00904709" w:rsidRPr="001C21E8" w:rsidRDefault="00904709" w:rsidP="000F4E51">
            <w:pPr>
              <w:spacing w:after="0" w:line="240" w:lineRule="auto"/>
              <w:rPr>
                <w:rFonts w:ascii="Times New Roman" w:eastAsia="Times New Roman" w:hAnsi="Times New Roman" w:cs="Times New Roman"/>
                <w:color w:val="000000"/>
                <w:sz w:val="24"/>
                <w:szCs w:val="24"/>
                <w:lang w:eastAsia="ru-RU"/>
              </w:rPr>
            </w:pPr>
            <w:r w:rsidRPr="001C21E8">
              <w:rPr>
                <w:rFonts w:ascii="Times New Roman" w:eastAsia="Times New Roman" w:hAnsi="Times New Roman" w:cs="Times New Roman"/>
                <w:color w:val="000000"/>
                <w:sz w:val="24"/>
                <w:szCs w:val="24"/>
                <w:lang w:eastAsia="ru-RU"/>
              </w:rPr>
              <w:t>женщины</w:t>
            </w:r>
          </w:p>
        </w:tc>
        <w:tc>
          <w:tcPr>
            <w:tcW w:w="1797" w:type="dxa"/>
          </w:tcPr>
          <w:p w14:paraId="227C472C" w14:textId="77777777" w:rsidR="00904709" w:rsidRPr="001C21E8"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1C21E8">
              <w:rPr>
                <w:rFonts w:ascii="Times New Roman" w:eastAsia="Times New Roman" w:hAnsi="Times New Roman" w:cs="Times New Roman"/>
                <w:color w:val="1B1B1B"/>
                <w:sz w:val="24"/>
                <w:szCs w:val="24"/>
                <w:lang w:eastAsia="ru-RU"/>
              </w:rPr>
              <w:t>391,84</w:t>
            </w:r>
          </w:p>
        </w:tc>
        <w:tc>
          <w:tcPr>
            <w:tcW w:w="1838" w:type="dxa"/>
          </w:tcPr>
          <w:p w14:paraId="14C32347"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FA384D">
              <w:rPr>
                <w:rFonts w:ascii="Times New Roman" w:eastAsia="Times New Roman" w:hAnsi="Times New Roman" w:cs="Times New Roman"/>
                <w:color w:val="1B1B1B"/>
                <w:sz w:val="24"/>
                <w:szCs w:val="24"/>
                <w:lang w:eastAsia="ru-RU"/>
              </w:rPr>
              <w:t>40,82</w:t>
            </w:r>
          </w:p>
        </w:tc>
        <w:tc>
          <w:tcPr>
            <w:tcW w:w="1894" w:type="dxa"/>
          </w:tcPr>
          <w:p w14:paraId="1D2D086D" w14:textId="77777777" w:rsidR="00904709" w:rsidRPr="000B2A05" w:rsidRDefault="00904709" w:rsidP="000F4E51">
            <w:pPr>
              <w:spacing w:after="0" w:line="240" w:lineRule="auto"/>
              <w:jc w:val="center"/>
              <w:rPr>
                <w:rFonts w:ascii="Times New Roman" w:eastAsia="Times New Roman" w:hAnsi="Times New Roman" w:cs="Times New Roman"/>
                <w:color w:val="1B1B1B"/>
                <w:sz w:val="24"/>
                <w:szCs w:val="24"/>
                <w:lang w:eastAsia="ru-RU"/>
              </w:rPr>
            </w:pPr>
            <w:r w:rsidRPr="00FA384D">
              <w:rPr>
                <w:rFonts w:ascii="Times New Roman" w:eastAsia="Times New Roman" w:hAnsi="Times New Roman" w:cs="Times New Roman"/>
                <w:color w:val="1B1B1B"/>
                <w:sz w:val="24"/>
                <w:szCs w:val="24"/>
                <w:lang w:eastAsia="ru-RU"/>
              </w:rPr>
              <w:t>73,47</w:t>
            </w:r>
          </w:p>
        </w:tc>
      </w:tr>
    </w:tbl>
    <w:p w14:paraId="66C46E93" w14:textId="77777777" w:rsidR="00904709" w:rsidRDefault="00904709" w:rsidP="000F4E51">
      <w:pPr>
        <w:spacing w:line="240" w:lineRule="auto"/>
        <w:ind w:right="-284" w:firstLine="567"/>
        <w:rPr>
          <w:rFonts w:ascii="Times New Roman" w:hAnsi="Times New Roman" w:cs="Times New Roman"/>
          <w:sz w:val="28"/>
          <w:szCs w:val="28"/>
        </w:rPr>
      </w:pPr>
    </w:p>
    <w:p w14:paraId="18D2FB22" w14:textId="77777777" w:rsidR="00904709" w:rsidRDefault="00904709" w:rsidP="00FC2E89">
      <w:pPr>
        <w:spacing w:after="0" w:line="240" w:lineRule="auto"/>
        <w:ind w:firstLine="567"/>
        <w:contextualSpacing/>
        <w:jc w:val="both"/>
        <w:rPr>
          <w:rFonts w:ascii="Times New Roman" w:hAnsi="Times New Roman" w:cs="Times New Roman"/>
          <w:sz w:val="28"/>
          <w:szCs w:val="28"/>
        </w:rPr>
      </w:pPr>
      <w:r w:rsidRPr="00F00789">
        <w:rPr>
          <w:rFonts w:ascii="Times New Roman" w:hAnsi="Times New Roman" w:cs="Times New Roman"/>
          <w:sz w:val="28"/>
          <w:szCs w:val="28"/>
        </w:rPr>
        <w:t>В 2014–2024 гг. предотвратимая смертность от БСК не имела устойчивого тренда и характеризовалась выраженными колебаниями. Снижение в 2014–2019 гг. сменилось резким ростом в период пандемии и нестабильной динамикой в последующие годы. Рост показателей был преимущественно связан с ИБС, тогда как смертность от ЦВЗ снижалась, при сохраняющемся гендерном неравенстве в пользу более высоких уровней среди мужчин. В целом полученные результаты свидетельствуют о том, что предотвратимая смертность от БСК оказывает значительное экономическое</w:t>
      </w:r>
      <w:r w:rsidRPr="00CF53FA">
        <w:rPr>
          <w:rFonts w:ascii="Times New Roman" w:hAnsi="Times New Roman" w:cs="Times New Roman"/>
          <w:sz w:val="28"/>
          <w:szCs w:val="28"/>
        </w:rPr>
        <w:t xml:space="preserve"> воздействие, масштабы которого чувствительны к внешним шокам, таким как пандемия COVID-19. Сохраняющиеся высокие экономические потери, особенно среди мужчин, подчёркивают важность инвестиций в профилактику, раннюю диагностику и эффективное лечение сердечно-сосудистых заболеваний как с точки зрения общественного здоровья, так и экономической эффективности.</w:t>
      </w:r>
    </w:p>
    <w:p w14:paraId="70F9193F" w14:textId="77777777" w:rsidR="00904709" w:rsidRDefault="00904709" w:rsidP="00FC2E89">
      <w:pPr>
        <w:spacing w:after="0" w:line="240" w:lineRule="auto"/>
        <w:ind w:firstLine="567"/>
        <w:contextualSpacing/>
        <w:jc w:val="both"/>
        <w:rPr>
          <w:rFonts w:ascii="Times New Roman" w:hAnsi="Times New Roman" w:cs="Times New Roman"/>
          <w:sz w:val="28"/>
          <w:szCs w:val="28"/>
        </w:rPr>
      </w:pPr>
    </w:p>
    <w:p w14:paraId="1F4A742F" w14:textId="77777777" w:rsidR="00904709" w:rsidRPr="000B2A05" w:rsidRDefault="00904709" w:rsidP="00FC2E89">
      <w:pPr>
        <w:spacing w:after="0" w:line="240" w:lineRule="auto"/>
        <w:ind w:firstLine="567"/>
        <w:contextualSpacing/>
        <w:jc w:val="both"/>
        <w:rPr>
          <w:rFonts w:ascii="Times New Roman" w:hAnsi="Times New Roman" w:cs="Times New Roman"/>
          <w:b/>
          <w:bCs/>
          <w:sz w:val="28"/>
          <w:szCs w:val="28"/>
        </w:rPr>
      </w:pPr>
      <w:r w:rsidRPr="00CE476C">
        <w:rPr>
          <w:rFonts w:ascii="Times New Roman" w:hAnsi="Times New Roman" w:cs="Times New Roman"/>
          <w:b/>
          <w:bCs/>
          <w:sz w:val="28"/>
          <w:szCs w:val="28"/>
        </w:rPr>
        <w:t xml:space="preserve">3.3. </w:t>
      </w:r>
      <w:bookmarkStart w:id="4" w:name="_Hlk216627647"/>
      <w:r w:rsidRPr="00CE476C">
        <w:rPr>
          <w:rFonts w:ascii="Times New Roman" w:hAnsi="Times New Roman" w:cs="Times New Roman"/>
          <w:b/>
          <w:bCs/>
          <w:sz w:val="28"/>
          <w:szCs w:val="28"/>
        </w:rPr>
        <w:t>Изучение</w:t>
      </w:r>
      <w:r w:rsidRPr="000B2A05">
        <w:rPr>
          <w:rFonts w:ascii="Times New Roman" w:hAnsi="Times New Roman" w:cs="Times New Roman"/>
          <w:b/>
          <w:bCs/>
          <w:sz w:val="28"/>
          <w:szCs w:val="28"/>
        </w:rPr>
        <w:t xml:space="preserve"> госпитализированных случаев, связанных с острыми нарушениями мозгового кровообращения</w:t>
      </w:r>
      <w:bookmarkEnd w:id="4"/>
    </w:p>
    <w:p w14:paraId="0657F0F1" w14:textId="12889A8E" w:rsidR="00904709" w:rsidRPr="001C71D7" w:rsidRDefault="00904709" w:rsidP="00FC2E89">
      <w:pPr>
        <w:spacing w:after="0" w:line="240" w:lineRule="auto"/>
        <w:ind w:firstLine="567"/>
        <w:contextualSpacing/>
        <w:jc w:val="both"/>
        <w:rPr>
          <w:rFonts w:ascii="Times New Roman" w:hAnsi="Times New Roman" w:cs="Times New Roman"/>
          <w:sz w:val="28"/>
          <w:szCs w:val="28"/>
        </w:rPr>
      </w:pPr>
      <w:r w:rsidRPr="007309B3">
        <w:rPr>
          <w:rFonts w:ascii="Times New Roman" w:hAnsi="Times New Roman" w:cs="Times New Roman"/>
          <w:sz w:val="28"/>
          <w:szCs w:val="28"/>
        </w:rPr>
        <w:t xml:space="preserve">В период с 2012 по 2024 год наблюдалось увеличение числа госпитализированных пациентов (N), особенно </w:t>
      </w:r>
      <w:r>
        <w:rPr>
          <w:rFonts w:ascii="Times New Roman" w:hAnsi="Times New Roman" w:cs="Times New Roman"/>
          <w:sz w:val="28"/>
          <w:szCs w:val="28"/>
        </w:rPr>
        <w:t>выраженное</w:t>
      </w:r>
      <w:r w:rsidRPr="007309B3">
        <w:rPr>
          <w:rFonts w:ascii="Times New Roman" w:hAnsi="Times New Roman" w:cs="Times New Roman"/>
          <w:sz w:val="28"/>
          <w:szCs w:val="28"/>
        </w:rPr>
        <w:t xml:space="preserve"> после 2021 года, с пиковыми значениями в </w:t>
      </w:r>
      <w:r w:rsidR="00B330EA" w:rsidRPr="007309B3">
        <w:rPr>
          <w:rFonts w:ascii="Times New Roman" w:hAnsi="Times New Roman" w:cs="Times New Roman"/>
          <w:sz w:val="28"/>
          <w:szCs w:val="28"/>
        </w:rPr>
        <w:t xml:space="preserve">2023–2024 </w:t>
      </w:r>
      <w:r w:rsidRPr="007309B3">
        <w:rPr>
          <w:rFonts w:ascii="Times New Roman" w:hAnsi="Times New Roman" w:cs="Times New Roman"/>
          <w:sz w:val="28"/>
          <w:szCs w:val="28"/>
        </w:rPr>
        <w:t xml:space="preserve"> годах, что может отражать </w:t>
      </w:r>
      <w:r>
        <w:rPr>
          <w:rFonts w:ascii="Times New Roman" w:hAnsi="Times New Roman" w:cs="Times New Roman"/>
          <w:sz w:val="28"/>
          <w:szCs w:val="28"/>
        </w:rPr>
        <w:t xml:space="preserve">рост обращаемости или </w:t>
      </w:r>
      <w:r w:rsidRPr="007309B3">
        <w:rPr>
          <w:rFonts w:ascii="Times New Roman" w:hAnsi="Times New Roman" w:cs="Times New Roman"/>
          <w:sz w:val="28"/>
          <w:szCs w:val="28"/>
        </w:rPr>
        <w:t>улучшение выявл</w:t>
      </w:r>
      <w:r>
        <w:rPr>
          <w:rFonts w:ascii="Times New Roman" w:hAnsi="Times New Roman" w:cs="Times New Roman"/>
          <w:sz w:val="28"/>
          <w:szCs w:val="28"/>
        </w:rPr>
        <w:t xml:space="preserve">яемости </w:t>
      </w:r>
      <w:r w:rsidRPr="007309B3">
        <w:rPr>
          <w:rFonts w:ascii="Times New Roman" w:hAnsi="Times New Roman" w:cs="Times New Roman"/>
          <w:sz w:val="28"/>
          <w:szCs w:val="28"/>
        </w:rPr>
        <w:t xml:space="preserve">заболеваний. Средний возраст пациентов, </w:t>
      </w:r>
      <w:r>
        <w:rPr>
          <w:rFonts w:ascii="Times New Roman" w:hAnsi="Times New Roman" w:cs="Times New Roman"/>
          <w:sz w:val="28"/>
          <w:szCs w:val="28"/>
        </w:rPr>
        <w:t xml:space="preserve">в целом демонстрировал </w:t>
      </w:r>
      <w:r w:rsidRPr="007309B3">
        <w:rPr>
          <w:rFonts w:ascii="Times New Roman" w:hAnsi="Times New Roman" w:cs="Times New Roman"/>
          <w:sz w:val="28"/>
          <w:szCs w:val="28"/>
        </w:rPr>
        <w:t xml:space="preserve">тенденцию к увеличению, </w:t>
      </w:r>
      <w:r>
        <w:rPr>
          <w:rFonts w:ascii="Times New Roman" w:hAnsi="Times New Roman" w:cs="Times New Roman"/>
          <w:sz w:val="28"/>
          <w:szCs w:val="28"/>
        </w:rPr>
        <w:t xml:space="preserve">с колебаниями </w:t>
      </w:r>
      <w:r w:rsidRPr="007309B3">
        <w:rPr>
          <w:rFonts w:ascii="Times New Roman" w:hAnsi="Times New Roman" w:cs="Times New Roman"/>
          <w:sz w:val="28"/>
          <w:szCs w:val="28"/>
        </w:rPr>
        <w:t xml:space="preserve">от 50-55 лет в начале периода до </w:t>
      </w:r>
      <w:r w:rsidR="00B330EA" w:rsidRPr="007309B3">
        <w:rPr>
          <w:rFonts w:ascii="Times New Roman" w:hAnsi="Times New Roman" w:cs="Times New Roman"/>
          <w:sz w:val="28"/>
          <w:szCs w:val="28"/>
        </w:rPr>
        <w:t>60–63</w:t>
      </w:r>
      <w:r w:rsidRPr="007309B3">
        <w:rPr>
          <w:rFonts w:ascii="Times New Roman" w:hAnsi="Times New Roman" w:cs="Times New Roman"/>
          <w:sz w:val="28"/>
          <w:szCs w:val="28"/>
        </w:rPr>
        <w:t xml:space="preserve"> лет в последние годы, что указывает на постепенное старение госпитализированной когорты.</w:t>
      </w:r>
      <w:r>
        <w:rPr>
          <w:rFonts w:ascii="Times New Roman" w:hAnsi="Times New Roman" w:cs="Times New Roman"/>
          <w:sz w:val="28"/>
          <w:szCs w:val="28"/>
        </w:rPr>
        <w:t xml:space="preserve"> Наиболее высокие </w:t>
      </w:r>
      <w:r w:rsidRPr="007309B3">
        <w:rPr>
          <w:rFonts w:ascii="Times New Roman" w:hAnsi="Times New Roman" w:cs="Times New Roman"/>
          <w:sz w:val="28"/>
          <w:szCs w:val="28"/>
        </w:rPr>
        <w:t xml:space="preserve">значения среднего возраста </w:t>
      </w:r>
      <w:r>
        <w:rPr>
          <w:rFonts w:ascii="Times New Roman" w:hAnsi="Times New Roman" w:cs="Times New Roman"/>
          <w:sz w:val="28"/>
          <w:szCs w:val="28"/>
        </w:rPr>
        <w:t>отмечены</w:t>
      </w:r>
      <w:r w:rsidRPr="007309B3">
        <w:rPr>
          <w:rFonts w:ascii="Times New Roman" w:hAnsi="Times New Roman" w:cs="Times New Roman"/>
          <w:sz w:val="28"/>
          <w:szCs w:val="28"/>
        </w:rPr>
        <w:t xml:space="preserve"> в 2020, 2023 и 2024 годах. </w:t>
      </w:r>
      <w:r>
        <w:rPr>
          <w:rFonts w:ascii="Times New Roman" w:hAnsi="Times New Roman" w:cs="Times New Roman"/>
          <w:sz w:val="28"/>
          <w:szCs w:val="28"/>
        </w:rPr>
        <w:t>С</w:t>
      </w:r>
      <w:r w:rsidRPr="007309B3">
        <w:rPr>
          <w:rFonts w:ascii="Times New Roman" w:hAnsi="Times New Roman" w:cs="Times New Roman"/>
          <w:sz w:val="28"/>
          <w:szCs w:val="28"/>
        </w:rPr>
        <w:t xml:space="preserve">редняя продолжительность пребывания пациентов в </w:t>
      </w:r>
      <w:r>
        <w:rPr>
          <w:rFonts w:ascii="Times New Roman" w:hAnsi="Times New Roman" w:cs="Times New Roman"/>
          <w:sz w:val="28"/>
          <w:szCs w:val="28"/>
        </w:rPr>
        <w:t xml:space="preserve">стационаре со временем </w:t>
      </w:r>
      <w:r>
        <w:rPr>
          <w:rFonts w:ascii="Times New Roman" w:hAnsi="Times New Roman" w:cs="Times New Roman"/>
          <w:sz w:val="28"/>
          <w:szCs w:val="28"/>
        </w:rPr>
        <w:lastRenderedPageBreak/>
        <w:t>сокращалось</w:t>
      </w:r>
      <w:r w:rsidRPr="007309B3">
        <w:rPr>
          <w:rFonts w:ascii="Times New Roman" w:hAnsi="Times New Roman" w:cs="Times New Roman"/>
          <w:sz w:val="28"/>
          <w:szCs w:val="28"/>
        </w:rPr>
        <w:t xml:space="preserve">. После относительно высоких и </w:t>
      </w:r>
      <w:r>
        <w:rPr>
          <w:rFonts w:ascii="Times New Roman" w:hAnsi="Times New Roman" w:cs="Times New Roman"/>
          <w:sz w:val="28"/>
          <w:szCs w:val="28"/>
        </w:rPr>
        <w:t>вариабельных</w:t>
      </w:r>
      <w:r w:rsidRPr="007309B3">
        <w:rPr>
          <w:rFonts w:ascii="Times New Roman" w:hAnsi="Times New Roman" w:cs="Times New Roman"/>
          <w:sz w:val="28"/>
          <w:szCs w:val="28"/>
        </w:rPr>
        <w:t xml:space="preserve"> значений в </w:t>
      </w:r>
      <w:r w:rsidR="00B330EA" w:rsidRPr="007309B3">
        <w:rPr>
          <w:rFonts w:ascii="Times New Roman" w:hAnsi="Times New Roman" w:cs="Times New Roman"/>
          <w:sz w:val="28"/>
          <w:szCs w:val="28"/>
        </w:rPr>
        <w:t>2014–2016</w:t>
      </w:r>
      <w:r w:rsidRPr="007309B3">
        <w:rPr>
          <w:rFonts w:ascii="Times New Roman" w:hAnsi="Times New Roman" w:cs="Times New Roman"/>
          <w:sz w:val="28"/>
          <w:szCs w:val="28"/>
        </w:rPr>
        <w:t xml:space="preserve"> г</w:t>
      </w:r>
      <w:r>
        <w:rPr>
          <w:rFonts w:ascii="Times New Roman" w:hAnsi="Times New Roman" w:cs="Times New Roman"/>
          <w:sz w:val="28"/>
          <w:szCs w:val="28"/>
        </w:rPr>
        <w:t>г.</w:t>
      </w:r>
      <w:r w:rsidRPr="007309B3">
        <w:rPr>
          <w:rFonts w:ascii="Times New Roman" w:hAnsi="Times New Roman" w:cs="Times New Roman"/>
          <w:sz w:val="28"/>
          <w:szCs w:val="28"/>
        </w:rPr>
        <w:t xml:space="preserve"> (до 1</w:t>
      </w:r>
      <w:r w:rsidR="00043DCA">
        <w:rPr>
          <w:rFonts w:ascii="Times New Roman" w:hAnsi="Times New Roman" w:cs="Times New Roman"/>
          <w:sz w:val="28"/>
          <w:szCs w:val="28"/>
        </w:rPr>
        <w:t>0</w:t>
      </w:r>
      <w:r w:rsidRPr="007309B3">
        <w:rPr>
          <w:rFonts w:ascii="Times New Roman" w:hAnsi="Times New Roman" w:cs="Times New Roman"/>
          <w:sz w:val="28"/>
          <w:szCs w:val="28"/>
        </w:rPr>
        <w:t>,</w:t>
      </w:r>
      <w:r w:rsidR="00043DCA">
        <w:rPr>
          <w:rFonts w:ascii="Times New Roman" w:hAnsi="Times New Roman" w:cs="Times New Roman"/>
          <w:sz w:val="28"/>
          <w:szCs w:val="28"/>
        </w:rPr>
        <w:t>7</w:t>
      </w:r>
      <w:r w:rsidRPr="007309B3">
        <w:rPr>
          <w:rFonts w:ascii="Times New Roman" w:hAnsi="Times New Roman" w:cs="Times New Roman"/>
          <w:sz w:val="28"/>
          <w:szCs w:val="28"/>
        </w:rPr>
        <w:t xml:space="preserve"> </w:t>
      </w:r>
      <w:r>
        <w:rPr>
          <w:rFonts w:ascii="Times New Roman" w:hAnsi="Times New Roman" w:cs="Times New Roman"/>
          <w:sz w:val="28"/>
          <w:szCs w:val="28"/>
        </w:rPr>
        <w:t>при высокой стандартной девиации</w:t>
      </w:r>
      <w:r w:rsidRPr="007309B3">
        <w:rPr>
          <w:rFonts w:ascii="Times New Roman" w:hAnsi="Times New Roman" w:cs="Times New Roman"/>
          <w:sz w:val="28"/>
          <w:szCs w:val="28"/>
        </w:rPr>
        <w:t xml:space="preserve">) в последующие годы </w:t>
      </w:r>
      <w:r>
        <w:rPr>
          <w:rFonts w:ascii="Times New Roman" w:hAnsi="Times New Roman" w:cs="Times New Roman"/>
          <w:sz w:val="28"/>
          <w:szCs w:val="28"/>
        </w:rPr>
        <w:t xml:space="preserve">отмечалось </w:t>
      </w:r>
      <w:r w:rsidRPr="007309B3">
        <w:rPr>
          <w:rFonts w:ascii="Times New Roman" w:hAnsi="Times New Roman" w:cs="Times New Roman"/>
          <w:sz w:val="28"/>
          <w:szCs w:val="28"/>
        </w:rPr>
        <w:t xml:space="preserve">устойчивая тенденция к снижению с минимальными значениями в 2020 и 2024 годах (приблизительно </w:t>
      </w:r>
      <w:r w:rsidR="00043DCA">
        <w:rPr>
          <w:rFonts w:ascii="Times New Roman" w:hAnsi="Times New Roman" w:cs="Times New Roman"/>
          <w:sz w:val="28"/>
          <w:szCs w:val="28"/>
        </w:rPr>
        <w:t>9,0</w:t>
      </w:r>
      <w:r w:rsidRPr="007309B3">
        <w:rPr>
          <w:rFonts w:ascii="Times New Roman" w:hAnsi="Times New Roman" w:cs="Times New Roman"/>
          <w:sz w:val="28"/>
          <w:szCs w:val="28"/>
        </w:rPr>
        <w:t xml:space="preserve"> дня). В то же время наблюдалось снижение стандартного отклонения, что </w:t>
      </w:r>
      <w:r>
        <w:rPr>
          <w:rFonts w:ascii="Times New Roman" w:hAnsi="Times New Roman" w:cs="Times New Roman"/>
          <w:sz w:val="28"/>
          <w:szCs w:val="28"/>
        </w:rPr>
        <w:t>свидетельствует о</w:t>
      </w:r>
      <w:r w:rsidRPr="007309B3">
        <w:rPr>
          <w:rFonts w:ascii="Times New Roman" w:hAnsi="Times New Roman" w:cs="Times New Roman"/>
          <w:sz w:val="28"/>
          <w:szCs w:val="28"/>
        </w:rPr>
        <w:t xml:space="preserve"> более </w:t>
      </w:r>
      <w:r>
        <w:rPr>
          <w:rFonts w:ascii="Times New Roman" w:hAnsi="Times New Roman" w:cs="Times New Roman"/>
          <w:sz w:val="28"/>
          <w:szCs w:val="28"/>
        </w:rPr>
        <w:t xml:space="preserve">однородных сроках </w:t>
      </w:r>
      <w:r w:rsidRPr="007309B3">
        <w:rPr>
          <w:rFonts w:ascii="Times New Roman" w:hAnsi="Times New Roman" w:cs="Times New Roman"/>
          <w:sz w:val="28"/>
          <w:szCs w:val="28"/>
        </w:rPr>
        <w:t>госпитализации и, вероятно, повышени</w:t>
      </w:r>
      <w:r>
        <w:rPr>
          <w:rFonts w:ascii="Times New Roman" w:hAnsi="Times New Roman" w:cs="Times New Roman"/>
          <w:sz w:val="28"/>
          <w:szCs w:val="28"/>
        </w:rPr>
        <w:t>и</w:t>
      </w:r>
      <w:r w:rsidRPr="007309B3">
        <w:rPr>
          <w:rFonts w:ascii="Times New Roman" w:hAnsi="Times New Roman" w:cs="Times New Roman"/>
          <w:sz w:val="28"/>
          <w:szCs w:val="28"/>
        </w:rPr>
        <w:t xml:space="preserve"> эффективности стационарной помощи</w:t>
      </w:r>
      <w:r w:rsidRPr="001C71D7">
        <w:rPr>
          <w:rFonts w:ascii="Times New Roman" w:hAnsi="Times New Roman" w:cs="Times New Roman"/>
          <w:sz w:val="28"/>
          <w:szCs w:val="28"/>
        </w:rPr>
        <w:t xml:space="preserve">, таблица </w:t>
      </w:r>
      <w:r w:rsidR="006D6E83">
        <w:rPr>
          <w:rFonts w:ascii="Times New Roman" w:hAnsi="Times New Roman" w:cs="Times New Roman"/>
          <w:sz w:val="28"/>
          <w:szCs w:val="28"/>
        </w:rPr>
        <w:t>12</w:t>
      </w:r>
      <w:r w:rsidRPr="001C71D7">
        <w:rPr>
          <w:rFonts w:ascii="Times New Roman" w:hAnsi="Times New Roman" w:cs="Times New Roman"/>
          <w:sz w:val="28"/>
          <w:szCs w:val="28"/>
        </w:rPr>
        <w:t>.</w:t>
      </w:r>
    </w:p>
    <w:p w14:paraId="01AC215F" w14:textId="77777777" w:rsidR="00FC2E89" w:rsidRDefault="00FC2E89" w:rsidP="00FC2E89">
      <w:pPr>
        <w:spacing w:line="240" w:lineRule="auto"/>
        <w:jc w:val="both"/>
        <w:rPr>
          <w:rFonts w:ascii="Times New Roman" w:hAnsi="Times New Roman" w:cs="Times New Roman"/>
          <w:sz w:val="28"/>
          <w:szCs w:val="28"/>
        </w:rPr>
      </w:pPr>
    </w:p>
    <w:p w14:paraId="76C2F410" w14:textId="5F2895B9" w:rsidR="00904709" w:rsidRDefault="00904709" w:rsidP="00FC2E89">
      <w:pPr>
        <w:spacing w:after="0" w:line="240" w:lineRule="auto"/>
        <w:contextualSpacing/>
        <w:jc w:val="both"/>
        <w:rPr>
          <w:rFonts w:ascii="Times New Roman" w:hAnsi="Times New Roman" w:cs="Times New Roman"/>
          <w:sz w:val="28"/>
          <w:szCs w:val="28"/>
        </w:rPr>
      </w:pPr>
      <w:r w:rsidRPr="001C71D7">
        <w:rPr>
          <w:rFonts w:ascii="Times New Roman" w:hAnsi="Times New Roman" w:cs="Times New Roman"/>
          <w:sz w:val="28"/>
          <w:szCs w:val="28"/>
        </w:rPr>
        <w:t xml:space="preserve">Таблица </w:t>
      </w:r>
      <w:r w:rsidR="006D6E83">
        <w:rPr>
          <w:rFonts w:ascii="Times New Roman" w:hAnsi="Times New Roman" w:cs="Times New Roman"/>
          <w:sz w:val="28"/>
          <w:szCs w:val="28"/>
        </w:rPr>
        <w:t>12</w:t>
      </w:r>
      <w:r w:rsidR="00FC2E89">
        <w:rPr>
          <w:rFonts w:ascii="Times New Roman" w:hAnsi="Times New Roman" w:cs="Times New Roman"/>
          <w:sz w:val="28"/>
          <w:szCs w:val="28"/>
        </w:rPr>
        <w:t xml:space="preserve"> -</w:t>
      </w:r>
      <w:r w:rsidRPr="001C71D7">
        <w:rPr>
          <w:rFonts w:ascii="Times New Roman" w:hAnsi="Times New Roman" w:cs="Times New Roman"/>
          <w:sz w:val="28"/>
          <w:szCs w:val="28"/>
        </w:rPr>
        <w:t xml:space="preserve"> </w:t>
      </w:r>
      <w:r w:rsidRPr="000B2A05">
        <w:rPr>
          <w:rFonts w:ascii="Times New Roman" w:hAnsi="Times New Roman" w:cs="Times New Roman"/>
          <w:sz w:val="28"/>
          <w:szCs w:val="28"/>
        </w:rPr>
        <w:t xml:space="preserve">Характеристика </w:t>
      </w:r>
      <w:r w:rsidR="002D78F9">
        <w:rPr>
          <w:rFonts w:ascii="Times New Roman" w:hAnsi="Times New Roman" w:cs="Times New Roman"/>
          <w:sz w:val="28"/>
          <w:szCs w:val="28"/>
        </w:rPr>
        <w:t>больных</w:t>
      </w:r>
      <w:r w:rsidRPr="000B2A05">
        <w:rPr>
          <w:rFonts w:ascii="Times New Roman" w:hAnsi="Times New Roman" w:cs="Times New Roman"/>
          <w:sz w:val="28"/>
          <w:szCs w:val="28"/>
        </w:rPr>
        <w:t xml:space="preserve"> с острыми нарушениями мозгового кровообращения</w:t>
      </w:r>
      <w:r>
        <w:rPr>
          <w:rFonts w:ascii="Times New Roman" w:hAnsi="Times New Roman" w:cs="Times New Roman"/>
          <w:sz w:val="28"/>
          <w:szCs w:val="28"/>
        </w:rPr>
        <w:t xml:space="preserve"> </w:t>
      </w:r>
    </w:p>
    <w:p w14:paraId="58CA3443" w14:textId="77777777" w:rsidR="00FC2E89" w:rsidRPr="000B2A05" w:rsidRDefault="00FC2E89" w:rsidP="00FC2E89">
      <w:pPr>
        <w:spacing w:after="0" w:line="240" w:lineRule="auto"/>
        <w:contextualSpacing/>
        <w:jc w:val="both"/>
        <w:rPr>
          <w:rFonts w:ascii="Times New Roman" w:hAnsi="Times New Roman" w:cs="Times New Roman"/>
          <w:b/>
          <w:sz w:val="20"/>
          <w:szCs w:val="20"/>
        </w:rPr>
      </w:pPr>
    </w:p>
    <w:tbl>
      <w:tblPr>
        <w:tblW w:w="9498" w:type="dxa"/>
        <w:tblInd w:w="-5" w:type="dxa"/>
        <w:tblLook w:val="04A0" w:firstRow="1" w:lastRow="0" w:firstColumn="1" w:lastColumn="0" w:noHBand="0" w:noVBand="1"/>
      </w:tblPr>
      <w:tblGrid>
        <w:gridCol w:w="1901"/>
        <w:gridCol w:w="1130"/>
        <w:gridCol w:w="3065"/>
        <w:gridCol w:w="3402"/>
      </w:tblGrid>
      <w:tr w:rsidR="00904709" w:rsidRPr="000B2A05" w14:paraId="149825F4" w14:textId="77777777" w:rsidTr="00FC2E89">
        <w:trPr>
          <w:trHeight w:val="20"/>
        </w:trPr>
        <w:tc>
          <w:tcPr>
            <w:tcW w:w="190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19F197" w14:textId="77777777" w:rsidR="00904709" w:rsidRPr="00043DCA" w:rsidRDefault="00904709" w:rsidP="000F4E51">
            <w:pPr>
              <w:spacing w:after="0" w:line="240" w:lineRule="auto"/>
              <w:ind w:left="142" w:right="291"/>
              <w:jc w:val="center"/>
              <w:rPr>
                <w:rFonts w:ascii="Times New Roman" w:hAnsi="Times New Roman" w:cs="Times New Roman"/>
                <w:sz w:val="24"/>
                <w:szCs w:val="24"/>
              </w:rPr>
            </w:pPr>
            <w:r w:rsidRPr="00043DCA">
              <w:rPr>
                <w:rFonts w:ascii="Times New Roman" w:hAnsi="Times New Roman" w:cs="Times New Roman"/>
                <w:sz w:val="24"/>
                <w:szCs w:val="24"/>
              </w:rPr>
              <w:t>Годы</w:t>
            </w:r>
          </w:p>
        </w:tc>
        <w:tc>
          <w:tcPr>
            <w:tcW w:w="1130" w:type="dxa"/>
            <w:vMerge w:val="restar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E55F75C" w14:textId="77777777" w:rsidR="00904709" w:rsidRPr="00043DCA" w:rsidRDefault="00904709" w:rsidP="000F4E51">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N</w:t>
            </w:r>
          </w:p>
        </w:tc>
        <w:tc>
          <w:tcPr>
            <w:tcW w:w="306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FF6587" w14:textId="77777777" w:rsidR="00904709" w:rsidRPr="00D56C04" w:rsidRDefault="00904709" w:rsidP="000F4E51">
            <w:pPr>
              <w:spacing w:after="0" w:line="240" w:lineRule="auto"/>
              <w:ind w:left="142" w:right="291"/>
              <w:jc w:val="center"/>
              <w:rPr>
                <w:rFonts w:ascii="Times New Roman" w:hAnsi="Times New Roman" w:cs="Times New Roman"/>
                <w:sz w:val="24"/>
                <w:szCs w:val="24"/>
              </w:rPr>
            </w:pPr>
            <w:r w:rsidRPr="00D56C04">
              <w:rPr>
                <w:rFonts w:ascii="Times New Roman" w:hAnsi="Times New Roman" w:cs="Times New Roman"/>
                <w:sz w:val="24"/>
                <w:szCs w:val="24"/>
              </w:rPr>
              <w:t>Возраст пациентов</w:t>
            </w:r>
          </w:p>
        </w:tc>
        <w:tc>
          <w:tcPr>
            <w:tcW w:w="340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AE6D577" w14:textId="77777777" w:rsidR="00904709" w:rsidRPr="00D56C04" w:rsidRDefault="00904709" w:rsidP="000F4E51">
            <w:pPr>
              <w:spacing w:after="0" w:line="240" w:lineRule="auto"/>
              <w:ind w:left="142" w:right="291"/>
              <w:jc w:val="center"/>
              <w:rPr>
                <w:rFonts w:ascii="Times New Roman" w:hAnsi="Times New Roman" w:cs="Times New Roman"/>
                <w:sz w:val="24"/>
                <w:szCs w:val="24"/>
              </w:rPr>
            </w:pPr>
            <w:r w:rsidRPr="00D56C04">
              <w:rPr>
                <w:rFonts w:ascii="Times New Roman" w:hAnsi="Times New Roman" w:cs="Times New Roman"/>
                <w:sz w:val="24"/>
                <w:szCs w:val="24"/>
              </w:rPr>
              <w:t>Средняя продолжительность пребывания пациентов в стационаре</w:t>
            </w:r>
          </w:p>
        </w:tc>
      </w:tr>
      <w:tr w:rsidR="00904709" w:rsidRPr="000B2A05" w14:paraId="2CD05E5A" w14:textId="77777777" w:rsidTr="00FC2E89">
        <w:trPr>
          <w:trHeight w:val="20"/>
        </w:trPr>
        <w:tc>
          <w:tcPr>
            <w:tcW w:w="1901" w:type="dxa"/>
            <w:vMerge/>
            <w:tcBorders>
              <w:top w:val="single" w:sz="4" w:space="0" w:color="auto"/>
              <w:left w:val="single" w:sz="4" w:space="0" w:color="auto"/>
              <w:bottom w:val="single" w:sz="4" w:space="0" w:color="auto"/>
              <w:right w:val="single" w:sz="4" w:space="0" w:color="auto"/>
            </w:tcBorders>
            <w:vAlign w:val="center"/>
            <w:hideMark/>
          </w:tcPr>
          <w:p w14:paraId="2BF4AE73" w14:textId="77777777" w:rsidR="00904709" w:rsidRPr="00043DCA" w:rsidRDefault="00904709" w:rsidP="000F4E51">
            <w:pPr>
              <w:spacing w:after="0" w:line="240" w:lineRule="auto"/>
              <w:ind w:left="142" w:right="291"/>
              <w:jc w:val="center"/>
              <w:rPr>
                <w:rFonts w:ascii="Times New Roman" w:hAnsi="Times New Roman" w:cs="Times New Roman"/>
                <w:sz w:val="24"/>
                <w:szCs w:val="24"/>
              </w:rPr>
            </w:pPr>
          </w:p>
        </w:tc>
        <w:tc>
          <w:tcPr>
            <w:tcW w:w="1130" w:type="dxa"/>
            <w:vMerge/>
            <w:tcBorders>
              <w:top w:val="single" w:sz="4" w:space="0" w:color="auto"/>
              <w:left w:val="nil"/>
              <w:bottom w:val="single" w:sz="4" w:space="0" w:color="auto"/>
              <w:right w:val="single" w:sz="4" w:space="0" w:color="auto"/>
            </w:tcBorders>
            <w:vAlign w:val="center"/>
            <w:hideMark/>
          </w:tcPr>
          <w:p w14:paraId="64D53D14" w14:textId="77777777" w:rsidR="00904709" w:rsidRPr="00043DCA" w:rsidRDefault="00904709" w:rsidP="000F4E51">
            <w:pPr>
              <w:spacing w:after="0" w:line="240" w:lineRule="auto"/>
              <w:ind w:left="142" w:right="291"/>
              <w:jc w:val="center"/>
              <w:rPr>
                <w:rFonts w:ascii="Times New Roman" w:hAnsi="Times New Roman" w:cs="Times New Roman"/>
                <w:sz w:val="24"/>
                <w:szCs w:val="24"/>
              </w:rPr>
            </w:pPr>
          </w:p>
        </w:tc>
        <w:tc>
          <w:tcPr>
            <w:tcW w:w="306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951728" w14:textId="77777777" w:rsidR="00904709" w:rsidRPr="00D56C04" w:rsidRDefault="00904709" w:rsidP="000F4E51">
            <w:pPr>
              <w:spacing w:after="0" w:line="240" w:lineRule="auto"/>
              <w:ind w:left="142" w:right="291"/>
              <w:jc w:val="center"/>
              <w:rPr>
                <w:rFonts w:ascii="Times New Roman" w:hAnsi="Times New Roman" w:cs="Times New Roman"/>
                <w:sz w:val="24"/>
                <w:szCs w:val="24"/>
                <w:lang w:val="en-US"/>
              </w:rPr>
            </w:pPr>
            <w:r w:rsidRPr="00D56C04">
              <w:rPr>
                <w:rFonts w:ascii="Times New Roman" w:hAnsi="Times New Roman" w:cs="Times New Roman"/>
                <w:sz w:val="24"/>
                <w:szCs w:val="24"/>
                <w:lang w:val="en-US"/>
              </w:rPr>
              <w:t>Mean± Std. Deviation</w:t>
            </w:r>
          </w:p>
        </w:tc>
        <w:tc>
          <w:tcPr>
            <w:tcW w:w="340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A65323" w14:textId="77777777" w:rsidR="00904709" w:rsidRPr="00D56C04" w:rsidRDefault="00904709" w:rsidP="000F4E51">
            <w:pPr>
              <w:spacing w:after="0" w:line="240" w:lineRule="auto"/>
              <w:ind w:left="142" w:right="291"/>
              <w:jc w:val="center"/>
              <w:rPr>
                <w:rFonts w:ascii="Times New Roman" w:hAnsi="Times New Roman" w:cs="Times New Roman"/>
                <w:sz w:val="24"/>
                <w:szCs w:val="24"/>
                <w:lang w:val="en-US"/>
              </w:rPr>
            </w:pPr>
            <w:r w:rsidRPr="00D56C04">
              <w:rPr>
                <w:rFonts w:ascii="Times New Roman" w:hAnsi="Times New Roman" w:cs="Times New Roman"/>
                <w:sz w:val="24"/>
                <w:szCs w:val="24"/>
                <w:lang w:val="en-US"/>
              </w:rPr>
              <w:t>Mean± Std. Deviation</w:t>
            </w:r>
          </w:p>
        </w:tc>
      </w:tr>
      <w:tr w:rsidR="008850D7" w:rsidRPr="000B2A05" w14:paraId="45848C66" w14:textId="77777777" w:rsidTr="00FC2E89">
        <w:trPr>
          <w:trHeight w:val="20"/>
        </w:trPr>
        <w:tc>
          <w:tcPr>
            <w:tcW w:w="1901" w:type="dxa"/>
            <w:tcBorders>
              <w:top w:val="nil"/>
              <w:left w:val="single" w:sz="4" w:space="0" w:color="auto"/>
              <w:bottom w:val="single" w:sz="4" w:space="0" w:color="auto"/>
              <w:right w:val="single" w:sz="4" w:space="0" w:color="auto"/>
            </w:tcBorders>
            <w:noWrap/>
            <w:vAlign w:val="bottom"/>
            <w:hideMark/>
          </w:tcPr>
          <w:p w14:paraId="50C0671B"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2012</w:t>
            </w:r>
          </w:p>
        </w:tc>
        <w:tc>
          <w:tcPr>
            <w:tcW w:w="1130" w:type="dxa"/>
            <w:tcBorders>
              <w:top w:val="nil"/>
              <w:left w:val="nil"/>
              <w:bottom w:val="single" w:sz="4" w:space="0" w:color="auto"/>
              <w:right w:val="single" w:sz="4" w:space="0" w:color="auto"/>
            </w:tcBorders>
            <w:noWrap/>
            <w:vAlign w:val="bottom"/>
            <w:hideMark/>
          </w:tcPr>
          <w:p w14:paraId="00404A6F"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63</w:t>
            </w:r>
          </w:p>
        </w:tc>
        <w:tc>
          <w:tcPr>
            <w:tcW w:w="3065" w:type="dxa"/>
            <w:tcBorders>
              <w:top w:val="nil"/>
              <w:left w:val="nil"/>
              <w:bottom w:val="single" w:sz="4" w:space="0" w:color="auto"/>
              <w:right w:val="single" w:sz="4" w:space="0" w:color="auto"/>
            </w:tcBorders>
            <w:noWrap/>
            <w:vAlign w:val="bottom"/>
            <w:hideMark/>
          </w:tcPr>
          <w:p w14:paraId="3D742CB6" w14:textId="02EEE90B"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61,66±14,99</w:t>
            </w:r>
          </w:p>
        </w:tc>
        <w:tc>
          <w:tcPr>
            <w:tcW w:w="3402" w:type="dxa"/>
            <w:tcBorders>
              <w:top w:val="nil"/>
              <w:left w:val="nil"/>
              <w:bottom w:val="single" w:sz="4" w:space="0" w:color="auto"/>
              <w:right w:val="single" w:sz="4" w:space="0" w:color="auto"/>
            </w:tcBorders>
            <w:vAlign w:val="bottom"/>
            <w:hideMark/>
          </w:tcPr>
          <w:p w14:paraId="2CE4184A" w14:textId="720A55D2"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9,94±4,72</w:t>
            </w:r>
          </w:p>
        </w:tc>
      </w:tr>
      <w:tr w:rsidR="008850D7" w:rsidRPr="000B2A05" w14:paraId="64D339A3" w14:textId="77777777" w:rsidTr="00FC2E89">
        <w:trPr>
          <w:trHeight w:val="20"/>
        </w:trPr>
        <w:tc>
          <w:tcPr>
            <w:tcW w:w="1901" w:type="dxa"/>
            <w:tcBorders>
              <w:top w:val="nil"/>
              <w:left w:val="single" w:sz="4" w:space="0" w:color="auto"/>
              <w:bottom w:val="single" w:sz="4" w:space="0" w:color="auto"/>
              <w:right w:val="single" w:sz="4" w:space="0" w:color="auto"/>
            </w:tcBorders>
            <w:noWrap/>
            <w:vAlign w:val="bottom"/>
            <w:hideMark/>
          </w:tcPr>
          <w:p w14:paraId="090B03C5"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2013</w:t>
            </w:r>
          </w:p>
        </w:tc>
        <w:tc>
          <w:tcPr>
            <w:tcW w:w="1130" w:type="dxa"/>
            <w:tcBorders>
              <w:top w:val="nil"/>
              <w:left w:val="nil"/>
              <w:bottom w:val="single" w:sz="4" w:space="0" w:color="auto"/>
              <w:right w:val="single" w:sz="4" w:space="0" w:color="auto"/>
            </w:tcBorders>
            <w:noWrap/>
            <w:vAlign w:val="bottom"/>
            <w:hideMark/>
          </w:tcPr>
          <w:p w14:paraId="069C4076"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124</w:t>
            </w:r>
          </w:p>
        </w:tc>
        <w:tc>
          <w:tcPr>
            <w:tcW w:w="3065" w:type="dxa"/>
            <w:tcBorders>
              <w:top w:val="nil"/>
              <w:left w:val="nil"/>
              <w:bottom w:val="single" w:sz="4" w:space="0" w:color="auto"/>
              <w:right w:val="single" w:sz="4" w:space="0" w:color="auto"/>
            </w:tcBorders>
            <w:noWrap/>
            <w:vAlign w:val="bottom"/>
            <w:hideMark/>
          </w:tcPr>
          <w:p w14:paraId="3361A292" w14:textId="193EC173"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62,02±14,97</w:t>
            </w:r>
          </w:p>
        </w:tc>
        <w:tc>
          <w:tcPr>
            <w:tcW w:w="3402" w:type="dxa"/>
            <w:tcBorders>
              <w:top w:val="nil"/>
              <w:left w:val="nil"/>
              <w:bottom w:val="single" w:sz="4" w:space="0" w:color="auto"/>
              <w:right w:val="single" w:sz="4" w:space="0" w:color="auto"/>
            </w:tcBorders>
            <w:vAlign w:val="bottom"/>
            <w:hideMark/>
          </w:tcPr>
          <w:p w14:paraId="43A67B41" w14:textId="25BF18F2"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9,86±4,87</w:t>
            </w:r>
          </w:p>
        </w:tc>
      </w:tr>
      <w:tr w:rsidR="008850D7" w:rsidRPr="000B2A05" w14:paraId="573AAD65" w14:textId="77777777" w:rsidTr="00FC2E89">
        <w:trPr>
          <w:trHeight w:val="20"/>
        </w:trPr>
        <w:tc>
          <w:tcPr>
            <w:tcW w:w="1901" w:type="dxa"/>
            <w:tcBorders>
              <w:top w:val="nil"/>
              <w:left w:val="single" w:sz="4" w:space="0" w:color="auto"/>
              <w:bottom w:val="single" w:sz="4" w:space="0" w:color="auto"/>
              <w:right w:val="single" w:sz="4" w:space="0" w:color="auto"/>
            </w:tcBorders>
            <w:noWrap/>
            <w:vAlign w:val="bottom"/>
            <w:hideMark/>
          </w:tcPr>
          <w:p w14:paraId="165717EE"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2014</w:t>
            </w:r>
          </w:p>
        </w:tc>
        <w:tc>
          <w:tcPr>
            <w:tcW w:w="1130" w:type="dxa"/>
            <w:tcBorders>
              <w:top w:val="nil"/>
              <w:left w:val="nil"/>
              <w:bottom w:val="single" w:sz="4" w:space="0" w:color="auto"/>
              <w:right w:val="single" w:sz="4" w:space="0" w:color="auto"/>
            </w:tcBorders>
            <w:noWrap/>
            <w:vAlign w:val="bottom"/>
            <w:hideMark/>
          </w:tcPr>
          <w:p w14:paraId="263DC6A7"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142</w:t>
            </w:r>
          </w:p>
        </w:tc>
        <w:tc>
          <w:tcPr>
            <w:tcW w:w="3065" w:type="dxa"/>
            <w:tcBorders>
              <w:top w:val="nil"/>
              <w:left w:val="nil"/>
              <w:bottom w:val="single" w:sz="4" w:space="0" w:color="auto"/>
              <w:right w:val="single" w:sz="4" w:space="0" w:color="auto"/>
            </w:tcBorders>
            <w:noWrap/>
            <w:vAlign w:val="bottom"/>
            <w:hideMark/>
          </w:tcPr>
          <w:p w14:paraId="2AFAA932" w14:textId="571A9AC8"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64,61±13,40</w:t>
            </w:r>
          </w:p>
        </w:tc>
        <w:tc>
          <w:tcPr>
            <w:tcW w:w="3402" w:type="dxa"/>
            <w:tcBorders>
              <w:top w:val="nil"/>
              <w:left w:val="nil"/>
              <w:bottom w:val="single" w:sz="4" w:space="0" w:color="auto"/>
              <w:right w:val="single" w:sz="4" w:space="0" w:color="auto"/>
            </w:tcBorders>
            <w:vAlign w:val="bottom"/>
            <w:hideMark/>
          </w:tcPr>
          <w:p w14:paraId="6D39A34D" w14:textId="61E0EF06"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10,74±7,57</w:t>
            </w:r>
          </w:p>
        </w:tc>
      </w:tr>
      <w:tr w:rsidR="008850D7" w:rsidRPr="000B2A05" w14:paraId="5D1D3BB0" w14:textId="77777777" w:rsidTr="00FC2E89">
        <w:trPr>
          <w:trHeight w:val="20"/>
        </w:trPr>
        <w:tc>
          <w:tcPr>
            <w:tcW w:w="1901" w:type="dxa"/>
            <w:tcBorders>
              <w:top w:val="nil"/>
              <w:left w:val="single" w:sz="4" w:space="0" w:color="auto"/>
              <w:bottom w:val="single" w:sz="4" w:space="0" w:color="auto"/>
              <w:right w:val="single" w:sz="4" w:space="0" w:color="auto"/>
            </w:tcBorders>
            <w:noWrap/>
            <w:vAlign w:val="bottom"/>
            <w:hideMark/>
          </w:tcPr>
          <w:p w14:paraId="011ACF3E"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2015</w:t>
            </w:r>
          </w:p>
        </w:tc>
        <w:tc>
          <w:tcPr>
            <w:tcW w:w="1130" w:type="dxa"/>
            <w:tcBorders>
              <w:top w:val="nil"/>
              <w:left w:val="nil"/>
              <w:bottom w:val="single" w:sz="4" w:space="0" w:color="auto"/>
              <w:right w:val="single" w:sz="4" w:space="0" w:color="auto"/>
            </w:tcBorders>
            <w:noWrap/>
            <w:vAlign w:val="bottom"/>
            <w:hideMark/>
          </w:tcPr>
          <w:p w14:paraId="7C8D1EF0"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185</w:t>
            </w:r>
          </w:p>
        </w:tc>
        <w:tc>
          <w:tcPr>
            <w:tcW w:w="3065" w:type="dxa"/>
            <w:tcBorders>
              <w:top w:val="nil"/>
              <w:left w:val="nil"/>
              <w:bottom w:val="single" w:sz="4" w:space="0" w:color="auto"/>
              <w:right w:val="single" w:sz="4" w:space="0" w:color="auto"/>
            </w:tcBorders>
            <w:noWrap/>
            <w:vAlign w:val="bottom"/>
            <w:hideMark/>
          </w:tcPr>
          <w:p w14:paraId="4CE8DDD7" w14:textId="477374C7"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65,32±13,52</w:t>
            </w:r>
          </w:p>
        </w:tc>
        <w:tc>
          <w:tcPr>
            <w:tcW w:w="3402" w:type="dxa"/>
            <w:tcBorders>
              <w:top w:val="nil"/>
              <w:left w:val="nil"/>
              <w:bottom w:val="single" w:sz="4" w:space="0" w:color="auto"/>
              <w:right w:val="single" w:sz="4" w:space="0" w:color="auto"/>
            </w:tcBorders>
            <w:vAlign w:val="bottom"/>
            <w:hideMark/>
          </w:tcPr>
          <w:p w14:paraId="1C9361D7" w14:textId="34EE54BD"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10,47±5,53</w:t>
            </w:r>
          </w:p>
        </w:tc>
      </w:tr>
      <w:tr w:rsidR="008850D7" w:rsidRPr="000B2A05" w14:paraId="034AA398" w14:textId="77777777" w:rsidTr="00FC2E89">
        <w:trPr>
          <w:trHeight w:val="20"/>
        </w:trPr>
        <w:tc>
          <w:tcPr>
            <w:tcW w:w="1901" w:type="dxa"/>
            <w:tcBorders>
              <w:top w:val="nil"/>
              <w:left w:val="single" w:sz="4" w:space="0" w:color="auto"/>
              <w:bottom w:val="single" w:sz="4" w:space="0" w:color="auto"/>
              <w:right w:val="single" w:sz="4" w:space="0" w:color="auto"/>
            </w:tcBorders>
            <w:noWrap/>
            <w:vAlign w:val="bottom"/>
            <w:hideMark/>
          </w:tcPr>
          <w:p w14:paraId="4587ACD3"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2016</w:t>
            </w:r>
          </w:p>
        </w:tc>
        <w:tc>
          <w:tcPr>
            <w:tcW w:w="1130" w:type="dxa"/>
            <w:tcBorders>
              <w:top w:val="nil"/>
              <w:left w:val="nil"/>
              <w:bottom w:val="single" w:sz="4" w:space="0" w:color="auto"/>
              <w:right w:val="single" w:sz="4" w:space="0" w:color="auto"/>
            </w:tcBorders>
            <w:noWrap/>
            <w:vAlign w:val="bottom"/>
            <w:hideMark/>
          </w:tcPr>
          <w:p w14:paraId="00FDE4FC"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269</w:t>
            </w:r>
          </w:p>
        </w:tc>
        <w:tc>
          <w:tcPr>
            <w:tcW w:w="3065" w:type="dxa"/>
            <w:tcBorders>
              <w:top w:val="nil"/>
              <w:left w:val="nil"/>
              <w:bottom w:val="single" w:sz="4" w:space="0" w:color="auto"/>
              <w:right w:val="single" w:sz="4" w:space="0" w:color="auto"/>
            </w:tcBorders>
            <w:noWrap/>
            <w:vAlign w:val="bottom"/>
            <w:hideMark/>
          </w:tcPr>
          <w:p w14:paraId="27465238" w14:textId="3227F13B"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65,53±13,41</w:t>
            </w:r>
          </w:p>
        </w:tc>
        <w:tc>
          <w:tcPr>
            <w:tcW w:w="3402" w:type="dxa"/>
            <w:tcBorders>
              <w:top w:val="nil"/>
              <w:left w:val="nil"/>
              <w:bottom w:val="single" w:sz="4" w:space="0" w:color="auto"/>
              <w:right w:val="single" w:sz="4" w:space="0" w:color="auto"/>
            </w:tcBorders>
            <w:vAlign w:val="bottom"/>
            <w:hideMark/>
          </w:tcPr>
          <w:p w14:paraId="4FCCEA70" w14:textId="44061894"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10,37±5,65</w:t>
            </w:r>
          </w:p>
        </w:tc>
      </w:tr>
      <w:tr w:rsidR="008850D7" w:rsidRPr="000B2A05" w14:paraId="0DCE8DC7" w14:textId="77777777" w:rsidTr="00FC2E89">
        <w:trPr>
          <w:trHeight w:val="20"/>
        </w:trPr>
        <w:tc>
          <w:tcPr>
            <w:tcW w:w="1901" w:type="dxa"/>
            <w:tcBorders>
              <w:top w:val="nil"/>
              <w:left w:val="single" w:sz="4" w:space="0" w:color="auto"/>
              <w:bottom w:val="single" w:sz="4" w:space="0" w:color="auto"/>
              <w:right w:val="single" w:sz="4" w:space="0" w:color="auto"/>
            </w:tcBorders>
            <w:noWrap/>
            <w:vAlign w:val="bottom"/>
            <w:hideMark/>
          </w:tcPr>
          <w:p w14:paraId="6172B25E"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2017</w:t>
            </w:r>
          </w:p>
        </w:tc>
        <w:tc>
          <w:tcPr>
            <w:tcW w:w="1130" w:type="dxa"/>
            <w:tcBorders>
              <w:top w:val="nil"/>
              <w:left w:val="nil"/>
              <w:bottom w:val="single" w:sz="4" w:space="0" w:color="auto"/>
              <w:right w:val="single" w:sz="4" w:space="0" w:color="auto"/>
            </w:tcBorders>
            <w:noWrap/>
            <w:vAlign w:val="bottom"/>
            <w:hideMark/>
          </w:tcPr>
          <w:p w14:paraId="0831AA2E"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262</w:t>
            </w:r>
          </w:p>
        </w:tc>
        <w:tc>
          <w:tcPr>
            <w:tcW w:w="3065" w:type="dxa"/>
            <w:tcBorders>
              <w:top w:val="nil"/>
              <w:left w:val="nil"/>
              <w:bottom w:val="single" w:sz="4" w:space="0" w:color="auto"/>
              <w:right w:val="single" w:sz="4" w:space="0" w:color="auto"/>
            </w:tcBorders>
            <w:noWrap/>
            <w:vAlign w:val="bottom"/>
            <w:hideMark/>
          </w:tcPr>
          <w:p w14:paraId="745A4BA6" w14:textId="55B62A0D"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kk-KZ"/>
              </w:rPr>
            </w:pPr>
            <w:r w:rsidRPr="00D56C04">
              <w:rPr>
                <w:rFonts w:ascii="Times New Roman" w:hAnsi="Times New Roman" w:cs="Times New Roman"/>
                <w:color w:val="000000"/>
                <w:sz w:val="24"/>
                <w:szCs w:val="24"/>
              </w:rPr>
              <w:t>65,57±13,07</w:t>
            </w:r>
          </w:p>
        </w:tc>
        <w:tc>
          <w:tcPr>
            <w:tcW w:w="3402" w:type="dxa"/>
            <w:tcBorders>
              <w:top w:val="nil"/>
              <w:left w:val="nil"/>
              <w:bottom w:val="single" w:sz="4" w:space="0" w:color="auto"/>
              <w:right w:val="single" w:sz="4" w:space="0" w:color="auto"/>
            </w:tcBorders>
            <w:vAlign w:val="bottom"/>
            <w:hideMark/>
          </w:tcPr>
          <w:p w14:paraId="47150E33" w14:textId="7A3D50EB"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10,19±5,41</w:t>
            </w:r>
          </w:p>
        </w:tc>
      </w:tr>
      <w:tr w:rsidR="008850D7" w:rsidRPr="000B2A05" w14:paraId="2D4D5843" w14:textId="77777777" w:rsidTr="00FC2E89">
        <w:trPr>
          <w:trHeight w:val="20"/>
        </w:trPr>
        <w:tc>
          <w:tcPr>
            <w:tcW w:w="1901" w:type="dxa"/>
            <w:tcBorders>
              <w:top w:val="nil"/>
              <w:left w:val="single" w:sz="4" w:space="0" w:color="auto"/>
              <w:bottom w:val="single" w:sz="4" w:space="0" w:color="auto"/>
              <w:right w:val="single" w:sz="4" w:space="0" w:color="auto"/>
            </w:tcBorders>
            <w:noWrap/>
            <w:vAlign w:val="bottom"/>
            <w:hideMark/>
          </w:tcPr>
          <w:p w14:paraId="4821B733"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2018</w:t>
            </w:r>
          </w:p>
        </w:tc>
        <w:tc>
          <w:tcPr>
            <w:tcW w:w="1130" w:type="dxa"/>
            <w:tcBorders>
              <w:top w:val="nil"/>
              <w:left w:val="nil"/>
              <w:bottom w:val="single" w:sz="4" w:space="0" w:color="auto"/>
              <w:right w:val="single" w:sz="4" w:space="0" w:color="auto"/>
            </w:tcBorders>
            <w:noWrap/>
            <w:vAlign w:val="bottom"/>
            <w:hideMark/>
          </w:tcPr>
          <w:p w14:paraId="507E0A4D"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251</w:t>
            </w:r>
          </w:p>
        </w:tc>
        <w:tc>
          <w:tcPr>
            <w:tcW w:w="3065" w:type="dxa"/>
            <w:tcBorders>
              <w:top w:val="nil"/>
              <w:left w:val="nil"/>
              <w:bottom w:val="single" w:sz="4" w:space="0" w:color="auto"/>
              <w:right w:val="single" w:sz="4" w:space="0" w:color="auto"/>
            </w:tcBorders>
            <w:noWrap/>
            <w:vAlign w:val="bottom"/>
            <w:hideMark/>
          </w:tcPr>
          <w:p w14:paraId="0E5DFF99" w14:textId="32B0CB3D"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65,70±13,25</w:t>
            </w:r>
          </w:p>
        </w:tc>
        <w:tc>
          <w:tcPr>
            <w:tcW w:w="3402" w:type="dxa"/>
            <w:tcBorders>
              <w:top w:val="nil"/>
              <w:left w:val="nil"/>
              <w:bottom w:val="single" w:sz="4" w:space="0" w:color="auto"/>
              <w:right w:val="single" w:sz="4" w:space="0" w:color="auto"/>
            </w:tcBorders>
            <w:vAlign w:val="bottom"/>
            <w:hideMark/>
          </w:tcPr>
          <w:p w14:paraId="472338F8" w14:textId="0FB75EBD"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kk-KZ"/>
              </w:rPr>
            </w:pPr>
            <w:r w:rsidRPr="00D56C04">
              <w:rPr>
                <w:rFonts w:ascii="Times New Roman" w:hAnsi="Times New Roman" w:cs="Times New Roman"/>
                <w:color w:val="000000"/>
                <w:sz w:val="24"/>
                <w:szCs w:val="24"/>
              </w:rPr>
              <w:t>10,29±9,63</w:t>
            </w:r>
          </w:p>
        </w:tc>
      </w:tr>
      <w:tr w:rsidR="008850D7" w:rsidRPr="000B2A05" w14:paraId="6D5CC6D9" w14:textId="77777777" w:rsidTr="00FC2E89">
        <w:trPr>
          <w:trHeight w:val="20"/>
        </w:trPr>
        <w:tc>
          <w:tcPr>
            <w:tcW w:w="1901" w:type="dxa"/>
            <w:tcBorders>
              <w:top w:val="nil"/>
              <w:left w:val="single" w:sz="4" w:space="0" w:color="auto"/>
              <w:bottom w:val="single" w:sz="4" w:space="0" w:color="auto"/>
              <w:right w:val="single" w:sz="4" w:space="0" w:color="auto"/>
            </w:tcBorders>
            <w:noWrap/>
            <w:vAlign w:val="bottom"/>
            <w:hideMark/>
          </w:tcPr>
          <w:p w14:paraId="0B3FD7D6"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2019</w:t>
            </w:r>
          </w:p>
        </w:tc>
        <w:tc>
          <w:tcPr>
            <w:tcW w:w="1130" w:type="dxa"/>
            <w:tcBorders>
              <w:top w:val="nil"/>
              <w:left w:val="nil"/>
              <w:bottom w:val="single" w:sz="4" w:space="0" w:color="auto"/>
              <w:right w:val="single" w:sz="4" w:space="0" w:color="auto"/>
            </w:tcBorders>
            <w:noWrap/>
            <w:vAlign w:val="bottom"/>
            <w:hideMark/>
          </w:tcPr>
          <w:p w14:paraId="2B47E9E3"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179</w:t>
            </w:r>
          </w:p>
        </w:tc>
        <w:tc>
          <w:tcPr>
            <w:tcW w:w="3065" w:type="dxa"/>
            <w:tcBorders>
              <w:top w:val="nil"/>
              <w:left w:val="nil"/>
              <w:bottom w:val="single" w:sz="4" w:space="0" w:color="auto"/>
              <w:right w:val="single" w:sz="4" w:space="0" w:color="auto"/>
            </w:tcBorders>
            <w:noWrap/>
            <w:vAlign w:val="bottom"/>
            <w:hideMark/>
          </w:tcPr>
          <w:p w14:paraId="00E46556" w14:textId="6034ACF7"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65,16±13,2</w:t>
            </w:r>
          </w:p>
        </w:tc>
        <w:tc>
          <w:tcPr>
            <w:tcW w:w="3402" w:type="dxa"/>
            <w:tcBorders>
              <w:top w:val="nil"/>
              <w:left w:val="nil"/>
              <w:bottom w:val="single" w:sz="4" w:space="0" w:color="auto"/>
              <w:right w:val="single" w:sz="4" w:space="0" w:color="auto"/>
            </w:tcBorders>
            <w:vAlign w:val="bottom"/>
            <w:hideMark/>
          </w:tcPr>
          <w:p w14:paraId="55104CBD" w14:textId="6B6113AF"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9,98±6,57</w:t>
            </w:r>
          </w:p>
        </w:tc>
      </w:tr>
      <w:tr w:rsidR="008850D7" w:rsidRPr="000B2A05" w14:paraId="4722DB39" w14:textId="77777777" w:rsidTr="00FC2E89">
        <w:trPr>
          <w:trHeight w:val="20"/>
        </w:trPr>
        <w:tc>
          <w:tcPr>
            <w:tcW w:w="1901" w:type="dxa"/>
            <w:tcBorders>
              <w:top w:val="nil"/>
              <w:left w:val="single" w:sz="4" w:space="0" w:color="auto"/>
              <w:bottom w:val="single" w:sz="4" w:space="0" w:color="auto"/>
              <w:right w:val="single" w:sz="4" w:space="0" w:color="auto"/>
            </w:tcBorders>
            <w:noWrap/>
            <w:vAlign w:val="bottom"/>
            <w:hideMark/>
          </w:tcPr>
          <w:p w14:paraId="1B45767C"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2020</w:t>
            </w:r>
          </w:p>
        </w:tc>
        <w:tc>
          <w:tcPr>
            <w:tcW w:w="1130" w:type="dxa"/>
            <w:tcBorders>
              <w:top w:val="nil"/>
              <w:left w:val="nil"/>
              <w:bottom w:val="single" w:sz="4" w:space="0" w:color="auto"/>
              <w:right w:val="single" w:sz="4" w:space="0" w:color="auto"/>
            </w:tcBorders>
            <w:noWrap/>
            <w:vAlign w:val="bottom"/>
            <w:hideMark/>
          </w:tcPr>
          <w:p w14:paraId="52DF2C11"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89</w:t>
            </w:r>
          </w:p>
        </w:tc>
        <w:tc>
          <w:tcPr>
            <w:tcW w:w="3065" w:type="dxa"/>
            <w:tcBorders>
              <w:top w:val="nil"/>
              <w:left w:val="nil"/>
              <w:bottom w:val="single" w:sz="4" w:space="0" w:color="auto"/>
              <w:right w:val="single" w:sz="4" w:space="0" w:color="auto"/>
            </w:tcBorders>
            <w:noWrap/>
            <w:vAlign w:val="bottom"/>
            <w:hideMark/>
          </w:tcPr>
          <w:p w14:paraId="56AA6AC8" w14:textId="24F7759B"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64,65±12,62</w:t>
            </w:r>
          </w:p>
        </w:tc>
        <w:tc>
          <w:tcPr>
            <w:tcW w:w="3402" w:type="dxa"/>
            <w:tcBorders>
              <w:top w:val="nil"/>
              <w:left w:val="nil"/>
              <w:bottom w:val="single" w:sz="4" w:space="0" w:color="auto"/>
              <w:right w:val="single" w:sz="4" w:space="0" w:color="auto"/>
            </w:tcBorders>
            <w:vAlign w:val="bottom"/>
            <w:hideMark/>
          </w:tcPr>
          <w:p w14:paraId="62CF55FE" w14:textId="48153188"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9,08±4,30</w:t>
            </w:r>
          </w:p>
        </w:tc>
      </w:tr>
      <w:tr w:rsidR="008850D7" w:rsidRPr="000B2A05" w14:paraId="7E537BE2" w14:textId="77777777" w:rsidTr="00FC2E89">
        <w:trPr>
          <w:trHeight w:val="20"/>
        </w:trPr>
        <w:tc>
          <w:tcPr>
            <w:tcW w:w="1901" w:type="dxa"/>
            <w:tcBorders>
              <w:top w:val="nil"/>
              <w:left w:val="single" w:sz="4" w:space="0" w:color="auto"/>
              <w:bottom w:val="single" w:sz="4" w:space="0" w:color="auto"/>
              <w:right w:val="single" w:sz="4" w:space="0" w:color="auto"/>
            </w:tcBorders>
            <w:noWrap/>
            <w:vAlign w:val="bottom"/>
            <w:hideMark/>
          </w:tcPr>
          <w:p w14:paraId="1F40ED67"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2021</w:t>
            </w:r>
          </w:p>
        </w:tc>
        <w:tc>
          <w:tcPr>
            <w:tcW w:w="1130" w:type="dxa"/>
            <w:tcBorders>
              <w:top w:val="nil"/>
              <w:left w:val="nil"/>
              <w:bottom w:val="single" w:sz="4" w:space="0" w:color="auto"/>
              <w:right w:val="single" w:sz="4" w:space="0" w:color="auto"/>
            </w:tcBorders>
            <w:noWrap/>
            <w:vAlign w:val="bottom"/>
            <w:hideMark/>
          </w:tcPr>
          <w:p w14:paraId="18E05E23"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108</w:t>
            </w:r>
          </w:p>
        </w:tc>
        <w:tc>
          <w:tcPr>
            <w:tcW w:w="3065" w:type="dxa"/>
            <w:tcBorders>
              <w:top w:val="nil"/>
              <w:left w:val="nil"/>
              <w:bottom w:val="single" w:sz="4" w:space="0" w:color="auto"/>
              <w:right w:val="single" w:sz="4" w:space="0" w:color="auto"/>
            </w:tcBorders>
            <w:noWrap/>
            <w:vAlign w:val="bottom"/>
            <w:hideMark/>
          </w:tcPr>
          <w:p w14:paraId="728836C2" w14:textId="4371C22B"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64,70±12,52</w:t>
            </w:r>
          </w:p>
        </w:tc>
        <w:tc>
          <w:tcPr>
            <w:tcW w:w="3402" w:type="dxa"/>
            <w:tcBorders>
              <w:top w:val="nil"/>
              <w:left w:val="nil"/>
              <w:bottom w:val="single" w:sz="4" w:space="0" w:color="auto"/>
              <w:right w:val="single" w:sz="4" w:space="0" w:color="auto"/>
            </w:tcBorders>
            <w:vAlign w:val="bottom"/>
            <w:hideMark/>
          </w:tcPr>
          <w:p w14:paraId="6EA9ACB5" w14:textId="113670B1"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9,37±4,82</w:t>
            </w:r>
          </w:p>
        </w:tc>
      </w:tr>
      <w:tr w:rsidR="008850D7" w:rsidRPr="000B2A05" w14:paraId="6BC68E6F" w14:textId="77777777" w:rsidTr="00FC2E89">
        <w:trPr>
          <w:trHeight w:val="20"/>
        </w:trPr>
        <w:tc>
          <w:tcPr>
            <w:tcW w:w="1901" w:type="dxa"/>
            <w:tcBorders>
              <w:top w:val="nil"/>
              <w:left w:val="single" w:sz="4" w:space="0" w:color="auto"/>
              <w:bottom w:val="single" w:sz="4" w:space="0" w:color="auto"/>
              <w:right w:val="single" w:sz="4" w:space="0" w:color="auto"/>
            </w:tcBorders>
            <w:noWrap/>
            <w:vAlign w:val="bottom"/>
            <w:hideMark/>
          </w:tcPr>
          <w:p w14:paraId="63C48F1A"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2022</w:t>
            </w:r>
          </w:p>
        </w:tc>
        <w:tc>
          <w:tcPr>
            <w:tcW w:w="1130" w:type="dxa"/>
            <w:tcBorders>
              <w:top w:val="nil"/>
              <w:left w:val="nil"/>
              <w:bottom w:val="single" w:sz="4" w:space="0" w:color="auto"/>
              <w:right w:val="single" w:sz="4" w:space="0" w:color="auto"/>
            </w:tcBorders>
            <w:noWrap/>
            <w:vAlign w:val="bottom"/>
            <w:hideMark/>
          </w:tcPr>
          <w:p w14:paraId="06B2B7FC"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191</w:t>
            </w:r>
          </w:p>
        </w:tc>
        <w:tc>
          <w:tcPr>
            <w:tcW w:w="3065" w:type="dxa"/>
            <w:tcBorders>
              <w:top w:val="nil"/>
              <w:left w:val="nil"/>
              <w:bottom w:val="single" w:sz="4" w:space="0" w:color="auto"/>
              <w:right w:val="single" w:sz="4" w:space="0" w:color="auto"/>
            </w:tcBorders>
            <w:noWrap/>
            <w:vAlign w:val="bottom"/>
            <w:hideMark/>
          </w:tcPr>
          <w:p w14:paraId="1148E25E" w14:textId="794AB011"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64,64±12,01</w:t>
            </w:r>
          </w:p>
        </w:tc>
        <w:tc>
          <w:tcPr>
            <w:tcW w:w="3402" w:type="dxa"/>
            <w:tcBorders>
              <w:top w:val="nil"/>
              <w:left w:val="nil"/>
              <w:bottom w:val="single" w:sz="4" w:space="0" w:color="auto"/>
              <w:right w:val="single" w:sz="4" w:space="0" w:color="auto"/>
            </w:tcBorders>
            <w:vAlign w:val="bottom"/>
            <w:hideMark/>
          </w:tcPr>
          <w:p w14:paraId="3420DCE2" w14:textId="0E96513F"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9,74±4,86</w:t>
            </w:r>
          </w:p>
        </w:tc>
      </w:tr>
      <w:tr w:rsidR="008850D7" w:rsidRPr="000B2A05" w14:paraId="7C1C10A2" w14:textId="77777777" w:rsidTr="00FC2E89">
        <w:trPr>
          <w:trHeight w:val="20"/>
        </w:trPr>
        <w:tc>
          <w:tcPr>
            <w:tcW w:w="1901" w:type="dxa"/>
            <w:tcBorders>
              <w:top w:val="nil"/>
              <w:left w:val="single" w:sz="4" w:space="0" w:color="auto"/>
              <w:bottom w:val="single" w:sz="4" w:space="0" w:color="auto"/>
              <w:right w:val="single" w:sz="4" w:space="0" w:color="auto"/>
            </w:tcBorders>
            <w:noWrap/>
            <w:vAlign w:val="bottom"/>
          </w:tcPr>
          <w:p w14:paraId="3B532B57"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2023</w:t>
            </w:r>
          </w:p>
        </w:tc>
        <w:tc>
          <w:tcPr>
            <w:tcW w:w="1130" w:type="dxa"/>
            <w:tcBorders>
              <w:top w:val="nil"/>
              <w:left w:val="nil"/>
              <w:bottom w:val="single" w:sz="4" w:space="0" w:color="auto"/>
              <w:right w:val="single" w:sz="4" w:space="0" w:color="auto"/>
            </w:tcBorders>
            <w:noWrap/>
          </w:tcPr>
          <w:p w14:paraId="00B27B8E"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kk-KZ"/>
              </w:rPr>
              <w:t>320</w:t>
            </w:r>
          </w:p>
        </w:tc>
        <w:tc>
          <w:tcPr>
            <w:tcW w:w="3065" w:type="dxa"/>
            <w:tcBorders>
              <w:top w:val="nil"/>
              <w:left w:val="nil"/>
              <w:bottom w:val="single" w:sz="4" w:space="0" w:color="auto"/>
              <w:right w:val="single" w:sz="4" w:space="0" w:color="auto"/>
            </w:tcBorders>
            <w:noWrap/>
            <w:vAlign w:val="bottom"/>
          </w:tcPr>
          <w:p w14:paraId="5A3AACFC" w14:textId="6E3A25B0"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63,49±9,41</w:t>
            </w:r>
          </w:p>
        </w:tc>
        <w:tc>
          <w:tcPr>
            <w:tcW w:w="3402" w:type="dxa"/>
            <w:tcBorders>
              <w:top w:val="nil"/>
              <w:left w:val="nil"/>
              <w:bottom w:val="single" w:sz="4" w:space="0" w:color="auto"/>
              <w:right w:val="single" w:sz="4" w:space="0" w:color="auto"/>
            </w:tcBorders>
            <w:vAlign w:val="bottom"/>
          </w:tcPr>
          <w:p w14:paraId="180B1472" w14:textId="701A0E76"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9,20±5,05</w:t>
            </w:r>
          </w:p>
        </w:tc>
      </w:tr>
      <w:tr w:rsidR="008850D7" w:rsidRPr="000B2A05" w14:paraId="27BC6568" w14:textId="77777777" w:rsidTr="00FC2E89">
        <w:trPr>
          <w:trHeight w:val="20"/>
        </w:trPr>
        <w:tc>
          <w:tcPr>
            <w:tcW w:w="1901" w:type="dxa"/>
            <w:tcBorders>
              <w:top w:val="nil"/>
              <w:left w:val="single" w:sz="4" w:space="0" w:color="auto"/>
              <w:bottom w:val="single" w:sz="4" w:space="0" w:color="auto"/>
              <w:right w:val="single" w:sz="4" w:space="0" w:color="auto"/>
            </w:tcBorders>
            <w:noWrap/>
            <w:vAlign w:val="bottom"/>
          </w:tcPr>
          <w:p w14:paraId="5BB71208"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en-US"/>
              </w:rPr>
              <w:t>2024</w:t>
            </w:r>
          </w:p>
        </w:tc>
        <w:tc>
          <w:tcPr>
            <w:tcW w:w="1130" w:type="dxa"/>
            <w:tcBorders>
              <w:top w:val="nil"/>
              <w:left w:val="nil"/>
              <w:bottom w:val="single" w:sz="4" w:space="0" w:color="auto"/>
              <w:right w:val="single" w:sz="4" w:space="0" w:color="auto"/>
            </w:tcBorders>
            <w:noWrap/>
          </w:tcPr>
          <w:p w14:paraId="193BAE6D" w14:textId="77777777" w:rsidR="008850D7" w:rsidRPr="00043DCA" w:rsidRDefault="008850D7" w:rsidP="008850D7">
            <w:pPr>
              <w:spacing w:after="0" w:line="240" w:lineRule="auto"/>
              <w:ind w:left="142" w:right="291"/>
              <w:jc w:val="center"/>
              <w:rPr>
                <w:rFonts w:ascii="Times New Roman" w:hAnsi="Times New Roman" w:cs="Times New Roman"/>
                <w:sz w:val="24"/>
                <w:szCs w:val="24"/>
                <w:lang w:val="en-US"/>
              </w:rPr>
            </w:pPr>
            <w:r w:rsidRPr="00043DCA">
              <w:rPr>
                <w:rFonts w:ascii="Times New Roman" w:hAnsi="Times New Roman" w:cs="Times New Roman"/>
                <w:sz w:val="24"/>
                <w:szCs w:val="24"/>
                <w:lang w:val="kk-KZ"/>
              </w:rPr>
              <w:t>302</w:t>
            </w:r>
          </w:p>
        </w:tc>
        <w:tc>
          <w:tcPr>
            <w:tcW w:w="3065" w:type="dxa"/>
            <w:tcBorders>
              <w:top w:val="nil"/>
              <w:left w:val="nil"/>
              <w:bottom w:val="single" w:sz="4" w:space="0" w:color="auto"/>
              <w:right w:val="single" w:sz="4" w:space="0" w:color="auto"/>
            </w:tcBorders>
            <w:noWrap/>
            <w:vAlign w:val="bottom"/>
          </w:tcPr>
          <w:p w14:paraId="219F4632" w14:textId="6524FD69"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60,42±11,37</w:t>
            </w:r>
          </w:p>
        </w:tc>
        <w:tc>
          <w:tcPr>
            <w:tcW w:w="3402" w:type="dxa"/>
            <w:tcBorders>
              <w:top w:val="nil"/>
              <w:left w:val="nil"/>
              <w:bottom w:val="single" w:sz="4" w:space="0" w:color="auto"/>
              <w:right w:val="single" w:sz="4" w:space="0" w:color="auto"/>
            </w:tcBorders>
            <w:vAlign w:val="bottom"/>
          </w:tcPr>
          <w:p w14:paraId="7654A149" w14:textId="32A9BFD3" w:rsidR="008850D7" w:rsidRPr="00D56C04" w:rsidRDefault="008850D7" w:rsidP="008850D7">
            <w:pPr>
              <w:spacing w:after="0" w:line="240" w:lineRule="auto"/>
              <w:ind w:left="142" w:right="291"/>
              <w:jc w:val="center"/>
              <w:rPr>
                <w:rFonts w:ascii="Times New Roman" w:hAnsi="Times New Roman" w:cs="Times New Roman"/>
                <w:sz w:val="24"/>
                <w:szCs w:val="24"/>
                <w:highlight w:val="yellow"/>
                <w:lang w:val="en-US"/>
              </w:rPr>
            </w:pPr>
            <w:r w:rsidRPr="00D56C04">
              <w:rPr>
                <w:rFonts w:ascii="Times New Roman" w:hAnsi="Times New Roman" w:cs="Times New Roman"/>
                <w:color w:val="000000"/>
                <w:sz w:val="24"/>
                <w:szCs w:val="24"/>
              </w:rPr>
              <w:t>8,69±5,90</w:t>
            </w:r>
          </w:p>
        </w:tc>
      </w:tr>
    </w:tbl>
    <w:p w14:paraId="018B123D" w14:textId="77777777" w:rsidR="00904709" w:rsidRDefault="00904709" w:rsidP="000F4E51">
      <w:pPr>
        <w:spacing w:after="0" w:line="240" w:lineRule="auto"/>
        <w:ind w:left="851" w:right="-1135" w:firstLine="567"/>
        <w:jc w:val="both"/>
        <w:rPr>
          <w:rFonts w:ascii="Times New Roman" w:hAnsi="Times New Roman" w:cs="Times New Roman"/>
          <w:sz w:val="28"/>
          <w:szCs w:val="28"/>
        </w:rPr>
      </w:pPr>
    </w:p>
    <w:p w14:paraId="4F475E43" w14:textId="080420A8" w:rsidR="00904709" w:rsidRDefault="00904709" w:rsidP="00FC2E89">
      <w:pPr>
        <w:spacing w:line="240" w:lineRule="auto"/>
        <w:ind w:firstLine="567"/>
        <w:jc w:val="both"/>
        <w:rPr>
          <w:rFonts w:ascii="Times New Roman" w:hAnsi="Times New Roman" w:cs="Times New Roman"/>
          <w:sz w:val="28"/>
          <w:szCs w:val="28"/>
        </w:rPr>
      </w:pPr>
      <w:r w:rsidRPr="000B2A05">
        <w:rPr>
          <w:rFonts w:ascii="Times New Roman" w:hAnsi="Times New Roman" w:cs="Times New Roman"/>
          <w:sz w:val="28"/>
          <w:szCs w:val="28"/>
        </w:rPr>
        <w:t xml:space="preserve">Как и ожидалось, случаи экстренной госпитализации значительно преобладали над плановыми, что объясняется острым течением заболевания. Наибольший показатель экстренных госпитализаций зафиксирован в 2019 году — 99,4% (рисунок </w:t>
      </w:r>
      <w:r w:rsidR="006D6E83">
        <w:rPr>
          <w:rFonts w:ascii="Times New Roman" w:hAnsi="Times New Roman" w:cs="Times New Roman"/>
          <w:sz w:val="28"/>
          <w:szCs w:val="28"/>
        </w:rPr>
        <w:t>5</w:t>
      </w:r>
      <w:r w:rsidRPr="000B2A05">
        <w:rPr>
          <w:rFonts w:ascii="Times New Roman" w:hAnsi="Times New Roman" w:cs="Times New Roman"/>
          <w:sz w:val="28"/>
          <w:szCs w:val="28"/>
        </w:rPr>
        <w:t xml:space="preserve">). </w:t>
      </w:r>
    </w:p>
    <w:p w14:paraId="7FF821B4" w14:textId="77777777" w:rsidR="00904709" w:rsidRPr="000B2A05" w:rsidRDefault="00904709" w:rsidP="00FC2E89">
      <w:pPr>
        <w:spacing w:line="240" w:lineRule="auto"/>
        <w:ind w:right="-1135" w:firstLine="567"/>
        <w:jc w:val="both"/>
        <w:rPr>
          <w:rFonts w:ascii="Times New Roman" w:hAnsi="Times New Roman" w:cs="Times New Roman"/>
          <w:sz w:val="28"/>
          <w:szCs w:val="28"/>
        </w:rPr>
      </w:pPr>
      <w:r>
        <w:rPr>
          <w:noProof/>
          <w:lang w:eastAsia="ru-RU"/>
          <w14:ligatures w14:val="standardContextual"/>
        </w:rPr>
        <w:drawing>
          <wp:inline distT="0" distB="0" distL="0" distR="0" wp14:anchorId="50E41D20" wp14:editId="2A9D3FFA">
            <wp:extent cx="5573395" cy="2209800"/>
            <wp:effectExtent l="0" t="0" r="8255" b="0"/>
            <wp:docPr id="1484043744" name="Диаграмма 1">
              <a:extLst xmlns:a="http://schemas.openxmlformats.org/drawingml/2006/main">
                <a:ext uri="{FF2B5EF4-FFF2-40B4-BE49-F238E27FC236}">
                  <a16:creationId xmlns:a16="http://schemas.microsoft.com/office/drawing/2014/main" id="{9AAC2E63-F0E8-0C8A-F159-6253206F2A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D31FB3C" w14:textId="1099A83E" w:rsidR="00904709" w:rsidRPr="00E20ADA" w:rsidRDefault="00904709" w:rsidP="00FC2E89">
      <w:pPr>
        <w:spacing w:line="240" w:lineRule="auto"/>
        <w:ind w:left="284" w:right="-851" w:firstLine="567"/>
        <w:jc w:val="center"/>
        <w:rPr>
          <w:rFonts w:ascii="Times New Roman" w:hAnsi="Times New Roman" w:cs="Times New Roman"/>
          <w:bCs/>
          <w:sz w:val="28"/>
          <w:szCs w:val="28"/>
        </w:rPr>
      </w:pPr>
      <w:r w:rsidRPr="000B2A05">
        <w:rPr>
          <w:rFonts w:ascii="Times New Roman" w:hAnsi="Times New Roman" w:cs="Times New Roman"/>
          <w:bCs/>
          <w:sz w:val="28"/>
          <w:szCs w:val="28"/>
        </w:rPr>
        <w:t xml:space="preserve">Рисунок </w:t>
      </w:r>
      <w:r w:rsidR="006D6E83">
        <w:rPr>
          <w:rFonts w:ascii="Times New Roman" w:hAnsi="Times New Roman" w:cs="Times New Roman"/>
          <w:bCs/>
          <w:sz w:val="28"/>
          <w:szCs w:val="28"/>
        </w:rPr>
        <w:t>5</w:t>
      </w:r>
      <w:r w:rsidR="00FC2E89">
        <w:rPr>
          <w:rFonts w:ascii="Times New Roman" w:hAnsi="Times New Roman" w:cs="Times New Roman"/>
          <w:bCs/>
          <w:sz w:val="28"/>
          <w:szCs w:val="28"/>
        </w:rPr>
        <w:t xml:space="preserve"> -</w:t>
      </w:r>
      <w:r w:rsidRPr="000B2A05">
        <w:rPr>
          <w:rFonts w:ascii="Times New Roman" w:hAnsi="Times New Roman" w:cs="Times New Roman"/>
          <w:bCs/>
          <w:sz w:val="28"/>
          <w:szCs w:val="28"/>
        </w:rPr>
        <w:t xml:space="preserve"> Тип </w:t>
      </w:r>
      <w:r w:rsidRPr="004F2925">
        <w:rPr>
          <w:rFonts w:ascii="Times New Roman" w:hAnsi="Times New Roman" w:cs="Times New Roman"/>
          <w:bCs/>
          <w:sz w:val="28"/>
          <w:szCs w:val="28"/>
        </w:rPr>
        <w:t>госпитализации с 2012 по 2024 год.</w:t>
      </w:r>
    </w:p>
    <w:p w14:paraId="31802EF3" w14:textId="6DDAA8D4" w:rsidR="00904709" w:rsidRPr="001C71D7" w:rsidRDefault="00904709" w:rsidP="00FC2E89">
      <w:pPr>
        <w:tabs>
          <w:tab w:val="left" w:pos="142"/>
          <w:tab w:val="left" w:pos="840"/>
          <w:tab w:val="left" w:pos="993"/>
        </w:tabs>
        <w:spacing w:line="240" w:lineRule="auto"/>
        <w:ind w:firstLine="567"/>
        <w:contextualSpacing/>
        <w:jc w:val="both"/>
        <w:rPr>
          <w:rFonts w:ascii="Times New Roman" w:hAnsi="Times New Roman" w:cs="Times New Roman"/>
          <w:sz w:val="28"/>
          <w:szCs w:val="28"/>
        </w:rPr>
      </w:pPr>
      <w:r w:rsidRPr="000B2A05">
        <w:rPr>
          <w:rFonts w:ascii="Times New Roman" w:hAnsi="Times New Roman" w:cs="Times New Roman"/>
          <w:sz w:val="28"/>
          <w:szCs w:val="28"/>
        </w:rPr>
        <w:lastRenderedPageBreak/>
        <w:t xml:space="preserve">Исходы лечения рассматривались в четырех категориях: смертность, </w:t>
      </w:r>
      <w:r w:rsidRPr="00A705C4">
        <w:rPr>
          <w:rFonts w:ascii="Times New Roman" w:hAnsi="Times New Roman" w:cs="Times New Roman"/>
          <w:sz w:val="28"/>
          <w:szCs w:val="28"/>
        </w:rPr>
        <w:t xml:space="preserve">выздоровление, без изменений, ухудшение. За период с 2012 по 2022 год отмечается устойчивая положительная динамика результатов лечения: смертность постепенно снижается, тогда как доля выздоровления последовательно растёт. Если в 2012–2013 гг. смертность превышала 50%, то к 2022 году она снизилась до 14,7%, а выздоровление увеличилось до 80,6%, что указывает на повышение эффективности лечения. В 2023–2024 гг. улучшение становится ещё более выраженным: смертность минимальна (около 1%), а выздоровление достигает 96–97%. Показатели «без изменения» и «ухудшение» </w:t>
      </w:r>
      <w:r w:rsidRPr="001C71D7">
        <w:rPr>
          <w:rFonts w:ascii="Times New Roman" w:hAnsi="Times New Roman" w:cs="Times New Roman"/>
          <w:sz w:val="28"/>
          <w:szCs w:val="28"/>
        </w:rPr>
        <w:t xml:space="preserve">остаются низкими на протяжении всего периода, что в целом подтверждает значительный прогресс качества медицинской помощи (таблица </w:t>
      </w:r>
      <w:r w:rsidR="001C71D7" w:rsidRPr="001C71D7">
        <w:rPr>
          <w:rFonts w:ascii="Times New Roman" w:hAnsi="Times New Roman" w:cs="Times New Roman"/>
          <w:sz w:val="28"/>
          <w:szCs w:val="28"/>
        </w:rPr>
        <w:t>1</w:t>
      </w:r>
      <w:r w:rsidR="006D6E83">
        <w:rPr>
          <w:rFonts w:ascii="Times New Roman" w:hAnsi="Times New Roman" w:cs="Times New Roman"/>
          <w:sz w:val="28"/>
          <w:szCs w:val="28"/>
        </w:rPr>
        <w:t>3</w:t>
      </w:r>
      <w:r w:rsidRPr="001C71D7">
        <w:rPr>
          <w:rFonts w:ascii="Times New Roman" w:hAnsi="Times New Roman" w:cs="Times New Roman"/>
          <w:sz w:val="28"/>
          <w:szCs w:val="28"/>
        </w:rPr>
        <w:t>).</w:t>
      </w:r>
    </w:p>
    <w:p w14:paraId="7E0C3E5E" w14:textId="77777777" w:rsidR="00FC2E89" w:rsidRDefault="00FC2E89" w:rsidP="000F4E51">
      <w:pPr>
        <w:tabs>
          <w:tab w:val="left" w:pos="142"/>
          <w:tab w:val="left" w:pos="840"/>
          <w:tab w:val="left" w:pos="993"/>
        </w:tabs>
        <w:spacing w:line="240" w:lineRule="auto"/>
        <w:ind w:left="284" w:right="-851" w:firstLine="567"/>
        <w:contextualSpacing/>
        <w:jc w:val="both"/>
        <w:rPr>
          <w:rFonts w:ascii="Times New Roman" w:hAnsi="Times New Roman" w:cs="Times New Roman"/>
          <w:iCs/>
          <w:sz w:val="28"/>
          <w:szCs w:val="28"/>
        </w:rPr>
      </w:pPr>
    </w:p>
    <w:p w14:paraId="1D95E763" w14:textId="15762353" w:rsidR="00904709" w:rsidRDefault="00904709" w:rsidP="00FC2E89">
      <w:pPr>
        <w:tabs>
          <w:tab w:val="left" w:pos="142"/>
          <w:tab w:val="left" w:pos="840"/>
          <w:tab w:val="left" w:pos="993"/>
        </w:tabs>
        <w:spacing w:line="240" w:lineRule="auto"/>
        <w:contextualSpacing/>
        <w:jc w:val="both"/>
        <w:rPr>
          <w:rFonts w:ascii="Times New Roman" w:hAnsi="Times New Roman" w:cs="Times New Roman"/>
          <w:iCs/>
          <w:sz w:val="28"/>
          <w:szCs w:val="28"/>
        </w:rPr>
      </w:pPr>
      <w:r w:rsidRPr="001C71D7">
        <w:rPr>
          <w:rFonts w:ascii="Times New Roman" w:hAnsi="Times New Roman" w:cs="Times New Roman"/>
          <w:iCs/>
          <w:sz w:val="28"/>
          <w:szCs w:val="28"/>
        </w:rPr>
        <w:t xml:space="preserve">Таблица </w:t>
      </w:r>
      <w:r w:rsidR="001C71D7" w:rsidRPr="001C71D7">
        <w:rPr>
          <w:rFonts w:ascii="Times New Roman" w:hAnsi="Times New Roman" w:cs="Times New Roman"/>
          <w:iCs/>
          <w:sz w:val="28"/>
          <w:szCs w:val="28"/>
        </w:rPr>
        <w:t>1</w:t>
      </w:r>
      <w:r w:rsidR="006D6E83">
        <w:rPr>
          <w:rFonts w:ascii="Times New Roman" w:hAnsi="Times New Roman" w:cs="Times New Roman"/>
          <w:iCs/>
          <w:sz w:val="28"/>
          <w:szCs w:val="28"/>
        </w:rPr>
        <w:t>3</w:t>
      </w:r>
      <w:r w:rsidRPr="001C71D7">
        <w:rPr>
          <w:rFonts w:ascii="Times New Roman" w:hAnsi="Times New Roman" w:cs="Times New Roman"/>
          <w:iCs/>
          <w:sz w:val="28"/>
          <w:szCs w:val="28"/>
        </w:rPr>
        <w:t>. Результаты лечения по четырем категориям за период с 2012 по 202</w:t>
      </w:r>
      <w:r w:rsidR="00AE422E">
        <w:rPr>
          <w:rFonts w:ascii="Times New Roman" w:hAnsi="Times New Roman" w:cs="Times New Roman"/>
          <w:iCs/>
          <w:sz w:val="28"/>
          <w:szCs w:val="28"/>
        </w:rPr>
        <w:t>4</w:t>
      </w:r>
      <w:r w:rsidRPr="001C71D7">
        <w:rPr>
          <w:rFonts w:ascii="Times New Roman" w:hAnsi="Times New Roman" w:cs="Times New Roman"/>
          <w:iCs/>
          <w:sz w:val="28"/>
          <w:szCs w:val="28"/>
        </w:rPr>
        <w:t xml:space="preserve"> год.</w:t>
      </w:r>
    </w:p>
    <w:p w14:paraId="7035E557" w14:textId="77777777" w:rsidR="00FC2E89" w:rsidRPr="001C71D7" w:rsidRDefault="00FC2E89" w:rsidP="00FC2E89">
      <w:pPr>
        <w:tabs>
          <w:tab w:val="left" w:pos="142"/>
          <w:tab w:val="left" w:pos="840"/>
          <w:tab w:val="left" w:pos="993"/>
        </w:tabs>
        <w:spacing w:line="240" w:lineRule="auto"/>
        <w:contextualSpacing/>
        <w:jc w:val="both"/>
        <w:rPr>
          <w:rFonts w:ascii="Times New Roman" w:hAnsi="Times New Roman" w:cs="Times New Roman"/>
          <w:iCs/>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1631"/>
        <w:gridCol w:w="2085"/>
        <w:gridCol w:w="2076"/>
        <w:gridCol w:w="1843"/>
      </w:tblGrid>
      <w:tr w:rsidR="00904709" w:rsidRPr="001C71D7" w14:paraId="12060E6F" w14:textId="77777777" w:rsidTr="00FC2E89">
        <w:trPr>
          <w:trHeight w:val="300"/>
        </w:trPr>
        <w:tc>
          <w:tcPr>
            <w:tcW w:w="1863" w:type="dxa"/>
          </w:tcPr>
          <w:p w14:paraId="1ADA82E8"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p>
        </w:tc>
        <w:tc>
          <w:tcPr>
            <w:tcW w:w="1631" w:type="dxa"/>
            <w:noWrap/>
            <w:vAlign w:val="bottom"/>
            <w:hideMark/>
          </w:tcPr>
          <w:p w14:paraId="4BDCABC3"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Смертность</w:t>
            </w:r>
          </w:p>
        </w:tc>
        <w:tc>
          <w:tcPr>
            <w:tcW w:w="2085" w:type="dxa"/>
            <w:noWrap/>
            <w:vAlign w:val="bottom"/>
            <w:hideMark/>
          </w:tcPr>
          <w:p w14:paraId="6BB63B7E"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Выздоровление</w:t>
            </w:r>
          </w:p>
        </w:tc>
        <w:tc>
          <w:tcPr>
            <w:tcW w:w="2076" w:type="dxa"/>
            <w:noWrap/>
            <w:vAlign w:val="bottom"/>
            <w:hideMark/>
          </w:tcPr>
          <w:p w14:paraId="491540F1"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Без изменения</w:t>
            </w:r>
          </w:p>
        </w:tc>
        <w:tc>
          <w:tcPr>
            <w:tcW w:w="1843" w:type="dxa"/>
            <w:noWrap/>
            <w:vAlign w:val="bottom"/>
            <w:hideMark/>
          </w:tcPr>
          <w:p w14:paraId="4F69343E"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Ухудшение</w:t>
            </w:r>
          </w:p>
        </w:tc>
      </w:tr>
      <w:tr w:rsidR="00904709" w:rsidRPr="001C71D7" w14:paraId="3B1735D7" w14:textId="77777777" w:rsidTr="00FC2E89">
        <w:trPr>
          <w:trHeight w:val="330"/>
        </w:trPr>
        <w:tc>
          <w:tcPr>
            <w:tcW w:w="1863" w:type="dxa"/>
            <w:vAlign w:val="bottom"/>
          </w:tcPr>
          <w:p w14:paraId="0D647EFC"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hAnsi="Times New Roman" w:cs="Times New Roman"/>
                <w:color w:val="000000"/>
                <w:sz w:val="24"/>
                <w:szCs w:val="24"/>
              </w:rPr>
              <w:t>2012</w:t>
            </w:r>
          </w:p>
        </w:tc>
        <w:tc>
          <w:tcPr>
            <w:tcW w:w="1631" w:type="dxa"/>
            <w:noWrap/>
            <w:vAlign w:val="bottom"/>
            <w:hideMark/>
          </w:tcPr>
          <w:p w14:paraId="63684809"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32 (50,8)</w:t>
            </w:r>
          </w:p>
        </w:tc>
        <w:tc>
          <w:tcPr>
            <w:tcW w:w="2085" w:type="dxa"/>
            <w:noWrap/>
            <w:vAlign w:val="bottom"/>
            <w:hideMark/>
          </w:tcPr>
          <w:p w14:paraId="32A06DD7"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29 (46,0)</w:t>
            </w:r>
          </w:p>
        </w:tc>
        <w:tc>
          <w:tcPr>
            <w:tcW w:w="2076" w:type="dxa"/>
            <w:noWrap/>
            <w:vAlign w:val="bottom"/>
            <w:hideMark/>
          </w:tcPr>
          <w:p w14:paraId="4FA2B283"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2 (3,2)</w:t>
            </w:r>
          </w:p>
        </w:tc>
        <w:tc>
          <w:tcPr>
            <w:tcW w:w="1843" w:type="dxa"/>
            <w:noWrap/>
            <w:vAlign w:val="bottom"/>
            <w:hideMark/>
          </w:tcPr>
          <w:p w14:paraId="2FA72A86"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p>
        </w:tc>
      </w:tr>
      <w:tr w:rsidR="00904709" w:rsidRPr="001C71D7" w14:paraId="1C5D2034" w14:textId="77777777" w:rsidTr="00FC2E89">
        <w:trPr>
          <w:trHeight w:val="330"/>
        </w:trPr>
        <w:tc>
          <w:tcPr>
            <w:tcW w:w="1863" w:type="dxa"/>
            <w:vAlign w:val="bottom"/>
          </w:tcPr>
          <w:p w14:paraId="047946CF"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hAnsi="Times New Roman" w:cs="Times New Roman"/>
                <w:color w:val="000000"/>
                <w:sz w:val="24"/>
                <w:szCs w:val="24"/>
              </w:rPr>
              <w:t>2013</w:t>
            </w:r>
          </w:p>
        </w:tc>
        <w:tc>
          <w:tcPr>
            <w:tcW w:w="1631" w:type="dxa"/>
            <w:noWrap/>
            <w:vAlign w:val="bottom"/>
            <w:hideMark/>
          </w:tcPr>
          <w:p w14:paraId="3B9E348A"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63 (50,8)</w:t>
            </w:r>
          </w:p>
        </w:tc>
        <w:tc>
          <w:tcPr>
            <w:tcW w:w="2085" w:type="dxa"/>
            <w:noWrap/>
            <w:vAlign w:val="bottom"/>
            <w:hideMark/>
          </w:tcPr>
          <w:p w14:paraId="3F525498"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58 (46,8)</w:t>
            </w:r>
          </w:p>
        </w:tc>
        <w:tc>
          <w:tcPr>
            <w:tcW w:w="2076" w:type="dxa"/>
            <w:noWrap/>
            <w:vAlign w:val="bottom"/>
            <w:hideMark/>
          </w:tcPr>
          <w:p w14:paraId="5484297A"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1 (0,8)</w:t>
            </w:r>
          </w:p>
        </w:tc>
        <w:tc>
          <w:tcPr>
            <w:tcW w:w="1843" w:type="dxa"/>
            <w:noWrap/>
            <w:vAlign w:val="bottom"/>
            <w:hideMark/>
          </w:tcPr>
          <w:p w14:paraId="6D381A7D"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2 (1,6)</w:t>
            </w:r>
          </w:p>
        </w:tc>
      </w:tr>
      <w:tr w:rsidR="00904709" w:rsidRPr="001C71D7" w14:paraId="650AB0EE" w14:textId="77777777" w:rsidTr="00FC2E89">
        <w:trPr>
          <w:trHeight w:val="330"/>
        </w:trPr>
        <w:tc>
          <w:tcPr>
            <w:tcW w:w="1863" w:type="dxa"/>
            <w:vAlign w:val="bottom"/>
          </w:tcPr>
          <w:p w14:paraId="3BA928DB"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hAnsi="Times New Roman" w:cs="Times New Roman"/>
                <w:color w:val="000000"/>
                <w:sz w:val="24"/>
                <w:szCs w:val="24"/>
              </w:rPr>
              <w:t>2014</w:t>
            </w:r>
          </w:p>
        </w:tc>
        <w:tc>
          <w:tcPr>
            <w:tcW w:w="1631" w:type="dxa"/>
            <w:noWrap/>
            <w:vAlign w:val="bottom"/>
            <w:hideMark/>
          </w:tcPr>
          <w:p w14:paraId="63913BB6"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41 (28,9)</w:t>
            </w:r>
          </w:p>
        </w:tc>
        <w:tc>
          <w:tcPr>
            <w:tcW w:w="2085" w:type="dxa"/>
            <w:noWrap/>
            <w:vAlign w:val="bottom"/>
            <w:hideMark/>
          </w:tcPr>
          <w:p w14:paraId="55ACB35F"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90 (63,4)</w:t>
            </w:r>
          </w:p>
        </w:tc>
        <w:tc>
          <w:tcPr>
            <w:tcW w:w="2076" w:type="dxa"/>
            <w:noWrap/>
            <w:vAlign w:val="bottom"/>
            <w:hideMark/>
          </w:tcPr>
          <w:p w14:paraId="5D6A1FD2"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11 (7,7)</w:t>
            </w:r>
          </w:p>
        </w:tc>
        <w:tc>
          <w:tcPr>
            <w:tcW w:w="1843" w:type="dxa"/>
            <w:noWrap/>
            <w:vAlign w:val="bottom"/>
          </w:tcPr>
          <w:p w14:paraId="4B53B319"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p>
        </w:tc>
      </w:tr>
      <w:tr w:rsidR="00904709" w:rsidRPr="001C71D7" w14:paraId="74CEC95A" w14:textId="77777777" w:rsidTr="00FC2E89">
        <w:trPr>
          <w:trHeight w:val="330"/>
        </w:trPr>
        <w:tc>
          <w:tcPr>
            <w:tcW w:w="1863" w:type="dxa"/>
            <w:vAlign w:val="bottom"/>
          </w:tcPr>
          <w:p w14:paraId="6632750C"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hAnsi="Times New Roman" w:cs="Times New Roman"/>
                <w:color w:val="000000"/>
                <w:sz w:val="24"/>
                <w:szCs w:val="24"/>
              </w:rPr>
              <w:t>2015</w:t>
            </w:r>
          </w:p>
        </w:tc>
        <w:tc>
          <w:tcPr>
            <w:tcW w:w="1631" w:type="dxa"/>
            <w:noWrap/>
            <w:vAlign w:val="bottom"/>
            <w:hideMark/>
          </w:tcPr>
          <w:p w14:paraId="38C13E5A"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50 (27,0)</w:t>
            </w:r>
          </w:p>
        </w:tc>
        <w:tc>
          <w:tcPr>
            <w:tcW w:w="2085" w:type="dxa"/>
            <w:noWrap/>
            <w:vAlign w:val="bottom"/>
            <w:hideMark/>
          </w:tcPr>
          <w:p w14:paraId="6881D93C"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129 (69,7)</w:t>
            </w:r>
          </w:p>
        </w:tc>
        <w:tc>
          <w:tcPr>
            <w:tcW w:w="2076" w:type="dxa"/>
            <w:noWrap/>
            <w:vAlign w:val="bottom"/>
            <w:hideMark/>
          </w:tcPr>
          <w:p w14:paraId="5877CB21"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6 (3,2)</w:t>
            </w:r>
          </w:p>
        </w:tc>
        <w:tc>
          <w:tcPr>
            <w:tcW w:w="1843" w:type="dxa"/>
            <w:noWrap/>
            <w:vAlign w:val="bottom"/>
          </w:tcPr>
          <w:p w14:paraId="06B8A641"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p>
        </w:tc>
      </w:tr>
      <w:tr w:rsidR="00904709" w:rsidRPr="001C71D7" w14:paraId="0EF7EDE5" w14:textId="77777777" w:rsidTr="00FC2E89">
        <w:trPr>
          <w:trHeight w:val="330"/>
        </w:trPr>
        <w:tc>
          <w:tcPr>
            <w:tcW w:w="1863" w:type="dxa"/>
            <w:vAlign w:val="bottom"/>
          </w:tcPr>
          <w:p w14:paraId="3C0F754F"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hAnsi="Times New Roman" w:cs="Times New Roman"/>
                <w:color w:val="000000"/>
                <w:sz w:val="24"/>
                <w:szCs w:val="24"/>
              </w:rPr>
              <w:t>2016</w:t>
            </w:r>
          </w:p>
        </w:tc>
        <w:tc>
          <w:tcPr>
            <w:tcW w:w="1631" w:type="dxa"/>
            <w:noWrap/>
            <w:vAlign w:val="bottom"/>
            <w:hideMark/>
          </w:tcPr>
          <w:p w14:paraId="38143C07"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62 (23,0)</w:t>
            </w:r>
          </w:p>
        </w:tc>
        <w:tc>
          <w:tcPr>
            <w:tcW w:w="2085" w:type="dxa"/>
            <w:noWrap/>
            <w:vAlign w:val="bottom"/>
            <w:hideMark/>
          </w:tcPr>
          <w:p w14:paraId="7B4FBAB2"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192 (71,4)</w:t>
            </w:r>
          </w:p>
        </w:tc>
        <w:tc>
          <w:tcPr>
            <w:tcW w:w="2076" w:type="dxa"/>
            <w:noWrap/>
            <w:vAlign w:val="bottom"/>
            <w:hideMark/>
          </w:tcPr>
          <w:p w14:paraId="3CBA3CEB"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15 (5,6)</w:t>
            </w:r>
          </w:p>
        </w:tc>
        <w:tc>
          <w:tcPr>
            <w:tcW w:w="1843" w:type="dxa"/>
            <w:noWrap/>
            <w:vAlign w:val="bottom"/>
          </w:tcPr>
          <w:p w14:paraId="4FBFDFC2"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p>
        </w:tc>
      </w:tr>
      <w:tr w:rsidR="00904709" w:rsidRPr="001C71D7" w14:paraId="5305F438" w14:textId="77777777" w:rsidTr="00FC2E89">
        <w:trPr>
          <w:trHeight w:val="330"/>
        </w:trPr>
        <w:tc>
          <w:tcPr>
            <w:tcW w:w="1863" w:type="dxa"/>
            <w:vAlign w:val="bottom"/>
          </w:tcPr>
          <w:p w14:paraId="586E2A8E"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hAnsi="Times New Roman" w:cs="Times New Roman"/>
                <w:color w:val="000000"/>
                <w:sz w:val="24"/>
                <w:szCs w:val="24"/>
              </w:rPr>
              <w:t>2017</w:t>
            </w:r>
          </w:p>
        </w:tc>
        <w:tc>
          <w:tcPr>
            <w:tcW w:w="1631" w:type="dxa"/>
            <w:noWrap/>
            <w:vAlign w:val="bottom"/>
            <w:hideMark/>
          </w:tcPr>
          <w:p w14:paraId="1563648D"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40 (15,3)</w:t>
            </w:r>
          </w:p>
        </w:tc>
        <w:tc>
          <w:tcPr>
            <w:tcW w:w="2085" w:type="dxa"/>
            <w:noWrap/>
            <w:vAlign w:val="bottom"/>
            <w:hideMark/>
          </w:tcPr>
          <w:p w14:paraId="21153C55"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180 (68,7)</w:t>
            </w:r>
          </w:p>
        </w:tc>
        <w:tc>
          <w:tcPr>
            <w:tcW w:w="2076" w:type="dxa"/>
            <w:noWrap/>
            <w:vAlign w:val="bottom"/>
            <w:hideMark/>
          </w:tcPr>
          <w:p w14:paraId="46B84AD1"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41 (15,6)</w:t>
            </w:r>
          </w:p>
        </w:tc>
        <w:tc>
          <w:tcPr>
            <w:tcW w:w="1843" w:type="dxa"/>
            <w:noWrap/>
            <w:vAlign w:val="bottom"/>
            <w:hideMark/>
          </w:tcPr>
          <w:p w14:paraId="271B07C6"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1 (0,4)</w:t>
            </w:r>
          </w:p>
        </w:tc>
      </w:tr>
      <w:tr w:rsidR="00904709" w:rsidRPr="001C71D7" w14:paraId="3981C0B6" w14:textId="77777777" w:rsidTr="00FC2E89">
        <w:trPr>
          <w:trHeight w:val="330"/>
        </w:trPr>
        <w:tc>
          <w:tcPr>
            <w:tcW w:w="1863" w:type="dxa"/>
            <w:vAlign w:val="bottom"/>
          </w:tcPr>
          <w:p w14:paraId="2676F883"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hAnsi="Times New Roman" w:cs="Times New Roman"/>
                <w:color w:val="000000"/>
                <w:sz w:val="24"/>
                <w:szCs w:val="24"/>
              </w:rPr>
              <w:t>2018</w:t>
            </w:r>
          </w:p>
        </w:tc>
        <w:tc>
          <w:tcPr>
            <w:tcW w:w="1631" w:type="dxa"/>
            <w:noWrap/>
            <w:vAlign w:val="bottom"/>
            <w:hideMark/>
          </w:tcPr>
          <w:p w14:paraId="3D289035"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47 (18,7)</w:t>
            </w:r>
          </w:p>
        </w:tc>
        <w:tc>
          <w:tcPr>
            <w:tcW w:w="2085" w:type="dxa"/>
            <w:noWrap/>
            <w:vAlign w:val="bottom"/>
            <w:hideMark/>
          </w:tcPr>
          <w:p w14:paraId="58311A31"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189 (75,3)</w:t>
            </w:r>
          </w:p>
        </w:tc>
        <w:tc>
          <w:tcPr>
            <w:tcW w:w="2076" w:type="dxa"/>
            <w:noWrap/>
            <w:vAlign w:val="bottom"/>
            <w:hideMark/>
          </w:tcPr>
          <w:p w14:paraId="6EC6BAF1"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15 (6)</w:t>
            </w:r>
          </w:p>
        </w:tc>
        <w:tc>
          <w:tcPr>
            <w:tcW w:w="1843" w:type="dxa"/>
            <w:noWrap/>
            <w:vAlign w:val="bottom"/>
          </w:tcPr>
          <w:p w14:paraId="58FE9407"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p>
        </w:tc>
      </w:tr>
      <w:tr w:rsidR="00904709" w:rsidRPr="001C71D7" w14:paraId="06FDF9D9" w14:textId="77777777" w:rsidTr="00FC2E89">
        <w:trPr>
          <w:trHeight w:val="330"/>
        </w:trPr>
        <w:tc>
          <w:tcPr>
            <w:tcW w:w="1863" w:type="dxa"/>
            <w:vAlign w:val="bottom"/>
          </w:tcPr>
          <w:p w14:paraId="41CADCBC"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hAnsi="Times New Roman" w:cs="Times New Roman"/>
                <w:color w:val="000000"/>
                <w:sz w:val="24"/>
                <w:szCs w:val="24"/>
              </w:rPr>
              <w:t>2019</w:t>
            </w:r>
          </w:p>
        </w:tc>
        <w:tc>
          <w:tcPr>
            <w:tcW w:w="1631" w:type="dxa"/>
            <w:noWrap/>
            <w:vAlign w:val="bottom"/>
            <w:hideMark/>
          </w:tcPr>
          <w:p w14:paraId="1E82F13D"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38 (21,2)</w:t>
            </w:r>
          </w:p>
        </w:tc>
        <w:tc>
          <w:tcPr>
            <w:tcW w:w="2085" w:type="dxa"/>
            <w:noWrap/>
            <w:vAlign w:val="bottom"/>
            <w:hideMark/>
          </w:tcPr>
          <w:p w14:paraId="206D7BF1"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123 (68,7)</w:t>
            </w:r>
          </w:p>
        </w:tc>
        <w:tc>
          <w:tcPr>
            <w:tcW w:w="2076" w:type="dxa"/>
            <w:noWrap/>
            <w:vAlign w:val="bottom"/>
            <w:hideMark/>
          </w:tcPr>
          <w:p w14:paraId="23388AAB"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18 (10,1)</w:t>
            </w:r>
          </w:p>
        </w:tc>
        <w:tc>
          <w:tcPr>
            <w:tcW w:w="1843" w:type="dxa"/>
            <w:noWrap/>
            <w:vAlign w:val="bottom"/>
          </w:tcPr>
          <w:p w14:paraId="4B2C8BDA"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p>
        </w:tc>
      </w:tr>
      <w:tr w:rsidR="00904709" w:rsidRPr="001C71D7" w14:paraId="1F9287FE" w14:textId="77777777" w:rsidTr="00FC2E89">
        <w:trPr>
          <w:trHeight w:val="330"/>
        </w:trPr>
        <w:tc>
          <w:tcPr>
            <w:tcW w:w="1863" w:type="dxa"/>
            <w:vAlign w:val="bottom"/>
          </w:tcPr>
          <w:p w14:paraId="5866B087"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hAnsi="Times New Roman" w:cs="Times New Roman"/>
                <w:color w:val="000000"/>
                <w:sz w:val="24"/>
                <w:szCs w:val="24"/>
              </w:rPr>
              <w:t>2020</w:t>
            </w:r>
          </w:p>
        </w:tc>
        <w:tc>
          <w:tcPr>
            <w:tcW w:w="1631" w:type="dxa"/>
            <w:noWrap/>
            <w:vAlign w:val="bottom"/>
            <w:hideMark/>
          </w:tcPr>
          <w:p w14:paraId="768F1BCF"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24 (27)</w:t>
            </w:r>
          </w:p>
        </w:tc>
        <w:tc>
          <w:tcPr>
            <w:tcW w:w="2085" w:type="dxa"/>
            <w:noWrap/>
            <w:vAlign w:val="bottom"/>
            <w:hideMark/>
          </w:tcPr>
          <w:p w14:paraId="6B2ABC33"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59 (66,3)</w:t>
            </w:r>
          </w:p>
        </w:tc>
        <w:tc>
          <w:tcPr>
            <w:tcW w:w="2076" w:type="dxa"/>
            <w:noWrap/>
            <w:vAlign w:val="bottom"/>
            <w:hideMark/>
          </w:tcPr>
          <w:p w14:paraId="6182CEDC"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6 (6,7)</w:t>
            </w:r>
          </w:p>
        </w:tc>
        <w:tc>
          <w:tcPr>
            <w:tcW w:w="1843" w:type="dxa"/>
            <w:noWrap/>
            <w:vAlign w:val="bottom"/>
          </w:tcPr>
          <w:p w14:paraId="7246C222"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p>
        </w:tc>
      </w:tr>
      <w:tr w:rsidR="00904709" w:rsidRPr="001C71D7" w14:paraId="6A5B6825" w14:textId="77777777" w:rsidTr="00FC2E89">
        <w:trPr>
          <w:trHeight w:val="330"/>
        </w:trPr>
        <w:tc>
          <w:tcPr>
            <w:tcW w:w="1863" w:type="dxa"/>
            <w:vAlign w:val="bottom"/>
          </w:tcPr>
          <w:p w14:paraId="5377D5A4"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hAnsi="Times New Roman" w:cs="Times New Roman"/>
                <w:color w:val="000000"/>
                <w:sz w:val="24"/>
                <w:szCs w:val="24"/>
              </w:rPr>
              <w:t>2021</w:t>
            </w:r>
          </w:p>
        </w:tc>
        <w:tc>
          <w:tcPr>
            <w:tcW w:w="1631" w:type="dxa"/>
            <w:noWrap/>
            <w:vAlign w:val="bottom"/>
            <w:hideMark/>
          </w:tcPr>
          <w:p w14:paraId="374BE186"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22 (20,4)</w:t>
            </w:r>
          </w:p>
        </w:tc>
        <w:tc>
          <w:tcPr>
            <w:tcW w:w="2085" w:type="dxa"/>
            <w:noWrap/>
            <w:vAlign w:val="bottom"/>
            <w:hideMark/>
          </w:tcPr>
          <w:p w14:paraId="7517AF90"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81 (75,0)</w:t>
            </w:r>
          </w:p>
        </w:tc>
        <w:tc>
          <w:tcPr>
            <w:tcW w:w="2076" w:type="dxa"/>
            <w:noWrap/>
            <w:vAlign w:val="bottom"/>
            <w:hideMark/>
          </w:tcPr>
          <w:p w14:paraId="28B71802"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5 (4,6)</w:t>
            </w:r>
          </w:p>
        </w:tc>
        <w:tc>
          <w:tcPr>
            <w:tcW w:w="1843" w:type="dxa"/>
            <w:noWrap/>
            <w:vAlign w:val="bottom"/>
          </w:tcPr>
          <w:p w14:paraId="1320BF66"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p>
        </w:tc>
      </w:tr>
      <w:tr w:rsidR="00904709" w:rsidRPr="001C71D7" w14:paraId="18582E4B" w14:textId="77777777" w:rsidTr="00FC2E89">
        <w:trPr>
          <w:trHeight w:val="330"/>
        </w:trPr>
        <w:tc>
          <w:tcPr>
            <w:tcW w:w="1863" w:type="dxa"/>
            <w:vAlign w:val="bottom"/>
          </w:tcPr>
          <w:p w14:paraId="4FB74734"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hAnsi="Times New Roman" w:cs="Times New Roman"/>
                <w:color w:val="000000"/>
                <w:sz w:val="24"/>
                <w:szCs w:val="24"/>
              </w:rPr>
              <w:t>2022</w:t>
            </w:r>
          </w:p>
        </w:tc>
        <w:tc>
          <w:tcPr>
            <w:tcW w:w="1631" w:type="dxa"/>
            <w:noWrap/>
            <w:vAlign w:val="bottom"/>
            <w:hideMark/>
          </w:tcPr>
          <w:p w14:paraId="45338815"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28 (14,7)</w:t>
            </w:r>
          </w:p>
        </w:tc>
        <w:tc>
          <w:tcPr>
            <w:tcW w:w="2085" w:type="dxa"/>
            <w:noWrap/>
            <w:vAlign w:val="bottom"/>
            <w:hideMark/>
          </w:tcPr>
          <w:p w14:paraId="64F86093"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154 (80,6)</w:t>
            </w:r>
          </w:p>
        </w:tc>
        <w:tc>
          <w:tcPr>
            <w:tcW w:w="2076" w:type="dxa"/>
            <w:noWrap/>
            <w:vAlign w:val="bottom"/>
            <w:hideMark/>
          </w:tcPr>
          <w:p w14:paraId="279DC42A"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9 (4,7)</w:t>
            </w:r>
          </w:p>
        </w:tc>
        <w:tc>
          <w:tcPr>
            <w:tcW w:w="1843" w:type="dxa"/>
            <w:noWrap/>
            <w:vAlign w:val="bottom"/>
          </w:tcPr>
          <w:p w14:paraId="6A7B5426"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p>
        </w:tc>
      </w:tr>
      <w:tr w:rsidR="00904709" w:rsidRPr="001C71D7" w14:paraId="5A02B589" w14:textId="77777777" w:rsidTr="00FC2E89">
        <w:trPr>
          <w:trHeight w:val="330"/>
        </w:trPr>
        <w:tc>
          <w:tcPr>
            <w:tcW w:w="1863" w:type="dxa"/>
            <w:vAlign w:val="bottom"/>
          </w:tcPr>
          <w:p w14:paraId="09F4A9B9" w14:textId="77777777" w:rsidR="00904709" w:rsidRPr="001C71D7" w:rsidRDefault="00904709" w:rsidP="000F4E51">
            <w:pPr>
              <w:spacing w:after="0" w:line="240" w:lineRule="auto"/>
              <w:jc w:val="center"/>
              <w:rPr>
                <w:rFonts w:ascii="Times New Roman" w:hAnsi="Times New Roman" w:cs="Times New Roman"/>
                <w:color w:val="000000"/>
                <w:sz w:val="24"/>
                <w:szCs w:val="24"/>
              </w:rPr>
            </w:pPr>
            <w:r w:rsidRPr="001C71D7">
              <w:rPr>
                <w:rFonts w:ascii="Times New Roman" w:hAnsi="Times New Roman" w:cs="Times New Roman"/>
                <w:color w:val="000000"/>
                <w:sz w:val="24"/>
                <w:szCs w:val="24"/>
              </w:rPr>
              <w:t>2023</w:t>
            </w:r>
          </w:p>
        </w:tc>
        <w:tc>
          <w:tcPr>
            <w:tcW w:w="1631" w:type="dxa"/>
            <w:noWrap/>
            <w:vAlign w:val="bottom"/>
          </w:tcPr>
          <w:p w14:paraId="0A1FD3B6"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4 (1,3)</w:t>
            </w:r>
          </w:p>
        </w:tc>
        <w:tc>
          <w:tcPr>
            <w:tcW w:w="2085" w:type="dxa"/>
            <w:noWrap/>
            <w:vAlign w:val="bottom"/>
          </w:tcPr>
          <w:p w14:paraId="020994C2"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307 (95,9)</w:t>
            </w:r>
          </w:p>
        </w:tc>
        <w:tc>
          <w:tcPr>
            <w:tcW w:w="2076" w:type="dxa"/>
            <w:noWrap/>
            <w:vAlign w:val="bottom"/>
          </w:tcPr>
          <w:p w14:paraId="449C8D53"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val="kk-KZ" w:eastAsia="ru-RU"/>
              </w:rPr>
              <w:t xml:space="preserve">9 </w:t>
            </w:r>
            <w:r w:rsidRPr="001C71D7">
              <w:rPr>
                <w:rFonts w:ascii="Times New Roman" w:eastAsia="Times New Roman" w:hAnsi="Times New Roman" w:cs="Times New Roman"/>
                <w:color w:val="000000"/>
                <w:sz w:val="24"/>
                <w:szCs w:val="24"/>
                <w:lang w:eastAsia="ru-RU"/>
              </w:rPr>
              <w:t>(2,8)</w:t>
            </w:r>
          </w:p>
        </w:tc>
        <w:tc>
          <w:tcPr>
            <w:tcW w:w="1843" w:type="dxa"/>
            <w:noWrap/>
            <w:vAlign w:val="bottom"/>
          </w:tcPr>
          <w:p w14:paraId="44E6817F"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p>
        </w:tc>
      </w:tr>
      <w:tr w:rsidR="00904709" w:rsidRPr="00A705C4" w14:paraId="0CEE3B34" w14:textId="77777777" w:rsidTr="00FC2E89">
        <w:trPr>
          <w:trHeight w:val="330"/>
        </w:trPr>
        <w:tc>
          <w:tcPr>
            <w:tcW w:w="1863" w:type="dxa"/>
            <w:vAlign w:val="bottom"/>
          </w:tcPr>
          <w:p w14:paraId="34FB1ECA" w14:textId="77777777" w:rsidR="00904709" w:rsidRPr="001C71D7" w:rsidRDefault="00904709" w:rsidP="000F4E51">
            <w:pPr>
              <w:spacing w:after="0" w:line="240" w:lineRule="auto"/>
              <w:jc w:val="center"/>
              <w:rPr>
                <w:rFonts w:ascii="Times New Roman" w:hAnsi="Times New Roman" w:cs="Times New Roman"/>
                <w:color w:val="000000"/>
                <w:sz w:val="24"/>
                <w:szCs w:val="24"/>
              </w:rPr>
            </w:pPr>
            <w:r w:rsidRPr="001C71D7">
              <w:rPr>
                <w:rFonts w:ascii="Times New Roman" w:hAnsi="Times New Roman" w:cs="Times New Roman"/>
                <w:color w:val="000000"/>
                <w:sz w:val="24"/>
                <w:szCs w:val="24"/>
              </w:rPr>
              <w:t>2024</w:t>
            </w:r>
          </w:p>
        </w:tc>
        <w:tc>
          <w:tcPr>
            <w:tcW w:w="1631" w:type="dxa"/>
            <w:noWrap/>
            <w:vAlign w:val="bottom"/>
          </w:tcPr>
          <w:p w14:paraId="20D8F2F1"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3 (1,0)</w:t>
            </w:r>
          </w:p>
        </w:tc>
        <w:tc>
          <w:tcPr>
            <w:tcW w:w="2085" w:type="dxa"/>
            <w:noWrap/>
            <w:vAlign w:val="bottom"/>
          </w:tcPr>
          <w:p w14:paraId="3DECCCEF" w14:textId="77777777" w:rsidR="00904709" w:rsidRPr="001C71D7"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293 (97,0)</w:t>
            </w:r>
          </w:p>
        </w:tc>
        <w:tc>
          <w:tcPr>
            <w:tcW w:w="2076" w:type="dxa"/>
            <w:noWrap/>
            <w:vAlign w:val="bottom"/>
          </w:tcPr>
          <w:p w14:paraId="407ECE4E" w14:textId="77777777" w:rsidR="00904709" w:rsidRPr="00A705C4" w:rsidRDefault="00904709" w:rsidP="000F4E51">
            <w:pPr>
              <w:spacing w:after="0" w:line="240" w:lineRule="auto"/>
              <w:jc w:val="center"/>
              <w:rPr>
                <w:rFonts w:ascii="Times New Roman" w:eastAsia="Times New Roman" w:hAnsi="Times New Roman" w:cs="Times New Roman"/>
                <w:color w:val="000000"/>
                <w:sz w:val="24"/>
                <w:szCs w:val="24"/>
                <w:lang w:eastAsia="ru-RU"/>
              </w:rPr>
            </w:pPr>
            <w:r w:rsidRPr="001C71D7">
              <w:rPr>
                <w:rFonts w:ascii="Times New Roman" w:eastAsia="Times New Roman" w:hAnsi="Times New Roman" w:cs="Times New Roman"/>
                <w:color w:val="000000"/>
                <w:sz w:val="24"/>
                <w:szCs w:val="24"/>
                <w:lang w:eastAsia="ru-RU"/>
              </w:rPr>
              <w:t>6 (2,0)</w:t>
            </w:r>
          </w:p>
        </w:tc>
        <w:tc>
          <w:tcPr>
            <w:tcW w:w="1843" w:type="dxa"/>
            <w:noWrap/>
            <w:vAlign w:val="bottom"/>
          </w:tcPr>
          <w:p w14:paraId="5BBD6C3D" w14:textId="77777777" w:rsidR="00904709" w:rsidRPr="00A705C4" w:rsidRDefault="00904709" w:rsidP="000F4E51">
            <w:pPr>
              <w:spacing w:after="0" w:line="240" w:lineRule="auto"/>
              <w:jc w:val="center"/>
              <w:rPr>
                <w:rFonts w:ascii="Times New Roman" w:eastAsia="Times New Roman" w:hAnsi="Times New Roman" w:cs="Times New Roman"/>
                <w:color w:val="000000"/>
                <w:sz w:val="24"/>
                <w:szCs w:val="24"/>
                <w:lang w:eastAsia="ru-RU"/>
              </w:rPr>
            </w:pPr>
          </w:p>
        </w:tc>
      </w:tr>
    </w:tbl>
    <w:p w14:paraId="2A61E19B" w14:textId="77777777" w:rsidR="00904709" w:rsidRPr="000B2A05" w:rsidRDefault="00904709" w:rsidP="000F4E51">
      <w:pPr>
        <w:tabs>
          <w:tab w:val="left" w:pos="0"/>
          <w:tab w:val="left" w:pos="840"/>
          <w:tab w:val="left" w:pos="993"/>
        </w:tabs>
        <w:spacing w:line="240" w:lineRule="auto"/>
        <w:ind w:right="-1"/>
        <w:contextualSpacing/>
        <w:jc w:val="both"/>
        <w:rPr>
          <w:rFonts w:ascii="Times New Roman" w:hAnsi="Times New Roman" w:cs="Times New Roman"/>
          <w:sz w:val="20"/>
          <w:szCs w:val="20"/>
        </w:rPr>
      </w:pPr>
    </w:p>
    <w:p w14:paraId="0818B521" w14:textId="41A0A29D" w:rsidR="00904709" w:rsidRPr="00D30CBA" w:rsidRDefault="00904709" w:rsidP="00FC2E89">
      <w:pPr>
        <w:tabs>
          <w:tab w:val="left" w:pos="567"/>
        </w:tabs>
        <w:spacing w:after="0" w:line="240" w:lineRule="auto"/>
        <w:ind w:firstLine="567"/>
        <w:jc w:val="both"/>
        <w:rPr>
          <w:rFonts w:ascii="Times New Roman" w:hAnsi="Times New Roman" w:cs="Times New Roman"/>
          <w:sz w:val="28"/>
          <w:szCs w:val="28"/>
        </w:rPr>
      </w:pPr>
      <w:r w:rsidRPr="000B2A05">
        <w:rPr>
          <w:rFonts w:ascii="Times New Roman" w:hAnsi="Times New Roman" w:cs="Times New Roman"/>
          <w:i/>
          <w:iCs/>
          <w:sz w:val="28"/>
          <w:szCs w:val="28"/>
        </w:rPr>
        <w:t>Обсуждение</w:t>
      </w:r>
      <w:r>
        <w:rPr>
          <w:rFonts w:ascii="Times New Roman" w:hAnsi="Times New Roman" w:cs="Times New Roman"/>
          <w:i/>
          <w:iCs/>
          <w:sz w:val="28"/>
          <w:szCs w:val="28"/>
        </w:rPr>
        <w:t xml:space="preserve"> по главе</w:t>
      </w:r>
      <w:r w:rsidRPr="000B2A05">
        <w:rPr>
          <w:rFonts w:ascii="Times New Roman" w:hAnsi="Times New Roman" w:cs="Times New Roman"/>
          <w:i/>
          <w:iCs/>
          <w:sz w:val="28"/>
          <w:szCs w:val="28"/>
        </w:rPr>
        <w:t>:</w:t>
      </w:r>
      <w:r>
        <w:rPr>
          <w:rFonts w:ascii="Times New Roman" w:hAnsi="Times New Roman" w:cs="Times New Roman"/>
          <w:sz w:val="28"/>
          <w:szCs w:val="28"/>
        </w:rPr>
        <w:t xml:space="preserve"> </w:t>
      </w:r>
      <w:r w:rsidRPr="00D30CBA">
        <w:rPr>
          <w:rFonts w:ascii="Times New Roman" w:hAnsi="Times New Roman" w:cs="Times New Roman"/>
          <w:sz w:val="28"/>
          <w:szCs w:val="28"/>
        </w:rPr>
        <w:t xml:space="preserve">Мы </w:t>
      </w:r>
      <w:r>
        <w:rPr>
          <w:rFonts w:ascii="Times New Roman" w:hAnsi="Times New Roman" w:cs="Times New Roman"/>
          <w:sz w:val="28"/>
          <w:szCs w:val="28"/>
        </w:rPr>
        <w:t>выявили</w:t>
      </w:r>
      <w:r w:rsidRPr="00D30CBA">
        <w:rPr>
          <w:rFonts w:ascii="Times New Roman" w:hAnsi="Times New Roman" w:cs="Times New Roman"/>
          <w:sz w:val="28"/>
          <w:szCs w:val="28"/>
        </w:rPr>
        <w:t>, что в</w:t>
      </w:r>
      <w:r>
        <w:rPr>
          <w:rFonts w:ascii="Times New Roman" w:hAnsi="Times New Roman" w:cs="Times New Roman"/>
          <w:sz w:val="28"/>
          <w:szCs w:val="28"/>
        </w:rPr>
        <w:t xml:space="preserve"> г.Алматы на протяжении </w:t>
      </w:r>
      <w:r w:rsidRPr="00D30CBA">
        <w:rPr>
          <w:rFonts w:ascii="Times New Roman" w:hAnsi="Times New Roman" w:cs="Times New Roman"/>
          <w:sz w:val="28"/>
          <w:szCs w:val="28"/>
        </w:rPr>
        <w:t>анализируем</w:t>
      </w:r>
      <w:r>
        <w:rPr>
          <w:rFonts w:ascii="Times New Roman" w:hAnsi="Times New Roman" w:cs="Times New Roman"/>
          <w:sz w:val="28"/>
          <w:szCs w:val="28"/>
        </w:rPr>
        <w:t>ого</w:t>
      </w:r>
      <w:r w:rsidRPr="00D30CBA">
        <w:rPr>
          <w:rFonts w:ascii="Times New Roman" w:hAnsi="Times New Roman" w:cs="Times New Roman"/>
          <w:sz w:val="28"/>
          <w:szCs w:val="28"/>
        </w:rPr>
        <w:t xml:space="preserve"> период</w:t>
      </w:r>
      <w:r>
        <w:rPr>
          <w:rFonts w:ascii="Times New Roman" w:hAnsi="Times New Roman" w:cs="Times New Roman"/>
          <w:sz w:val="28"/>
          <w:szCs w:val="28"/>
        </w:rPr>
        <w:t>а</w:t>
      </w:r>
      <w:r w:rsidRPr="00D30CBA">
        <w:rPr>
          <w:rFonts w:ascii="Times New Roman" w:hAnsi="Times New Roman" w:cs="Times New Roman"/>
          <w:sz w:val="28"/>
          <w:szCs w:val="28"/>
        </w:rPr>
        <w:t xml:space="preserve"> заболеваемост</w:t>
      </w:r>
      <w:r>
        <w:rPr>
          <w:rFonts w:ascii="Times New Roman" w:hAnsi="Times New Roman" w:cs="Times New Roman"/>
          <w:sz w:val="28"/>
          <w:szCs w:val="28"/>
        </w:rPr>
        <w:t>ь БСК и ЦВЗ</w:t>
      </w:r>
      <w:r w:rsidRPr="00D30CBA">
        <w:rPr>
          <w:rFonts w:ascii="Times New Roman" w:hAnsi="Times New Roman" w:cs="Times New Roman"/>
          <w:sz w:val="28"/>
          <w:szCs w:val="28"/>
        </w:rPr>
        <w:t xml:space="preserve"> </w:t>
      </w:r>
      <w:r>
        <w:rPr>
          <w:rFonts w:ascii="Times New Roman" w:hAnsi="Times New Roman" w:cs="Times New Roman"/>
          <w:sz w:val="28"/>
          <w:szCs w:val="28"/>
        </w:rPr>
        <w:t xml:space="preserve">сохранялось на высоком уровне </w:t>
      </w:r>
      <w:r w:rsidRPr="00D30CBA">
        <w:rPr>
          <w:rFonts w:ascii="Times New Roman" w:hAnsi="Times New Roman" w:cs="Times New Roman"/>
          <w:sz w:val="28"/>
          <w:szCs w:val="28"/>
        </w:rPr>
        <w:t xml:space="preserve">и </w:t>
      </w:r>
      <w:r>
        <w:rPr>
          <w:rFonts w:ascii="Times New Roman" w:hAnsi="Times New Roman" w:cs="Times New Roman"/>
          <w:sz w:val="28"/>
          <w:szCs w:val="28"/>
        </w:rPr>
        <w:t xml:space="preserve">в отдельные годы имела тенденцию к увеличению, отражая устойчивое </w:t>
      </w:r>
      <w:r w:rsidRPr="00D30CBA">
        <w:rPr>
          <w:rFonts w:ascii="Times New Roman" w:hAnsi="Times New Roman" w:cs="Times New Roman"/>
          <w:sz w:val="28"/>
          <w:szCs w:val="28"/>
        </w:rPr>
        <w:t>бремя хроническ</w:t>
      </w:r>
      <w:r>
        <w:rPr>
          <w:rFonts w:ascii="Times New Roman" w:hAnsi="Times New Roman" w:cs="Times New Roman"/>
          <w:sz w:val="28"/>
          <w:szCs w:val="28"/>
        </w:rPr>
        <w:t>ой</w:t>
      </w:r>
      <w:r w:rsidRPr="00D30CBA">
        <w:rPr>
          <w:rFonts w:ascii="Times New Roman" w:hAnsi="Times New Roman" w:cs="Times New Roman"/>
          <w:sz w:val="28"/>
          <w:szCs w:val="28"/>
        </w:rPr>
        <w:t xml:space="preserve"> сердечно-сосудист</w:t>
      </w:r>
      <w:r>
        <w:rPr>
          <w:rFonts w:ascii="Times New Roman" w:hAnsi="Times New Roman" w:cs="Times New Roman"/>
          <w:sz w:val="28"/>
          <w:szCs w:val="28"/>
        </w:rPr>
        <w:t xml:space="preserve">ой патологии среди </w:t>
      </w:r>
      <w:r w:rsidRPr="00D30CBA">
        <w:rPr>
          <w:rFonts w:ascii="Times New Roman" w:hAnsi="Times New Roman" w:cs="Times New Roman"/>
          <w:sz w:val="28"/>
          <w:szCs w:val="28"/>
        </w:rPr>
        <w:t>населения. В то же время показатели смертности, включая предотвратимую смертность, в целом снизились, что свидетельствует об улучшении доступа к медицинской помощи и ее эффективности, включая диагностику, неотложную помощь и ведение пациентов.</w:t>
      </w:r>
      <w:r>
        <w:rPr>
          <w:rFonts w:ascii="Times New Roman" w:hAnsi="Times New Roman" w:cs="Times New Roman"/>
          <w:sz w:val="28"/>
          <w:szCs w:val="28"/>
        </w:rPr>
        <w:t xml:space="preserve"> Полученные</w:t>
      </w:r>
      <w:r w:rsidRPr="00D30CBA">
        <w:rPr>
          <w:rFonts w:ascii="Times New Roman" w:hAnsi="Times New Roman" w:cs="Times New Roman"/>
          <w:sz w:val="28"/>
          <w:szCs w:val="28"/>
        </w:rPr>
        <w:t xml:space="preserve"> результаты согласуются с </w:t>
      </w:r>
      <w:r>
        <w:rPr>
          <w:rFonts w:ascii="Times New Roman" w:hAnsi="Times New Roman" w:cs="Times New Roman"/>
          <w:sz w:val="28"/>
          <w:szCs w:val="28"/>
        </w:rPr>
        <w:t xml:space="preserve">данными </w:t>
      </w:r>
      <w:r w:rsidRPr="00D30CBA">
        <w:rPr>
          <w:rFonts w:ascii="Times New Roman" w:hAnsi="Times New Roman" w:cs="Times New Roman"/>
          <w:sz w:val="28"/>
          <w:szCs w:val="28"/>
        </w:rPr>
        <w:t>предыдущи</w:t>
      </w:r>
      <w:r>
        <w:rPr>
          <w:rFonts w:ascii="Times New Roman" w:hAnsi="Times New Roman" w:cs="Times New Roman"/>
          <w:sz w:val="28"/>
          <w:szCs w:val="28"/>
        </w:rPr>
        <w:t>х</w:t>
      </w:r>
      <w:r w:rsidRPr="00D30CBA">
        <w:rPr>
          <w:rFonts w:ascii="Times New Roman" w:hAnsi="Times New Roman" w:cs="Times New Roman"/>
          <w:sz w:val="28"/>
          <w:szCs w:val="28"/>
        </w:rPr>
        <w:t xml:space="preserve"> исследовани</w:t>
      </w:r>
      <w:r>
        <w:rPr>
          <w:rFonts w:ascii="Times New Roman" w:hAnsi="Times New Roman" w:cs="Times New Roman"/>
          <w:sz w:val="28"/>
          <w:szCs w:val="28"/>
        </w:rPr>
        <w:t>й</w:t>
      </w:r>
      <w:r w:rsidRPr="00D30CBA">
        <w:rPr>
          <w:rFonts w:ascii="Times New Roman" w:hAnsi="Times New Roman" w:cs="Times New Roman"/>
          <w:sz w:val="28"/>
          <w:szCs w:val="28"/>
        </w:rPr>
        <w:t>, указывающи</w:t>
      </w:r>
      <w:r>
        <w:rPr>
          <w:rFonts w:ascii="Times New Roman" w:hAnsi="Times New Roman" w:cs="Times New Roman"/>
          <w:sz w:val="28"/>
          <w:szCs w:val="28"/>
        </w:rPr>
        <w:t>х</w:t>
      </w:r>
      <w:r w:rsidRPr="00D30CBA">
        <w:rPr>
          <w:rFonts w:ascii="Times New Roman" w:hAnsi="Times New Roman" w:cs="Times New Roman"/>
          <w:sz w:val="28"/>
          <w:szCs w:val="28"/>
        </w:rPr>
        <w:t xml:space="preserve"> на снижение предотвратимой смертности в Казахстане в допандемический период и резкий рост в 2020–2021 годах</w:t>
      </w:r>
      <w:r w:rsidR="00A234CA" w:rsidRPr="00A234CA">
        <w:rPr>
          <w:rFonts w:ascii="Times New Roman" w:hAnsi="Times New Roman" w:cs="Times New Roman"/>
          <w:sz w:val="28"/>
          <w:szCs w:val="28"/>
        </w:rPr>
        <w:t xml:space="preserve"> [13</w:t>
      </w:r>
      <w:r w:rsidR="00704291" w:rsidRPr="00704291">
        <w:rPr>
          <w:rFonts w:ascii="Times New Roman" w:hAnsi="Times New Roman" w:cs="Times New Roman"/>
          <w:sz w:val="28"/>
          <w:szCs w:val="28"/>
        </w:rPr>
        <w:t>0</w:t>
      </w:r>
      <w:r w:rsidR="00A234CA" w:rsidRPr="00A234CA">
        <w:rPr>
          <w:rFonts w:ascii="Times New Roman" w:hAnsi="Times New Roman" w:cs="Times New Roman"/>
          <w:sz w:val="28"/>
          <w:szCs w:val="28"/>
        </w:rPr>
        <w:t>]</w:t>
      </w:r>
      <w:r w:rsidRPr="00D30CBA">
        <w:rPr>
          <w:rFonts w:ascii="Times New Roman" w:hAnsi="Times New Roman" w:cs="Times New Roman"/>
          <w:sz w:val="28"/>
          <w:szCs w:val="28"/>
        </w:rPr>
        <w:t xml:space="preserve">. </w:t>
      </w:r>
      <w:r>
        <w:rPr>
          <w:rFonts w:ascii="Times New Roman" w:hAnsi="Times New Roman" w:cs="Times New Roman"/>
          <w:sz w:val="28"/>
          <w:szCs w:val="28"/>
        </w:rPr>
        <w:t>В нашем исследований</w:t>
      </w:r>
      <w:r w:rsidRPr="00D30CBA">
        <w:rPr>
          <w:rFonts w:ascii="Times New Roman" w:hAnsi="Times New Roman" w:cs="Times New Roman"/>
          <w:sz w:val="28"/>
          <w:szCs w:val="28"/>
        </w:rPr>
        <w:t>, охватывающе</w:t>
      </w:r>
      <w:r>
        <w:rPr>
          <w:rFonts w:ascii="Times New Roman" w:hAnsi="Times New Roman" w:cs="Times New Roman"/>
          <w:sz w:val="28"/>
          <w:szCs w:val="28"/>
        </w:rPr>
        <w:t>м</w:t>
      </w:r>
      <w:r w:rsidRPr="00D30CBA">
        <w:rPr>
          <w:rFonts w:ascii="Times New Roman" w:hAnsi="Times New Roman" w:cs="Times New Roman"/>
          <w:sz w:val="28"/>
          <w:szCs w:val="28"/>
        </w:rPr>
        <w:t xml:space="preserve"> десятилетний период для </w:t>
      </w:r>
      <w:r>
        <w:rPr>
          <w:rFonts w:ascii="Times New Roman" w:hAnsi="Times New Roman" w:cs="Times New Roman"/>
          <w:sz w:val="28"/>
          <w:szCs w:val="28"/>
        </w:rPr>
        <w:t>г.</w:t>
      </w:r>
      <w:r w:rsidRPr="00D30CBA">
        <w:rPr>
          <w:rFonts w:ascii="Times New Roman" w:hAnsi="Times New Roman" w:cs="Times New Roman"/>
          <w:sz w:val="28"/>
          <w:szCs w:val="28"/>
        </w:rPr>
        <w:t>Алматы, выявл</w:t>
      </w:r>
      <w:r>
        <w:rPr>
          <w:rFonts w:ascii="Times New Roman" w:hAnsi="Times New Roman" w:cs="Times New Roman"/>
          <w:sz w:val="28"/>
          <w:szCs w:val="28"/>
        </w:rPr>
        <w:t>ена</w:t>
      </w:r>
      <w:r w:rsidRPr="00D30CBA">
        <w:rPr>
          <w:rFonts w:ascii="Times New Roman" w:hAnsi="Times New Roman" w:cs="Times New Roman"/>
          <w:sz w:val="28"/>
          <w:szCs w:val="28"/>
        </w:rPr>
        <w:t xml:space="preserve"> </w:t>
      </w:r>
      <w:r>
        <w:rPr>
          <w:rFonts w:ascii="Times New Roman" w:hAnsi="Times New Roman" w:cs="Times New Roman"/>
          <w:sz w:val="28"/>
          <w:szCs w:val="28"/>
        </w:rPr>
        <w:t>схожая динамика</w:t>
      </w:r>
      <w:r w:rsidRPr="00D30CBA">
        <w:rPr>
          <w:rFonts w:ascii="Times New Roman" w:hAnsi="Times New Roman" w:cs="Times New Roman"/>
          <w:sz w:val="28"/>
          <w:szCs w:val="28"/>
        </w:rPr>
        <w:t xml:space="preserve">: общее снижение предотвратимой смертности от </w:t>
      </w:r>
      <w:r>
        <w:rPr>
          <w:rFonts w:ascii="Times New Roman" w:hAnsi="Times New Roman" w:cs="Times New Roman"/>
          <w:sz w:val="28"/>
          <w:szCs w:val="28"/>
        </w:rPr>
        <w:t>БСК</w:t>
      </w:r>
      <w:r w:rsidRPr="00D30CBA">
        <w:rPr>
          <w:rFonts w:ascii="Times New Roman" w:hAnsi="Times New Roman" w:cs="Times New Roman"/>
          <w:sz w:val="28"/>
          <w:szCs w:val="28"/>
        </w:rPr>
        <w:t xml:space="preserve"> с временным, но значительным ухудшением </w:t>
      </w:r>
      <w:r>
        <w:rPr>
          <w:rFonts w:ascii="Times New Roman" w:hAnsi="Times New Roman" w:cs="Times New Roman"/>
          <w:sz w:val="28"/>
          <w:szCs w:val="28"/>
        </w:rPr>
        <w:t>в период</w:t>
      </w:r>
      <w:r w:rsidRPr="00D30CBA">
        <w:rPr>
          <w:rFonts w:ascii="Times New Roman" w:hAnsi="Times New Roman" w:cs="Times New Roman"/>
          <w:sz w:val="28"/>
          <w:szCs w:val="28"/>
        </w:rPr>
        <w:t xml:space="preserve"> пандемии COVID-19. </w:t>
      </w:r>
      <w:r w:rsidRPr="00B048C8">
        <w:rPr>
          <w:rFonts w:ascii="Times New Roman" w:hAnsi="Times New Roman" w:cs="Times New Roman"/>
          <w:sz w:val="28"/>
          <w:szCs w:val="28"/>
        </w:rPr>
        <w:t xml:space="preserve">Аналогичные </w:t>
      </w:r>
      <w:r w:rsidRPr="00A705C4">
        <w:rPr>
          <w:rFonts w:ascii="Times New Roman" w:hAnsi="Times New Roman" w:cs="Times New Roman"/>
          <w:sz w:val="28"/>
          <w:szCs w:val="28"/>
        </w:rPr>
        <w:t xml:space="preserve">всплески предотвратимой смертности в </w:t>
      </w:r>
      <w:r w:rsidRPr="00A705C4">
        <w:rPr>
          <w:rFonts w:ascii="Times New Roman" w:hAnsi="Times New Roman" w:cs="Times New Roman"/>
          <w:sz w:val="28"/>
          <w:szCs w:val="28"/>
        </w:rPr>
        <w:lastRenderedPageBreak/>
        <w:t xml:space="preserve">2020–2021 годах были зафиксированы и в других </w:t>
      </w:r>
      <w:r w:rsidRPr="007E10CB">
        <w:rPr>
          <w:rFonts w:ascii="Times New Roman" w:hAnsi="Times New Roman" w:cs="Times New Roman"/>
          <w:sz w:val="28"/>
          <w:szCs w:val="28"/>
        </w:rPr>
        <w:t>странах: в 2021 году уровень предотвратимой смертности достигал 263,3 на 100 000 населения в Англии и 296,9 в Уэльсе, что отражает системное воздействие пандемии на доступность и непрерывность оказания медицинской помощи</w:t>
      </w:r>
      <w:r w:rsidR="00A234CA" w:rsidRPr="00A234CA">
        <w:rPr>
          <w:rFonts w:ascii="Times New Roman" w:hAnsi="Times New Roman" w:cs="Times New Roman"/>
          <w:sz w:val="28"/>
          <w:szCs w:val="28"/>
        </w:rPr>
        <w:t xml:space="preserve"> [13</w:t>
      </w:r>
      <w:r w:rsidR="00704291" w:rsidRPr="00704291">
        <w:rPr>
          <w:rFonts w:ascii="Times New Roman" w:hAnsi="Times New Roman" w:cs="Times New Roman"/>
          <w:sz w:val="28"/>
          <w:szCs w:val="28"/>
        </w:rPr>
        <w:t>1</w:t>
      </w:r>
      <w:r w:rsidR="00A234CA" w:rsidRPr="00A234CA">
        <w:rPr>
          <w:rFonts w:ascii="Times New Roman" w:hAnsi="Times New Roman" w:cs="Times New Roman"/>
          <w:sz w:val="28"/>
          <w:szCs w:val="28"/>
        </w:rPr>
        <w:t>-13</w:t>
      </w:r>
      <w:r w:rsidR="00704291" w:rsidRPr="00704291">
        <w:rPr>
          <w:rFonts w:ascii="Times New Roman" w:hAnsi="Times New Roman" w:cs="Times New Roman"/>
          <w:sz w:val="28"/>
          <w:szCs w:val="28"/>
        </w:rPr>
        <w:t>3</w:t>
      </w:r>
      <w:r w:rsidR="00A234CA" w:rsidRPr="00A234CA">
        <w:rPr>
          <w:rFonts w:ascii="Times New Roman" w:hAnsi="Times New Roman" w:cs="Times New Roman"/>
          <w:sz w:val="28"/>
          <w:szCs w:val="28"/>
        </w:rPr>
        <w:t>]</w:t>
      </w:r>
      <w:r w:rsidRPr="007E10CB">
        <w:rPr>
          <w:rFonts w:ascii="Times New Roman" w:hAnsi="Times New Roman" w:cs="Times New Roman"/>
          <w:sz w:val="28"/>
          <w:szCs w:val="28"/>
        </w:rPr>
        <w:t>. Это подтверждает</w:t>
      </w:r>
      <w:r w:rsidRPr="00D30CBA">
        <w:rPr>
          <w:rFonts w:ascii="Times New Roman" w:hAnsi="Times New Roman" w:cs="Times New Roman"/>
          <w:sz w:val="28"/>
          <w:szCs w:val="28"/>
        </w:rPr>
        <w:t xml:space="preserve">, что </w:t>
      </w:r>
      <w:r>
        <w:rPr>
          <w:rFonts w:ascii="Times New Roman" w:hAnsi="Times New Roman" w:cs="Times New Roman"/>
          <w:sz w:val="28"/>
          <w:szCs w:val="28"/>
        </w:rPr>
        <w:t xml:space="preserve">достигнутый </w:t>
      </w:r>
      <w:r w:rsidRPr="00D30CBA">
        <w:rPr>
          <w:rFonts w:ascii="Times New Roman" w:hAnsi="Times New Roman" w:cs="Times New Roman"/>
          <w:sz w:val="28"/>
          <w:szCs w:val="28"/>
        </w:rPr>
        <w:t xml:space="preserve">прогресс в снижении смертности оказался уязвимым </w:t>
      </w:r>
      <w:r>
        <w:rPr>
          <w:rFonts w:ascii="Times New Roman" w:hAnsi="Times New Roman" w:cs="Times New Roman"/>
          <w:sz w:val="28"/>
          <w:szCs w:val="28"/>
        </w:rPr>
        <w:t>к</w:t>
      </w:r>
      <w:r w:rsidRPr="00D30CBA">
        <w:rPr>
          <w:rFonts w:ascii="Times New Roman" w:hAnsi="Times New Roman" w:cs="Times New Roman"/>
          <w:sz w:val="28"/>
          <w:szCs w:val="28"/>
        </w:rPr>
        <w:t xml:space="preserve"> системны</w:t>
      </w:r>
      <w:r>
        <w:rPr>
          <w:rFonts w:ascii="Times New Roman" w:hAnsi="Times New Roman" w:cs="Times New Roman"/>
          <w:sz w:val="28"/>
          <w:szCs w:val="28"/>
        </w:rPr>
        <w:t>м</w:t>
      </w:r>
      <w:r w:rsidRPr="00D30CBA">
        <w:rPr>
          <w:rFonts w:ascii="Times New Roman" w:hAnsi="Times New Roman" w:cs="Times New Roman"/>
          <w:sz w:val="28"/>
          <w:szCs w:val="28"/>
        </w:rPr>
        <w:t xml:space="preserve"> кризис</w:t>
      </w:r>
      <w:r>
        <w:rPr>
          <w:rFonts w:ascii="Times New Roman" w:hAnsi="Times New Roman" w:cs="Times New Roman"/>
          <w:sz w:val="28"/>
          <w:szCs w:val="28"/>
        </w:rPr>
        <w:t>ам</w:t>
      </w:r>
      <w:r w:rsidRPr="00D30CBA">
        <w:rPr>
          <w:rFonts w:ascii="Times New Roman" w:hAnsi="Times New Roman" w:cs="Times New Roman"/>
          <w:sz w:val="28"/>
          <w:szCs w:val="28"/>
        </w:rPr>
        <w:t>, особенно среди мужского населения, где смертность и экономическое бремя предотвратимых потерь были наиболее высокими</w:t>
      </w:r>
      <w:r w:rsidR="00A234CA" w:rsidRPr="00A234CA">
        <w:rPr>
          <w:rFonts w:ascii="Times New Roman" w:hAnsi="Times New Roman" w:cs="Times New Roman"/>
          <w:sz w:val="28"/>
          <w:szCs w:val="28"/>
        </w:rPr>
        <w:t xml:space="preserve"> [13</w:t>
      </w:r>
      <w:r w:rsidR="00704291" w:rsidRPr="00704291">
        <w:rPr>
          <w:rFonts w:ascii="Times New Roman" w:hAnsi="Times New Roman" w:cs="Times New Roman"/>
          <w:sz w:val="28"/>
          <w:szCs w:val="28"/>
        </w:rPr>
        <w:t>4</w:t>
      </w:r>
      <w:r w:rsidR="00A234CA" w:rsidRPr="00A234CA">
        <w:rPr>
          <w:rFonts w:ascii="Times New Roman" w:hAnsi="Times New Roman" w:cs="Times New Roman"/>
          <w:sz w:val="28"/>
          <w:szCs w:val="28"/>
        </w:rPr>
        <w:t>]</w:t>
      </w:r>
      <w:r w:rsidRPr="00D30CBA">
        <w:rPr>
          <w:rFonts w:ascii="Times New Roman" w:hAnsi="Times New Roman" w:cs="Times New Roman"/>
          <w:sz w:val="28"/>
          <w:szCs w:val="28"/>
        </w:rPr>
        <w:t>.</w:t>
      </w:r>
    </w:p>
    <w:p w14:paraId="36E960D8" w14:textId="4280A959" w:rsidR="00904709" w:rsidRPr="004570A8" w:rsidRDefault="00904709" w:rsidP="00FC2E89">
      <w:pPr>
        <w:tabs>
          <w:tab w:val="left" w:pos="567"/>
        </w:tabs>
        <w:spacing w:after="0" w:line="240" w:lineRule="auto"/>
        <w:ind w:firstLine="567"/>
        <w:jc w:val="both"/>
        <w:rPr>
          <w:rFonts w:ascii="Times New Roman" w:hAnsi="Times New Roman" w:cs="Times New Roman"/>
          <w:sz w:val="28"/>
          <w:szCs w:val="28"/>
        </w:rPr>
      </w:pPr>
      <w:r w:rsidRPr="004570A8">
        <w:rPr>
          <w:rFonts w:ascii="Times New Roman" w:hAnsi="Times New Roman" w:cs="Times New Roman"/>
          <w:sz w:val="28"/>
          <w:szCs w:val="28"/>
        </w:rPr>
        <w:t xml:space="preserve">Снижение предотвратимой смертности, вероятно, </w:t>
      </w:r>
      <w:r>
        <w:rPr>
          <w:rFonts w:ascii="Times New Roman" w:hAnsi="Times New Roman" w:cs="Times New Roman"/>
          <w:sz w:val="28"/>
          <w:szCs w:val="28"/>
        </w:rPr>
        <w:t>связано с</w:t>
      </w:r>
      <w:r w:rsidRPr="004570A8">
        <w:rPr>
          <w:rFonts w:ascii="Times New Roman" w:hAnsi="Times New Roman" w:cs="Times New Roman"/>
          <w:sz w:val="28"/>
          <w:szCs w:val="28"/>
        </w:rPr>
        <w:t xml:space="preserve"> реформами </w:t>
      </w:r>
      <w:r>
        <w:rPr>
          <w:rFonts w:ascii="Times New Roman" w:hAnsi="Times New Roman" w:cs="Times New Roman"/>
          <w:sz w:val="28"/>
          <w:szCs w:val="28"/>
        </w:rPr>
        <w:t xml:space="preserve">в системе </w:t>
      </w:r>
      <w:r w:rsidRPr="004570A8">
        <w:rPr>
          <w:rFonts w:ascii="Times New Roman" w:hAnsi="Times New Roman" w:cs="Times New Roman"/>
          <w:sz w:val="28"/>
          <w:szCs w:val="28"/>
        </w:rPr>
        <w:t xml:space="preserve">здравоохранения, </w:t>
      </w:r>
      <w:r>
        <w:rPr>
          <w:rFonts w:ascii="Times New Roman" w:hAnsi="Times New Roman" w:cs="Times New Roman"/>
          <w:sz w:val="28"/>
          <w:szCs w:val="28"/>
        </w:rPr>
        <w:t xml:space="preserve">реализованными </w:t>
      </w:r>
      <w:r w:rsidRPr="004570A8">
        <w:rPr>
          <w:rFonts w:ascii="Times New Roman" w:hAnsi="Times New Roman" w:cs="Times New Roman"/>
          <w:sz w:val="28"/>
          <w:szCs w:val="28"/>
        </w:rPr>
        <w:t>в Казахстане за последнее десятилетие, включая приорит</w:t>
      </w:r>
      <w:r>
        <w:rPr>
          <w:rFonts w:ascii="Times New Roman" w:hAnsi="Times New Roman" w:cs="Times New Roman"/>
          <w:sz w:val="28"/>
          <w:szCs w:val="28"/>
        </w:rPr>
        <w:t>изацию ПМСП</w:t>
      </w:r>
      <w:r w:rsidRPr="004570A8">
        <w:rPr>
          <w:rFonts w:ascii="Times New Roman" w:hAnsi="Times New Roman" w:cs="Times New Roman"/>
          <w:sz w:val="28"/>
          <w:szCs w:val="28"/>
        </w:rPr>
        <w:t xml:space="preserve">, расширение программ скрининга, внедрение новых медицинских технологий и </w:t>
      </w:r>
      <w:r>
        <w:rPr>
          <w:rFonts w:ascii="Times New Roman" w:hAnsi="Times New Roman" w:cs="Times New Roman"/>
          <w:sz w:val="28"/>
          <w:szCs w:val="28"/>
        </w:rPr>
        <w:t>рост</w:t>
      </w:r>
      <w:r w:rsidRPr="004570A8">
        <w:rPr>
          <w:rFonts w:ascii="Times New Roman" w:hAnsi="Times New Roman" w:cs="Times New Roman"/>
          <w:sz w:val="28"/>
          <w:szCs w:val="28"/>
        </w:rPr>
        <w:t xml:space="preserve"> финансирования здравоохранения на душу населения</w:t>
      </w:r>
      <w:r w:rsidR="00A234CA" w:rsidRPr="00A234CA">
        <w:rPr>
          <w:rFonts w:ascii="Times New Roman" w:hAnsi="Times New Roman" w:cs="Times New Roman"/>
          <w:sz w:val="28"/>
          <w:szCs w:val="28"/>
        </w:rPr>
        <w:t xml:space="preserve"> [13</w:t>
      </w:r>
      <w:r w:rsidR="00704291" w:rsidRPr="00704291">
        <w:rPr>
          <w:rFonts w:ascii="Times New Roman" w:hAnsi="Times New Roman" w:cs="Times New Roman"/>
          <w:sz w:val="28"/>
          <w:szCs w:val="28"/>
        </w:rPr>
        <w:t>5</w:t>
      </w:r>
      <w:r w:rsidR="00A234CA" w:rsidRPr="00A234CA">
        <w:rPr>
          <w:rFonts w:ascii="Times New Roman" w:hAnsi="Times New Roman" w:cs="Times New Roman"/>
          <w:sz w:val="28"/>
          <w:szCs w:val="28"/>
        </w:rPr>
        <w:t>-13</w:t>
      </w:r>
      <w:r w:rsidR="00704291" w:rsidRPr="00704291">
        <w:rPr>
          <w:rFonts w:ascii="Times New Roman" w:hAnsi="Times New Roman" w:cs="Times New Roman"/>
          <w:sz w:val="28"/>
          <w:szCs w:val="28"/>
        </w:rPr>
        <w:t>7</w:t>
      </w:r>
      <w:r w:rsidR="00A234CA" w:rsidRPr="00A234CA">
        <w:rPr>
          <w:rFonts w:ascii="Times New Roman" w:hAnsi="Times New Roman" w:cs="Times New Roman"/>
          <w:sz w:val="28"/>
          <w:szCs w:val="28"/>
        </w:rPr>
        <w:t>]</w:t>
      </w:r>
      <w:r w:rsidRPr="004570A8">
        <w:rPr>
          <w:rFonts w:ascii="Times New Roman" w:hAnsi="Times New Roman" w:cs="Times New Roman"/>
          <w:sz w:val="28"/>
          <w:szCs w:val="28"/>
        </w:rPr>
        <w:t xml:space="preserve">. </w:t>
      </w:r>
      <w:r w:rsidRPr="00E370C0">
        <w:rPr>
          <w:rFonts w:ascii="Times New Roman" w:hAnsi="Times New Roman" w:cs="Times New Roman"/>
          <w:sz w:val="28"/>
          <w:szCs w:val="28"/>
        </w:rPr>
        <w:t xml:space="preserve">Международный опыт показывает, что укрепление роли </w:t>
      </w:r>
      <w:r>
        <w:rPr>
          <w:rFonts w:ascii="Times New Roman" w:hAnsi="Times New Roman" w:cs="Times New Roman"/>
          <w:sz w:val="28"/>
          <w:szCs w:val="28"/>
        </w:rPr>
        <w:t xml:space="preserve">ПМСП </w:t>
      </w:r>
      <w:r w:rsidRPr="00E370C0">
        <w:rPr>
          <w:rFonts w:ascii="Times New Roman" w:hAnsi="Times New Roman" w:cs="Times New Roman"/>
          <w:sz w:val="28"/>
          <w:szCs w:val="28"/>
        </w:rPr>
        <w:t>является ключевым фактором снижени</w:t>
      </w:r>
      <w:r>
        <w:rPr>
          <w:rFonts w:ascii="Times New Roman" w:hAnsi="Times New Roman" w:cs="Times New Roman"/>
          <w:sz w:val="28"/>
          <w:szCs w:val="28"/>
        </w:rPr>
        <w:t>я</w:t>
      </w:r>
      <w:r w:rsidRPr="00E370C0">
        <w:rPr>
          <w:rFonts w:ascii="Times New Roman" w:hAnsi="Times New Roman" w:cs="Times New Roman"/>
          <w:sz w:val="28"/>
          <w:szCs w:val="28"/>
        </w:rPr>
        <w:t xml:space="preserve"> </w:t>
      </w:r>
      <w:r w:rsidRPr="002B73B6">
        <w:rPr>
          <w:rFonts w:ascii="Times New Roman" w:hAnsi="Times New Roman" w:cs="Times New Roman"/>
          <w:sz w:val="28"/>
          <w:szCs w:val="28"/>
        </w:rPr>
        <w:t>предотвратимой смертности: в странах Западной Европы и Южной Корее аналогичные реформы сопровождались снижением смертности от сердечно-сосудистых заболеваний</w:t>
      </w:r>
      <w:r w:rsidR="00A234CA" w:rsidRPr="00A234CA">
        <w:rPr>
          <w:rFonts w:ascii="Times New Roman" w:hAnsi="Times New Roman" w:cs="Times New Roman"/>
          <w:sz w:val="28"/>
          <w:szCs w:val="28"/>
        </w:rPr>
        <w:t xml:space="preserve"> [13</w:t>
      </w:r>
      <w:r w:rsidR="00704291" w:rsidRPr="00704291">
        <w:rPr>
          <w:rFonts w:ascii="Times New Roman" w:hAnsi="Times New Roman" w:cs="Times New Roman"/>
          <w:sz w:val="28"/>
          <w:szCs w:val="28"/>
        </w:rPr>
        <w:t>8</w:t>
      </w:r>
      <w:r w:rsidR="00A234CA" w:rsidRPr="00A234CA">
        <w:rPr>
          <w:rFonts w:ascii="Times New Roman" w:hAnsi="Times New Roman" w:cs="Times New Roman"/>
          <w:sz w:val="28"/>
          <w:szCs w:val="28"/>
        </w:rPr>
        <w:t>]</w:t>
      </w:r>
      <w:r w:rsidRPr="002B73B6">
        <w:rPr>
          <w:rFonts w:ascii="Times New Roman" w:hAnsi="Times New Roman" w:cs="Times New Roman"/>
          <w:sz w:val="28"/>
          <w:szCs w:val="28"/>
        </w:rPr>
        <w:t xml:space="preserve">. Однако высокий уровень предотвратимой смертности в Казахстане </w:t>
      </w:r>
      <w:r w:rsidRPr="00B65EFE">
        <w:rPr>
          <w:rFonts w:ascii="Times New Roman" w:hAnsi="Times New Roman" w:cs="Times New Roman"/>
          <w:sz w:val="28"/>
          <w:szCs w:val="28"/>
        </w:rPr>
        <w:t xml:space="preserve">по сравнению с развитыми странами свидетельствует о необходимости пересмотреть подходы к услугам ПМСП. Также невозможно исключить ментально-культурные особенности и уровень доверия населения к системе здравоохранения. В отчете </w:t>
      </w:r>
      <w:r w:rsidRPr="000B2A05">
        <w:rPr>
          <w:rFonts w:ascii="Times New Roman" w:hAnsi="Times New Roman" w:cs="Times New Roman"/>
          <w:sz w:val="28"/>
          <w:szCs w:val="28"/>
        </w:rPr>
        <w:t>STADA</w:t>
      </w:r>
      <w:r w:rsidRPr="00B65EFE">
        <w:rPr>
          <w:rFonts w:ascii="Times New Roman" w:hAnsi="Times New Roman" w:cs="Times New Roman"/>
          <w:sz w:val="28"/>
          <w:szCs w:val="28"/>
        </w:rPr>
        <w:t xml:space="preserve"> о состоянии здоровья за 2024 год отмечено общее недоверие к политикам в сфере здравоохранения, составил 67% в Казахстане [</w:t>
      </w:r>
      <w:r w:rsidR="00A234CA" w:rsidRPr="00A234CA">
        <w:rPr>
          <w:rFonts w:ascii="Times New Roman" w:hAnsi="Times New Roman" w:cs="Times New Roman"/>
          <w:sz w:val="28"/>
          <w:szCs w:val="28"/>
        </w:rPr>
        <w:t>1</w:t>
      </w:r>
      <w:r w:rsidR="00704291" w:rsidRPr="00704291">
        <w:rPr>
          <w:rFonts w:ascii="Times New Roman" w:hAnsi="Times New Roman" w:cs="Times New Roman"/>
          <w:sz w:val="28"/>
          <w:szCs w:val="28"/>
        </w:rPr>
        <w:t>39</w:t>
      </w:r>
      <w:r w:rsidRPr="00B65EFE">
        <w:rPr>
          <w:rFonts w:ascii="Times New Roman" w:hAnsi="Times New Roman" w:cs="Times New Roman"/>
          <w:sz w:val="28"/>
          <w:szCs w:val="28"/>
        </w:rPr>
        <w:t>].</w:t>
      </w:r>
      <w:r>
        <w:rPr>
          <w:rFonts w:ascii="Times New Roman" w:hAnsi="Times New Roman" w:cs="Times New Roman"/>
          <w:sz w:val="28"/>
          <w:szCs w:val="28"/>
        </w:rPr>
        <w:t xml:space="preserve"> Вместе с тем, со</w:t>
      </w:r>
      <w:r w:rsidRPr="004570A8">
        <w:rPr>
          <w:rFonts w:ascii="Times New Roman" w:hAnsi="Times New Roman" w:cs="Times New Roman"/>
          <w:sz w:val="28"/>
          <w:szCs w:val="28"/>
        </w:rPr>
        <w:t xml:space="preserve">храняющаяся высокая заболеваемость </w:t>
      </w:r>
      <w:r>
        <w:rPr>
          <w:rFonts w:ascii="Times New Roman" w:hAnsi="Times New Roman" w:cs="Times New Roman"/>
          <w:sz w:val="28"/>
          <w:szCs w:val="28"/>
        </w:rPr>
        <w:t>БСК</w:t>
      </w:r>
      <w:r w:rsidRPr="004570A8">
        <w:rPr>
          <w:rFonts w:ascii="Times New Roman" w:hAnsi="Times New Roman" w:cs="Times New Roman"/>
          <w:sz w:val="28"/>
          <w:szCs w:val="28"/>
        </w:rPr>
        <w:t xml:space="preserve"> указывает на недостаточную эффективность первичной профилактики и необходимость дальнейших комплексных </w:t>
      </w:r>
      <w:r>
        <w:rPr>
          <w:rFonts w:ascii="Times New Roman" w:hAnsi="Times New Roman" w:cs="Times New Roman"/>
          <w:sz w:val="28"/>
          <w:szCs w:val="28"/>
        </w:rPr>
        <w:t>вмешательств</w:t>
      </w:r>
      <w:r w:rsidRPr="004570A8">
        <w:rPr>
          <w:rFonts w:ascii="Times New Roman" w:hAnsi="Times New Roman" w:cs="Times New Roman"/>
          <w:sz w:val="28"/>
          <w:szCs w:val="28"/>
        </w:rPr>
        <w:t>, направленных на контроль факторов риска и повышение приверженности населения профилактическим мерам.</w:t>
      </w:r>
    </w:p>
    <w:p w14:paraId="32351E9A" w14:textId="5533486C" w:rsidR="00904709" w:rsidRDefault="00904709" w:rsidP="00FC2E89">
      <w:pPr>
        <w:tabs>
          <w:tab w:val="left" w:pos="567"/>
        </w:tabs>
        <w:spacing w:after="0" w:line="240" w:lineRule="auto"/>
        <w:ind w:firstLine="567"/>
        <w:jc w:val="both"/>
        <w:rPr>
          <w:rFonts w:ascii="Times New Roman" w:hAnsi="Times New Roman" w:cs="Times New Roman"/>
          <w:sz w:val="28"/>
          <w:szCs w:val="28"/>
        </w:rPr>
      </w:pPr>
      <w:r w:rsidRPr="004570A8">
        <w:rPr>
          <w:rFonts w:ascii="Times New Roman" w:hAnsi="Times New Roman" w:cs="Times New Roman"/>
          <w:sz w:val="28"/>
          <w:szCs w:val="28"/>
        </w:rPr>
        <w:t xml:space="preserve">Экономическая оценка показала, что предотвратимая смертность от </w:t>
      </w:r>
      <w:r>
        <w:rPr>
          <w:rFonts w:ascii="Times New Roman" w:hAnsi="Times New Roman" w:cs="Times New Roman"/>
          <w:sz w:val="28"/>
          <w:szCs w:val="28"/>
        </w:rPr>
        <w:t>БСК</w:t>
      </w:r>
      <w:r w:rsidRPr="004570A8">
        <w:rPr>
          <w:rFonts w:ascii="Times New Roman" w:hAnsi="Times New Roman" w:cs="Times New Roman"/>
          <w:sz w:val="28"/>
          <w:szCs w:val="28"/>
        </w:rPr>
        <w:t xml:space="preserve"> сопровождается </w:t>
      </w:r>
      <w:r>
        <w:rPr>
          <w:rFonts w:ascii="Times New Roman" w:hAnsi="Times New Roman" w:cs="Times New Roman"/>
          <w:sz w:val="28"/>
          <w:szCs w:val="28"/>
        </w:rPr>
        <w:t>существенными</w:t>
      </w:r>
      <w:r w:rsidRPr="004570A8">
        <w:rPr>
          <w:rFonts w:ascii="Times New Roman" w:hAnsi="Times New Roman" w:cs="Times New Roman"/>
          <w:sz w:val="28"/>
          <w:szCs w:val="28"/>
        </w:rPr>
        <w:t xml:space="preserve"> экономическими потерями, особенно в периоды роста смертности, такие как 2020–2021 годы. </w:t>
      </w:r>
      <w:r w:rsidRPr="00B65EFE">
        <w:rPr>
          <w:rFonts w:ascii="Times New Roman" w:hAnsi="Times New Roman" w:cs="Times New Roman"/>
          <w:sz w:val="28"/>
          <w:szCs w:val="28"/>
        </w:rPr>
        <w:t xml:space="preserve">Ранее, в отношении </w:t>
      </w:r>
      <w:r w:rsidRPr="000B2A05">
        <w:rPr>
          <w:rFonts w:ascii="Times New Roman" w:hAnsi="Times New Roman" w:cs="Times New Roman"/>
          <w:sz w:val="28"/>
          <w:szCs w:val="28"/>
        </w:rPr>
        <w:t>COVID</w:t>
      </w:r>
      <w:r w:rsidRPr="00B65EFE">
        <w:rPr>
          <w:rFonts w:ascii="Times New Roman" w:hAnsi="Times New Roman" w:cs="Times New Roman"/>
          <w:sz w:val="28"/>
          <w:szCs w:val="28"/>
        </w:rPr>
        <w:t>, авторы определили, что экономический ущерб для Казахстана равен потерям США и составляет 1,7 млн долларов США.[</w:t>
      </w:r>
      <w:r w:rsidR="00A234CA" w:rsidRPr="00A234CA">
        <w:rPr>
          <w:rFonts w:ascii="Times New Roman" w:hAnsi="Times New Roman" w:cs="Times New Roman"/>
          <w:sz w:val="28"/>
          <w:szCs w:val="28"/>
        </w:rPr>
        <w:t>14</w:t>
      </w:r>
      <w:r w:rsidR="00704291" w:rsidRPr="00704291">
        <w:rPr>
          <w:rFonts w:ascii="Times New Roman" w:hAnsi="Times New Roman" w:cs="Times New Roman"/>
          <w:sz w:val="28"/>
          <w:szCs w:val="28"/>
        </w:rPr>
        <w:t>0</w:t>
      </w:r>
      <w:r w:rsidRPr="00B65EFE">
        <w:rPr>
          <w:rFonts w:ascii="Times New Roman" w:hAnsi="Times New Roman" w:cs="Times New Roman"/>
          <w:sz w:val="28"/>
          <w:szCs w:val="28"/>
        </w:rPr>
        <w:t>]</w:t>
      </w:r>
      <w:r>
        <w:rPr>
          <w:rFonts w:ascii="Times New Roman" w:hAnsi="Times New Roman" w:cs="Times New Roman"/>
          <w:sz w:val="28"/>
          <w:szCs w:val="28"/>
        </w:rPr>
        <w:t xml:space="preserve"> </w:t>
      </w:r>
      <w:r w:rsidRPr="004570A8">
        <w:rPr>
          <w:rFonts w:ascii="Times New Roman" w:hAnsi="Times New Roman" w:cs="Times New Roman"/>
          <w:sz w:val="28"/>
          <w:szCs w:val="28"/>
        </w:rPr>
        <w:t>Высокое экономическое бремя, сосредоточенное преимущественно среди мужчин, подчеркивает важность гендерно-</w:t>
      </w:r>
      <w:r>
        <w:rPr>
          <w:rFonts w:ascii="Times New Roman" w:hAnsi="Times New Roman" w:cs="Times New Roman"/>
          <w:sz w:val="28"/>
          <w:szCs w:val="28"/>
        </w:rPr>
        <w:t>ориентированных</w:t>
      </w:r>
      <w:r w:rsidRPr="004570A8">
        <w:rPr>
          <w:rFonts w:ascii="Times New Roman" w:hAnsi="Times New Roman" w:cs="Times New Roman"/>
          <w:sz w:val="28"/>
          <w:szCs w:val="28"/>
        </w:rPr>
        <w:t xml:space="preserve"> профилактических стратегий и раннего вмешательства</w:t>
      </w:r>
      <w:r w:rsidR="00A234CA" w:rsidRPr="00A234CA">
        <w:rPr>
          <w:rFonts w:ascii="Times New Roman" w:hAnsi="Times New Roman" w:cs="Times New Roman"/>
          <w:sz w:val="28"/>
          <w:szCs w:val="28"/>
        </w:rPr>
        <w:t xml:space="preserve"> [14</w:t>
      </w:r>
      <w:r w:rsidR="00704291" w:rsidRPr="00704291">
        <w:rPr>
          <w:rFonts w:ascii="Times New Roman" w:hAnsi="Times New Roman" w:cs="Times New Roman"/>
          <w:sz w:val="28"/>
          <w:szCs w:val="28"/>
        </w:rPr>
        <w:t>1</w:t>
      </w:r>
      <w:r w:rsidR="00A234CA" w:rsidRPr="00A234CA">
        <w:rPr>
          <w:rFonts w:ascii="Times New Roman" w:hAnsi="Times New Roman" w:cs="Times New Roman"/>
          <w:sz w:val="28"/>
          <w:szCs w:val="28"/>
        </w:rPr>
        <w:t>,14</w:t>
      </w:r>
      <w:r w:rsidR="00704291" w:rsidRPr="00704291">
        <w:rPr>
          <w:rFonts w:ascii="Times New Roman" w:hAnsi="Times New Roman" w:cs="Times New Roman"/>
          <w:sz w:val="28"/>
          <w:szCs w:val="28"/>
        </w:rPr>
        <w:t>2</w:t>
      </w:r>
      <w:r w:rsidR="00A234CA" w:rsidRPr="00A234CA">
        <w:rPr>
          <w:rFonts w:ascii="Times New Roman" w:hAnsi="Times New Roman" w:cs="Times New Roman"/>
          <w:sz w:val="28"/>
          <w:szCs w:val="28"/>
        </w:rPr>
        <w:t>]</w:t>
      </w:r>
      <w:r w:rsidRPr="004570A8">
        <w:rPr>
          <w:rFonts w:ascii="Times New Roman" w:hAnsi="Times New Roman" w:cs="Times New Roman"/>
          <w:sz w:val="28"/>
          <w:szCs w:val="28"/>
        </w:rPr>
        <w:t xml:space="preserve">. Полученные результаты также согласуются с международными наблюдениями, демонстрирующими </w:t>
      </w:r>
      <w:r>
        <w:rPr>
          <w:rFonts w:ascii="Times New Roman" w:hAnsi="Times New Roman" w:cs="Times New Roman"/>
          <w:sz w:val="28"/>
          <w:szCs w:val="28"/>
        </w:rPr>
        <w:t>рост</w:t>
      </w:r>
      <w:r w:rsidRPr="004570A8">
        <w:rPr>
          <w:rFonts w:ascii="Times New Roman" w:hAnsi="Times New Roman" w:cs="Times New Roman"/>
          <w:sz w:val="28"/>
          <w:szCs w:val="28"/>
        </w:rPr>
        <w:t xml:space="preserve"> предотвратимой смертности в странах ОЭСР </w:t>
      </w:r>
      <w:r>
        <w:rPr>
          <w:rFonts w:ascii="Times New Roman" w:hAnsi="Times New Roman" w:cs="Times New Roman"/>
          <w:sz w:val="28"/>
          <w:szCs w:val="28"/>
        </w:rPr>
        <w:t xml:space="preserve">в период </w:t>
      </w:r>
      <w:r w:rsidRPr="004570A8">
        <w:rPr>
          <w:rFonts w:ascii="Times New Roman" w:hAnsi="Times New Roman" w:cs="Times New Roman"/>
          <w:sz w:val="28"/>
          <w:szCs w:val="28"/>
        </w:rPr>
        <w:t xml:space="preserve">пандемии и </w:t>
      </w:r>
      <w:r>
        <w:rPr>
          <w:rFonts w:ascii="Times New Roman" w:hAnsi="Times New Roman" w:cs="Times New Roman"/>
          <w:sz w:val="28"/>
          <w:szCs w:val="28"/>
        </w:rPr>
        <w:t>усиление</w:t>
      </w:r>
      <w:r w:rsidRPr="004570A8">
        <w:rPr>
          <w:rFonts w:ascii="Times New Roman" w:hAnsi="Times New Roman" w:cs="Times New Roman"/>
          <w:sz w:val="28"/>
          <w:szCs w:val="28"/>
        </w:rPr>
        <w:t xml:space="preserve"> социально-экономического неравенства в показателях смертности.</w:t>
      </w:r>
      <w:r>
        <w:rPr>
          <w:rFonts w:ascii="Times New Roman" w:hAnsi="Times New Roman" w:cs="Times New Roman"/>
          <w:sz w:val="28"/>
          <w:szCs w:val="28"/>
        </w:rPr>
        <w:t xml:space="preserve"> </w:t>
      </w:r>
      <w:r w:rsidRPr="00E370C0">
        <w:rPr>
          <w:rFonts w:ascii="Times New Roman" w:hAnsi="Times New Roman" w:cs="Times New Roman"/>
          <w:sz w:val="28"/>
          <w:szCs w:val="28"/>
        </w:rPr>
        <w:t>Согласно международным исследованиям, до одной трети всех смертей в странах ОЭСР потенциально можно</w:t>
      </w:r>
      <w:r>
        <w:rPr>
          <w:rFonts w:ascii="Times New Roman" w:hAnsi="Times New Roman" w:cs="Times New Roman"/>
          <w:sz w:val="28"/>
          <w:szCs w:val="28"/>
        </w:rPr>
        <w:t xml:space="preserve"> было</w:t>
      </w:r>
      <w:r w:rsidRPr="00E370C0">
        <w:rPr>
          <w:rFonts w:ascii="Times New Roman" w:hAnsi="Times New Roman" w:cs="Times New Roman"/>
          <w:sz w:val="28"/>
          <w:szCs w:val="28"/>
        </w:rPr>
        <w:t xml:space="preserve"> предотвратить </w:t>
      </w:r>
      <w:r>
        <w:rPr>
          <w:rFonts w:ascii="Times New Roman" w:hAnsi="Times New Roman" w:cs="Times New Roman"/>
          <w:sz w:val="28"/>
          <w:szCs w:val="28"/>
        </w:rPr>
        <w:t>за счет</w:t>
      </w:r>
      <w:r w:rsidRPr="00E370C0">
        <w:rPr>
          <w:rFonts w:ascii="Times New Roman" w:hAnsi="Times New Roman" w:cs="Times New Roman"/>
          <w:sz w:val="28"/>
          <w:szCs w:val="28"/>
        </w:rPr>
        <w:t xml:space="preserve"> эффективной профилактики и своевременного лечения, а экономические потери от предотвратимой смертности оцениваются в миллиарды долларов ежегодно. В этом контексте полученные </w:t>
      </w:r>
      <w:r>
        <w:rPr>
          <w:rFonts w:ascii="Times New Roman" w:hAnsi="Times New Roman" w:cs="Times New Roman"/>
          <w:sz w:val="28"/>
          <w:szCs w:val="28"/>
        </w:rPr>
        <w:t xml:space="preserve">данные </w:t>
      </w:r>
      <w:r w:rsidRPr="00E370C0">
        <w:rPr>
          <w:rFonts w:ascii="Times New Roman" w:hAnsi="Times New Roman" w:cs="Times New Roman"/>
          <w:sz w:val="28"/>
          <w:szCs w:val="28"/>
        </w:rPr>
        <w:t>для Алматы оценки VSL сопоставимы с международными т</w:t>
      </w:r>
      <w:r>
        <w:rPr>
          <w:rFonts w:ascii="Times New Roman" w:hAnsi="Times New Roman" w:cs="Times New Roman"/>
          <w:sz w:val="28"/>
          <w:szCs w:val="28"/>
        </w:rPr>
        <w:t xml:space="preserve">рендами </w:t>
      </w:r>
      <w:r w:rsidRPr="00E370C0">
        <w:rPr>
          <w:rFonts w:ascii="Times New Roman" w:hAnsi="Times New Roman" w:cs="Times New Roman"/>
          <w:sz w:val="28"/>
          <w:szCs w:val="28"/>
        </w:rPr>
        <w:t xml:space="preserve">и подтверждают важность инвестиций в </w:t>
      </w:r>
      <w:r w:rsidR="004D4630">
        <w:rPr>
          <w:rFonts w:ascii="Times New Roman" w:hAnsi="Times New Roman" w:cs="Times New Roman"/>
          <w:sz w:val="28"/>
          <w:szCs w:val="28"/>
        </w:rPr>
        <w:t>БСК</w:t>
      </w:r>
      <w:r w:rsidRPr="00E370C0">
        <w:rPr>
          <w:rFonts w:ascii="Times New Roman" w:hAnsi="Times New Roman" w:cs="Times New Roman"/>
          <w:sz w:val="28"/>
          <w:szCs w:val="28"/>
        </w:rPr>
        <w:t>.</w:t>
      </w:r>
    </w:p>
    <w:p w14:paraId="3AE3D582" w14:textId="2E68B5CE" w:rsidR="00904709" w:rsidRPr="007E088E" w:rsidRDefault="00904709" w:rsidP="00FC2E89">
      <w:pPr>
        <w:tabs>
          <w:tab w:val="left" w:pos="567"/>
        </w:tabs>
        <w:spacing w:after="0" w:line="240" w:lineRule="auto"/>
        <w:ind w:firstLine="567"/>
        <w:jc w:val="both"/>
        <w:rPr>
          <w:rFonts w:ascii="Times New Roman" w:hAnsi="Times New Roman" w:cs="Times New Roman"/>
          <w:sz w:val="28"/>
          <w:szCs w:val="28"/>
        </w:rPr>
      </w:pPr>
      <w:r w:rsidRPr="004B72DB">
        <w:rPr>
          <w:rFonts w:ascii="Times New Roman" w:hAnsi="Times New Roman" w:cs="Times New Roman"/>
          <w:sz w:val="28"/>
          <w:szCs w:val="28"/>
        </w:rPr>
        <w:t xml:space="preserve">Оценка и мониторинг социально-демографических показателей </w:t>
      </w:r>
      <w:r>
        <w:rPr>
          <w:rFonts w:ascii="Times New Roman" w:hAnsi="Times New Roman" w:cs="Times New Roman"/>
          <w:sz w:val="28"/>
          <w:szCs w:val="28"/>
        </w:rPr>
        <w:t>имеют ключевое значение для п</w:t>
      </w:r>
      <w:r w:rsidRPr="004B72DB">
        <w:rPr>
          <w:rFonts w:ascii="Times New Roman" w:hAnsi="Times New Roman" w:cs="Times New Roman"/>
          <w:sz w:val="28"/>
          <w:szCs w:val="28"/>
        </w:rPr>
        <w:t>ланировани</w:t>
      </w:r>
      <w:r>
        <w:rPr>
          <w:rFonts w:ascii="Times New Roman" w:hAnsi="Times New Roman" w:cs="Times New Roman"/>
          <w:sz w:val="28"/>
          <w:szCs w:val="28"/>
        </w:rPr>
        <w:t>я</w:t>
      </w:r>
      <w:r w:rsidRPr="004B72DB">
        <w:rPr>
          <w:rFonts w:ascii="Times New Roman" w:hAnsi="Times New Roman" w:cs="Times New Roman"/>
          <w:sz w:val="28"/>
          <w:szCs w:val="28"/>
        </w:rPr>
        <w:t xml:space="preserve"> медицинских расходов</w:t>
      </w:r>
      <w:r>
        <w:rPr>
          <w:rFonts w:ascii="Times New Roman" w:hAnsi="Times New Roman" w:cs="Times New Roman"/>
          <w:sz w:val="28"/>
          <w:szCs w:val="28"/>
        </w:rPr>
        <w:t xml:space="preserve"> и организации </w:t>
      </w:r>
      <w:r>
        <w:rPr>
          <w:rFonts w:ascii="Times New Roman" w:hAnsi="Times New Roman" w:cs="Times New Roman"/>
          <w:sz w:val="28"/>
          <w:szCs w:val="28"/>
        </w:rPr>
        <w:lastRenderedPageBreak/>
        <w:t xml:space="preserve">медицинской помощи. </w:t>
      </w:r>
      <w:r w:rsidRPr="00C726F7">
        <w:rPr>
          <w:rFonts w:ascii="Times New Roman" w:hAnsi="Times New Roman" w:cs="Times New Roman"/>
          <w:sz w:val="28"/>
          <w:szCs w:val="28"/>
        </w:rPr>
        <w:t xml:space="preserve">Согласно международным данным, средняя продолжительность </w:t>
      </w:r>
      <w:r>
        <w:rPr>
          <w:rFonts w:ascii="Times New Roman" w:hAnsi="Times New Roman" w:cs="Times New Roman"/>
          <w:sz w:val="28"/>
          <w:szCs w:val="28"/>
        </w:rPr>
        <w:t>госпитализации</w:t>
      </w:r>
      <w:r w:rsidRPr="00C726F7">
        <w:rPr>
          <w:rFonts w:ascii="Times New Roman" w:hAnsi="Times New Roman" w:cs="Times New Roman"/>
          <w:sz w:val="28"/>
          <w:szCs w:val="28"/>
        </w:rPr>
        <w:t xml:space="preserve"> при инсульте составляет </w:t>
      </w:r>
      <w:r>
        <w:rPr>
          <w:rFonts w:ascii="Times New Roman" w:hAnsi="Times New Roman" w:cs="Times New Roman"/>
          <w:sz w:val="28"/>
          <w:szCs w:val="28"/>
        </w:rPr>
        <w:t>около</w:t>
      </w:r>
      <w:r w:rsidRPr="00C726F7">
        <w:rPr>
          <w:rFonts w:ascii="Times New Roman" w:hAnsi="Times New Roman" w:cs="Times New Roman"/>
          <w:sz w:val="28"/>
          <w:szCs w:val="28"/>
        </w:rPr>
        <w:t xml:space="preserve"> 7–10 дней, при этом </w:t>
      </w:r>
      <w:r>
        <w:rPr>
          <w:rFonts w:ascii="Times New Roman" w:hAnsi="Times New Roman" w:cs="Times New Roman"/>
          <w:sz w:val="28"/>
          <w:szCs w:val="28"/>
        </w:rPr>
        <w:t xml:space="preserve">у </w:t>
      </w:r>
      <w:r w:rsidRPr="00C726F7">
        <w:rPr>
          <w:rFonts w:ascii="Times New Roman" w:hAnsi="Times New Roman" w:cs="Times New Roman"/>
          <w:sz w:val="28"/>
          <w:szCs w:val="28"/>
        </w:rPr>
        <w:t xml:space="preserve">женщин, как правило, </w:t>
      </w:r>
      <w:r>
        <w:rPr>
          <w:rFonts w:ascii="Times New Roman" w:hAnsi="Times New Roman" w:cs="Times New Roman"/>
          <w:sz w:val="28"/>
          <w:szCs w:val="28"/>
        </w:rPr>
        <w:t>ниже</w:t>
      </w:r>
      <w:r w:rsidRPr="00C726F7">
        <w:rPr>
          <w:rFonts w:ascii="Times New Roman" w:hAnsi="Times New Roman" w:cs="Times New Roman"/>
          <w:sz w:val="28"/>
          <w:szCs w:val="28"/>
        </w:rPr>
        <w:t>, чем мужчин, что согласуется с результатами нашего исследования</w:t>
      </w:r>
      <w:r w:rsidR="00A234CA" w:rsidRPr="00A234CA">
        <w:rPr>
          <w:rFonts w:ascii="Times New Roman" w:hAnsi="Times New Roman" w:cs="Times New Roman"/>
          <w:sz w:val="28"/>
          <w:szCs w:val="28"/>
        </w:rPr>
        <w:t xml:space="preserve"> [14</w:t>
      </w:r>
      <w:r w:rsidR="00704291" w:rsidRPr="00704291">
        <w:rPr>
          <w:rFonts w:ascii="Times New Roman" w:hAnsi="Times New Roman" w:cs="Times New Roman"/>
          <w:sz w:val="28"/>
          <w:szCs w:val="28"/>
        </w:rPr>
        <w:t>3</w:t>
      </w:r>
      <w:r w:rsidR="00A234CA" w:rsidRPr="00A234CA">
        <w:rPr>
          <w:rFonts w:ascii="Times New Roman" w:hAnsi="Times New Roman" w:cs="Times New Roman"/>
          <w:sz w:val="28"/>
          <w:szCs w:val="28"/>
        </w:rPr>
        <w:t>,14</w:t>
      </w:r>
      <w:r w:rsidR="00704291" w:rsidRPr="00704291">
        <w:rPr>
          <w:rFonts w:ascii="Times New Roman" w:hAnsi="Times New Roman" w:cs="Times New Roman"/>
          <w:sz w:val="28"/>
          <w:szCs w:val="28"/>
        </w:rPr>
        <w:t>4</w:t>
      </w:r>
      <w:r w:rsidR="00A234CA" w:rsidRPr="00A234CA">
        <w:rPr>
          <w:rFonts w:ascii="Times New Roman" w:hAnsi="Times New Roman" w:cs="Times New Roman"/>
          <w:sz w:val="28"/>
          <w:szCs w:val="28"/>
        </w:rPr>
        <w:t>]</w:t>
      </w:r>
      <w:r w:rsidRPr="00C726F7">
        <w:rPr>
          <w:rFonts w:ascii="Times New Roman" w:hAnsi="Times New Roman" w:cs="Times New Roman"/>
          <w:sz w:val="28"/>
          <w:szCs w:val="28"/>
        </w:rPr>
        <w:t xml:space="preserve">. </w:t>
      </w:r>
      <w:r>
        <w:rPr>
          <w:rFonts w:ascii="Times New Roman" w:hAnsi="Times New Roman" w:cs="Times New Roman"/>
          <w:sz w:val="28"/>
          <w:szCs w:val="28"/>
        </w:rPr>
        <w:t xml:space="preserve">Известно, что </w:t>
      </w:r>
      <w:r w:rsidRPr="00C726F7">
        <w:rPr>
          <w:rFonts w:ascii="Times New Roman" w:hAnsi="Times New Roman" w:cs="Times New Roman"/>
          <w:sz w:val="28"/>
          <w:szCs w:val="28"/>
        </w:rPr>
        <w:t xml:space="preserve">риск инсульта удваивается каждые 10 лет после 55 лет, </w:t>
      </w:r>
      <w:r>
        <w:rPr>
          <w:rFonts w:ascii="Times New Roman" w:hAnsi="Times New Roman" w:cs="Times New Roman"/>
          <w:sz w:val="28"/>
          <w:szCs w:val="28"/>
        </w:rPr>
        <w:t>однако</w:t>
      </w:r>
      <w:r w:rsidRPr="00C726F7">
        <w:rPr>
          <w:rFonts w:ascii="Times New Roman" w:hAnsi="Times New Roman" w:cs="Times New Roman"/>
          <w:sz w:val="28"/>
          <w:szCs w:val="28"/>
        </w:rPr>
        <w:t xml:space="preserve"> в последн</w:t>
      </w:r>
      <w:r>
        <w:rPr>
          <w:rFonts w:ascii="Times New Roman" w:hAnsi="Times New Roman" w:cs="Times New Roman"/>
          <w:sz w:val="28"/>
          <w:szCs w:val="28"/>
        </w:rPr>
        <w:t>и</w:t>
      </w:r>
      <w:r w:rsidRPr="00C726F7">
        <w:rPr>
          <w:rFonts w:ascii="Times New Roman" w:hAnsi="Times New Roman" w:cs="Times New Roman"/>
          <w:sz w:val="28"/>
          <w:szCs w:val="28"/>
        </w:rPr>
        <w:t xml:space="preserve">е </w:t>
      </w:r>
      <w:r>
        <w:rPr>
          <w:rFonts w:ascii="Times New Roman" w:hAnsi="Times New Roman" w:cs="Times New Roman"/>
          <w:sz w:val="28"/>
          <w:szCs w:val="28"/>
        </w:rPr>
        <w:t xml:space="preserve">годы во многих странах отмечается омоложение </w:t>
      </w:r>
      <w:r w:rsidRPr="00C726F7">
        <w:rPr>
          <w:rFonts w:ascii="Times New Roman" w:hAnsi="Times New Roman" w:cs="Times New Roman"/>
          <w:sz w:val="28"/>
          <w:szCs w:val="28"/>
        </w:rPr>
        <w:t xml:space="preserve">инсульта и </w:t>
      </w:r>
      <w:r>
        <w:rPr>
          <w:rFonts w:ascii="Times New Roman" w:hAnsi="Times New Roman" w:cs="Times New Roman"/>
          <w:sz w:val="28"/>
          <w:szCs w:val="28"/>
        </w:rPr>
        <w:t>рост</w:t>
      </w:r>
      <w:r w:rsidRPr="00C726F7">
        <w:rPr>
          <w:rFonts w:ascii="Times New Roman" w:hAnsi="Times New Roman" w:cs="Times New Roman"/>
          <w:sz w:val="28"/>
          <w:szCs w:val="28"/>
        </w:rPr>
        <w:t xml:space="preserve"> госпитализаций среди лиц трудоспособного возраста</w:t>
      </w:r>
      <w:r w:rsidR="00A234CA" w:rsidRPr="00A234CA">
        <w:rPr>
          <w:rFonts w:ascii="Times New Roman" w:hAnsi="Times New Roman" w:cs="Times New Roman"/>
          <w:sz w:val="28"/>
          <w:szCs w:val="28"/>
        </w:rPr>
        <w:t xml:space="preserve"> [14</w:t>
      </w:r>
      <w:r w:rsidR="00704291" w:rsidRPr="00704291">
        <w:rPr>
          <w:rFonts w:ascii="Times New Roman" w:hAnsi="Times New Roman" w:cs="Times New Roman"/>
          <w:sz w:val="28"/>
          <w:szCs w:val="28"/>
        </w:rPr>
        <w:t>5</w:t>
      </w:r>
      <w:r w:rsidR="00A234CA" w:rsidRPr="00A234CA">
        <w:rPr>
          <w:rFonts w:ascii="Times New Roman" w:hAnsi="Times New Roman" w:cs="Times New Roman"/>
          <w:sz w:val="28"/>
          <w:szCs w:val="28"/>
        </w:rPr>
        <w:t>]</w:t>
      </w:r>
      <w:r w:rsidRPr="00C726F7">
        <w:rPr>
          <w:rFonts w:ascii="Times New Roman" w:hAnsi="Times New Roman" w:cs="Times New Roman"/>
          <w:sz w:val="28"/>
          <w:szCs w:val="28"/>
        </w:rPr>
        <w:t>. Пик смертности и ухудшение исходов в 2020 году, за</w:t>
      </w:r>
      <w:r>
        <w:rPr>
          <w:rFonts w:ascii="Times New Roman" w:hAnsi="Times New Roman" w:cs="Times New Roman"/>
          <w:sz w:val="28"/>
          <w:szCs w:val="28"/>
        </w:rPr>
        <w:t xml:space="preserve">фиксированный </w:t>
      </w:r>
      <w:r w:rsidRPr="00C726F7">
        <w:rPr>
          <w:rFonts w:ascii="Times New Roman" w:hAnsi="Times New Roman" w:cs="Times New Roman"/>
          <w:sz w:val="28"/>
          <w:szCs w:val="28"/>
        </w:rPr>
        <w:t>в нашем исследовании, согласуются с международными наблюдениями, указывающими на негативное влияние пандемии COVID-19 на течение инсульта и доступ</w:t>
      </w:r>
      <w:r>
        <w:rPr>
          <w:rFonts w:ascii="Times New Roman" w:hAnsi="Times New Roman" w:cs="Times New Roman"/>
          <w:sz w:val="28"/>
          <w:szCs w:val="28"/>
        </w:rPr>
        <w:t>ность</w:t>
      </w:r>
      <w:r w:rsidRPr="00C726F7">
        <w:rPr>
          <w:rFonts w:ascii="Times New Roman" w:hAnsi="Times New Roman" w:cs="Times New Roman"/>
          <w:sz w:val="28"/>
          <w:szCs w:val="28"/>
        </w:rPr>
        <w:t xml:space="preserve"> медицинской помощи</w:t>
      </w:r>
      <w:r w:rsidR="007E088E" w:rsidRPr="007E088E">
        <w:rPr>
          <w:rFonts w:ascii="Times New Roman" w:hAnsi="Times New Roman" w:cs="Times New Roman"/>
          <w:sz w:val="28"/>
          <w:szCs w:val="28"/>
        </w:rPr>
        <w:t xml:space="preserve"> [14</w:t>
      </w:r>
      <w:r w:rsidR="00704291" w:rsidRPr="00704291">
        <w:rPr>
          <w:rFonts w:ascii="Times New Roman" w:hAnsi="Times New Roman" w:cs="Times New Roman"/>
          <w:sz w:val="28"/>
          <w:szCs w:val="28"/>
        </w:rPr>
        <w:t>6</w:t>
      </w:r>
      <w:r w:rsidR="007E088E" w:rsidRPr="007E088E">
        <w:rPr>
          <w:rFonts w:ascii="Times New Roman" w:hAnsi="Times New Roman" w:cs="Times New Roman"/>
          <w:sz w:val="28"/>
          <w:szCs w:val="28"/>
        </w:rPr>
        <w:t>-14</w:t>
      </w:r>
      <w:r w:rsidR="00704291" w:rsidRPr="00704291">
        <w:rPr>
          <w:rFonts w:ascii="Times New Roman" w:hAnsi="Times New Roman" w:cs="Times New Roman"/>
          <w:sz w:val="28"/>
          <w:szCs w:val="28"/>
        </w:rPr>
        <w:t>8</w:t>
      </w:r>
      <w:r w:rsidR="007E088E" w:rsidRPr="00257250">
        <w:rPr>
          <w:rFonts w:ascii="Times New Roman" w:hAnsi="Times New Roman" w:cs="Times New Roman"/>
          <w:sz w:val="28"/>
          <w:szCs w:val="28"/>
        </w:rPr>
        <w:t>]</w:t>
      </w:r>
      <w:r w:rsidRPr="00C726F7">
        <w:rPr>
          <w:rFonts w:ascii="Times New Roman" w:hAnsi="Times New Roman" w:cs="Times New Roman"/>
          <w:sz w:val="28"/>
          <w:szCs w:val="28"/>
        </w:rPr>
        <w:t>.</w:t>
      </w:r>
      <w:r w:rsidR="007E088E" w:rsidRPr="007E088E">
        <w:rPr>
          <w:rFonts w:ascii="Times New Roman" w:hAnsi="Times New Roman" w:cs="Times New Roman"/>
          <w:sz w:val="28"/>
          <w:szCs w:val="28"/>
        </w:rPr>
        <w:t xml:space="preserve"> </w:t>
      </w:r>
    </w:p>
    <w:p w14:paraId="5182B4B7" w14:textId="77777777" w:rsidR="00904709" w:rsidRDefault="00904709" w:rsidP="00FC2E89">
      <w:pPr>
        <w:tabs>
          <w:tab w:val="left" w:pos="567"/>
        </w:tabs>
        <w:spacing w:after="0" w:line="240" w:lineRule="auto"/>
        <w:ind w:firstLine="567"/>
        <w:jc w:val="both"/>
        <w:rPr>
          <w:rFonts w:ascii="Times New Roman" w:hAnsi="Times New Roman" w:cs="Times New Roman"/>
          <w:sz w:val="28"/>
          <w:szCs w:val="28"/>
        </w:rPr>
      </w:pPr>
      <w:r w:rsidRPr="004570A8">
        <w:rPr>
          <w:rFonts w:ascii="Times New Roman" w:hAnsi="Times New Roman" w:cs="Times New Roman"/>
          <w:sz w:val="28"/>
          <w:szCs w:val="28"/>
        </w:rPr>
        <w:t xml:space="preserve">Результаты анализа госпитализированных пациентов с </w:t>
      </w:r>
      <w:r>
        <w:rPr>
          <w:rFonts w:ascii="Times New Roman" w:hAnsi="Times New Roman" w:cs="Times New Roman"/>
          <w:sz w:val="28"/>
          <w:szCs w:val="28"/>
        </w:rPr>
        <w:t>ОНМК</w:t>
      </w:r>
      <w:r w:rsidRPr="004570A8">
        <w:rPr>
          <w:rFonts w:ascii="Times New Roman" w:hAnsi="Times New Roman" w:cs="Times New Roman"/>
          <w:sz w:val="28"/>
          <w:szCs w:val="28"/>
        </w:rPr>
        <w:t xml:space="preserve"> дополняют эпидемиологические и экономические </w:t>
      </w:r>
      <w:r>
        <w:rPr>
          <w:rFonts w:ascii="Times New Roman" w:hAnsi="Times New Roman" w:cs="Times New Roman"/>
          <w:sz w:val="28"/>
          <w:szCs w:val="28"/>
        </w:rPr>
        <w:t>выводы</w:t>
      </w:r>
      <w:r w:rsidRPr="004570A8">
        <w:rPr>
          <w:rFonts w:ascii="Times New Roman" w:hAnsi="Times New Roman" w:cs="Times New Roman"/>
          <w:sz w:val="28"/>
          <w:szCs w:val="28"/>
        </w:rPr>
        <w:t xml:space="preserve">. Снижение доли экстренных госпитализаций, </w:t>
      </w:r>
      <w:r>
        <w:rPr>
          <w:rFonts w:ascii="Times New Roman" w:hAnsi="Times New Roman" w:cs="Times New Roman"/>
          <w:sz w:val="28"/>
          <w:szCs w:val="28"/>
        </w:rPr>
        <w:t>рост доли</w:t>
      </w:r>
      <w:r w:rsidRPr="004570A8">
        <w:rPr>
          <w:rFonts w:ascii="Times New Roman" w:hAnsi="Times New Roman" w:cs="Times New Roman"/>
          <w:sz w:val="28"/>
          <w:szCs w:val="28"/>
        </w:rPr>
        <w:t xml:space="preserve"> выздоровлени</w:t>
      </w:r>
      <w:r>
        <w:rPr>
          <w:rFonts w:ascii="Times New Roman" w:hAnsi="Times New Roman" w:cs="Times New Roman"/>
          <w:sz w:val="28"/>
          <w:szCs w:val="28"/>
        </w:rPr>
        <w:t>й</w:t>
      </w:r>
      <w:r w:rsidRPr="004570A8">
        <w:rPr>
          <w:rFonts w:ascii="Times New Roman" w:hAnsi="Times New Roman" w:cs="Times New Roman"/>
          <w:sz w:val="28"/>
          <w:szCs w:val="28"/>
        </w:rPr>
        <w:t xml:space="preserve"> и относительно стабильная средняя продолжительность пребывания в </w:t>
      </w:r>
      <w:r>
        <w:rPr>
          <w:rFonts w:ascii="Times New Roman" w:hAnsi="Times New Roman" w:cs="Times New Roman"/>
          <w:sz w:val="28"/>
          <w:szCs w:val="28"/>
        </w:rPr>
        <w:t>стационаре</w:t>
      </w:r>
      <w:r w:rsidRPr="004570A8">
        <w:rPr>
          <w:rFonts w:ascii="Times New Roman" w:hAnsi="Times New Roman" w:cs="Times New Roman"/>
          <w:sz w:val="28"/>
          <w:szCs w:val="28"/>
        </w:rPr>
        <w:t xml:space="preserve"> свидетельствуют об улучшении клинического ведения пациентов. </w:t>
      </w:r>
      <w:r w:rsidRPr="00E370C0">
        <w:rPr>
          <w:rFonts w:ascii="Times New Roman" w:hAnsi="Times New Roman" w:cs="Times New Roman"/>
          <w:sz w:val="28"/>
          <w:szCs w:val="28"/>
        </w:rPr>
        <w:t xml:space="preserve">Аналогичные изменения были описаны в международных исследованиях, где внедрение </w:t>
      </w:r>
      <w:r>
        <w:rPr>
          <w:rFonts w:ascii="Times New Roman" w:hAnsi="Times New Roman" w:cs="Times New Roman"/>
          <w:sz w:val="28"/>
          <w:szCs w:val="28"/>
          <w:lang w:val="en-US"/>
        </w:rPr>
        <w:t>MSU</w:t>
      </w:r>
      <w:r w:rsidRPr="00E370C0">
        <w:rPr>
          <w:rFonts w:ascii="Times New Roman" w:hAnsi="Times New Roman" w:cs="Times New Roman"/>
          <w:sz w:val="28"/>
          <w:szCs w:val="28"/>
        </w:rPr>
        <w:t>, оптимизация маршрутов пациентов и современны</w:t>
      </w:r>
      <w:r>
        <w:rPr>
          <w:rFonts w:ascii="Times New Roman" w:hAnsi="Times New Roman" w:cs="Times New Roman"/>
          <w:sz w:val="28"/>
          <w:szCs w:val="28"/>
        </w:rPr>
        <w:t>х</w:t>
      </w:r>
      <w:r w:rsidRPr="00E370C0">
        <w:rPr>
          <w:rFonts w:ascii="Times New Roman" w:hAnsi="Times New Roman" w:cs="Times New Roman"/>
          <w:sz w:val="28"/>
          <w:szCs w:val="28"/>
        </w:rPr>
        <w:t xml:space="preserve"> метод</w:t>
      </w:r>
      <w:r>
        <w:rPr>
          <w:rFonts w:ascii="Times New Roman" w:hAnsi="Times New Roman" w:cs="Times New Roman"/>
          <w:sz w:val="28"/>
          <w:szCs w:val="28"/>
        </w:rPr>
        <w:t>ов лечения</w:t>
      </w:r>
      <w:r w:rsidRPr="00E370C0">
        <w:rPr>
          <w:rFonts w:ascii="Times New Roman" w:hAnsi="Times New Roman" w:cs="Times New Roman"/>
          <w:sz w:val="28"/>
          <w:szCs w:val="28"/>
        </w:rPr>
        <w:t xml:space="preserve"> привели к снижению смертности и улучшению функциональных результатов при инсульте.</w:t>
      </w:r>
      <w:r>
        <w:rPr>
          <w:rFonts w:ascii="Times New Roman" w:hAnsi="Times New Roman" w:cs="Times New Roman"/>
          <w:sz w:val="28"/>
          <w:szCs w:val="28"/>
        </w:rPr>
        <w:t xml:space="preserve"> </w:t>
      </w:r>
      <w:r w:rsidRPr="004570A8">
        <w:rPr>
          <w:rFonts w:ascii="Times New Roman" w:hAnsi="Times New Roman" w:cs="Times New Roman"/>
          <w:sz w:val="28"/>
          <w:szCs w:val="28"/>
        </w:rPr>
        <w:t>Однако сохраняющ</w:t>
      </w:r>
      <w:r>
        <w:rPr>
          <w:rFonts w:ascii="Times New Roman" w:hAnsi="Times New Roman" w:cs="Times New Roman"/>
          <w:sz w:val="28"/>
          <w:szCs w:val="28"/>
        </w:rPr>
        <w:t xml:space="preserve">ееся преобладание экстренных госпитализаций </w:t>
      </w:r>
      <w:r w:rsidRPr="004570A8">
        <w:rPr>
          <w:rFonts w:ascii="Times New Roman" w:hAnsi="Times New Roman" w:cs="Times New Roman"/>
          <w:sz w:val="28"/>
          <w:szCs w:val="28"/>
        </w:rPr>
        <w:t xml:space="preserve">указывает на позднее обращение за медицинской помощью и недостаточную осведомленность о ранних симптомах инсульта. В совокупности результаты подчеркивают, что дальнейшее снижение бремени </w:t>
      </w:r>
      <w:r>
        <w:rPr>
          <w:rFonts w:ascii="Times New Roman" w:hAnsi="Times New Roman" w:cs="Times New Roman"/>
          <w:sz w:val="28"/>
          <w:szCs w:val="28"/>
        </w:rPr>
        <w:t xml:space="preserve">БСК, в том числе </w:t>
      </w:r>
      <w:r w:rsidRPr="004570A8">
        <w:rPr>
          <w:rFonts w:ascii="Times New Roman" w:hAnsi="Times New Roman" w:cs="Times New Roman"/>
          <w:sz w:val="28"/>
          <w:szCs w:val="28"/>
        </w:rPr>
        <w:t xml:space="preserve">инсульта требует не только развития высокотехнологичной медицинской помощи, но и усиления профилактики, ранней диагностики и устойчивости системы здравоохранения к внешним </w:t>
      </w:r>
      <w:r>
        <w:rPr>
          <w:rFonts w:ascii="Times New Roman" w:hAnsi="Times New Roman" w:cs="Times New Roman"/>
          <w:sz w:val="28"/>
          <w:szCs w:val="28"/>
        </w:rPr>
        <w:t>шокам, а также достижения ВОУЗ</w:t>
      </w:r>
      <w:r w:rsidRPr="004570A8">
        <w:rPr>
          <w:rFonts w:ascii="Times New Roman" w:hAnsi="Times New Roman" w:cs="Times New Roman"/>
          <w:sz w:val="28"/>
          <w:szCs w:val="28"/>
        </w:rPr>
        <w:t>.</w:t>
      </w:r>
    </w:p>
    <w:p w14:paraId="1E5BBE2E" w14:textId="77777777" w:rsidR="00904709" w:rsidRDefault="00904709" w:rsidP="00FC2E89">
      <w:pPr>
        <w:tabs>
          <w:tab w:val="left" w:pos="567"/>
        </w:tabs>
        <w:spacing w:after="0" w:line="240" w:lineRule="auto"/>
        <w:ind w:firstLine="567"/>
        <w:jc w:val="both"/>
        <w:rPr>
          <w:rFonts w:ascii="Times New Roman" w:hAnsi="Times New Roman" w:cs="Times New Roman"/>
          <w:i/>
          <w:iCs/>
          <w:sz w:val="28"/>
          <w:szCs w:val="28"/>
        </w:rPr>
      </w:pPr>
      <w:r w:rsidRPr="00B25F1A">
        <w:rPr>
          <w:rFonts w:ascii="Times New Roman" w:hAnsi="Times New Roman" w:cs="Times New Roman"/>
          <w:i/>
          <w:iCs/>
          <w:sz w:val="28"/>
          <w:szCs w:val="28"/>
        </w:rPr>
        <w:t>Ограничения исследования</w:t>
      </w:r>
      <w:r>
        <w:rPr>
          <w:rFonts w:ascii="Times New Roman" w:hAnsi="Times New Roman" w:cs="Times New Roman"/>
          <w:sz w:val="28"/>
          <w:szCs w:val="28"/>
        </w:rPr>
        <w:t>: Настоящее</w:t>
      </w:r>
      <w:r w:rsidRPr="00B25F1A">
        <w:rPr>
          <w:rFonts w:ascii="Times New Roman" w:hAnsi="Times New Roman" w:cs="Times New Roman"/>
          <w:sz w:val="28"/>
          <w:szCs w:val="28"/>
        </w:rPr>
        <w:t xml:space="preserve"> исследование имеет ряд ограничений. Во-первых, в официальных статистических источниках отсутствовали отдельные данные о заболеваемости инсультом, что </w:t>
      </w:r>
      <w:r>
        <w:rPr>
          <w:rFonts w:ascii="Times New Roman" w:hAnsi="Times New Roman" w:cs="Times New Roman"/>
          <w:sz w:val="28"/>
          <w:szCs w:val="28"/>
        </w:rPr>
        <w:t xml:space="preserve">не позволило напрямую оценить динамику </w:t>
      </w:r>
      <w:r w:rsidRPr="00B25F1A">
        <w:rPr>
          <w:rFonts w:ascii="Times New Roman" w:hAnsi="Times New Roman" w:cs="Times New Roman"/>
          <w:sz w:val="28"/>
          <w:szCs w:val="28"/>
        </w:rPr>
        <w:t>его распространенности</w:t>
      </w:r>
      <w:r>
        <w:rPr>
          <w:rFonts w:ascii="Times New Roman" w:hAnsi="Times New Roman" w:cs="Times New Roman"/>
          <w:sz w:val="28"/>
          <w:szCs w:val="28"/>
        </w:rPr>
        <w:t>, пот</w:t>
      </w:r>
      <w:r w:rsidRPr="00B25F1A">
        <w:rPr>
          <w:rFonts w:ascii="Times New Roman" w:hAnsi="Times New Roman" w:cs="Times New Roman"/>
          <w:sz w:val="28"/>
          <w:szCs w:val="28"/>
        </w:rPr>
        <w:t>ребовало использования агрегированн</w:t>
      </w:r>
      <w:r>
        <w:rPr>
          <w:rFonts w:ascii="Times New Roman" w:hAnsi="Times New Roman" w:cs="Times New Roman"/>
          <w:sz w:val="28"/>
          <w:szCs w:val="28"/>
        </w:rPr>
        <w:t>ой</w:t>
      </w:r>
      <w:r w:rsidRPr="00B25F1A">
        <w:rPr>
          <w:rFonts w:ascii="Times New Roman" w:hAnsi="Times New Roman" w:cs="Times New Roman"/>
          <w:sz w:val="28"/>
          <w:szCs w:val="28"/>
        </w:rPr>
        <w:t xml:space="preserve"> категори</w:t>
      </w:r>
      <w:r>
        <w:rPr>
          <w:rFonts w:ascii="Times New Roman" w:hAnsi="Times New Roman" w:cs="Times New Roman"/>
          <w:sz w:val="28"/>
          <w:szCs w:val="28"/>
        </w:rPr>
        <w:t xml:space="preserve">и ЦВЗ </w:t>
      </w:r>
      <w:r w:rsidRPr="00B25F1A">
        <w:rPr>
          <w:rFonts w:ascii="Times New Roman" w:hAnsi="Times New Roman" w:cs="Times New Roman"/>
          <w:sz w:val="28"/>
          <w:szCs w:val="28"/>
        </w:rPr>
        <w:t>и показателей смертности. Это могло привести к недооценке истинного бремени инсульта на уровне населения.</w:t>
      </w:r>
      <w:r>
        <w:rPr>
          <w:rFonts w:ascii="Times New Roman" w:hAnsi="Times New Roman" w:cs="Times New Roman"/>
          <w:sz w:val="28"/>
          <w:szCs w:val="28"/>
        </w:rPr>
        <w:t xml:space="preserve"> </w:t>
      </w:r>
      <w:r w:rsidRPr="00B25F1A">
        <w:rPr>
          <w:rFonts w:ascii="Times New Roman" w:hAnsi="Times New Roman" w:cs="Times New Roman"/>
          <w:sz w:val="28"/>
          <w:szCs w:val="28"/>
        </w:rPr>
        <w:t>Во-вторых, анализ носил преимущественно описательный характер и основывался на агрегированных данных, что ограничива</w:t>
      </w:r>
      <w:r>
        <w:rPr>
          <w:rFonts w:ascii="Times New Roman" w:hAnsi="Times New Roman" w:cs="Times New Roman"/>
          <w:sz w:val="28"/>
          <w:szCs w:val="28"/>
        </w:rPr>
        <w:t>ет</w:t>
      </w:r>
      <w:r w:rsidRPr="00B25F1A">
        <w:rPr>
          <w:rFonts w:ascii="Times New Roman" w:hAnsi="Times New Roman" w:cs="Times New Roman"/>
          <w:sz w:val="28"/>
          <w:szCs w:val="28"/>
        </w:rPr>
        <w:t xml:space="preserve"> возможность установления причинно-следственных связей между изменениями в системе здравоохранения, социально-экономическими факторами и динамикой смертности. Кроме того, экономическая оценка </w:t>
      </w:r>
      <w:r>
        <w:rPr>
          <w:rFonts w:ascii="Times New Roman" w:hAnsi="Times New Roman" w:cs="Times New Roman"/>
          <w:sz w:val="28"/>
          <w:szCs w:val="28"/>
        </w:rPr>
        <w:t xml:space="preserve">была выполнена </w:t>
      </w:r>
      <w:r w:rsidRPr="00B25F1A">
        <w:rPr>
          <w:rFonts w:ascii="Times New Roman" w:hAnsi="Times New Roman" w:cs="Times New Roman"/>
          <w:sz w:val="28"/>
          <w:szCs w:val="28"/>
        </w:rPr>
        <w:t>с использованием подхода VSL и за</w:t>
      </w:r>
      <w:r>
        <w:rPr>
          <w:rFonts w:ascii="Times New Roman" w:hAnsi="Times New Roman" w:cs="Times New Roman"/>
          <w:sz w:val="28"/>
          <w:szCs w:val="28"/>
        </w:rPr>
        <w:t xml:space="preserve">данных сценарных параметров, что несмотря на международную применимость метода, может не полностью отражать </w:t>
      </w:r>
      <w:r w:rsidRPr="00B25F1A">
        <w:rPr>
          <w:rFonts w:ascii="Times New Roman" w:hAnsi="Times New Roman" w:cs="Times New Roman"/>
          <w:sz w:val="28"/>
          <w:szCs w:val="28"/>
        </w:rPr>
        <w:t xml:space="preserve">индивидуальные и региональные </w:t>
      </w:r>
      <w:r>
        <w:rPr>
          <w:rFonts w:ascii="Times New Roman" w:hAnsi="Times New Roman" w:cs="Times New Roman"/>
          <w:sz w:val="28"/>
          <w:szCs w:val="28"/>
        </w:rPr>
        <w:t>особенности</w:t>
      </w:r>
      <w:r w:rsidRPr="00B25F1A">
        <w:rPr>
          <w:rFonts w:ascii="Times New Roman" w:hAnsi="Times New Roman" w:cs="Times New Roman"/>
          <w:sz w:val="28"/>
          <w:szCs w:val="28"/>
        </w:rPr>
        <w:t xml:space="preserve"> восприятии риска и ценности жизни в Казахстане.</w:t>
      </w:r>
    </w:p>
    <w:p w14:paraId="6127253B" w14:textId="77777777" w:rsidR="00904709" w:rsidRDefault="00904709" w:rsidP="000F4E51">
      <w:pPr>
        <w:spacing w:after="0" w:line="240" w:lineRule="auto"/>
        <w:ind w:left="284" w:right="-851" w:firstLine="567"/>
        <w:jc w:val="both"/>
        <w:rPr>
          <w:rFonts w:ascii="Times New Roman" w:hAnsi="Times New Roman" w:cs="Times New Roman"/>
          <w:b/>
          <w:bCs/>
          <w:sz w:val="28"/>
          <w:szCs w:val="28"/>
        </w:rPr>
        <w:sectPr w:rsidR="00904709" w:rsidSect="00FC2E89">
          <w:footerReference w:type="even" r:id="rId20"/>
          <w:footerReference w:type="default" r:id="rId21"/>
          <w:pgSz w:w="11906" w:h="16838"/>
          <w:pgMar w:top="1134" w:right="707" w:bottom="1134" w:left="1701" w:header="709" w:footer="709" w:gutter="0"/>
          <w:cols w:space="340"/>
        </w:sectPr>
      </w:pPr>
    </w:p>
    <w:bookmarkEnd w:id="3"/>
    <w:p w14:paraId="388E2D09" w14:textId="1FEFE124" w:rsidR="00B67D2A" w:rsidRDefault="00E93906" w:rsidP="00FC2E89">
      <w:pPr>
        <w:spacing w:after="0" w:line="240" w:lineRule="auto"/>
        <w:ind w:left="284" w:right="-851" w:firstLine="567"/>
        <w:jc w:val="center"/>
        <w:rPr>
          <w:rFonts w:ascii="Times New Roman" w:hAnsi="Times New Roman" w:cs="Times New Roman"/>
          <w:b/>
          <w:bCs/>
          <w:sz w:val="28"/>
          <w:szCs w:val="28"/>
        </w:rPr>
      </w:pPr>
      <w:r>
        <w:rPr>
          <w:rFonts w:ascii="Times New Roman" w:hAnsi="Times New Roman" w:cs="Times New Roman"/>
          <w:b/>
          <w:bCs/>
          <w:sz w:val="28"/>
          <w:szCs w:val="28"/>
        </w:rPr>
        <w:lastRenderedPageBreak/>
        <w:t>4</w:t>
      </w:r>
      <w:r w:rsidR="00B67D2A" w:rsidRPr="00BD56C3">
        <w:rPr>
          <w:rFonts w:ascii="Times New Roman" w:hAnsi="Times New Roman" w:cs="Times New Roman"/>
          <w:b/>
          <w:bCs/>
          <w:sz w:val="28"/>
          <w:szCs w:val="28"/>
        </w:rPr>
        <w:t xml:space="preserve"> БАРЬЕРЫ И ПЕРСПЕКТИВЫ ОКАЗАНИЯ ПОМОЩИ ПРИ ОСТРЫХ НАРУШЕНИЯХ МОЗГОВОГО КРОВООБРАЩЕНИЯ: МНЕНИЕ СПЕЦИАЛИСТОВ И ПАЦИЕНТОВ</w:t>
      </w:r>
    </w:p>
    <w:p w14:paraId="41628B5C" w14:textId="77777777" w:rsidR="00B67D2A" w:rsidRDefault="00B67D2A" w:rsidP="00B67D2A">
      <w:pPr>
        <w:spacing w:after="0" w:line="240" w:lineRule="auto"/>
        <w:ind w:left="284" w:right="-851" w:firstLine="567"/>
        <w:jc w:val="both"/>
        <w:rPr>
          <w:rFonts w:ascii="Times New Roman" w:hAnsi="Times New Roman" w:cs="Times New Roman"/>
          <w:b/>
          <w:bCs/>
          <w:sz w:val="28"/>
          <w:szCs w:val="28"/>
        </w:rPr>
      </w:pPr>
    </w:p>
    <w:p w14:paraId="33C917F4" w14:textId="49BD7B73" w:rsidR="00B67D2A" w:rsidRPr="00FC2E89" w:rsidRDefault="00B67D2A" w:rsidP="00FC2E89">
      <w:pPr>
        <w:spacing w:after="0" w:line="240" w:lineRule="auto"/>
        <w:ind w:left="284" w:right="-851"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4.1. </w:t>
      </w:r>
      <w:r w:rsidRPr="00BD56C3">
        <w:rPr>
          <w:rFonts w:ascii="Times New Roman" w:hAnsi="Times New Roman" w:cs="Times New Roman"/>
          <w:b/>
          <w:bCs/>
          <w:sz w:val="28"/>
          <w:szCs w:val="28"/>
        </w:rPr>
        <w:t xml:space="preserve">Готовность к оказанию помощи при </w:t>
      </w:r>
      <w:r w:rsidRPr="00BD56C3">
        <w:rPr>
          <w:rFonts w:ascii="Times New Roman" w:hAnsi="Times New Roman" w:cs="Times New Roman"/>
          <w:b/>
          <w:sz w:val="28"/>
          <w:szCs w:val="28"/>
        </w:rPr>
        <w:t>острых нарушениях мозгового кровообращения</w:t>
      </w:r>
      <w:r w:rsidRPr="00BD56C3">
        <w:rPr>
          <w:rFonts w:ascii="Times New Roman" w:hAnsi="Times New Roman" w:cs="Times New Roman"/>
          <w:b/>
          <w:bCs/>
          <w:sz w:val="28"/>
          <w:szCs w:val="28"/>
        </w:rPr>
        <w:t xml:space="preserve"> среди специалистов разных медицинских профилей</w:t>
      </w:r>
    </w:p>
    <w:p w14:paraId="67F812CE" w14:textId="32BCB49C" w:rsidR="007173B2" w:rsidRPr="008E020B" w:rsidRDefault="007173B2" w:rsidP="007173B2">
      <w:pPr>
        <w:spacing w:after="0" w:line="240" w:lineRule="auto"/>
        <w:ind w:left="284" w:right="-851" w:firstLine="567"/>
        <w:jc w:val="both"/>
        <w:rPr>
          <w:rFonts w:ascii="Times New Roman" w:hAnsi="Times New Roman" w:cs="Times New Roman"/>
          <w:sz w:val="28"/>
          <w:szCs w:val="28"/>
        </w:rPr>
      </w:pPr>
      <w:r w:rsidRPr="008E020B">
        <w:rPr>
          <w:rFonts w:ascii="Times New Roman" w:hAnsi="Times New Roman" w:cs="Times New Roman"/>
          <w:sz w:val="28"/>
          <w:szCs w:val="28"/>
        </w:rPr>
        <w:t xml:space="preserve">Одним из значимых организационных шагов, направленных на совершенствование оказания медицинской помощи пациентам с </w:t>
      </w:r>
      <w:r w:rsidR="008E020B" w:rsidRPr="008E020B">
        <w:rPr>
          <w:rFonts w:ascii="Times New Roman" w:hAnsi="Times New Roman" w:cs="Times New Roman"/>
          <w:sz w:val="28"/>
          <w:szCs w:val="28"/>
        </w:rPr>
        <w:t>ОНМК</w:t>
      </w:r>
      <w:r w:rsidRPr="008E020B">
        <w:rPr>
          <w:rFonts w:ascii="Times New Roman" w:hAnsi="Times New Roman" w:cs="Times New Roman"/>
          <w:sz w:val="28"/>
          <w:szCs w:val="28"/>
        </w:rPr>
        <w:t>, стала разработка и внедрение алгоритма ведения пациентов с ОНМК на базе ГКБ №7 г. Алматы. Данный алгоритм был разработан в 2021 году в рамках докторского исследования на основе анализа литературных источников и международных клинических рекомендаций при непосредственном участии автора.</w:t>
      </w:r>
    </w:p>
    <w:p w14:paraId="32F65A6E" w14:textId="5A0D7FE2" w:rsidR="007173B2" w:rsidRPr="008E020B" w:rsidRDefault="007173B2" w:rsidP="007173B2">
      <w:pPr>
        <w:spacing w:after="0" w:line="240" w:lineRule="auto"/>
        <w:ind w:left="284" w:right="-851" w:firstLine="567"/>
        <w:jc w:val="both"/>
        <w:rPr>
          <w:rFonts w:ascii="Times New Roman" w:hAnsi="Times New Roman" w:cs="Times New Roman"/>
          <w:sz w:val="28"/>
          <w:szCs w:val="28"/>
        </w:rPr>
      </w:pPr>
      <w:r w:rsidRPr="008E020B">
        <w:rPr>
          <w:rFonts w:ascii="Times New Roman" w:hAnsi="Times New Roman" w:cs="Times New Roman"/>
          <w:sz w:val="28"/>
          <w:szCs w:val="28"/>
        </w:rPr>
        <w:t>Предложенный алгоритм был обсуждён с мультидисциплинарной командой специалистов, включавшей неврологов, нейрохирургов, реаниматологов и других профильных сотрудников стационара. Его разработка осуществлялась с учётом локальных организационных возможностей медицинской организации, особенностей маршрутизации пациентов, доступности методов нейровизуализации и современных подходов к реперфузионной терапии</w:t>
      </w:r>
      <w:r w:rsidR="008E020B" w:rsidRPr="008E020B">
        <w:rPr>
          <w:rFonts w:ascii="Times New Roman" w:hAnsi="Times New Roman" w:cs="Times New Roman"/>
          <w:sz w:val="28"/>
          <w:szCs w:val="28"/>
        </w:rPr>
        <w:t xml:space="preserve"> (</w:t>
      </w:r>
      <w:r w:rsidRPr="008E020B">
        <w:rPr>
          <w:rFonts w:ascii="Times New Roman" w:hAnsi="Times New Roman" w:cs="Times New Roman"/>
          <w:sz w:val="28"/>
          <w:szCs w:val="28"/>
        </w:rPr>
        <w:t>приложении В</w:t>
      </w:r>
      <w:r w:rsidR="008E020B" w:rsidRPr="008E020B">
        <w:rPr>
          <w:rFonts w:ascii="Times New Roman" w:hAnsi="Times New Roman" w:cs="Times New Roman"/>
          <w:sz w:val="28"/>
          <w:szCs w:val="28"/>
        </w:rPr>
        <w:t>)</w:t>
      </w:r>
      <w:r w:rsidRPr="008E020B">
        <w:rPr>
          <w:rFonts w:ascii="Times New Roman" w:hAnsi="Times New Roman" w:cs="Times New Roman"/>
          <w:sz w:val="28"/>
          <w:szCs w:val="28"/>
        </w:rPr>
        <w:t>.</w:t>
      </w:r>
    </w:p>
    <w:p w14:paraId="37EE8F1F" w14:textId="52EFDFE3" w:rsidR="00AE422E" w:rsidRPr="008E020B" w:rsidRDefault="007173B2" w:rsidP="00AE422E">
      <w:pPr>
        <w:spacing w:after="0" w:line="240" w:lineRule="auto"/>
        <w:ind w:left="284" w:right="-851" w:firstLine="567"/>
        <w:jc w:val="both"/>
        <w:rPr>
          <w:rFonts w:ascii="Times New Roman" w:hAnsi="Times New Roman" w:cs="Times New Roman"/>
          <w:sz w:val="28"/>
          <w:szCs w:val="28"/>
        </w:rPr>
      </w:pPr>
      <w:r w:rsidRPr="008E020B">
        <w:rPr>
          <w:rFonts w:ascii="Times New Roman" w:hAnsi="Times New Roman" w:cs="Times New Roman"/>
          <w:sz w:val="28"/>
          <w:szCs w:val="28"/>
        </w:rPr>
        <w:t>Ключевым отличием разработанного алгоритма от ранее применявшихся подходов стало расширение диагностико-терапевтического окна для отбора пациентов на реперфузионное лечение. Если ранее основной акцент делался на временном интервале до 6 часов от начала симптомов, то обновлённый алгоритм предусматривает возможность проведения КТ-перфузии у пациентов в более поздние сроки — от 6 до 24 часов. Это позволило осуществлять отбор пациентов не только на основании временного критерия, но и с учётом данных о наличии жизнеспособной мозговой ткани и ишемической пенумбры, что существенно расширяет возможности оказания специализированной медицинской помощи пациентам с поздним поступлением. -</w:t>
      </w:r>
    </w:p>
    <w:p w14:paraId="55F5715A" w14:textId="77777777" w:rsidR="00AE422E" w:rsidRPr="008E020B" w:rsidRDefault="00AE422E" w:rsidP="00AE422E">
      <w:pPr>
        <w:spacing w:after="0" w:line="240" w:lineRule="auto"/>
        <w:ind w:left="284" w:right="-851" w:firstLine="567"/>
        <w:jc w:val="both"/>
        <w:rPr>
          <w:rFonts w:ascii="Times New Roman" w:hAnsi="Times New Roman" w:cs="Times New Roman"/>
          <w:sz w:val="28"/>
          <w:szCs w:val="28"/>
        </w:rPr>
      </w:pPr>
      <w:r w:rsidRPr="008E020B">
        <w:rPr>
          <w:rFonts w:ascii="Times New Roman" w:hAnsi="Times New Roman" w:cs="Times New Roman"/>
          <w:sz w:val="28"/>
          <w:szCs w:val="28"/>
        </w:rPr>
        <w:t>Практическая значимость внедрения данного алгоритма заключалась в улучшении координации действий на различных этапах оказания помощи, повышении согласованности работы мультидисциплинарной команды, оптимизации маршрута пациента внутри стационара и расширении доступа к современным методам диагностики и лечения. Внедрение алгоритма также способствовало формированию более структурированного подхода к принятию клинических решений, особенно у пациентов с неясным временем дебюта симптомов или поздним поступлением.</w:t>
      </w:r>
    </w:p>
    <w:p w14:paraId="440A6269" w14:textId="77777777" w:rsidR="00AE422E" w:rsidRPr="00AE422E" w:rsidRDefault="00AE422E" w:rsidP="00AE422E">
      <w:pPr>
        <w:spacing w:after="0" w:line="240" w:lineRule="auto"/>
        <w:ind w:left="284" w:right="-851" w:firstLine="567"/>
        <w:jc w:val="both"/>
        <w:rPr>
          <w:rFonts w:ascii="Times New Roman" w:hAnsi="Times New Roman" w:cs="Times New Roman"/>
          <w:sz w:val="28"/>
          <w:szCs w:val="28"/>
        </w:rPr>
      </w:pPr>
      <w:r w:rsidRPr="008E020B">
        <w:rPr>
          <w:rFonts w:ascii="Times New Roman" w:hAnsi="Times New Roman" w:cs="Times New Roman"/>
          <w:sz w:val="28"/>
          <w:szCs w:val="28"/>
        </w:rPr>
        <w:t>Следует отметить, что организационные</w:t>
      </w:r>
      <w:r w:rsidRPr="00AE422E">
        <w:rPr>
          <w:rFonts w:ascii="Times New Roman" w:hAnsi="Times New Roman" w:cs="Times New Roman"/>
          <w:sz w:val="28"/>
          <w:szCs w:val="28"/>
        </w:rPr>
        <w:t xml:space="preserve"> изменения, направленные на оптимизацию маршрутизации и внедрение современных протоколов ведения больных с инсультом, могли стать одним из факторов стабилизации и последующего улучшения показателей исходов. По данным, представленным в главе 3, в период 2020–2024 гг. наблюдалось снижение показателя смертности с 20,4 до 1,0, несмотря на высокую нагрузку на систему здравоохранения в период пандемии COVID-19 и в постковидный период. Безусловно, данная положительная динамика не может быть объяснена только внедрением одного </w:t>
      </w:r>
      <w:r w:rsidRPr="00AE422E">
        <w:rPr>
          <w:rFonts w:ascii="Times New Roman" w:hAnsi="Times New Roman" w:cs="Times New Roman"/>
          <w:sz w:val="28"/>
          <w:szCs w:val="28"/>
        </w:rPr>
        <w:lastRenderedPageBreak/>
        <w:t>алгоритма, однако его использование, наряду с совершенствованием организационных механизмов инсультной помощи, может рассматриваться как один из факторов, способствовавших улучшению результатов лечения.</w:t>
      </w:r>
    </w:p>
    <w:p w14:paraId="5D6E3261" w14:textId="623FFBC3" w:rsidR="00AE422E" w:rsidRPr="00AE422E" w:rsidRDefault="00AE422E" w:rsidP="00AE422E">
      <w:pPr>
        <w:spacing w:after="0" w:line="240" w:lineRule="auto"/>
        <w:ind w:left="284" w:right="-851" w:firstLine="567"/>
        <w:jc w:val="both"/>
        <w:rPr>
          <w:rFonts w:ascii="Times New Roman" w:hAnsi="Times New Roman" w:cs="Times New Roman"/>
          <w:sz w:val="28"/>
          <w:szCs w:val="28"/>
        </w:rPr>
      </w:pPr>
      <w:r w:rsidRPr="00AE422E">
        <w:rPr>
          <w:rFonts w:ascii="Times New Roman" w:hAnsi="Times New Roman" w:cs="Times New Roman"/>
          <w:sz w:val="28"/>
          <w:szCs w:val="28"/>
        </w:rPr>
        <w:t xml:space="preserve">В этой связи особый интерес представляет изучение готовности медицинских специалистов различных профилей к оказанию помощи </w:t>
      </w:r>
      <w:r w:rsidR="00D66415">
        <w:rPr>
          <w:rFonts w:ascii="Times New Roman" w:hAnsi="Times New Roman" w:cs="Times New Roman"/>
          <w:sz w:val="28"/>
          <w:szCs w:val="28"/>
        </w:rPr>
        <w:t xml:space="preserve">больным </w:t>
      </w:r>
      <w:r w:rsidRPr="00AE422E">
        <w:rPr>
          <w:rFonts w:ascii="Times New Roman" w:hAnsi="Times New Roman" w:cs="Times New Roman"/>
          <w:sz w:val="28"/>
          <w:szCs w:val="28"/>
        </w:rPr>
        <w:t>с ОНМК, поскольку эффективность даже наиболее обоснованного алгоритма определяется не только его содержанием, но и практической готовностью персонала к его применению, уровнем междисциплинарного взаимодействия, доступностью ресурсов и регулярностью профессионального обучения.</w:t>
      </w:r>
    </w:p>
    <w:p w14:paraId="44A8B632" w14:textId="7D2C0ECC" w:rsidR="00B67D2A" w:rsidRPr="000B2A05" w:rsidRDefault="00B67D2A" w:rsidP="00B67D2A">
      <w:pPr>
        <w:spacing w:after="0" w:line="240" w:lineRule="auto"/>
        <w:ind w:left="284" w:right="-851" w:firstLine="567"/>
        <w:jc w:val="both"/>
        <w:rPr>
          <w:rFonts w:ascii="Times New Roman" w:hAnsi="Times New Roman" w:cs="Times New Roman"/>
          <w:sz w:val="28"/>
          <w:szCs w:val="28"/>
        </w:rPr>
      </w:pPr>
      <w:r w:rsidRPr="000B2A05">
        <w:rPr>
          <w:rFonts w:ascii="Times New Roman" w:hAnsi="Times New Roman" w:cs="Times New Roman"/>
          <w:sz w:val="28"/>
          <w:szCs w:val="28"/>
        </w:rPr>
        <w:t>В данной главе мы изучили готовность медицинских специалистов раз</w:t>
      </w:r>
      <w:r>
        <w:rPr>
          <w:rFonts w:ascii="Times New Roman" w:hAnsi="Times New Roman" w:cs="Times New Roman"/>
          <w:sz w:val="28"/>
          <w:szCs w:val="28"/>
        </w:rPr>
        <w:t>личных с</w:t>
      </w:r>
      <w:r w:rsidRPr="000B2A05">
        <w:rPr>
          <w:rFonts w:ascii="Times New Roman" w:hAnsi="Times New Roman" w:cs="Times New Roman"/>
          <w:sz w:val="28"/>
          <w:szCs w:val="28"/>
        </w:rPr>
        <w:t xml:space="preserve">пециальностей </w:t>
      </w:r>
      <w:r>
        <w:rPr>
          <w:rFonts w:ascii="Times New Roman" w:hAnsi="Times New Roman" w:cs="Times New Roman"/>
          <w:sz w:val="28"/>
          <w:szCs w:val="28"/>
        </w:rPr>
        <w:t xml:space="preserve">к </w:t>
      </w:r>
      <w:r w:rsidRPr="000B2A05">
        <w:rPr>
          <w:rFonts w:ascii="Times New Roman" w:hAnsi="Times New Roman" w:cs="Times New Roman"/>
          <w:sz w:val="28"/>
          <w:szCs w:val="28"/>
        </w:rPr>
        <w:t xml:space="preserve">ведению пациентов с ОНМК в г.Алматы, уделяя особое внимание пробелам в доступности ресурсов, </w:t>
      </w:r>
      <w:r>
        <w:rPr>
          <w:rFonts w:ascii="Times New Roman" w:hAnsi="Times New Roman" w:cs="Times New Roman"/>
          <w:sz w:val="28"/>
          <w:szCs w:val="28"/>
        </w:rPr>
        <w:t xml:space="preserve">уровне </w:t>
      </w:r>
      <w:r w:rsidRPr="000B2A05">
        <w:rPr>
          <w:rFonts w:ascii="Times New Roman" w:hAnsi="Times New Roman" w:cs="Times New Roman"/>
          <w:sz w:val="28"/>
          <w:szCs w:val="28"/>
        </w:rPr>
        <w:t>обучени</w:t>
      </w:r>
      <w:r>
        <w:rPr>
          <w:rFonts w:ascii="Times New Roman" w:hAnsi="Times New Roman" w:cs="Times New Roman"/>
          <w:sz w:val="28"/>
          <w:szCs w:val="28"/>
        </w:rPr>
        <w:t>я</w:t>
      </w:r>
      <w:r w:rsidRPr="000B2A05">
        <w:rPr>
          <w:rFonts w:ascii="Times New Roman" w:hAnsi="Times New Roman" w:cs="Times New Roman"/>
          <w:sz w:val="28"/>
          <w:szCs w:val="28"/>
        </w:rPr>
        <w:t xml:space="preserve">, координации </w:t>
      </w:r>
      <w:r>
        <w:rPr>
          <w:rFonts w:ascii="Times New Roman" w:hAnsi="Times New Roman" w:cs="Times New Roman"/>
          <w:sz w:val="28"/>
          <w:szCs w:val="28"/>
        </w:rPr>
        <w:t xml:space="preserve">действий </w:t>
      </w:r>
      <w:r w:rsidRPr="000B2A05">
        <w:rPr>
          <w:rFonts w:ascii="Times New Roman" w:hAnsi="Times New Roman" w:cs="Times New Roman"/>
          <w:sz w:val="28"/>
          <w:szCs w:val="28"/>
        </w:rPr>
        <w:t xml:space="preserve">и восприятию общественной осведомлённости. </w:t>
      </w:r>
    </w:p>
    <w:p w14:paraId="17626BBE" w14:textId="77777777" w:rsidR="00B67D2A" w:rsidRDefault="00B67D2A" w:rsidP="00B67D2A">
      <w:pPr>
        <w:spacing w:after="0" w:line="240" w:lineRule="auto"/>
        <w:ind w:left="284" w:right="-851" w:firstLine="567"/>
        <w:jc w:val="both"/>
        <w:rPr>
          <w:rFonts w:ascii="Times New Roman" w:hAnsi="Times New Roman" w:cs="Times New Roman"/>
          <w:sz w:val="28"/>
          <w:szCs w:val="28"/>
        </w:rPr>
      </w:pPr>
      <w:r w:rsidRPr="000B2A05">
        <w:rPr>
          <w:rFonts w:ascii="Times New Roman" w:hAnsi="Times New Roman" w:cs="Times New Roman"/>
          <w:sz w:val="28"/>
          <w:szCs w:val="28"/>
        </w:rPr>
        <w:t xml:space="preserve">Наибольший средний стаж наблюдается у специалистов скорой медицинской помощи (СМП) </w:t>
      </w:r>
      <w:r>
        <w:rPr>
          <w:rFonts w:ascii="Times New Roman" w:hAnsi="Times New Roman" w:cs="Times New Roman"/>
          <w:sz w:val="28"/>
          <w:szCs w:val="28"/>
        </w:rPr>
        <w:t xml:space="preserve">- </w:t>
      </w:r>
      <w:r w:rsidRPr="000B2A05">
        <w:rPr>
          <w:rFonts w:ascii="Times New Roman" w:hAnsi="Times New Roman" w:cs="Times New Roman"/>
          <w:sz w:val="28"/>
          <w:szCs w:val="28"/>
        </w:rPr>
        <w:t>17,5 года</w:t>
      </w:r>
      <w:r>
        <w:rPr>
          <w:rFonts w:ascii="Times New Roman" w:hAnsi="Times New Roman" w:cs="Times New Roman"/>
          <w:sz w:val="28"/>
          <w:szCs w:val="28"/>
        </w:rPr>
        <w:t>,</w:t>
      </w:r>
      <w:r w:rsidRPr="000B2A05">
        <w:rPr>
          <w:rFonts w:ascii="Times New Roman" w:hAnsi="Times New Roman" w:cs="Times New Roman"/>
          <w:sz w:val="28"/>
          <w:szCs w:val="28"/>
        </w:rPr>
        <w:t xml:space="preserve"> и нейрохирургов 16,2 года, что свидетельствует о высокой степени профессионального опыта в этих группах. Наименьший показатель отмечен у </w:t>
      </w:r>
      <w:r w:rsidRPr="00EE69E0">
        <w:rPr>
          <w:rFonts w:ascii="Times New Roman" w:hAnsi="Times New Roman" w:cs="Times New Roman"/>
          <w:sz w:val="28"/>
          <w:szCs w:val="28"/>
        </w:rPr>
        <w:t>реабилитологов - 9,8 года, что, отражает относительно молодую когорт</w:t>
      </w:r>
      <w:r>
        <w:rPr>
          <w:rFonts w:ascii="Times New Roman" w:hAnsi="Times New Roman" w:cs="Times New Roman"/>
          <w:sz w:val="28"/>
          <w:szCs w:val="28"/>
        </w:rPr>
        <w:t>у</w:t>
      </w:r>
      <w:r w:rsidRPr="00EE69E0">
        <w:rPr>
          <w:rFonts w:ascii="Times New Roman" w:hAnsi="Times New Roman" w:cs="Times New Roman"/>
          <w:sz w:val="28"/>
          <w:szCs w:val="28"/>
        </w:rPr>
        <w:t xml:space="preserve"> специалистов (рисунок </w:t>
      </w:r>
      <w:r>
        <w:rPr>
          <w:rFonts w:ascii="Times New Roman" w:hAnsi="Times New Roman" w:cs="Times New Roman"/>
          <w:sz w:val="28"/>
          <w:szCs w:val="28"/>
        </w:rPr>
        <w:t>6</w:t>
      </w:r>
      <w:r w:rsidRPr="00EE69E0">
        <w:rPr>
          <w:rFonts w:ascii="Times New Roman" w:hAnsi="Times New Roman" w:cs="Times New Roman"/>
          <w:sz w:val="28"/>
          <w:szCs w:val="28"/>
        </w:rPr>
        <w:t>).</w:t>
      </w:r>
      <w:r w:rsidRPr="000B2A05">
        <w:rPr>
          <w:rFonts w:ascii="Times New Roman" w:hAnsi="Times New Roman" w:cs="Times New Roman"/>
          <w:sz w:val="28"/>
          <w:szCs w:val="28"/>
        </w:rPr>
        <w:t xml:space="preserve"> </w:t>
      </w:r>
    </w:p>
    <w:p w14:paraId="35CC07C1" w14:textId="77777777" w:rsidR="00B67D2A" w:rsidRDefault="00B67D2A" w:rsidP="00B67D2A">
      <w:pPr>
        <w:spacing w:line="240" w:lineRule="auto"/>
        <w:ind w:left="284" w:right="-851" w:firstLine="567"/>
        <w:jc w:val="both"/>
        <w:rPr>
          <w:rFonts w:ascii="Times New Roman" w:hAnsi="Times New Roman" w:cs="Times New Roman"/>
          <w:sz w:val="28"/>
          <w:szCs w:val="28"/>
        </w:rPr>
      </w:pPr>
    </w:p>
    <w:p w14:paraId="6F5245A3" w14:textId="77777777" w:rsidR="00B67D2A" w:rsidRDefault="00B67D2A" w:rsidP="00B67D2A">
      <w:pPr>
        <w:spacing w:line="240" w:lineRule="auto"/>
        <w:ind w:left="284" w:right="-851" w:firstLine="567"/>
        <w:jc w:val="both"/>
        <w:rPr>
          <w:rFonts w:ascii="Times New Roman" w:hAnsi="Times New Roman" w:cs="Times New Roman"/>
          <w:sz w:val="28"/>
          <w:szCs w:val="28"/>
        </w:rPr>
      </w:pPr>
      <w:r>
        <w:rPr>
          <w:noProof/>
          <w:lang w:eastAsia="ru-RU"/>
          <w14:ligatures w14:val="standardContextual"/>
        </w:rPr>
        <w:drawing>
          <wp:inline distT="0" distB="0" distL="0" distR="0" wp14:anchorId="62929AB7" wp14:editId="39843698">
            <wp:extent cx="5314950" cy="2305050"/>
            <wp:effectExtent l="0" t="0" r="0" b="0"/>
            <wp:docPr id="63916364" name="Диаграмма 1">
              <a:extLst xmlns:a="http://schemas.openxmlformats.org/drawingml/2006/main">
                <a:ext uri="{FF2B5EF4-FFF2-40B4-BE49-F238E27FC236}">
                  <a16:creationId xmlns:a16="http://schemas.microsoft.com/office/drawing/2014/main" id="{BCB6EAD7-29CC-695C-B598-EEBDBFDD45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4665D7" w14:textId="4B54D478" w:rsidR="00B67D2A" w:rsidRDefault="00FC2E89" w:rsidP="00FC2E89">
      <w:pPr>
        <w:spacing w:line="240" w:lineRule="auto"/>
        <w:ind w:left="284" w:right="-851" w:firstLine="567"/>
        <w:jc w:val="center"/>
        <w:rPr>
          <w:rFonts w:ascii="Times New Roman" w:hAnsi="Times New Roman" w:cs="Times New Roman"/>
          <w:sz w:val="28"/>
          <w:szCs w:val="28"/>
        </w:rPr>
      </w:pPr>
      <w:r>
        <w:rPr>
          <w:rFonts w:ascii="Times New Roman" w:hAnsi="Times New Roman" w:cs="Times New Roman"/>
          <w:sz w:val="28"/>
          <w:szCs w:val="28"/>
        </w:rPr>
        <w:t>Рисунок 6 -</w:t>
      </w:r>
      <w:r w:rsidR="00B67D2A">
        <w:rPr>
          <w:rFonts w:ascii="Times New Roman" w:hAnsi="Times New Roman" w:cs="Times New Roman"/>
          <w:sz w:val="28"/>
          <w:szCs w:val="28"/>
        </w:rPr>
        <w:t xml:space="preserve"> </w:t>
      </w:r>
      <w:r w:rsidR="00B67D2A" w:rsidRPr="000B2A05">
        <w:rPr>
          <w:rFonts w:ascii="Times New Roman" w:hAnsi="Times New Roman" w:cs="Times New Roman"/>
          <w:sz w:val="28"/>
          <w:szCs w:val="28"/>
        </w:rPr>
        <w:t>Количество участников и средний стаж работы по медицинским специальностям</w:t>
      </w:r>
    </w:p>
    <w:p w14:paraId="21BDCB0A" w14:textId="77777777" w:rsidR="00B67D2A" w:rsidRPr="000B2A05" w:rsidRDefault="00B67D2A" w:rsidP="00B67D2A">
      <w:pPr>
        <w:spacing w:after="0" w:line="240" w:lineRule="auto"/>
        <w:ind w:left="284" w:right="-851" w:firstLine="567"/>
        <w:jc w:val="both"/>
        <w:rPr>
          <w:rFonts w:ascii="Times New Roman" w:hAnsi="Times New Roman" w:cs="Times New Roman"/>
          <w:sz w:val="28"/>
          <w:szCs w:val="28"/>
        </w:rPr>
      </w:pPr>
      <w:bookmarkStart w:id="5" w:name="_Hlk213909311"/>
      <w:r w:rsidRPr="009B13B6">
        <w:rPr>
          <w:rStyle w:val="af6"/>
          <w:rFonts w:ascii="Times New Roman" w:hAnsi="Times New Roman" w:cs="Times New Roman"/>
          <w:b w:val="0"/>
          <w:bCs w:val="0"/>
          <w:i/>
          <w:iCs/>
          <w:sz w:val="28"/>
          <w:szCs w:val="28"/>
        </w:rPr>
        <w:t>Подготовленность к ведению острого инсульта.</w:t>
      </w:r>
      <w:bookmarkEnd w:id="5"/>
      <w:r>
        <w:rPr>
          <w:rStyle w:val="af6"/>
          <w:rFonts w:ascii="Times New Roman" w:hAnsi="Times New Roman" w:cs="Times New Roman"/>
          <w:b w:val="0"/>
          <w:bCs w:val="0"/>
          <w:i/>
          <w:iCs/>
          <w:sz w:val="28"/>
          <w:szCs w:val="28"/>
        </w:rPr>
        <w:t xml:space="preserve"> </w:t>
      </w:r>
      <w:r w:rsidRPr="000B2A05">
        <w:rPr>
          <w:rFonts w:ascii="Times New Roman" w:hAnsi="Times New Roman" w:cs="Times New Roman"/>
          <w:sz w:val="28"/>
          <w:szCs w:val="28"/>
        </w:rPr>
        <w:t>Реаниматологи и нейрохирурги демонстрируют наивысший уровень готовности своих команд, оценивая их работу как «отличную». Они регулярно проходят обучение и обеспечены необходимым оборудованием и персоналом. Кроме того, они активно участвуют в регистрах по инсульту и мониторинге качества (реаниматологов n=</w:t>
      </w:r>
      <w:r>
        <w:rPr>
          <w:rFonts w:ascii="Times New Roman" w:hAnsi="Times New Roman" w:cs="Times New Roman"/>
          <w:sz w:val="28"/>
          <w:szCs w:val="28"/>
        </w:rPr>
        <w:t>30</w:t>
      </w:r>
      <w:r w:rsidRPr="000B2A05">
        <w:rPr>
          <w:rFonts w:ascii="Times New Roman" w:hAnsi="Times New Roman" w:cs="Times New Roman"/>
          <w:sz w:val="28"/>
          <w:szCs w:val="28"/>
        </w:rPr>
        <w:t xml:space="preserve">, и нейрохирургов n=23). </w:t>
      </w:r>
    </w:p>
    <w:p w14:paraId="0923019F" w14:textId="77777777" w:rsidR="00B67D2A" w:rsidRPr="000B2A05" w:rsidRDefault="00B67D2A" w:rsidP="00B67D2A">
      <w:pPr>
        <w:pStyle w:val="a4"/>
        <w:spacing w:before="0" w:beforeAutospacing="0" w:after="0" w:afterAutospacing="0"/>
        <w:ind w:left="284" w:right="-851" w:firstLine="567"/>
        <w:jc w:val="both"/>
        <w:rPr>
          <w:sz w:val="28"/>
          <w:szCs w:val="28"/>
        </w:rPr>
      </w:pPr>
      <w:r w:rsidRPr="000B2A05">
        <w:rPr>
          <w:sz w:val="28"/>
          <w:szCs w:val="28"/>
        </w:rPr>
        <w:t>Неврологи характеризуются хорошей готовностью, где более половины специалистов</w:t>
      </w:r>
      <w:r>
        <w:rPr>
          <w:sz w:val="28"/>
          <w:szCs w:val="28"/>
        </w:rPr>
        <w:t xml:space="preserve"> (</w:t>
      </w:r>
      <w:r>
        <w:rPr>
          <w:sz w:val="28"/>
          <w:szCs w:val="28"/>
          <w:lang w:val="en-US"/>
        </w:rPr>
        <w:t>n</w:t>
      </w:r>
      <w:r w:rsidRPr="000F4E51">
        <w:rPr>
          <w:sz w:val="28"/>
          <w:szCs w:val="28"/>
        </w:rPr>
        <w:t>=8)</w:t>
      </w:r>
      <w:r w:rsidRPr="000B2A05">
        <w:rPr>
          <w:sz w:val="28"/>
          <w:szCs w:val="28"/>
        </w:rPr>
        <w:t xml:space="preserve"> проходят обучение ежегодно и оценивают работу команды как «хорошо» или «отлично». Вместе с тем они чаще сталкиваются с нехваткой ресурсов и кадров, что во многом обусловлено амбулаторным характером их работы (неврологов n=11).</w:t>
      </w:r>
    </w:p>
    <w:p w14:paraId="1F01F313" w14:textId="77777777" w:rsidR="00B67D2A" w:rsidRPr="000B2A05" w:rsidRDefault="00B67D2A" w:rsidP="00B67D2A">
      <w:pPr>
        <w:pStyle w:val="a4"/>
        <w:spacing w:before="0" w:beforeAutospacing="0" w:after="0" w:afterAutospacing="0"/>
        <w:ind w:left="284" w:right="-851" w:firstLine="567"/>
        <w:jc w:val="both"/>
        <w:rPr>
          <w:sz w:val="28"/>
          <w:szCs w:val="28"/>
        </w:rPr>
      </w:pPr>
      <w:r w:rsidRPr="000B2A05">
        <w:rPr>
          <w:sz w:val="28"/>
          <w:szCs w:val="28"/>
        </w:rPr>
        <w:lastRenderedPageBreak/>
        <w:t>Реабилитологи демонстрируют неоднородный уровень подготовки. Они реже проходят обучение, нередко испытывают дефицит оборудования и персонала, а также проявляют низкую вовлечённость в регистры по инсульту, что отражает существующие проблемы в системе постинсультного ухода (врачей-реабилитологов n=20).</w:t>
      </w:r>
    </w:p>
    <w:p w14:paraId="28D6F03A" w14:textId="77777777" w:rsidR="00B67D2A" w:rsidRPr="000B2A05" w:rsidRDefault="00B67D2A" w:rsidP="00B67D2A">
      <w:pPr>
        <w:pStyle w:val="a4"/>
        <w:spacing w:before="0" w:beforeAutospacing="0" w:after="0" w:afterAutospacing="0"/>
        <w:ind w:left="284" w:right="-851" w:firstLine="567"/>
        <w:jc w:val="both"/>
        <w:rPr>
          <w:sz w:val="28"/>
          <w:szCs w:val="28"/>
        </w:rPr>
      </w:pPr>
      <w:r w:rsidRPr="000B2A05">
        <w:rPr>
          <w:sz w:val="28"/>
          <w:szCs w:val="28"/>
        </w:rPr>
        <w:t xml:space="preserve">Врачи </w:t>
      </w:r>
      <w:r>
        <w:rPr>
          <w:sz w:val="28"/>
          <w:szCs w:val="28"/>
        </w:rPr>
        <w:t>СМП</w:t>
      </w:r>
      <w:r w:rsidRPr="000B2A05">
        <w:rPr>
          <w:sz w:val="28"/>
          <w:szCs w:val="28"/>
        </w:rPr>
        <w:t xml:space="preserve"> (n=10) выглядят наименее подготовленными, где регулярные программы обучения отсутствует, уровень готовности чаще оценивается как «средний» или «хороший», а дефицит оборудования и кадров указывает на пробелы в интеграции доврачебного этапа в систему оказания помощи при инсульте. </w:t>
      </w:r>
    </w:p>
    <w:p w14:paraId="58CAB01E" w14:textId="77777777" w:rsidR="00B67D2A" w:rsidRDefault="00B67D2A" w:rsidP="00B67D2A">
      <w:pPr>
        <w:spacing w:after="0" w:line="240" w:lineRule="auto"/>
        <w:ind w:left="284" w:right="-851" w:firstLine="567"/>
        <w:jc w:val="both"/>
        <w:rPr>
          <w:rFonts w:ascii="Times New Roman" w:hAnsi="Times New Roman" w:cs="Times New Roman"/>
          <w:sz w:val="28"/>
          <w:szCs w:val="28"/>
        </w:rPr>
      </w:pPr>
      <w:r w:rsidRPr="000B2A05">
        <w:rPr>
          <w:rFonts w:ascii="Times New Roman" w:hAnsi="Times New Roman" w:cs="Times New Roman"/>
          <w:i/>
          <w:iCs/>
          <w:sz w:val="28"/>
          <w:szCs w:val="28"/>
        </w:rPr>
        <w:t>Предпочтения в обучении по специальностям</w:t>
      </w:r>
      <w:r>
        <w:rPr>
          <w:rFonts w:ascii="Times New Roman" w:hAnsi="Times New Roman" w:cs="Times New Roman"/>
          <w:i/>
          <w:iCs/>
          <w:sz w:val="28"/>
          <w:szCs w:val="28"/>
        </w:rPr>
        <w:t xml:space="preserve">. </w:t>
      </w:r>
      <w:r w:rsidRPr="000B2A05">
        <w:rPr>
          <w:rFonts w:ascii="Times New Roman" w:hAnsi="Times New Roman" w:cs="Times New Roman"/>
          <w:sz w:val="28"/>
          <w:szCs w:val="28"/>
        </w:rPr>
        <w:t xml:space="preserve">Врачи СМП (n=10) проходят обучение в основном каждые 3–5 лет, предпочитая курсы повышения квалификации и обмен опытом. Они редко посещают международные мероприятия и в основном используют чаты, мессенджеры и онлайн-конференции. </w:t>
      </w:r>
      <w:r>
        <w:rPr>
          <w:rFonts w:ascii="Times New Roman" w:hAnsi="Times New Roman" w:cs="Times New Roman"/>
          <w:sz w:val="28"/>
          <w:szCs w:val="28"/>
        </w:rPr>
        <w:t xml:space="preserve">Специалисты отметили, что их предпочтительным </w:t>
      </w:r>
      <w:r w:rsidRPr="000B2A05">
        <w:rPr>
          <w:rFonts w:ascii="Times New Roman" w:hAnsi="Times New Roman" w:cs="Times New Roman"/>
          <w:sz w:val="28"/>
          <w:szCs w:val="28"/>
        </w:rPr>
        <w:t>формат</w:t>
      </w:r>
      <w:r>
        <w:rPr>
          <w:rFonts w:ascii="Times New Roman" w:hAnsi="Times New Roman" w:cs="Times New Roman"/>
          <w:sz w:val="28"/>
          <w:szCs w:val="28"/>
        </w:rPr>
        <w:t>ом</w:t>
      </w:r>
      <w:r w:rsidRPr="000B2A05">
        <w:rPr>
          <w:rFonts w:ascii="Times New Roman" w:hAnsi="Times New Roman" w:cs="Times New Roman"/>
          <w:sz w:val="28"/>
          <w:szCs w:val="28"/>
        </w:rPr>
        <w:t xml:space="preserve"> обучения</w:t>
      </w:r>
      <w:r>
        <w:rPr>
          <w:rFonts w:ascii="Times New Roman" w:hAnsi="Times New Roman" w:cs="Times New Roman"/>
          <w:sz w:val="28"/>
          <w:szCs w:val="28"/>
        </w:rPr>
        <w:t xml:space="preserve"> являются </w:t>
      </w:r>
      <w:r w:rsidRPr="000B2A05">
        <w:rPr>
          <w:rFonts w:ascii="Times New Roman" w:hAnsi="Times New Roman" w:cs="Times New Roman"/>
          <w:sz w:val="28"/>
          <w:szCs w:val="28"/>
        </w:rPr>
        <w:t>краткосрочные вебинары и онлайн-дискуссии. Неврологи (n=13) проходят обучение раз в 1–2 года, используя курсы, вебинары, конференции и профессиональные сообщества. Большинство</w:t>
      </w:r>
      <w:r>
        <w:rPr>
          <w:rFonts w:ascii="Times New Roman" w:hAnsi="Times New Roman" w:cs="Times New Roman"/>
          <w:sz w:val="28"/>
          <w:szCs w:val="28"/>
        </w:rPr>
        <w:t xml:space="preserve"> (</w:t>
      </w:r>
      <w:r w:rsidRPr="000B2A05">
        <w:rPr>
          <w:rFonts w:ascii="Times New Roman" w:hAnsi="Times New Roman" w:cs="Times New Roman"/>
          <w:sz w:val="28"/>
          <w:szCs w:val="28"/>
        </w:rPr>
        <w:t>n=</w:t>
      </w:r>
      <w:r>
        <w:rPr>
          <w:rFonts w:ascii="Times New Roman" w:hAnsi="Times New Roman" w:cs="Times New Roman"/>
          <w:sz w:val="28"/>
          <w:szCs w:val="28"/>
        </w:rPr>
        <w:t>8</w:t>
      </w:r>
      <w:r w:rsidRPr="000B2A05">
        <w:rPr>
          <w:rFonts w:ascii="Times New Roman" w:hAnsi="Times New Roman" w:cs="Times New Roman"/>
          <w:sz w:val="28"/>
          <w:szCs w:val="28"/>
        </w:rPr>
        <w:t xml:space="preserve">) активно участвуют в международных мероприятиях несколько раз в год, обмениваясь опытом через чаты, вебинары и онлайн-платформы. Они предпочитают полноценные онлайн-курсы, чаты с клиническими случаями и дискуссионные вебинары. Реаниматологи (n=25) проходят обучение в основном каждые 1–2 года, отдавая предпочтение курсам и научным конференциям. Около половины из них регулярно посещают международные вебинары. Они обмениваются опытом в основном через чаты и вебинары, предпочитая чаты с клиническими случаями и короткие вебинары. Специалисты по реабилитации проходят обучение в основном каждые 1–2 года, используя конференции, курсы, вебинары, ассоциации и обмен опытом. </w:t>
      </w:r>
      <w:r w:rsidRPr="009F7DFA">
        <w:rPr>
          <w:rFonts w:ascii="Times New Roman" w:hAnsi="Times New Roman" w:cs="Times New Roman"/>
          <w:sz w:val="28"/>
          <w:szCs w:val="28"/>
        </w:rPr>
        <w:t xml:space="preserve">Большинство </w:t>
      </w:r>
      <w:r w:rsidRPr="000B2A05">
        <w:rPr>
          <w:rFonts w:ascii="Times New Roman" w:hAnsi="Times New Roman" w:cs="Times New Roman"/>
          <w:sz w:val="28"/>
          <w:szCs w:val="28"/>
        </w:rPr>
        <w:t>(n=1</w:t>
      </w:r>
      <w:r>
        <w:rPr>
          <w:rFonts w:ascii="Times New Roman" w:hAnsi="Times New Roman" w:cs="Times New Roman"/>
          <w:sz w:val="28"/>
          <w:szCs w:val="28"/>
        </w:rPr>
        <w:t>8</w:t>
      </w:r>
      <w:r w:rsidRPr="000B2A05">
        <w:rPr>
          <w:rFonts w:ascii="Times New Roman" w:hAnsi="Times New Roman" w:cs="Times New Roman"/>
          <w:sz w:val="28"/>
          <w:szCs w:val="28"/>
        </w:rPr>
        <w:t xml:space="preserve">) </w:t>
      </w:r>
      <w:r w:rsidRPr="009F7DFA">
        <w:rPr>
          <w:rFonts w:ascii="Times New Roman" w:hAnsi="Times New Roman" w:cs="Times New Roman"/>
          <w:sz w:val="28"/>
          <w:szCs w:val="28"/>
        </w:rPr>
        <w:t>нейрохирургов посещают международные мероприятия ежегодно или чаще, обмениваясь опытом в чатах, вебинарах и профессиональных сообществах. Они обычно проходят обучение каждые 1–2 года, посещая конференции, курсы, вебинары, встречи в ассоциациях. Предпочтительные форматы обучения включают онлайн-конференции, клинические чаты, полноценные онлайн-курсы, короткие вебинары и круглые столы.</w:t>
      </w:r>
    </w:p>
    <w:p w14:paraId="72D360F0" w14:textId="77777777" w:rsidR="00B67D2A" w:rsidRPr="000B2A05" w:rsidRDefault="00B67D2A" w:rsidP="00B67D2A">
      <w:pPr>
        <w:spacing w:after="0" w:line="240" w:lineRule="auto"/>
        <w:ind w:left="284" w:right="-851" w:firstLine="567"/>
        <w:jc w:val="both"/>
        <w:rPr>
          <w:rFonts w:ascii="Times New Roman" w:hAnsi="Times New Roman" w:cs="Times New Roman"/>
          <w:sz w:val="28"/>
          <w:szCs w:val="28"/>
        </w:rPr>
      </w:pPr>
      <w:r w:rsidRPr="000B2A05">
        <w:rPr>
          <w:rFonts w:ascii="Times New Roman" w:hAnsi="Times New Roman" w:cs="Times New Roman"/>
          <w:i/>
          <w:iCs/>
          <w:sz w:val="28"/>
          <w:szCs w:val="28"/>
        </w:rPr>
        <w:t xml:space="preserve">Мнение медицинских </w:t>
      </w:r>
      <w:r>
        <w:rPr>
          <w:rFonts w:ascii="Times New Roman" w:hAnsi="Times New Roman" w:cs="Times New Roman"/>
          <w:i/>
          <w:iCs/>
          <w:sz w:val="28"/>
          <w:szCs w:val="28"/>
        </w:rPr>
        <w:t xml:space="preserve">специалистов </w:t>
      </w:r>
      <w:r w:rsidRPr="000B2A05">
        <w:rPr>
          <w:rFonts w:ascii="Times New Roman" w:hAnsi="Times New Roman" w:cs="Times New Roman"/>
          <w:i/>
          <w:iCs/>
          <w:sz w:val="28"/>
          <w:szCs w:val="28"/>
        </w:rPr>
        <w:t>об информированности населения и распознавании симптомов ОНМК</w:t>
      </w:r>
      <w:r>
        <w:rPr>
          <w:rFonts w:ascii="Times New Roman" w:hAnsi="Times New Roman" w:cs="Times New Roman"/>
          <w:i/>
          <w:iCs/>
          <w:sz w:val="28"/>
          <w:szCs w:val="28"/>
        </w:rPr>
        <w:t xml:space="preserve">. </w:t>
      </w:r>
      <w:r w:rsidRPr="000B2A05">
        <w:rPr>
          <w:rFonts w:ascii="Times New Roman" w:hAnsi="Times New Roman" w:cs="Times New Roman"/>
          <w:sz w:val="28"/>
          <w:szCs w:val="28"/>
        </w:rPr>
        <w:t>Большинство</w:t>
      </w:r>
      <w:r>
        <w:rPr>
          <w:rFonts w:ascii="Times New Roman" w:hAnsi="Times New Roman" w:cs="Times New Roman"/>
          <w:sz w:val="28"/>
          <w:szCs w:val="28"/>
        </w:rPr>
        <w:t xml:space="preserve"> (</w:t>
      </w:r>
      <w:r w:rsidRPr="000B2A05">
        <w:rPr>
          <w:rFonts w:ascii="Times New Roman" w:hAnsi="Times New Roman" w:cs="Times New Roman"/>
          <w:sz w:val="28"/>
          <w:szCs w:val="28"/>
        </w:rPr>
        <w:t>n=</w:t>
      </w:r>
      <w:r>
        <w:rPr>
          <w:rFonts w:ascii="Times New Roman" w:hAnsi="Times New Roman" w:cs="Times New Roman"/>
          <w:sz w:val="28"/>
          <w:szCs w:val="28"/>
        </w:rPr>
        <w:t>77</w:t>
      </w:r>
      <w:r w:rsidRPr="000B2A05">
        <w:rPr>
          <w:rFonts w:ascii="Times New Roman" w:hAnsi="Times New Roman" w:cs="Times New Roman"/>
          <w:sz w:val="28"/>
          <w:szCs w:val="28"/>
        </w:rPr>
        <w:t xml:space="preserve">) </w:t>
      </w:r>
      <w:r>
        <w:rPr>
          <w:rFonts w:ascii="Times New Roman" w:hAnsi="Times New Roman" w:cs="Times New Roman"/>
          <w:sz w:val="28"/>
          <w:szCs w:val="28"/>
        </w:rPr>
        <w:t>врачей</w:t>
      </w:r>
      <w:r w:rsidRPr="000B2A05">
        <w:rPr>
          <w:rFonts w:ascii="Times New Roman" w:hAnsi="Times New Roman" w:cs="Times New Roman"/>
          <w:sz w:val="28"/>
          <w:szCs w:val="28"/>
        </w:rPr>
        <w:t xml:space="preserve"> отмечают низкий уровень информированности населения о симптомах ОНМК и отсутствие эффективных информационных кампаний. Основными источниками информации для пациентов и их родственников являются телевидение, радио, интернет (включая социальные сети), медицинские работники и образовательные программы в ПМСП. Специалисты единодушно сходятся во мнении, что такая низкая осведомленность приводит к позднему обращению за медицинской помощью, что негативно сказывается на результатах лечения.</w:t>
      </w:r>
    </w:p>
    <w:p w14:paraId="323AC290" w14:textId="77777777" w:rsidR="00B67D2A" w:rsidRPr="000B2A05" w:rsidRDefault="00B67D2A" w:rsidP="00B67D2A">
      <w:pPr>
        <w:spacing w:after="0" w:line="240" w:lineRule="auto"/>
        <w:ind w:left="284" w:right="-851" w:firstLine="567"/>
        <w:jc w:val="both"/>
        <w:rPr>
          <w:rFonts w:ascii="Times New Roman" w:hAnsi="Times New Roman" w:cs="Times New Roman"/>
          <w:sz w:val="28"/>
          <w:szCs w:val="28"/>
        </w:rPr>
      </w:pPr>
      <w:r w:rsidRPr="000B2A05">
        <w:rPr>
          <w:rFonts w:ascii="Times New Roman" w:hAnsi="Times New Roman" w:cs="Times New Roman"/>
          <w:sz w:val="28"/>
          <w:szCs w:val="28"/>
        </w:rPr>
        <w:t xml:space="preserve">Однако восприятие и оценки различаются в зависимости от специальности: неврологи и врачи СМП отмечают, что пациенты редко распознают симптомы </w:t>
      </w:r>
      <w:r w:rsidRPr="000B2A05">
        <w:rPr>
          <w:rFonts w:ascii="Times New Roman" w:hAnsi="Times New Roman" w:cs="Times New Roman"/>
          <w:sz w:val="28"/>
          <w:szCs w:val="28"/>
        </w:rPr>
        <w:lastRenderedPageBreak/>
        <w:t>ОНМК вовремя, в то время как врачи реанимации и реабилитологи отмечают более частое и разное распознавание, при этом уровень знаний варьируется от низкого до отличного. Нейрохирурги подчеркивают возрастной фактор, где пожилые люди менее информированы из-за ограниченного доступа к интернету, низкого уровня функциональной грамотности и культурных особенностей. К распространенным причинам низкой осведомленности относятся отсутствие простых и доступных материалов, недостаточность профилактических программ и низкая личная ответственность за свое здоровье.</w:t>
      </w:r>
    </w:p>
    <w:p w14:paraId="1346CD08" w14:textId="77777777" w:rsidR="00B67D2A" w:rsidRPr="000B2A05" w:rsidRDefault="00B67D2A" w:rsidP="00B67D2A">
      <w:pPr>
        <w:spacing w:after="0" w:line="240" w:lineRule="auto"/>
        <w:ind w:left="284" w:right="-851" w:firstLine="567"/>
        <w:jc w:val="both"/>
        <w:rPr>
          <w:rFonts w:ascii="Times New Roman" w:hAnsi="Times New Roman" w:cs="Times New Roman"/>
          <w:sz w:val="28"/>
          <w:szCs w:val="28"/>
        </w:rPr>
      </w:pPr>
      <w:r w:rsidRPr="000B2A05">
        <w:rPr>
          <w:rFonts w:ascii="Times New Roman" w:hAnsi="Times New Roman" w:cs="Times New Roman"/>
          <w:sz w:val="28"/>
          <w:szCs w:val="28"/>
        </w:rPr>
        <w:t xml:space="preserve">Для решения этих проблем врачи считают, крайне важным разрабатывать и продвигать разнообразные, доступные и целенаправленные информационные кампании о симптомах инсульта. Использование различных каналов коммуникации и особое внимание к пожилым и уязвимым группам населения имеет решающее значение. Кроме того, усиление профилактических мер и повышение уровня подготовки медицинских работников повысят эффективность обучения пациентов и их </w:t>
      </w:r>
      <w:r w:rsidRPr="00EE69E0">
        <w:rPr>
          <w:rFonts w:ascii="Times New Roman" w:hAnsi="Times New Roman" w:cs="Times New Roman"/>
          <w:sz w:val="28"/>
          <w:szCs w:val="28"/>
        </w:rPr>
        <w:t>семей (таблице 1</w:t>
      </w:r>
      <w:r>
        <w:rPr>
          <w:rFonts w:ascii="Times New Roman" w:hAnsi="Times New Roman" w:cs="Times New Roman"/>
          <w:sz w:val="28"/>
          <w:szCs w:val="28"/>
        </w:rPr>
        <w:t>4</w:t>
      </w:r>
      <w:r w:rsidRPr="00EE69E0">
        <w:rPr>
          <w:rFonts w:ascii="Times New Roman" w:hAnsi="Times New Roman" w:cs="Times New Roman"/>
          <w:sz w:val="28"/>
          <w:szCs w:val="28"/>
        </w:rPr>
        <w:t>).</w:t>
      </w:r>
    </w:p>
    <w:p w14:paraId="1E3460A8" w14:textId="77777777" w:rsidR="00B67D2A" w:rsidRPr="00A23752" w:rsidRDefault="00B67D2A" w:rsidP="00B67D2A">
      <w:pPr>
        <w:spacing w:after="0" w:line="240" w:lineRule="auto"/>
        <w:ind w:left="284" w:right="-851" w:firstLine="567"/>
        <w:jc w:val="both"/>
        <w:rPr>
          <w:rFonts w:ascii="Times New Roman" w:hAnsi="Times New Roman" w:cs="Times New Roman"/>
          <w:b/>
          <w:bCs/>
          <w:sz w:val="28"/>
          <w:szCs w:val="28"/>
        </w:rPr>
        <w:sectPr w:rsidR="00B67D2A" w:rsidRPr="00A23752" w:rsidSect="00FC2E89">
          <w:pgSz w:w="11906" w:h="16838"/>
          <w:pgMar w:top="1134" w:right="1416" w:bottom="1134" w:left="1418" w:header="709" w:footer="709" w:gutter="0"/>
          <w:cols w:space="340"/>
        </w:sectPr>
      </w:pPr>
      <w:r w:rsidRPr="000B2A05">
        <w:rPr>
          <w:rFonts w:ascii="Times New Roman" w:hAnsi="Times New Roman" w:cs="Times New Roman"/>
          <w:i/>
          <w:iCs/>
          <w:sz w:val="28"/>
          <w:szCs w:val="28"/>
        </w:rPr>
        <w:t>Обзор процессов оказания помощи при инсульте и связанных с ними сложностей по мнению медицинских работников</w:t>
      </w:r>
      <w:r>
        <w:rPr>
          <w:rFonts w:ascii="Times New Roman" w:hAnsi="Times New Roman" w:cs="Times New Roman"/>
          <w:i/>
          <w:iCs/>
          <w:sz w:val="28"/>
          <w:szCs w:val="28"/>
        </w:rPr>
        <w:t xml:space="preserve">. </w:t>
      </w:r>
      <w:r w:rsidRPr="000B2A05">
        <w:rPr>
          <w:rFonts w:ascii="Times New Roman" w:hAnsi="Times New Roman" w:cs="Times New Roman"/>
          <w:sz w:val="28"/>
          <w:szCs w:val="28"/>
        </w:rPr>
        <w:t>Результаты исследования показывают, что реаниматологи и нейрохирурги наиболее подготовлены к лечению ОНМК благодаря структурированному обучению, наличию ресурсов и активному участию в системах качества. Специалисты по реабилитации, и врачи СМП, указывают на необходимость системных улучшений для лучшей поддержки их роли в междисциплинарном континууме оказания помощи при инсульте. Врачи СМП сообщают, что маршруты транспортировки пациентов с инсультом и официальные соглашения о приоритетной транспортировке в целом понятны (n=2–3). Связь с инсультными отделениями хорошая или отличная (n=3), но регулярное обучение проводится редко (1 участник). Основные задержки связаны со временем вызова и прибытия скорой помощи (n=4), а также с нехваткой оборудования и персонала (n=3). Реабилитация после госпитализации развита недостаточно (n=3).</w:t>
      </w:r>
      <w:r>
        <w:rPr>
          <w:rFonts w:ascii="Times New Roman" w:hAnsi="Times New Roman" w:cs="Times New Roman"/>
          <w:sz w:val="28"/>
          <w:szCs w:val="28"/>
        </w:rPr>
        <w:t xml:space="preserve"> </w:t>
      </w:r>
      <w:r w:rsidRPr="000B2A05">
        <w:rPr>
          <w:rFonts w:ascii="Times New Roman" w:hAnsi="Times New Roman" w:cs="Times New Roman"/>
          <w:sz w:val="28"/>
          <w:szCs w:val="28"/>
        </w:rPr>
        <w:t xml:space="preserve">Неврологи подтверждают четкие маршруты транспортировки пациентов (n=6) и соглашения со службами скорой помощи (n=5). Связь хорошая (n=5), но обучение нерегулярное (n=4). Задержки связаны с вызовами скорой помощи, прибытием пациентов и диагностикой (n=7). Они уделяют особое внимание мониторингу результатов лечения и улучшению диагностики и реабилитации (n=5-6). </w:t>
      </w:r>
      <w:r>
        <w:rPr>
          <w:rFonts w:ascii="Times New Roman" w:hAnsi="Times New Roman" w:cs="Times New Roman"/>
          <w:sz w:val="28"/>
          <w:szCs w:val="28"/>
        </w:rPr>
        <w:t xml:space="preserve">Реаниматологи </w:t>
      </w:r>
      <w:r w:rsidRPr="000B2A05">
        <w:rPr>
          <w:rFonts w:ascii="Times New Roman" w:hAnsi="Times New Roman" w:cs="Times New Roman"/>
          <w:sz w:val="28"/>
          <w:szCs w:val="28"/>
        </w:rPr>
        <w:t>сообщают о наличии четких протоколов и соглашений (n=7), хорошей или отличной коммуникации (n=7) и более частом обучении (6 участников). Задержки связаны с поздними вызовами скорой помощи и диагностикой (n=7). Они активно используют современные методы лечения, такие как тромбэктомия и телемедицина (n=5), и отмечают прогресс в реабилитации и мониторинге пациентов (n=6).</w:t>
      </w:r>
    </w:p>
    <w:p w14:paraId="5A6CE213" w14:textId="70B785F7" w:rsidR="00B67D2A" w:rsidRDefault="00B67D2A" w:rsidP="00533899">
      <w:pPr>
        <w:spacing w:after="0" w:line="240" w:lineRule="auto"/>
        <w:contextualSpacing/>
        <w:jc w:val="both"/>
        <w:rPr>
          <w:rFonts w:ascii="Times New Roman" w:hAnsi="Times New Roman" w:cs="Times New Roman"/>
          <w:color w:val="000000"/>
          <w:sz w:val="28"/>
          <w:szCs w:val="28"/>
        </w:rPr>
      </w:pPr>
      <w:r w:rsidRPr="00EE69E0">
        <w:rPr>
          <w:rFonts w:ascii="Times New Roman" w:hAnsi="Times New Roman" w:cs="Times New Roman"/>
          <w:color w:val="000000"/>
          <w:sz w:val="28"/>
          <w:szCs w:val="28"/>
        </w:rPr>
        <w:lastRenderedPageBreak/>
        <w:t>Таблица 1</w:t>
      </w:r>
      <w:r>
        <w:rPr>
          <w:rFonts w:ascii="Times New Roman" w:hAnsi="Times New Roman" w:cs="Times New Roman"/>
          <w:color w:val="000000"/>
          <w:sz w:val="28"/>
          <w:szCs w:val="28"/>
        </w:rPr>
        <w:t>4</w:t>
      </w:r>
      <w:r w:rsidR="00FC2E89">
        <w:rPr>
          <w:rFonts w:ascii="Times New Roman" w:hAnsi="Times New Roman" w:cs="Times New Roman"/>
          <w:color w:val="000000"/>
          <w:sz w:val="28"/>
          <w:szCs w:val="28"/>
        </w:rPr>
        <w:t xml:space="preserve"> - </w:t>
      </w:r>
      <w:r w:rsidRPr="00EE69E0">
        <w:rPr>
          <w:rFonts w:ascii="Times New Roman" w:hAnsi="Times New Roman" w:cs="Times New Roman"/>
          <w:color w:val="000000"/>
          <w:sz w:val="28"/>
          <w:szCs w:val="28"/>
        </w:rPr>
        <w:t>Обзор мнений медицинских работников об осведомленности общественности и распознавании симптомов инсульта</w:t>
      </w:r>
    </w:p>
    <w:p w14:paraId="4B9B3F5A" w14:textId="77777777" w:rsidR="00FC2E89" w:rsidRPr="00EE69E0" w:rsidRDefault="00FC2E89" w:rsidP="00FC2E89">
      <w:pPr>
        <w:spacing w:after="0" w:line="240" w:lineRule="auto"/>
        <w:contextualSpacing/>
        <w:rPr>
          <w:rFonts w:ascii="Times New Roman" w:hAnsi="Times New Roman" w:cs="Times New Roman"/>
          <w:sz w:val="28"/>
          <w:szCs w:val="28"/>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665"/>
        <w:gridCol w:w="2448"/>
        <w:gridCol w:w="2231"/>
        <w:gridCol w:w="2190"/>
        <w:gridCol w:w="2380"/>
      </w:tblGrid>
      <w:tr w:rsidR="00B67D2A" w:rsidRPr="00EE69E0" w14:paraId="42B2B3B2" w14:textId="77777777" w:rsidTr="00FC2E89">
        <w:trPr>
          <w:trHeight w:val="671"/>
        </w:trPr>
        <w:tc>
          <w:tcPr>
            <w:tcW w:w="3828" w:type="dxa"/>
            <w:hideMark/>
          </w:tcPr>
          <w:p w14:paraId="1E29D2F6" w14:textId="77777777" w:rsidR="00B67D2A" w:rsidRPr="00EE69E0" w:rsidRDefault="00B67D2A" w:rsidP="005E6F1B">
            <w:pPr>
              <w:spacing w:after="0" w:line="240" w:lineRule="auto"/>
              <w:jc w:val="center"/>
              <w:rPr>
                <w:rFonts w:ascii="Times New Roman" w:hAnsi="Times New Roman" w:cs="Times New Roman"/>
                <w:b/>
                <w:bCs/>
                <w:color w:val="000000"/>
                <w:sz w:val="20"/>
                <w:szCs w:val="20"/>
              </w:rPr>
            </w:pPr>
            <w:r w:rsidRPr="00EE69E0">
              <w:rPr>
                <w:rFonts w:ascii="Times New Roman" w:hAnsi="Times New Roman" w:cs="Times New Roman"/>
                <w:sz w:val="20"/>
                <w:szCs w:val="20"/>
              </w:rPr>
              <w:t>Утверждение</w:t>
            </w:r>
          </w:p>
        </w:tc>
        <w:tc>
          <w:tcPr>
            <w:tcW w:w="1665" w:type="dxa"/>
            <w:hideMark/>
          </w:tcPr>
          <w:p w14:paraId="458EFBF6" w14:textId="77777777" w:rsidR="00B67D2A" w:rsidRPr="00EE69E0" w:rsidRDefault="00B67D2A" w:rsidP="005E6F1B">
            <w:pPr>
              <w:spacing w:after="0" w:line="240" w:lineRule="auto"/>
              <w:jc w:val="center"/>
              <w:rPr>
                <w:rFonts w:ascii="Times New Roman" w:hAnsi="Times New Roman" w:cs="Times New Roman"/>
                <w:b/>
                <w:bCs/>
                <w:color w:val="000000"/>
                <w:sz w:val="20"/>
                <w:szCs w:val="20"/>
              </w:rPr>
            </w:pPr>
            <w:r w:rsidRPr="00EE69E0">
              <w:rPr>
                <w:rFonts w:ascii="Times New Roman" w:hAnsi="Times New Roman" w:cs="Times New Roman"/>
                <w:sz w:val="20"/>
                <w:szCs w:val="20"/>
              </w:rPr>
              <w:t>Врачи скорой помощи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=10)</w:t>
            </w:r>
          </w:p>
        </w:tc>
        <w:tc>
          <w:tcPr>
            <w:tcW w:w="2448" w:type="dxa"/>
            <w:hideMark/>
          </w:tcPr>
          <w:p w14:paraId="1964E8FB" w14:textId="77777777" w:rsidR="00B67D2A" w:rsidRPr="00EE69E0" w:rsidRDefault="00B67D2A" w:rsidP="005E6F1B">
            <w:pPr>
              <w:spacing w:after="0" w:line="240" w:lineRule="auto"/>
              <w:jc w:val="center"/>
              <w:rPr>
                <w:rFonts w:ascii="Times New Roman" w:hAnsi="Times New Roman" w:cs="Times New Roman"/>
                <w:b/>
                <w:bCs/>
                <w:color w:val="000000"/>
                <w:sz w:val="20"/>
                <w:szCs w:val="20"/>
              </w:rPr>
            </w:pPr>
            <w:r w:rsidRPr="00EE69E0">
              <w:rPr>
                <w:rFonts w:ascii="Times New Roman" w:hAnsi="Times New Roman" w:cs="Times New Roman"/>
                <w:sz w:val="20"/>
                <w:szCs w:val="20"/>
              </w:rPr>
              <w:t>Неврологи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=12)</w:t>
            </w:r>
          </w:p>
        </w:tc>
        <w:tc>
          <w:tcPr>
            <w:tcW w:w="2231" w:type="dxa"/>
            <w:hideMark/>
          </w:tcPr>
          <w:p w14:paraId="4F4AAC24" w14:textId="77777777" w:rsidR="00B67D2A" w:rsidRPr="00EE69E0" w:rsidRDefault="00B67D2A" w:rsidP="005E6F1B">
            <w:pPr>
              <w:spacing w:after="0" w:line="240" w:lineRule="auto"/>
              <w:jc w:val="center"/>
              <w:rPr>
                <w:rFonts w:ascii="Times New Roman" w:hAnsi="Times New Roman" w:cs="Times New Roman"/>
                <w:b/>
                <w:bCs/>
                <w:color w:val="000000"/>
                <w:sz w:val="20"/>
                <w:szCs w:val="20"/>
              </w:rPr>
            </w:pPr>
            <w:r w:rsidRPr="00EE69E0">
              <w:rPr>
                <w:rFonts w:ascii="Times New Roman" w:hAnsi="Times New Roman" w:cs="Times New Roman"/>
                <w:sz w:val="20"/>
                <w:szCs w:val="20"/>
              </w:rPr>
              <w:t>Реаниматологи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w:t>
            </w:r>
            <w:r w:rsidRPr="00EE69E0">
              <w:rPr>
                <w:rFonts w:ascii="Times New Roman" w:hAnsi="Times New Roman" w:cs="Times New Roman"/>
                <w:sz w:val="20"/>
                <w:szCs w:val="20"/>
                <w:lang w:val="en-US"/>
              </w:rPr>
              <w:t>32</w:t>
            </w:r>
            <w:r w:rsidRPr="00EE69E0">
              <w:rPr>
                <w:rFonts w:ascii="Times New Roman" w:hAnsi="Times New Roman" w:cs="Times New Roman"/>
                <w:sz w:val="20"/>
                <w:szCs w:val="20"/>
              </w:rPr>
              <w:t>)</w:t>
            </w:r>
          </w:p>
        </w:tc>
        <w:tc>
          <w:tcPr>
            <w:tcW w:w="2190" w:type="dxa"/>
            <w:hideMark/>
          </w:tcPr>
          <w:p w14:paraId="7EBABB70" w14:textId="77777777" w:rsidR="00B67D2A" w:rsidRPr="00EE69E0" w:rsidRDefault="00B67D2A" w:rsidP="005E6F1B">
            <w:pPr>
              <w:spacing w:after="0" w:line="240" w:lineRule="auto"/>
              <w:jc w:val="center"/>
              <w:rPr>
                <w:rFonts w:ascii="Times New Roman" w:hAnsi="Times New Roman" w:cs="Times New Roman"/>
                <w:b/>
                <w:bCs/>
                <w:color w:val="000000"/>
                <w:sz w:val="20"/>
                <w:szCs w:val="20"/>
              </w:rPr>
            </w:pPr>
            <w:r w:rsidRPr="00EE69E0">
              <w:rPr>
                <w:rFonts w:ascii="Times New Roman" w:hAnsi="Times New Roman" w:cs="Times New Roman"/>
                <w:sz w:val="20"/>
                <w:szCs w:val="20"/>
              </w:rPr>
              <w:t>Специалисты по реабилитации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=2</w:t>
            </w:r>
            <w:r w:rsidRPr="00EE69E0">
              <w:rPr>
                <w:rFonts w:ascii="Times New Roman" w:hAnsi="Times New Roman" w:cs="Times New Roman"/>
                <w:sz w:val="20"/>
                <w:szCs w:val="20"/>
                <w:lang w:val="en-US"/>
              </w:rPr>
              <w:t>2</w:t>
            </w:r>
            <w:r w:rsidRPr="00EE69E0">
              <w:rPr>
                <w:rFonts w:ascii="Times New Roman" w:hAnsi="Times New Roman" w:cs="Times New Roman"/>
                <w:sz w:val="20"/>
                <w:szCs w:val="20"/>
              </w:rPr>
              <w:t>)</w:t>
            </w:r>
          </w:p>
        </w:tc>
        <w:tc>
          <w:tcPr>
            <w:tcW w:w="2380" w:type="dxa"/>
            <w:hideMark/>
          </w:tcPr>
          <w:p w14:paraId="5CB5BA23" w14:textId="77777777" w:rsidR="00B67D2A" w:rsidRPr="00EE69E0" w:rsidRDefault="00B67D2A" w:rsidP="005E6F1B">
            <w:pPr>
              <w:spacing w:after="0" w:line="240" w:lineRule="auto"/>
              <w:jc w:val="center"/>
              <w:rPr>
                <w:rFonts w:ascii="Times New Roman" w:hAnsi="Times New Roman" w:cs="Times New Roman"/>
                <w:b/>
                <w:bCs/>
                <w:color w:val="000000"/>
                <w:sz w:val="20"/>
                <w:szCs w:val="20"/>
              </w:rPr>
            </w:pPr>
            <w:r w:rsidRPr="00EE69E0">
              <w:rPr>
                <w:rFonts w:ascii="Times New Roman" w:hAnsi="Times New Roman" w:cs="Times New Roman"/>
                <w:sz w:val="20"/>
                <w:szCs w:val="20"/>
              </w:rPr>
              <w:t>Нейрохирурги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=24)</w:t>
            </w:r>
          </w:p>
        </w:tc>
      </w:tr>
      <w:tr w:rsidR="00B67D2A" w:rsidRPr="00EE69E0" w14:paraId="3FB265AC" w14:textId="77777777" w:rsidTr="00FC2E89">
        <w:trPr>
          <w:trHeight w:val="728"/>
        </w:trPr>
        <w:tc>
          <w:tcPr>
            <w:tcW w:w="3828" w:type="dxa"/>
            <w:hideMark/>
          </w:tcPr>
          <w:p w14:paraId="5CA48B7B" w14:textId="77777777" w:rsidR="00B67D2A" w:rsidRPr="00EE69E0" w:rsidRDefault="00B67D2A" w:rsidP="005E6F1B">
            <w:pPr>
              <w:spacing w:after="0" w:line="240" w:lineRule="auto"/>
              <w:jc w:val="both"/>
              <w:rPr>
                <w:rFonts w:ascii="Times New Roman" w:hAnsi="Times New Roman" w:cs="Times New Roman"/>
                <w:color w:val="000000"/>
                <w:sz w:val="20"/>
                <w:szCs w:val="20"/>
              </w:rPr>
            </w:pPr>
            <w:r w:rsidRPr="00EE69E0">
              <w:rPr>
                <w:rFonts w:ascii="Times New Roman" w:hAnsi="Times New Roman" w:cs="Times New Roman"/>
                <w:sz w:val="20"/>
                <w:szCs w:val="20"/>
              </w:rPr>
              <w:t>Пациенты или родственники редко или никогда не распознают симптомы инсульта своевременно.</w:t>
            </w:r>
          </w:p>
        </w:tc>
        <w:tc>
          <w:tcPr>
            <w:tcW w:w="1665" w:type="dxa"/>
            <w:hideMark/>
          </w:tcPr>
          <w:p w14:paraId="2F87C307"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Да (в основном)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=10)</w:t>
            </w:r>
          </w:p>
        </w:tc>
        <w:tc>
          <w:tcPr>
            <w:tcW w:w="2448" w:type="dxa"/>
            <w:hideMark/>
          </w:tcPr>
          <w:p w14:paraId="0651B91D"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Да (в основном)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=12)</w:t>
            </w:r>
          </w:p>
        </w:tc>
        <w:tc>
          <w:tcPr>
            <w:tcW w:w="2231" w:type="dxa"/>
            <w:hideMark/>
          </w:tcPr>
          <w:p w14:paraId="083751A6"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 xml:space="preserve">Иногда – часто (разное)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=31</w:t>
            </w:r>
          </w:p>
        </w:tc>
        <w:tc>
          <w:tcPr>
            <w:tcW w:w="2190" w:type="dxa"/>
            <w:hideMark/>
          </w:tcPr>
          <w:p w14:paraId="4D44050D"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Иногда слишком часто (разные)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=22)</w:t>
            </w:r>
          </w:p>
        </w:tc>
        <w:tc>
          <w:tcPr>
            <w:tcW w:w="2380" w:type="dxa"/>
            <w:hideMark/>
          </w:tcPr>
          <w:p w14:paraId="4582A2F5"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Иногда или редко (в основном)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=24)</w:t>
            </w:r>
          </w:p>
        </w:tc>
      </w:tr>
      <w:tr w:rsidR="00B67D2A" w:rsidRPr="00EE69E0" w14:paraId="6B51FD6E" w14:textId="77777777" w:rsidTr="00FC2E89">
        <w:trPr>
          <w:trHeight w:val="798"/>
        </w:trPr>
        <w:tc>
          <w:tcPr>
            <w:tcW w:w="3828" w:type="dxa"/>
            <w:hideMark/>
          </w:tcPr>
          <w:p w14:paraId="39F35B11" w14:textId="77777777" w:rsidR="00B67D2A" w:rsidRPr="00EE69E0" w:rsidRDefault="00B67D2A" w:rsidP="005E6F1B">
            <w:pPr>
              <w:spacing w:after="0" w:line="240" w:lineRule="auto"/>
              <w:jc w:val="both"/>
              <w:rPr>
                <w:rFonts w:ascii="Times New Roman" w:hAnsi="Times New Roman" w:cs="Times New Roman"/>
                <w:color w:val="000000"/>
                <w:sz w:val="20"/>
                <w:szCs w:val="20"/>
              </w:rPr>
            </w:pPr>
            <w:r w:rsidRPr="00EE69E0">
              <w:rPr>
                <w:rFonts w:ascii="Times New Roman" w:hAnsi="Times New Roman" w:cs="Times New Roman"/>
                <w:sz w:val="20"/>
                <w:szCs w:val="20"/>
              </w:rPr>
              <w:t>Информированность населения о признаках инсульта низкая или очень низкая.</w:t>
            </w:r>
          </w:p>
        </w:tc>
        <w:tc>
          <w:tcPr>
            <w:tcW w:w="1665" w:type="dxa"/>
            <w:hideMark/>
          </w:tcPr>
          <w:p w14:paraId="47F95E03"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Да (в основном)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=10)</w:t>
            </w:r>
          </w:p>
        </w:tc>
        <w:tc>
          <w:tcPr>
            <w:tcW w:w="2448" w:type="dxa"/>
            <w:hideMark/>
          </w:tcPr>
          <w:p w14:paraId="449873D4"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Да (в основном)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=12)</w:t>
            </w:r>
          </w:p>
        </w:tc>
        <w:tc>
          <w:tcPr>
            <w:tcW w:w="2231" w:type="dxa"/>
            <w:hideMark/>
          </w:tcPr>
          <w:p w14:paraId="27A06495"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 xml:space="preserve">От плохого до отличного (разное)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=32</w:t>
            </w:r>
          </w:p>
        </w:tc>
        <w:tc>
          <w:tcPr>
            <w:tcW w:w="2190" w:type="dxa"/>
            <w:hideMark/>
          </w:tcPr>
          <w:p w14:paraId="4F3F766E"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В целом хорошо, но иногда плохо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=18)</w:t>
            </w:r>
          </w:p>
        </w:tc>
        <w:tc>
          <w:tcPr>
            <w:tcW w:w="2380" w:type="dxa"/>
            <w:hideMark/>
          </w:tcPr>
          <w:p w14:paraId="50AF2CAE"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В основном плохо или очень плохо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=20)</w:t>
            </w:r>
          </w:p>
        </w:tc>
      </w:tr>
      <w:tr w:rsidR="00B67D2A" w:rsidRPr="00EE69E0" w14:paraId="5B878F5E" w14:textId="77777777" w:rsidTr="00FC2E89">
        <w:trPr>
          <w:trHeight w:val="682"/>
        </w:trPr>
        <w:tc>
          <w:tcPr>
            <w:tcW w:w="3828" w:type="dxa"/>
            <w:hideMark/>
          </w:tcPr>
          <w:p w14:paraId="43744638" w14:textId="77777777" w:rsidR="00B67D2A" w:rsidRPr="00EE69E0" w:rsidRDefault="00B67D2A" w:rsidP="005E6F1B">
            <w:pPr>
              <w:spacing w:after="0" w:line="240" w:lineRule="auto"/>
              <w:jc w:val="both"/>
              <w:rPr>
                <w:rFonts w:ascii="Times New Roman" w:hAnsi="Times New Roman" w:cs="Times New Roman"/>
                <w:color w:val="000000"/>
                <w:sz w:val="20"/>
                <w:szCs w:val="20"/>
              </w:rPr>
            </w:pPr>
            <w:r w:rsidRPr="00EE69E0">
              <w:rPr>
                <w:rFonts w:ascii="Times New Roman" w:hAnsi="Times New Roman" w:cs="Times New Roman"/>
                <w:sz w:val="20"/>
                <w:szCs w:val="20"/>
              </w:rPr>
              <w:t>Информационные кампании отсутствуют или неэффективны.</w:t>
            </w:r>
          </w:p>
        </w:tc>
        <w:tc>
          <w:tcPr>
            <w:tcW w:w="1665" w:type="dxa"/>
            <w:hideMark/>
          </w:tcPr>
          <w:p w14:paraId="5EB6A37D"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Отсутствуют примечания (в большинстве случаев)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=10)</w:t>
            </w:r>
          </w:p>
        </w:tc>
        <w:tc>
          <w:tcPr>
            <w:tcW w:w="2448" w:type="dxa"/>
            <w:hideMark/>
          </w:tcPr>
          <w:p w14:paraId="1FAAE7C0"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Многие сообщают об отсутствии эффективности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=9)</w:t>
            </w:r>
          </w:p>
        </w:tc>
        <w:tc>
          <w:tcPr>
            <w:tcW w:w="2231" w:type="dxa"/>
            <w:hideMark/>
          </w:tcPr>
          <w:p w14:paraId="7A897575"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 xml:space="preserve">Многие отмечают отсутствие или неэффективность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=28</w:t>
            </w:r>
          </w:p>
        </w:tc>
        <w:tc>
          <w:tcPr>
            <w:tcW w:w="2190" w:type="dxa"/>
            <w:hideMark/>
          </w:tcPr>
          <w:p w14:paraId="066BF900"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Часто отсутствуют или неэффективны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=19)</w:t>
            </w:r>
          </w:p>
        </w:tc>
        <w:tc>
          <w:tcPr>
            <w:tcW w:w="2380" w:type="dxa"/>
            <w:hideMark/>
          </w:tcPr>
          <w:p w14:paraId="773C3343"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Часто отсутствует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=23)</w:t>
            </w:r>
          </w:p>
        </w:tc>
      </w:tr>
      <w:tr w:rsidR="00B67D2A" w:rsidRPr="00EE69E0" w14:paraId="3F2E834A" w14:textId="77777777" w:rsidTr="00FC2E89">
        <w:trPr>
          <w:trHeight w:val="1177"/>
        </w:trPr>
        <w:tc>
          <w:tcPr>
            <w:tcW w:w="3828" w:type="dxa"/>
            <w:hideMark/>
          </w:tcPr>
          <w:p w14:paraId="7A93F711" w14:textId="77777777" w:rsidR="00B67D2A" w:rsidRPr="00EE69E0" w:rsidRDefault="00B67D2A" w:rsidP="005E6F1B">
            <w:pPr>
              <w:spacing w:after="0" w:line="240" w:lineRule="auto"/>
              <w:jc w:val="both"/>
              <w:rPr>
                <w:rFonts w:ascii="Times New Roman" w:hAnsi="Times New Roman" w:cs="Times New Roman"/>
                <w:color w:val="000000"/>
                <w:sz w:val="20"/>
                <w:szCs w:val="20"/>
              </w:rPr>
            </w:pPr>
            <w:r w:rsidRPr="00EE69E0">
              <w:rPr>
                <w:rFonts w:ascii="Times New Roman" w:hAnsi="Times New Roman" w:cs="Times New Roman"/>
                <w:sz w:val="20"/>
                <w:szCs w:val="20"/>
              </w:rPr>
              <w:t>Основные источники, влияющие на информированность пациентов: телевидение/радио, интернет/социальные сети, медицинские работники.</w:t>
            </w:r>
          </w:p>
        </w:tc>
        <w:tc>
          <w:tcPr>
            <w:tcW w:w="1665" w:type="dxa"/>
            <w:hideMark/>
          </w:tcPr>
          <w:p w14:paraId="197A32ED"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ТВ/радио, Интернет, медицинские работники, программы для больниц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=10)</w:t>
            </w:r>
          </w:p>
        </w:tc>
        <w:tc>
          <w:tcPr>
            <w:tcW w:w="2448" w:type="dxa"/>
            <w:hideMark/>
          </w:tcPr>
          <w:p w14:paraId="0000695F"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Интернет/социальные сети, медицинские работники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=10)</w:t>
            </w:r>
          </w:p>
        </w:tc>
        <w:tc>
          <w:tcPr>
            <w:tcW w:w="2231" w:type="dxa"/>
            <w:hideMark/>
          </w:tcPr>
          <w:p w14:paraId="2AD708A0"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 xml:space="preserve">Телевидение/радио, Интернет, медицинские работники, программы больниц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=29</w:t>
            </w:r>
          </w:p>
        </w:tc>
        <w:tc>
          <w:tcPr>
            <w:tcW w:w="2190" w:type="dxa"/>
            <w:hideMark/>
          </w:tcPr>
          <w:p w14:paraId="1672B4ED"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Интернет, телевидение/радио, медицинские работники, образовательные программы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=15)</w:t>
            </w:r>
          </w:p>
        </w:tc>
        <w:tc>
          <w:tcPr>
            <w:tcW w:w="2380" w:type="dxa"/>
            <w:hideMark/>
          </w:tcPr>
          <w:p w14:paraId="49939E58"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Интернет, ТВ/радио, программы для больниц (26)</w:t>
            </w:r>
          </w:p>
        </w:tc>
      </w:tr>
      <w:tr w:rsidR="00B67D2A" w:rsidRPr="00EE69E0" w14:paraId="2E4CB1EA" w14:textId="77777777" w:rsidTr="00FC2E89">
        <w:trPr>
          <w:trHeight w:val="492"/>
        </w:trPr>
        <w:tc>
          <w:tcPr>
            <w:tcW w:w="3828" w:type="dxa"/>
            <w:hideMark/>
          </w:tcPr>
          <w:p w14:paraId="766F883E" w14:textId="77777777" w:rsidR="00B67D2A" w:rsidRPr="00EE69E0" w:rsidRDefault="00B67D2A" w:rsidP="005E6F1B">
            <w:pPr>
              <w:spacing w:after="0" w:line="240" w:lineRule="auto"/>
              <w:jc w:val="both"/>
              <w:rPr>
                <w:rFonts w:ascii="Times New Roman" w:hAnsi="Times New Roman" w:cs="Times New Roman"/>
                <w:color w:val="000000"/>
                <w:sz w:val="20"/>
                <w:szCs w:val="20"/>
              </w:rPr>
            </w:pPr>
            <w:r w:rsidRPr="00EE69E0">
              <w:rPr>
                <w:rFonts w:ascii="Times New Roman" w:hAnsi="Times New Roman" w:cs="Times New Roman"/>
                <w:sz w:val="20"/>
                <w:szCs w:val="20"/>
              </w:rPr>
              <w:t>Низкая осведомленность значительно способствует задержке обращения за помощью.</w:t>
            </w:r>
          </w:p>
        </w:tc>
        <w:tc>
          <w:tcPr>
            <w:tcW w:w="1665" w:type="dxa"/>
            <w:hideMark/>
          </w:tcPr>
          <w:p w14:paraId="2FCAB4FA"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Полное согласие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=10)</w:t>
            </w:r>
          </w:p>
        </w:tc>
        <w:tc>
          <w:tcPr>
            <w:tcW w:w="2448" w:type="dxa"/>
            <w:hideMark/>
          </w:tcPr>
          <w:p w14:paraId="0E8D9771"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Полное согласие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=12)</w:t>
            </w:r>
          </w:p>
        </w:tc>
        <w:tc>
          <w:tcPr>
            <w:tcW w:w="2231" w:type="dxa"/>
            <w:hideMark/>
          </w:tcPr>
          <w:p w14:paraId="68F77B80"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 xml:space="preserve">В основном согласен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=28</w:t>
            </w:r>
          </w:p>
        </w:tc>
        <w:tc>
          <w:tcPr>
            <w:tcW w:w="2190" w:type="dxa"/>
            <w:hideMark/>
          </w:tcPr>
          <w:p w14:paraId="7949D934"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Большинство согласны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=20)</w:t>
            </w:r>
          </w:p>
        </w:tc>
        <w:tc>
          <w:tcPr>
            <w:tcW w:w="2380" w:type="dxa"/>
            <w:hideMark/>
          </w:tcPr>
          <w:p w14:paraId="211E9BD3"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sz w:val="20"/>
                <w:szCs w:val="20"/>
              </w:rPr>
              <w:t>Полное согласие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=24)</w:t>
            </w:r>
          </w:p>
        </w:tc>
      </w:tr>
      <w:tr w:rsidR="00B67D2A" w:rsidRPr="00EE69E0" w14:paraId="5329E2E3" w14:textId="77777777" w:rsidTr="00FC2E89">
        <w:trPr>
          <w:trHeight w:val="1558"/>
        </w:trPr>
        <w:tc>
          <w:tcPr>
            <w:tcW w:w="3828" w:type="dxa"/>
            <w:hideMark/>
          </w:tcPr>
          <w:p w14:paraId="4F5223B1" w14:textId="77777777" w:rsidR="00B67D2A" w:rsidRPr="00EE69E0" w:rsidRDefault="00B67D2A" w:rsidP="005E6F1B">
            <w:pPr>
              <w:spacing w:after="0" w:line="240" w:lineRule="auto"/>
              <w:jc w:val="both"/>
              <w:rPr>
                <w:rFonts w:ascii="Times New Roman" w:hAnsi="Times New Roman" w:cs="Times New Roman"/>
                <w:color w:val="000000"/>
                <w:sz w:val="20"/>
                <w:szCs w:val="20"/>
              </w:rPr>
            </w:pPr>
            <w:r w:rsidRPr="00EE69E0">
              <w:rPr>
                <w:rFonts w:ascii="Times New Roman" w:hAnsi="Times New Roman" w:cs="Times New Roman"/>
                <w:sz w:val="20"/>
                <w:szCs w:val="20"/>
              </w:rPr>
              <w:t>Причины низкой осведомленности включают: отсутствие личной ответственности, недостаточную информированность, особенности менталитета, низкий уровень грамотности и недостаточную информационно-просветительскую работу.</w:t>
            </w:r>
          </w:p>
        </w:tc>
        <w:tc>
          <w:tcPr>
            <w:tcW w:w="1665" w:type="dxa"/>
            <w:vAlign w:val="center"/>
            <w:hideMark/>
          </w:tcPr>
          <w:p w14:paraId="1D30144C"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color w:val="000000"/>
                <w:sz w:val="20"/>
                <w:szCs w:val="20"/>
              </w:rPr>
              <w:t>Личная ответственность, менталитет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w:t>
            </w:r>
            <w:r w:rsidRPr="00EE69E0">
              <w:rPr>
                <w:rFonts w:ascii="Times New Roman" w:hAnsi="Times New Roman" w:cs="Times New Roman"/>
                <w:color w:val="000000"/>
                <w:sz w:val="20"/>
                <w:szCs w:val="20"/>
              </w:rPr>
              <w:t>10)</w:t>
            </w:r>
          </w:p>
        </w:tc>
        <w:tc>
          <w:tcPr>
            <w:tcW w:w="2448" w:type="dxa"/>
            <w:vAlign w:val="center"/>
            <w:hideMark/>
          </w:tcPr>
          <w:p w14:paraId="588756AA"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color w:val="000000"/>
                <w:sz w:val="20"/>
                <w:szCs w:val="20"/>
              </w:rPr>
              <w:t>Отсутствие рекламных щитов, плохой доступ, незаинтересованность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w:t>
            </w:r>
            <w:r w:rsidRPr="00EE69E0">
              <w:rPr>
                <w:rFonts w:ascii="Times New Roman" w:hAnsi="Times New Roman" w:cs="Times New Roman"/>
                <w:color w:val="000000"/>
                <w:sz w:val="20"/>
                <w:szCs w:val="20"/>
              </w:rPr>
              <w:t>11)</w:t>
            </w:r>
          </w:p>
        </w:tc>
        <w:tc>
          <w:tcPr>
            <w:tcW w:w="2231" w:type="dxa"/>
            <w:vAlign w:val="center"/>
            <w:hideMark/>
          </w:tcPr>
          <w:p w14:paraId="5B14944B"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color w:val="000000"/>
                <w:sz w:val="20"/>
                <w:szCs w:val="20"/>
              </w:rPr>
              <w:t xml:space="preserve">Менталитет, недостаток информации, пробелы в доступе к интернету </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=32</w:t>
            </w:r>
          </w:p>
        </w:tc>
        <w:tc>
          <w:tcPr>
            <w:tcW w:w="2190" w:type="dxa"/>
            <w:vAlign w:val="center"/>
            <w:hideMark/>
          </w:tcPr>
          <w:p w14:paraId="3F89E799"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color w:val="000000"/>
                <w:sz w:val="20"/>
                <w:szCs w:val="20"/>
              </w:rPr>
              <w:t xml:space="preserve">Отсутствие обучения, низкий уровень образования, текучесть кадров </w:t>
            </w:r>
            <w:r w:rsidRPr="00EE69E0">
              <w:rPr>
                <w:rFonts w:ascii="Times New Roman" w:hAnsi="Times New Roman" w:cs="Times New Roman"/>
                <w:sz w:val="20"/>
                <w:szCs w:val="20"/>
              </w:rPr>
              <w:t>(</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=22)</w:t>
            </w:r>
          </w:p>
        </w:tc>
        <w:tc>
          <w:tcPr>
            <w:tcW w:w="2380" w:type="dxa"/>
            <w:vAlign w:val="center"/>
            <w:hideMark/>
          </w:tcPr>
          <w:p w14:paraId="2886B712" w14:textId="77777777" w:rsidR="00B67D2A" w:rsidRPr="00EE69E0" w:rsidRDefault="00B67D2A" w:rsidP="005E6F1B">
            <w:pPr>
              <w:spacing w:after="0" w:line="240" w:lineRule="auto"/>
              <w:jc w:val="center"/>
              <w:rPr>
                <w:rFonts w:ascii="Times New Roman" w:hAnsi="Times New Roman" w:cs="Times New Roman"/>
                <w:color w:val="000000"/>
                <w:sz w:val="20"/>
                <w:szCs w:val="20"/>
              </w:rPr>
            </w:pPr>
            <w:r w:rsidRPr="00EE69E0">
              <w:rPr>
                <w:rFonts w:ascii="Times New Roman" w:hAnsi="Times New Roman" w:cs="Times New Roman"/>
                <w:color w:val="000000"/>
                <w:sz w:val="20"/>
                <w:szCs w:val="20"/>
              </w:rPr>
              <w:t xml:space="preserve">Пожилое население, менталитет, низкая грамотность, плохие социальные сети </w:t>
            </w:r>
            <w:r w:rsidRPr="00EE69E0">
              <w:rPr>
                <w:rFonts w:ascii="Times New Roman" w:hAnsi="Times New Roman" w:cs="Times New Roman"/>
                <w:sz w:val="20"/>
                <w:szCs w:val="20"/>
              </w:rPr>
              <w:t>(</w:t>
            </w:r>
            <w:r w:rsidRPr="00EE69E0">
              <w:rPr>
                <w:rFonts w:ascii="Times New Roman" w:hAnsi="Times New Roman" w:cs="Times New Roman"/>
                <w:sz w:val="20"/>
                <w:szCs w:val="20"/>
                <w:lang w:val="en-US"/>
              </w:rPr>
              <w:t>n</w:t>
            </w:r>
            <w:r w:rsidRPr="00EE69E0">
              <w:rPr>
                <w:rFonts w:ascii="Times New Roman" w:hAnsi="Times New Roman" w:cs="Times New Roman"/>
                <w:sz w:val="20"/>
                <w:szCs w:val="20"/>
              </w:rPr>
              <w:t>=20)</w:t>
            </w:r>
          </w:p>
        </w:tc>
      </w:tr>
    </w:tbl>
    <w:p w14:paraId="08F204E5" w14:textId="77777777" w:rsidR="00B67D2A" w:rsidRPr="000B2A05" w:rsidRDefault="00B67D2A" w:rsidP="00B67D2A">
      <w:pPr>
        <w:spacing w:line="240" w:lineRule="auto"/>
        <w:rPr>
          <w:rFonts w:ascii="Times New Roman" w:hAnsi="Times New Roman" w:cs="Times New Roman"/>
        </w:rPr>
      </w:pPr>
    </w:p>
    <w:p w14:paraId="47B28448" w14:textId="77777777" w:rsidR="00B67D2A" w:rsidRPr="000B2A05" w:rsidRDefault="00B67D2A" w:rsidP="00B67D2A">
      <w:pPr>
        <w:spacing w:line="240" w:lineRule="auto"/>
        <w:ind w:left="284" w:right="-851" w:firstLine="567"/>
        <w:jc w:val="both"/>
        <w:rPr>
          <w:rFonts w:ascii="Times New Roman" w:hAnsi="Times New Roman" w:cs="Times New Roman"/>
          <w:sz w:val="28"/>
          <w:szCs w:val="28"/>
        </w:rPr>
        <w:sectPr w:rsidR="00B67D2A" w:rsidRPr="000B2A05" w:rsidSect="00FC2E89">
          <w:pgSz w:w="16838" w:h="11906" w:orient="landscape"/>
          <w:pgMar w:top="1276" w:right="1134" w:bottom="1418" w:left="1418" w:header="709" w:footer="709" w:gutter="0"/>
          <w:cols w:space="340"/>
          <w:docGrid w:linePitch="326"/>
        </w:sectPr>
      </w:pPr>
    </w:p>
    <w:p w14:paraId="268995C0" w14:textId="77777777" w:rsidR="00B67D2A" w:rsidRPr="005458D9" w:rsidRDefault="00B67D2A" w:rsidP="00FC2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Р</w:t>
      </w:r>
      <w:r w:rsidRPr="000B2A05">
        <w:rPr>
          <w:rFonts w:ascii="Times New Roman" w:hAnsi="Times New Roman" w:cs="Times New Roman"/>
          <w:sz w:val="28"/>
          <w:szCs w:val="28"/>
        </w:rPr>
        <w:t>еабилит</w:t>
      </w:r>
      <w:r>
        <w:rPr>
          <w:rFonts w:ascii="Times New Roman" w:hAnsi="Times New Roman" w:cs="Times New Roman"/>
          <w:sz w:val="28"/>
          <w:szCs w:val="28"/>
        </w:rPr>
        <w:t xml:space="preserve">ологии </w:t>
      </w:r>
      <w:r w:rsidRPr="000B2A05">
        <w:rPr>
          <w:rFonts w:ascii="Times New Roman" w:hAnsi="Times New Roman" w:cs="Times New Roman"/>
          <w:sz w:val="28"/>
          <w:szCs w:val="28"/>
        </w:rPr>
        <w:t>в основном подтверждают наличие четких протоколов (n=18 полностью, n=7 частично) и официальных соглашений (n=17). Коммуникация в основном хорошая или удовлетворительная (n=20), но обучение проводится нерегулярно, часто ежегодно или ежеквартально. Задержки включают в себя время вызова скорой помощи, задержки в проведении визуализации и нехватку персонала/оборудования.</w:t>
      </w:r>
      <w:r>
        <w:rPr>
          <w:rFonts w:ascii="Times New Roman" w:hAnsi="Times New Roman" w:cs="Times New Roman"/>
          <w:sz w:val="28"/>
          <w:szCs w:val="28"/>
        </w:rPr>
        <w:t xml:space="preserve"> </w:t>
      </w:r>
      <w:r w:rsidRPr="000B2A05">
        <w:rPr>
          <w:rFonts w:ascii="Times New Roman" w:hAnsi="Times New Roman" w:cs="Times New Roman"/>
          <w:sz w:val="28"/>
          <w:szCs w:val="28"/>
        </w:rPr>
        <w:t>Нейрохирурги согласны с наличием четких протоколов (n=25 полностью) и официальных соглашений (n=20). Уровень коммуникации хороший или отличный (более 20), регулярное ежеквартальное или ежемесячное обучение. Задержки связаны с вызовом скорой помощи, диагностикой, доступом к инсультным центрам и кадровым обеспечением. Они подчёркивают необходимость передовой диагностики и лечения, таких как КТ/МРТ-перфузия, тромбэктомия и телемедицина.</w:t>
      </w:r>
      <w:r>
        <w:rPr>
          <w:rFonts w:ascii="Times New Roman" w:hAnsi="Times New Roman" w:cs="Times New Roman"/>
          <w:sz w:val="28"/>
          <w:szCs w:val="28"/>
        </w:rPr>
        <w:t xml:space="preserve"> </w:t>
      </w:r>
      <w:r w:rsidRPr="000B2A05">
        <w:rPr>
          <w:rFonts w:ascii="Times New Roman" w:hAnsi="Times New Roman" w:cs="Times New Roman"/>
          <w:sz w:val="28"/>
          <w:szCs w:val="28"/>
        </w:rPr>
        <w:t>Что касается постгоспитальной реабилитации и вторичной профилактики, специалисты по реабилитации сообщают в основном о комплексных программах, хотя некоторые пробелы всё же сохраняются. Нейрохирурги в целом поддерживают это, но отмечают продолжающееся развитие в некоторых медицинских организациях. Обе группы проявляют интерес к новым технологиям</w:t>
      </w:r>
      <w:r>
        <w:rPr>
          <w:rFonts w:ascii="Times New Roman" w:hAnsi="Times New Roman" w:cs="Times New Roman"/>
          <w:sz w:val="28"/>
          <w:szCs w:val="28"/>
        </w:rPr>
        <w:t xml:space="preserve">, как </w:t>
      </w:r>
      <w:r w:rsidRPr="000B2A05">
        <w:rPr>
          <w:rFonts w:ascii="Times New Roman" w:hAnsi="Times New Roman" w:cs="Times New Roman"/>
          <w:sz w:val="28"/>
          <w:szCs w:val="28"/>
        </w:rPr>
        <w:t xml:space="preserve">VR-терапии, телемедицине и передовой </w:t>
      </w:r>
      <w:r w:rsidRPr="005458D9">
        <w:rPr>
          <w:rFonts w:ascii="Times New Roman" w:hAnsi="Times New Roman" w:cs="Times New Roman"/>
          <w:sz w:val="28"/>
          <w:szCs w:val="28"/>
        </w:rPr>
        <w:t>диагностике, для улучшения качества оказания помощи и сокращения задержек (таблица 1</w:t>
      </w:r>
      <w:r>
        <w:rPr>
          <w:rFonts w:ascii="Times New Roman" w:hAnsi="Times New Roman" w:cs="Times New Roman"/>
          <w:sz w:val="28"/>
          <w:szCs w:val="28"/>
        </w:rPr>
        <w:t>5</w:t>
      </w:r>
      <w:r w:rsidRPr="005458D9">
        <w:rPr>
          <w:rFonts w:ascii="Times New Roman" w:hAnsi="Times New Roman" w:cs="Times New Roman"/>
          <w:sz w:val="28"/>
          <w:szCs w:val="28"/>
        </w:rPr>
        <w:t>).</w:t>
      </w:r>
    </w:p>
    <w:p w14:paraId="0742A731" w14:textId="77777777" w:rsidR="00B67D2A" w:rsidRDefault="00B67D2A" w:rsidP="00FC2E89">
      <w:pPr>
        <w:spacing w:after="0" w:line="240" w:lineRule="auto"/>
        <w:ind w:firstLine="567"/>
        <w:jc w:val="both"/>
      </w:pPr>
      <w:r w:rsidRPr="005458D9">
        <w:rPr>
          <w:rFonts w:ascii="Times New Roman" w:hAnsi="Times New Roman" w:cs="Times New Roman"/>
          <w:i/>
          <w:iCs/>
          <w:sz w:val="28"/>
          <w:szCs w:val="28"/>
        </w:rPr>
        <w:t>Дискуссия:</w:t>
      </w:r>
      <w:r w:rsidRPr="005458D9">
        <w:rPr>
          <w:rFonts w:ascii="Times New Roman" w:hAnsi="Times New Roman" w:cs="Times New Roman"/>
          <w:sz w:val="28"/>
          <w:szCs w:val="28"/>
        </w:rPr>
        <w:t xml:space="preserve"> Мы обнаружили, что реаниматологи и нейрохирурги обладают наивысшим уровнем опыта, свидетельствующим о высокой квалификации, тогда как специалисты по реабилитации и врачи</w:t>
      </w:r>
      <w:r w:rsidRPr="002E396B">
        <w:rPr>
          <w:rFonts w:ascii="Times New Roman" w:hAnsi="Times New Roman" w:cs="Times New Roman"/>
          <w:sz w:val="28"/>
          <w:szCs w:val="28"/>
        </w:rPr>
        <w:t xml:space="preserve"> </w:t>
      </w:r>
      <w:r>
        <w:rPr>
          <w:rFonts w:ascii="Times New Roman" w:hAnsi="Times New Roman" w:cs="Times New Roman"/>
          <w:sz w:val="28"/>
          <w:szCs w:val="28"/>
        </w:rPr>
        <w:t>СМП</w:t>
      </w:r>
      <w:r w:rsidRPr="002E396B">
        <w:rPr>
          <w:rFonts w:ascii="Times New Roman" w:hAnsi="Times New Roman" w:cs="Times New Roman"/>
          <w:sz w:val="28"/>
          <w:szCs w:val="28"/>
        </w:rPr>
        <w:t xml:space="preserve"> менее подготовлены, что отражает системные пробелы в постинсультном уходе и догоспитальном ведении. </w:t>
      </w:r>
      <w:r>
        <w:rPr>
          <w:rFonts w:ascii="Times New Roman" w:hAnsi="Times New Roman" w:cs="Times New Roman"/>
          <w:sz w:val="28"/>
          <w:szCs w:val="28"/>
        </w:rPr>
        <w:t>Ранее исследования показывают, что о</w:t>
      </w:r>
      <w:r w:rsidRPr="002E396B">
        <w:rPr>
          <w:rFonts w:ascii="Times New Roman" w:hAnsi="Times New Roman" w:cs="Times New Roman"/>
          <w:sz w:val="28"/>
          <w:szCs w:val="28"/>
        </w:rPr>
        <w:t xml:space="preserve">сведомлённость врачей об инсульте также различается </w:t>
      </w:r>
      <w:r>
        <w:rPr>
          <w:rFonts w:ascii="Times New Roman" w:hAnsi="Times New Roman" w:cs="Times New Roman"/>
          <w:sz w:val="28"/>
          <w:szCs w:val="28"/>
        </w:rPr>
        <w:t>в зависимости от</w:t>
      </w:r>
      <w:r w:rsidRPr="002E396B">
        <w:rPr>
          <w:rFonts w:ascii="Times New Roman" w:hAnsi="Times New Roman" w:cs="Times New Roman"/>
          <w:sz w:val="28"/>
          <w:szCs w:val="28"/>
        </w:rPr>
        <w:t xml:space="preserve"> специальност</w:t>
      </w:r>
      <w:r>
        <w:rPr>
          <w:rFonts w:ascii="Times New Roman" w:hAnsi="Times New Roman" w:cs="Times New Roman"/>
          <w:sz w:val="28"/>
          <w:szCs w:val="28"/>
        </w:rPr>
        <w:t>и</w:t>
      </w:r>
      <w:r w:rsidRPr="002E396B">
        <w:rPr>
          <w:rFonts w:ascii="Times New Roman" w:hAnsi="Times New Roman" w:cs="Times New Roman"/>
          <w:sz w:val="28"/>
          <w:szCs w:val="28"/>
        </w:rPr>
        <w:t xml:space="preserve">. Например, на северо-западе Китая лишь около 40% врачей первичной помощи знали о критическом временном окне для лечения </w:t>
      </w:r>
      <w:r>
        <w:rPr>
          <w:rFonts w:ascii="Times New Roman" w:hAnsi="Times New Roman" w:cs="Times New Roman"/>
          <w:sz w:val="28"/>
          <w:szCs w:val="28"/>
        </w:rPr>
        <w:t>ОНМК</w:t>
      </w:r>
      <w:r w:rsidRPr="002E396B">
        <w:rPr>
          <w:rFonts w:ascii="Times New Roman" w:hAnsi="Times New Roman" w:cs="Times New Roman"/>
          <w:sz w:val="28"/>
          <w:szCs w:val="28"/>
        </w:rPr>
        <w:t>, при этом более глубокие знания были связаны с частым обучением</w:t>
      </w:r>
      <w:r w:rsidRPr="00257250">
        <w:rPr>
          <w:rFonts w:ascii="Times New Roman" w:hAnsi="Times New Roman" w:cs="Times New Roman"/>
          <w:sz w:val="28"/>
          <w:szCs w:val="28"/>
        </w:rPr>
        <w:t xml:space="preserve"> [1</w:t>
      </w:r>
      <w:r w:rsidRPr="00704291">
        <w:rPr>
          <w:rFonts w:ascii="Times New Roman" w:hAnsi="Times New Roman" w:cs="Times New Roman"/>
          <w:sz w:val="28"/>
          <w:szCs w:val="28"/>
        </w:rPr>
        <w:t>49</w:t>
      </w:r>
      <w:r w:rsidRPr="00257250">
        <w:rPr>
          <w:rFonts w:ascii="Times New Roman" w:hAnsi="Times New Roman" w:cs="Times New Roman"/>
          <w:sz w:val="28"/>
          <w:szCs w:val="28"/>
        </w:rPr>
        <w:t>]</w:t>
      </w:r>
      <w:r w:rsidRPr="002E396B">
        <w:rPr>
          <w:rFonts w:ascii="Times New Roman" w:hAnsi="Times New Roman" w:cs="Times New Roman"/>
          <w:sz w:val="28"/>
          <w:szCs w:val="28"/>
        </w:rPr>
        <w:t>. В отделениях неотложной помощи на Кипре врачи показали более высокие результаты, чем медсестры, но имели пробелы, особенно в распознавании шкал тяжести инсульта, таких как NIHSS</w:t>
      </w:r>
      <w:r w:rsidRPr="00257250">
        <w:rPr>
          <w:rFonts w:ascii="Times New Roman" w:hAnsi="Times New Roman" w:cs="Times New Roman"/>
          <w:sz w:val="28"/>
          <w:szCs w:val="28"/>
        </w:rPr>
        <w:t xml:space="preserve"> [15</w:t>
      </w:r>
      <w:r w:rsidRPr="00704291">
        <w:rPr>
          <w:rFonts w:ascii="Times New Roman" w:hAnsi="Times New Roman" w:cs="Times New Roman"/>
          <w:sz w:val="28"/>
          <w:szCs w:val="28"/>
        </w:rPr>
        <w:t>0</w:t>
      </w:r>
      <w:r w:rsidRPr="00257250">
        <w:rPr>
          <w:rFonts w:ascii="Times New Roman" w:hAnsi="Times New Roman" w:cs="Times New Roman"/>
          <w:sz w:val="28"/>
          <w:szCs w:val="28"/>
        </w:rPr>
        <w:t>]</w:t>
      </w:r>
      <w:r w:rsidRPr="002E396B">
        <w:rPr>
          <w:rFonts w:ascii="Times New Roman" w:hAnsi="Times New Roman" w:cs="Times New Roman"/>
          <w:sz w:val="28"/>
          <w:szCs w:val="28"/>
        </w:rPr>
        <w:t>. Эти данные подчёркивают необходимость целенаправленного и регулярного обучения для улучшения раннего распознавания и лечения инсульта.</w:t>
      </w:r>
      <w:r w:rsidRPr="001D74DB">
        <w:t xml:space="preserve"> </w:t>
      </w:r>
    </w:p>
    <w:p w14:paraId="2314BE5F" w14:textId="77777777" w:rsidR="00B67D2A" w:rsidRPr="000B2A05" w:rsidRDefault="00B67D2A" w:rsidP="00FC2E89">
      <w:pPr>
        <w:spacing w:after="0" w:line="240" w:lineRule="auto"/>
        <w:ind w:firstLine="567"/>
        <w:jc w:val="both"/>
        <w:rPr>
          <w:rFonts w:ascii="Times New Roman" w:hAnsi="Times New Roman" w:cs="Times New Roman"/>
          <w:sz w:val="28"/>
          <w:szCs w:val="28"/>
        </w:rPr>
        <w:sectPr w:rsidR="00B67D2A" w:rsidRPr="000B2A05" w:rsidSect="00FC2E89">
          <w:pgSz w:w="11906" w:h="16838"/>
          <w:pgMar w:top="1276" w:right="707" w:bottom="1134" w:left="1701" w:header="709" w:footer="709" w:gutter="0"/>
          <w:cols w:space="340"/>
        </w:sectPr>
      </w:pPr>
      <w:r w:rsidRPr="001D74DB">
        <w:rPr>
          <w:rFonts w:ascii="Times New Roman" w:hAnsi="Times New Roman" w:cs="Times New Roman"/>
          <w:sz w:val="28"/>
          <w:szCs w:val="28"/>
        </w:rPr>
        <w:t>В нашем исследовании интерес к передовым технологиям — КТ/МРТ-перфузия, телемедицина, тромбэктомия, робототехника и VR-терапия</w:t>
      </w:r>
      <w:r>
        <w:rPr>
          <w:rFonts w:ascii="Times New Roman" w:hAnsi="Times New Roman" w:cs="Times New Roman"/>
          <w:sz w:val="28"/>
          <w:szCs w:val="28"/>
        </w:rPr>
        <w:t xml:space="preserve">, </w:t>
      </w:r>
      <w:r w:rsidRPr="001D74DB">
        <w:rPr>
          <w:rFonts w:ascii="Times New Roman" w:hAnsi="Times New Roman" w:cs="Times New Roman"/>
          <w:sz w:val="28"/>
          <w:szCs w:val="28"/>
        </w:rPr>
        <w:t>отражает готовность врачей внедрять инновации для улучшения лечения инсульта. При этом выявлены барьеры интеграции: необходимость обучения, затраты и инфраструктура</w:t>
      </w:r>
      <w:r w:rsidRPr="00257250">
        <w:rPr>
          <w:rFonts w:ascii="Times New Roman" w:hAnsi="Times New Roman" w:cs="Times New Roman"/>
          <w:sz w:val="28"/>
          <w:szCs w:val="28"/>
        </w:rPr>
        <w:t xml:space="preserve"> [15</w:t>
      </w:r>
      <w:r w:rsidRPr="00704291">
        <w:rPr>
          <w:rFonts w:ascii="Times New Roman" w:hAnsi="Times New Roman" w:cs="Times New Roman"/>
          <w:sz w:val="28"/>
          <w:szCs w:val="28"/>
        </w:rPr>
        <w:t>1</w:t>
      </w:r>
      <w:r w:rsidRPr="00257250">
        <w:rPr>
          <w:rFonts w:ascii="Times New Roman" w:hAnsi="Times New Roman" w:cs="Times New Roman"/>
          <w:sz w:val="28"/>
          <w:szCs w:val="28"/>
        </w:rPr>
        <w:t>]</w:t>
      </w:r>
      <w:r w:rsidRPr="001D74DB">
        <w:rPr>
          <w:rFonts w:ascii="Times New Roman" w:hAnsi="Times New Roman" w:cs="Times New Roman"/>
          <w:sz w:val="28"/>
          <w:szCs w:val="28"/>
        </w:rPr>
        <w:t>.</w:t>
      </w:r>
      <w:r w:rsidRPr="001D74DB">
        <w:t xml:space="preserve"> </w:t>
      </w:r>
      <w:r w:rsidRPr="00264BA4">
        <w:rPr>
          <w:rFonts w:ascii="Times New Roman" w:hAnsi="Times New Roman" w:cs="Times New Roman"/>
          <w:sz w:val="28"/>
          <w:szCs w:val="28"/>
        </w:rPr>
        <w:t>Современные исследования показывают, что, несмотря на значительный прогресс в лечении инсульта, включая механическую тромбэктомию, ключевым фактором остаётся сокращение времени от появления симптомов до реперфузии, при этом наибольший потенциал имеют догоспитальные технологии выявления и маршрутизации пациентов.</w:t>
      </w:r>
    </w:p>
    <w:p w14:paraId="6DD8057F" w14:textId="45382321" w:rsidR="00B67D2A" w:rsidRDefault="00B67D2A" w:rsidP="00FC2E89">
      <w:pPr>
        <w:spacing w:after="0" w:line="240" w:lineRule="auto"/>
        <w:ind w:right="-851"/>
        <w:contextualSpacing/>
        <w:jc w:val="both"/>
        <w:rPr>
          <w:rFonts w:ascii="Times New Roman" w:hAnsi="Times New Roman" w:cs="Times New Roman"/>
          <w:sz w:val="28"/>
          <w:szCs w:val="28"/>
        </w:rPr>
      </w:pPr>
      <w:r w:rsidRPr="000B2A05">
        <w:rPr>
          <w:rFonts w:ascii="Times New Roman" w:hAnsi="Times New Roman" w:cs="Times New Roman"/>
          <w:sz w:val="28"/>
          <w:szCs w:val="28"/>
        </w:rPr>
        <w:lastRenderedPageBreak/>
        <w:t xml:space="preserve">Таблица </w:t>
      </w:r>
      <w:r>
        <w:rPr>
          <w:rFonts w:ascii="Times New Roman" w:hAnsi="Times New Roman" w:cs="Times New Roman"/>
          <w:sz w:val="28"/>
          <w:szCs w:val="28"/>
        </w:rPr>
        <w:t>15</w:t>
      </w:r>
      <w:r w:rsidR="00FC2E89">
        <w:rPr>
          <w:rFonts w:ascii="Times New Roman" w:hAnsi="Times New Roman" w:cs="Times New Roman"/>
          <w:sz w:val="28"/>
          <w:szCs w:val="28"/>
        </w:rPr>
        <w:t xml:space="preserve"> -</w:t>
      </w:r>
      <w:r w:rsidRPr="000B2A05">
        <w:rPr>
          <w:rFonts w:ascii="Times New Roman" w:hAnsi="Times New Roman" w:cs="Times New Roman"/>
          <w:sz w:val="28"/>
          <w:szCs w:val="28"/>
        </w:rPr>
        <w:t xml:space="preserve"> Обзор процессов и проблем оказания помощи при инсульте по мнению медицинских работников</w:t>
      </w:r>
    </w:p>
    <w:p w14:paraId="15A8944A" w14:textId="77777777" w:rsidR="00FC2E89" w:rsidRPr="000B2A05" w:rsidRDefault="00FC2E89" w:rsidP="00FC2E89">
      <w:pPr>
        <w:spacing w:after="0" w:line="240" w:lineRule="auto"/>
        <w:ind w:right="-851"/>
        <w:contextualSpacing/>
        <w:jc w:val="both"/>
        <w:rPr>
          <w:rFonts w:ascii="Times New Roman" w:hAnsi="Times New Roman" w:cs="Times New Roman"/>
          <w:sz w:val="28"/>
          <w:szCs w:val="28"/>
        </w:rPr>
      </w:pPr>
    </w:p>
    <w:tbl>
      <w:tblPr>
        <w:tblW w:w="14317" w:type="dxa"/>
        <w:tblInd w:w="137" w:type="dxa"/>
        <w:tblLayout w:type="fixed"/>
        <w:tblLook w:val="04A0" w:firstRow="1" w:lastRow="0" w:firstColumn="1" w:lastColumn="0" w:noHBand="0" w:noVBand="1"/>
      </w:tblPr>
      <w:tblGrid>
        <w:gridCol w:w="2239"/>
        <w:gridCol w:w="2694"/>
        <w:gridCol w:w="2358"/>
        <w:gridCol w:w="2178"/>
        <w:gridCol w:w="2693"/>
        <w:gridCol w:w="2155"/>
      </w:tblGrid>
      <w:tr w:rsidR="00B67D2A" w:rsidRPr="002E396B" w14:paraId="6D6CCDE8" w14:textId="77777777" w:rsidTr="00FC2E89">
        <w:trPr>
          <w:trHeight w:val="293"/>
        </w:trPr>
        <w:tc>
          <w:tcPr>
            <w:tcW w:w="2239" w:type="dxa"/>
            <w:tcBorders>
              <w:top w:val="single" w:sz="4" w:space="0" w:color="auto"/>
              <w:left w:val="single" w:sz="4" w:space="0" w:color="auto"/>
              <w:bottom w:val="single" w:sz="4" w:space="0" w:color="auto"/>
              <w:right w:val="single" w:sz="4" w:space="0" w:color="auto"/>
            </w:tcBorders>
            <w:hideMark/>
          </w:tcPr>
          <w:p w14:paraId="1357C1D1" w14:textId="77777777" w:rsidR="00B67D2A" w:rsidRPr="002E396B" w:rsidRDefault="00B67D2A" w:rsidP="00FC2E89">
            <w:pPr>
              <w:spacing w:after="0" w:line="240" w:lineRule="auto"/>
              <w:contextualSpacing/>
              <w:jc w:val="center"/>
              <w:rPr>
                <w:rFonts w:ascii="Times New Roman" w:hAnsi="Times New Roman" w:cs="Times New Roman"/>
                <w:b/>
                <w:bCs/>
                <w:color w:val="000000"/>
              </w:rPr>
            </w:pPr>
            <w:r w:rsidRPr="002E396B">
              <w:rPr>
                <w:rFonts w:ascii="Times New Roman" w:hAnsi="Times New Roman" w:cs="Times New Roman"/>
              </w:rPr>
              <w:t>Аспект</w:t>
            </w:r>
          </w:p>
        </w:tc>
        <w:tc>
          <w:tcPr>
            <w:tcW w:w="2694" w:type="dxa"/>
            <w:tcBorders>
              <w:top w:val="single" w:sz="4" w:space="0" w:color="auto"/>
              <w:left w:val="nil"/>
              <w:bottom w:val="single" w:sz="4" w:space="0" w:color="auto"/>
              <w:right w:val="single" w:sz="4" w:space="0" w:color="auto"/>
            </w:tcBorders>
            <w:hideMark/>
          </w:tcPr>
          <w:p w14:paraId="28B318F6" w14:textId="77777777" w:rsidR="00B67D2A" w:rsidRPr="002E396B" w:rsidRDefault="00B67D2A" w:rsidP="00FC2E89">
            <w:pPr>
              <w:spacing w:after="0" w:line="240" w:lineRule="auto"/>
              <w:contextualSpacing/>
              <w:jc w:val="center"/>
              <w:rPr>
                <w:rFonts w:ascii="Times New Roman" w:hAnsi="Times New Roman" w:cs="Times New Roman"/>
                <w:b/>
                <w:bCs/>
                <w:color w:val="000000"/>
              </w:rPr>
            </w:pPr>
            <w:r w:rsidRPr="002E396B">
              <w:rPr>
                <w:rFonts w:ascii="Times New Roman" w:hAnsi="Times New Roman" w:cs="Times New Roman"/>
              </w:rPr>
              <w:t>Врачи скорой помощи</w:t>
            </w:r>
          </w:p>
        </w:tc>
        <w:tc>
          <w:tcPr>
            <w:tcW w:w="2358" w:type="dxa"/>
            <w:tcBorders>
              <w:top w:val="single" w:sz="4" w:space="0" w:color="auto"/>
              <w:left w:val="nil"/>
              <w:bottom w:val="single" w:sz="4" w:space="0" w:color="auto"/>
              <w:right w:val="single" w:sz="4" w:space="0" w:color="auto"/>
            </w:tcBorders>
            <w:hideMark/>
          </w:tcPr>
          <w:p w14:paraId="79D16B62" w14:textId="77777777" w:rsidR="00B67D2A" w:rsidRPr="002E396B" w:rsidRDefault="00B67D2A" w:rsidP="00FC2E89">
            <w:pPr>
              <w:spacing w:after="0" w:line="240" w:lineRule="auto"/>
              <w:contextualSpacing/>
              <w:jc w:val="center"/>
              <w:rPr>
                <w:rFonts w:ascii="Times New Roman" w:hAnsi="Times New Roman" w:cs="Times New Roman"/>
                <w:b/>
                <w:bCs/>
                <w:color w:val="000000"/>
              </w:rPr>
            </w:pPr>
            <w:r w:rsidRPr="002E396B">
              <w:rPr>
                <w:rFonts w:ascii="Times New Roman" w:hAnsi="Times New Roman" w:cs="Times New Roman"/>
              </w:rPr>
              <w:t>Неврологи</w:t>
            </w:r>
          </w:p>
        </w:tc>
        <w:tc>
          <w:tcPr>
            <w:tcW w:w="2178" w:type="dxa"/>
            <w:tcBorders>
              <w:top w:val="single" w:sz="4" w:space="0" w:color="auto"/>
              <w:left w:val="nil"/>
              <w:bottom w:val="single" w:sz="4" w:space="0" w:color="auto"/>
              <w:right w:val="single" w:sz="4" w:space="0" w:color="auto"/>
            </w:tcBorders>
            <w:hideMark/>
          </w:tcPr>
          <w:p w14:paraId="72117C85" w14:textId="77777777" w:rsidR="00B67D2A" w:rsidRPr="002E396B" w:rsidRDefault="00B67D2A" w:rsidP="00FC2E89">
            <w:pPr>
              <w:spacing w:after="0" w:line="240" w:lineRule="auto"/>
              <w:contextualSpacing/>
              <w:jc w:val="center"/>
              <w:rPr>
                <w:rFonts w:ascii="Times New Roman" w:hAnsi="Times New Roman" w:cs="Times New Roman"/>
                <w:b/>
                <w:bCs/>
                <w:color w:val="000000"/>
              </w:rPr>
            </w:pPr>
            <w:r w:rsidRPr="002E396B">
              <w:rPr>
                <w:rFonts w:ascii="Times New Roman" w:hAnsi="Times New Roman" w:cs="Times New Roman"/>
              </w:rPr>
              <w:t>Специалисты отделения интенсивной терапии</w:t>
            </w:r>
          </w:p>
        </w:tc>
        <w:tc>
          <w:tcPr>
            <w:tcW w:w="2693" w:type="dxa"/>
            <w:tcBorders>
              <w:top w:val="single" w:sz="4" w:space="0" w:color="auto"/>
              <w:left w:val="nil"/>
              <w:bottom w:val="single" w:sz="4" w:space="0" w:color="auto"/>
              <w:right w:val="single" w:sz="4" w:space="0" w:color="auto"/>
            </w:tcBorders>
            <w:hideMark/>
          </w:tcPr>
          <w:p w14:paraId="23E2E624" w14:textId="77777777" w:rsidR="00B67D2A" w:rsidRPr="002E396B" w:rsidRDefault="00B67D2A" w:rsidP="00FC2E89">
            <w:pPr>
              <w:spacing w:after="0" w:line="240" w:lineRule="auto"/>
              <w:contextualSpacing/>
              <w:jc w:val="center"/>
              <w:rPr>
                <w:rFonts w:ascii="Times New Roman" w:hAnsi="Times New Roman" w:cs="Times New Roman"/>
                <w:b/>
                <w:bCs/>
                <w:color w:val="000000"/>
              </w:rPr>
            </w:pPr>
            <w:r w:rsidRPr="002E396B">
              <w:rPr>
                <w:rFonts w:ascii="Times New Roman" w:hAnsi="Times New Roman" w:cs="Times New Roman"/>
              </w:rPr>
              <w:t>Специалисты по реабилитации</w:t>
            </w:r>
          </w:p>
        </w:tc>
        <w:tc>
          <w:tcPr>
            <w:tcW w:w="2155" w:type="dxa"/>
            <w:tcBorders>
              <w:top w:val="single" w:sz="4" w:space="0" w:color="auto"/>
              <w:left w:val="nil"/>
              <w:bottom w:val="single" w:sz="4" w:space="0" w:color="auto"/>
              <w:right w:val="single" w:sz="4" w:space="0" w:color="auto"/>
            </w:tcBorders>
            <w:hideMark/>
          </w:tcPr>
          <w:p w14:paraId="52A3B53D" w14:textId="77777777" w:rsidR="00B67D2A" w:rsidRPr="002E396B" w:rsidRDefault="00B67D2A" w:rsidP="00FC2E89">
            <w:pPr>
              <w:spacing w:after="0" w:line="240" w:lineRule="auto"/>
              <w:contextualSpacing/>
              <w:jc w:val="center"/>
              <w:rPr>
                <w:rFonts w:ascii="Times New Roman" w:hAnsi="Times New Roman" w:cs="Times New Roman"/>
                <w:b/>
                <w:bCs/>
                <w:color w:val="000000"/>
              </w:rPr>
            </w:pPr>
            <w:r w:rsidRPr="002E396B">
              <w:rPr>
                <w:rFonts w:ascii="Times New Roman" w:hAnsi="Times New Roman" w:cs="Times New Roman"/>
              </w:rPr>
              <w:t>Нейрохирурги</w:t>
            </w:r>
          </w:p>
        </w:tc>
      </w:tr>
      <w:tr w:rsidR="00B67D2A" w:rsidRPr="002E396B" w14:paraId="5573890A" w14:textId="77777777" w:rsidTr="00FC2E89">
        <w:trPr>
          <w:trHeight w:val="683"/>
        </w:trPr>
        <w:tc>
          <w:tcPr>
            <w:tcW w:w="2239" w:type="dxa"/>
            <w:tcBorders>
              <w:top w:val="nil"/>
              <w:left w:val="single" w:sz="4" w:space="0" w:color="auto"/>
              <w:bottom w:val="single" w:sz="4" w:space="0" w:color="auto"/>
              <w:right w:val="single" w:sz="4" w:space="0" w:color="auto"/>
            </w:tcBorders>
            <w:hideMark/>
          </w:tcPr>
          <w:p w14:paraId="02243AF1" w14:textId="77777777" w:rsidR="00B67D2A" w:rsidRPr="002E396B" w:rsidRDefault="00B67D2A" w:rsidP="005E6F1B">
            <w:pPr>
              <w:spacing w:after="0" w:line="240" w:lineRule="auto"/>
              <w:rPr>
                <w:rFonts w:ascii="Times New Roman" w:hAnsi="Times New Roman" w:cs="Times New Roman"/>
                <w:b/>
                <w:bCs/>
                <w:color w:val="000000"/>
              </w:rPr>
            </w:pPr>
            <w:r w:rsidRPr="002E396B">
              <w:rPr>
                <w:rFonts w:ascii="Times New Roman" w:hAnsi="Times New Roman" w:cs="Times New Roman"/>
              </w:rPr>
              <w:t>Четкие пути пациентов</w:t>
            </w:r>
          </w:p>
        </w:tc>
        <w:tc>
          <w:tcPr>
            <w:tcW w:w="2694" w:type="dxa"/>
            <w:tcBorders>
              <w:top w:val="nil"/>
              <w:left w:val="nil"/>
              <w:bottom w:val="single" w:sz="4" w:space="0" w:color="auto"/>
              <w:right w:val="single" w:sz="4" w:space="0" w:color="auto"/>
            </w:tcBorders>
            <w:hideMark/>
          </w:tcPr>
          <w:p w14:paraId="42F5D431"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В основном ясно (</w:t>
            </w:r>
            <w:r w:rsidRPr="002E396B">
              <w:rPr>
                <w:rFonts w:ascii="Times New Roman" w:hAnsi="Times New Roman" w:cs="Times New Roman"/>
                <w:lang w:val="en-US"/>
              </w:rPr>
              <w:t>n</w:t>
            </w:r>
            <w:r w:rsidRPr="002E396B">
              <w:rPr>
                <w:rFonts w:ascii="Times New Roman" w:hAnsi="Times New Roman" w:cs="Times New Roman"/>
              </w:rPr>
              <w:t>=2)</w:t>
            </w:r>
          </w:p>
        </w:tc>
        <w:tc>
          <w:tcPr>
            <w:tcW w:w="2358" w:type="dxa"/>
            <w:tcBorders>
              <w:top w:val="nil"/>
              <w:left w:val="nil"/>
              <w:bottom w:val="single" w:sz="4" w:space="0" w:color="auto"/>
              <w:right w:val="single" w:sz="4" w:space="0" w:color="auto"/>
            </w:tcBorders>
            <w:hideMark/>
          </w:tcPr>
          <w:p w14:paraId="6BDA2ED2"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Подтверждено (</w:t>
            </w:r>
            <w:r w:rsidRPr="002E396B">
              <w:rPr>
                <w:rFonts w:ascii="Times New Roman" w:hAnsi="Times New Roman" w:cs="Times New Roman"/>
                <w:lang w:val="en-US"/>
              </w:rPr>
              <w:t>n</w:t>
            </w:r>
            <w:r w:rsidRPr="002E396B">
              <w:rPr>
                <w:rFonts w:ascii="Times New Roman" w:hAnsi="Times New Roman" w:cs="Times New Roman"/>
              </w:rPr>
              <w:t>=</w:t>
            </w:r>
            <w:r w:rsidRPr="002E396B">
              <w:rPr>
                <w:rFonts w:ascii="Times New Roman" w:hAnsi="Times New Roman" w:cs="Times New Roman"/>
                <w:lang w:val="en-US"/>
              </w:rPr>
              <w:t>6</w:t>
            </w:r>
            <w:r w:rsidRPr="002E396B">
              <w:rPr>
                <w:rFonts w:ascii="Times New Roman" w:hAnsi="Times New Roman" w:cs="Times New Roman"/>
              </w:rPr>
              <w:t>)</w:t>
            </w:r>
          </w:p>
        </w:tc>
        <w:tc>
          <w:tcPr>
            <w:tcW w:w="2178" w:type="dxa"/>
            <w:tcBorders>
              <w:top w:val="nil"/>
              <w:left w:val="nil"/>
              <w:bottom w:val="single" w:sz="4" w:space="0" w:color="auto"/>
              <w:right w:val="single" w:sz="4" w:space="0" w:color="auto"/>
            </w:tcBorders>
            <w:hideMark/>
          </w:tcPr>
          <w:p w14:paraId="2C432906"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Подтверждено (</w:t>
            </w:r>
            <w:r w:rsidRPr="002E396B">
              <w:rPr>
                <w:rFonts w:ascii="Times New Roman" w:hAnsi="Times New Roman" w:cs="Times New Roman"/>
                <w:lang w:val="en-US"/>
              </w:rPr>
              <w:t>n</w:t>
            </w:r>
            <w:r w:rsidRPr="002E396B">
              <w:rPr>
                <w:rFonts w:ascii="Times New Roman" w:hAnsi="Times New Roman" w:cs="Times New Roman"/>
              </w:rPr>
              <w:t>=7)</w:t>
            </w:r>
          </w:p>
        </w:tc>
        <w:tc>
          <w:tcPr>
            <w:tcW w:w="2693" w:type="dxa"/>
            <w:tcBorders>
              <w:top w:val="nil"/>
              <w:left w:val="nil"/>
              <w:bottom w:val="single" w:sz="4" w:space="0" w:color="auto"/>
              <w:right w:val="single" w:sz="4" w:space="0" w:color="auto"/>
            </w:tcBorders>
            <w:hideMark/>
          </w:tcPr>
          <w:p w14:paraId="2789930A"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В основном да (</w:t>
            </w:r>
            <w:r w:rsidRPr="002E396B">
              <w:rPr>
                <w:rFonts w:ascii="Times New Roman" w:hAnsi="Times New Roman" w:cs="Times New Roman"/>
                <w:lang w:val="en-US"/>
              </w:rPr>
              <w:t>n</w:t>
            </w:r>
            <w:r w:rsidRPr="002E396B">
              <w:rPr>
                <w:rFonts w:ascii="Times New Roman" w:hAnsi="Times New Roman" w:cs="Times New Roman"/>
              </w:rPr>
              <w:t xml:space="preserve">=18 полных, </w:t>
            </w:r>
            <w:r w:rsidRPr="002E396B">
              <w:rPr>
                <w:rFonts w:ascii="Times New Roman" w:hAnsi="Times New Roman" w:cs="Times New Roman"/>
                <w:lang w:val="en-US"/>
              </w:rPr>
              <w:t>n</w:t>
            </w:r>
            <w:r w:rsidRPr="002E396B">
              <w:rPr>
                <w:rFonts w:ascii="Times New Roman" w:hAnsi="Times New Roman" w:cs="Times New Roman"/>
              </w:rPr>
              <w:t>=7 частичных)</w:t>
            </w:r>
          </w:p>
        </w:tc>
        <w:tc>
          <w:tcPr>
            <w:tcW w:w="2155" w:type="dxa"/>
            <w:tcBorders>
              <w:top w:val="nil"/>
              <w:left w:val="nil"/>
              <w:bottom w:val="single" w:sz="4" w:space="0" w:color="auto"/>
              <w:right w:val="single" w:sz="4" w:space="0" w:color="auto"/>
            </w:tcBorders>
            <w:hideMark/>
          </w:tcPr>
          <w:p w14:paraId="63DAA186"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В основном да (</w:t>
            </w:r>
            <w:r w:rsidRPr="002E396B">
              <w:rPr>
                <w:rFonts w:ascii="Times New Roman" w:hAnsi="Times New Roman" w:cs="Times New Roman"/>
                <w:lang w:val="en-US"/>
              </w:rPr>
              <w:t>n</w:t>
            </w:r>
            <w:r w:rsidRPr="002E396B">
              <w:rPr>
                <w:rFonts w:ascii="Times New Roman" w:hAnsi="Times New Roman" w:cs="Times New Roman"/>
              </w:rPr>
              <w:t>=~25 участников)</w:t>
            </w:r>
          </w:p>
        </w:tc>
      </w:tr>
      <w:tr w:rsidR="00B67D2A" w:rsidRPr="002E396B" w14:paraId="10362E06" w14:textId="77777777" w:rsidTr="00FC2E89">
        <w:trPr>
          <w:trHeight w:val="409"/>
        </w:trPr>
        <w:tc>
          <w:tcPr>
            <w:tcW w:w="2239" w:type="dxa"/>
            <w:tcBorders>
              <w:top w:val="nil"/>
              <w:left w:val="single" w:sz="4" w:space="0" w:color="auto"/>
              <w:bottom w:val="single" w:sz="4" w:space="0" w:color="auto"/>
              <w:right w:val="single" w:sz="4" w:space="0" w:color="auto"/>
            </w:tcBorders>
            <w:hideMark/>
          </w:tcPr>
          <w:p w14:paraId="4C5D2C09" w14:textId="77777777" w:rsidR="00B67D2A" w:rsidRPr="002E396B" w:rsidRDefault="00B67D2A" w:rsidP="005E6F1B">
            <w:pPr>
              <w:spacing w:after="0" w:line="240" w:lineRule="auto"/>
              <w:rPr>
                <w:rFonts w:ascii="Times New Roman" w:hAnsi="Times New Roman" w:cs="Times New Roman"/>
                <w:b/>
                <w:bCs/>
                <w:color w:val="000000"/>
              </w:rPr>
            </w:pPr>
            <w:r w:rsidRPr="002E396B">
              <w:rPr>
                <w:rFonts w:ascii="Times New Roman" w:hAnsi="Times New Roman" w:cs="Times New Roman"/>
              </w:rPr>
              <w:t>Официальные соглашения</w:t>
            </w:r>
          </w:p>
        </w:tc>
        <w:tc>
          <w:tcPr>
            <w:tcW w:w="2694" w:type="dxa"/>
            <w:tcBorders>
              <w:top w:val="nil"/>
              <w:left w:val="nil"/>
              <w:bottom w:val="single" w:sz="4" w:space="0" w:color="auto"/>
              <w:right w:val="single" w:sz="4" w:space="0" w:color="auto"/>
            </w:tcBorders>
            <w:hideMark/>
          </w:tcPr>
          <w:p w14:paraId="2D6F2239"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Присутствует (</w:t>
            </w:r>
            <w:r w:rsidRPr="002E396B">
              <w:rPr>
                <w:rFonts w:ascii="Times New Roman" w:hAnsi="Times New Roman" w:cs="Times New Roman"/>
                <w:lang w:val="en-US"/>
              </w:rPr>
              <w:t>n</w:t>
            </w:r>
            <w:r w:rsidRPr="002E396B">
              <w:rPr>
                <w:rFonts w:ascii="Times New Roman" w:hAnsi="Times New Roman" w:cs="Times New Roman"/>
              </w:rPr>
              <w:t>=3)</w:t>
            </w:r>
          </w:p>
        </w:tc>
        <w:tc>
          <w:tcPr>
            <w:tcW w:w="2358" w:type="dxa"/>
            <w:tcBorders>
              <w:top w:val="nil"/>
              <w:left w:val="nil"/>
              <w:bottom w:val="single" w:sz="4" w:space="0" w:color="auto"/>
              <w:right w:val="single" w:sz="4" w:space="0" w:color="auto"/>
            </w:tcBorders>
            <w:hideMark/>
          </w:tcPr>
          <w:p w14:paraId="1B80AD17" w14:textId="77777777" w:rsidR="00B67D2A" w:rsidRPr="002E396B" w:rsidRDefault="00B67D2A" w:rsidP="005E6F1B">
            <w:pPr>
              <w:spacing w:after="0" w:line="240" w:lineRule="auto"/>
              <w:rPr>
                <w:rFonts w:ascii="Times New Roman" w:hAnsi="Times New Roman" w:cs="Times New Roman"/>
                <w:color w:val="000000"/>
                <w:lang w:val="en-US"/>
              </w:rPr>
            </w:pPr>
            <w:r w:rsidRPr="002E396B">
              <w:rPr>
                <w:rFonts w:ascii="Times New Roman" w:hAnsi="Times New Roman" w:cs="Times New Roman"/>
              </w:rPr>
              <w:t>Присутствует (</w:t>
            </w:r>
            <w:r w:rsidRPr="002E396B">
              <w:rPr>
                <w:rFonts w:ascii="Times New Roman" w:hAnsi="Times New Roman" w:cs="Times New Roman"/>
                <w:lang w:val="en-US"/>
              </w:rPr>
              <w:t>n</w:t>
            </w:r>
            <w:r w:rsidRPr="002E396B">
              <w:rPr>
                <w:rFonts w:ascii="Times New Roman" w:hAnsi="Times New Roman" w:cs="Times New Roman"/>
              </w:rPr>
              <w:t>=</w:t>
            </w:r>
            <w:r w:rsidRPr="002E396B">
              <w:rPr>
                <w:rFonts w:ascii="Times New Roman" w:hAnsi="Times New Roman" w:cs="Times New Roman"/>
                <w:lang w:val="en-US"/>
              </w:rPr>
              <w:t>5)</w:t>
            </w:r>
          </w:p>
        </w:tc>
        <w:tc>
          <w:tcPr>
            <w:tcW w:w="2178" w:type="dxa"/>
            <w:tcBorders>
              <w:top w:val="nil"/>
              <w:left w:val="nil"/>
              <w:bottom w:val="single" w:sz="4" w:space="0" w:color="auto"/>
              <w:right w:val="single" w:sz="4" w:space="0" w:color="auto"/>
            </w:tcBorders>
            <w:hideMark/>
          </w:tcPr>
          <w:p w14:paraId="327D10AA"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Присутствует (</w:t>
            </w:r>
            <w:r w:rsidRPr="002E396B">
              <w:rPr>
                <w:rFonts w:ascii="Times New Roman" w:hAnsi="Times New Roman" w:cs="Times New Roman"/>
                <w:lang w:val="en-US"/>
              </w:rPr>
              <w:t>n</w:t>
            </w:r>
            <w:r w:rsidRPr="002E396B">
              <w:rPr>
                <w:rFonts w:ascii="Times New Roman" w:hAnsi="Times New Roman" w:cs="Times New Roman"/>
              </w:rPr>
              <w:t>=7)</w:t>
            </w:r>
          </w:p>
        </w:tc>
        <w:tc>
          <w:tcPr>
            <w:tcW w:w="2693" w:type="dxa"/>
            <w:tcBorders>
              <w:top w:val="nil"/>
              <w:left w:val="nil"/>
              <w:bottom w:val="single" w:sz="4" w:space="0" w:color="auto"/>
              <w:right w:val="single" w:sz="4" w:space="0" w:color="auto"/>
            </w:tcBorders>
            <w:hideMark/>
          </w:tcPr>
          <w:p w14:paraId="02F52446"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В основном присутствует (</w:t>
            </w:r>
            <w:r w:rsidRPr="002E396B">
              <w:rPr>
                <w:rFonts w:ascii="Times New Roman" w:hAnsi="Times New Roman" w:cs="Times New Roman"/>
                <w:lang w:val="en-US"/>
              </w:rPr>
              <w:t>n</w:t>
            </w:r>
            <w:r w:rsidRPr="002E396B">
              <w:rPr>
                <w:rFonts w:ascii="Times New Roman" w:hAnsi="Times New Roman" w:cs="Times New Roman"/>
              </w:rPr>
              <w:t>=17)</w:t>
            </w:r>
          </w:p>
        </w:tc>
        <w:tc>
          <w:tcPr>
            <w:tcW w:w="2155" w:type="dxa"/>
            <w:tcBorders>
              <w:top w:val="nil"/>
              <w:left w:val="nil"/>
              <w:bottom w:val="single" w:sz="4" w:space="0" w:color="auto"/>
              <w:right w:val="single" w:sz="4" w:space="0" w:color="auto"/>
            </w:tcBorders>
            <w:hideMark/>
          </w:tcPr>
          <w:p w14:paraId="117D5518"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Присутствуют или в разработке (</w:t>
            </w:r>
            <w:r w:rsidRPr="002E396B">
              <w:rPr>
                <w:rFonts w:ascii="Times New Roman" w:hAnsi="Times New Roman" w:cs="Times New Roman"/>
                <w:lang w:val="en-US"/>
              </w:rPr>
              <w:t>n</w:t>
            </w:r>
            <w:r w:rsidRPr="002E396B">
              <w:rPr>
                <w:rFonts w:ascii="Times New Roman" w:hAnsi="Times New Roman" w:cs="Times New Roman"/>
              </w:rPr>
              <w:t>=~20)</w:t>
            </w:r>
          </w:p>
        </w:tc>
      </w:tr>
      <w:tr w:rsidR="00B67D2A" w:rsidRPr="002E396B" w14:paraId="13542A84" w14:textId="77777777" w:rsidTr="00FC2E89">
        <w:trPr>
          <w:trHeight w:val="547"/>
        </w:trPr>
        <w:tc>
          <w:tcPr>
            <w:tcW w:w="2239" w:type="dxa"/>
            <w:tcBorders>
              <w:top w:val="nil"/>
              <w:left w:val="single" w:sz="4" w:space="0" w:color="auto"/>
              <w:bottom w:val="single" w:sz="4" w:space="0" w:color="auto"/>
              <w:right w:val="single" w:sz="4" w:space="0" w:color="auto"/>
            </w:tcBorders>
            <w:hideMark/>
          </w:tcPr>
          <w:p w14:paraId="09905E6C" w14:textId="77777777" w:rsidR="00B67D2A" w:rsidRPr="002E396B" w:rsidRDefault="00B67D2A" w:rsidP="005E6F1B">
            <w:pPr>
              <w:spacing w:after="0" w:line="240" w:lineRule="auto"/>
              <w:rPr>
                <w:rFonts w:ascii="Times New Roman" w:hAnsi="Times New Roman" w:cs="Times New Roman"/>
                <w:b/>
                <w:bCs/>
                <w:color w:val="000000"/>
              </w:rPr>
            </w:pPr>
            <w:r w:rsidRPr="002E396B">
              <w:rPr>
                <w:rFonts w:ascii="Times New Roman" w:hAnsi="Times New Roman" w:cs="Times New Roman"/>
              </w:rPr>
              <w:t>Качество коммуникации</w:t>
            </w:r>
          </w:p>
        </w:tc>
        <w:tc>
          <w:tcPr>
            <w:tcW w:w="2694" w:type="dxa"/>
            <w:tcBorders>
              <w:top w:val="nil"/>
              <w:left w:val="nil"/>
              <w:bottom w:val="single" w:sz="4" w:space="0" w:color="auto"/>
              <w:right w:val="single" w:sz="4" w:space="0" w:color="auto"/>
            </w:tcBorders>
            <w:hideMark/>
          </w:tcPr>
          <w:p w14:paraId="0282F83B"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Хорошо или отлично (</w:t>
            </w:r>
            <w:r w:rsidRPr="002E396B">
              <w:rPr>
                <w:rFonts w:ascii="Times New Roman" w:hAnsi="Times New Roman" w:cs="Times New Roman"/>
                <w:lang w:val="en-US"/>
              </w:rPr>
              <w:t>n</w:t>
            </w:r>
            <w:r w:rsidRPr="002E396B">
              <w:rPr>
                <w:rFonts w:ascii="Times New Roman" w:hAnsi="Times New Roman" w:cs="Times New Roman"/>
              </w:rPr>
              <w:t>=3)</w:t>
            </w:r>
          </w:p>
        </w:tc>
        <w:tc>
          <w:tcPr>
            <w:tcW w:w="2358" w:type="dxa"/>
            <w:tcBorders>
              <w:top w:val="nil"/>
              <w:left w:val="nil"/>
              <w:bottom w:val="single" w:sz="4" w:space="0" w:color="auto"/>
              <w:right w:val="single" w:sz="4" w:space="0" w:color="auto"/>
            </w:tcBorders>
            <w:hideMark/>
          </w:tcPr>
          <w:p w14:paraId="75799C3D"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Хорошее (</w:t>
            </w:r>
            <w:r w:rsidRPr="002E396B">
              <w:rPr>
                <w:rFonts w:ascii="Times New Roman" w:hAnsi="Times New Roman" w:cs="Times New Roman"/>
                <w:lang w:val="en-US"/>
              </w:rPr>
              <w:t>n</w:t>
            </w:r>
            <w:r w:rsidRPr="002E396B">
              <w:rPr>
                <w:rFonts w:ascii="Times New Roman" w:hAnsi="Times New Roman" w:cs="Times New Roman"/>
              </w:rPr>
              <w:t>=</w:t>
            </w:r>
            <w:r w:rsidRPr="002E396B">
              <w:rPr>
                <w:rFonts w:ascii="Times New Roman" w:hAnsi="Times New Roman" w:cs="Times New Roman"/>
                <w:lang w:val="en-US"/>
              </w:rPr>
              <w:t>5)</w:t>
            </w:r>
          </w:p>
        </w:tc>
        <w:tc>
          <w:tcPr>
            <w:tcW w:w="2178" w:type="dxa"/>
            <w:tcBorders>
              <w:top w:val="nil"/>
              <w:left w:val="nil"/>
              <w:bottom w:val="single" w:sz="4" w:space="0" w:color="auto"/>
              <w:right w:val="single" w:sz="4" w:space="0" w:color="auto"/>
            </w:tcBorders>
            <w:hideMark/>
          </w:tcPr>
          <w:p w14:paraId="556BC1D4"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Хорошее или отличное (</w:t>
            </w:r>
            <w:r w:rsidRPr="002E396B">
              <w:rPr>
                <w:rFonts w:ascii="Times New Roman" w:hAnsi="Times New Roman" w:cs="Times New Roman"/>
                <w:lang w:val="en-US"/>
              </w:rPr>
              <w:t>n</w:t>
            </w:r>
            <w:r w:rsidRPr="002E396B">
              <w:rPr>
                <w:rFonts w:ascii="Times New Roman" w:hAnsi="Times New Roman" w:cs="Times New Roman"/>
              </w:rPr>
              <w:t>=7)</w:t>
            </w:r>
          </w:p>
        </w:tc>
        <w:tc>
          <w:tcPr>
            <w:tcW w:w="2693" w:type="dxa"/>
            <w:tcBorders>
              <w:top w:val="nil"/>
              <w:left w:val="nil"/>
              <w:bottom w:val="single" w:sz="4" w:space="0" w:color="auto"/>
              <w:right w:val="single" w:sz="4" w:space="0" w:color="auto"/>
            </w:tcBorders>
            <w:hideMark/>
          </w:tcPr>
          <w:p w14:paraId="21F7C18D"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В основном хорошо или удовлетворительно (</w:t>
            </w:r>
            <w:r w:rsidRPr="002E396B">
              <w:rPr>
                <w:rFonts w:ascii="Times New Roman" w:hAnsi="Times New Roman" w:cs="Times New Roman"/>
                <w:lang w:val="en-US"/>
              </w:rPr>
              <w:t>n</w:t>
            </w:r>
            <w:r w:rsidRPr="002E396B">
              <w:rPr>
                <w:rFonts w:ascii="Times New Roman" w:hAnsi="Times New Roman" w:cs="Times New Roman"/>
              </w:rPr>
              <w:t>=20)</w:t>
            </w:r>
          </w:p>
        </w:tc>
        <w:tc>
          <w:tcPr>
            <w:tcW w:w="2155" w:type="dxa"/>
            <w:tcBorders>
              <w:top w:val="nil"/>
              <w:left w:val="nil"/>
              <w:bottom w:val="single" w:sz="4" w:space="0" w:color="auto"/>
              <w:right w:val="single" w:sz="4" w:space="0" w:color="auto"/>
            </w:tcBorders>
            <w:hideMark/>
          </w:tcPr>
          <w:p w14:paraId="38C90867"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От хорошего до отличного (</w:t>
            </w:r>
            <w:r w:rsidRPr="002E396B">
              <w:rPr>
                <w:rFonts w:ascii="Times New Roman" w:hAnsi="Times New Roman" w:cs="Times New Roman"/>
                <w:lang w:val="en-US"/>
              </w:rPr>
              <w:t>n</w:t>
            </w:r>
            <w:r w:rsidRPr="002E396B">
              <w:rPr>
                <w:rFonts w:ascii="Times New Roman" w:hAnsi="Times New Roman" w:cs="Times New Roman"/>
              </w:rPr>
              <w:t>&gt;20 участников)</w:t>
            </w:r>
          </w:p>
        </w:tc>
      </w:tr>
      <w:tr w:rsidR="00B67D2A" w:rsidRPr="002E396B" w14:paraId="41272AE3" w14:textId="77777777" w:rsidTr="00FC2E89">
        <w:trPr>
          <w:trHeight w:val="712"/>
        </w:trPr>
        <w:tc>
          <w:tcPr>
            <w:tcW w:w="2239" w:type="dxa"/>
            <w:tcBorders>
              <w:top w:val="nil"/>
              <w:left w:val="single" w:sz="4" w:space="0" w:color="auto"/>
              <w:bottom w:val="single" w:sz="4" w:space="0" w:color="auto"/>
              <w:right w:val="single" w:sz="4" w:space="0" w:color="auto"/>
            </w:tcBorders>
            <w:hideMark/>
          </w:tcPr>
          <w:p w14:paraId="1EEFCE4A" w14:textId="77777777" w:rsidR="00B67D2A" w:rsidRPr="002E396B" w:rsidRDefault="00B67D2A" w:rsidP="005E6F1B">
            <w:pPr>
              <w:spacing w:after="0" w:line="240" w:lineRule="auto"/>
              <w:rPr>
                <w:rFonts w:ascii="Times New Roman" w:hAnsi="Times New Roman" w:cs="Times New Roman"/>
                <w:b/>
                <w:bCs/>
                <w:color w:val="000000"/>
              </w:rPr>
            </w:pPr>
            <w:r w:rsidRPr="002E396B">
              <w:rPr>
                <w:rFonts w:ascii="Times New Roman" w:hAnsi="Times New Roman" w:cs="Times New Roman"/>
              </w:rPr>
              <w:t>Частота обучения/симуляций</w:t>
            </w:r>
          </w:p>
        </w:tc>
        <w:tc>
          <w:tcPr>
            <w:tcW w:w="2694" w:type="dxa"/>
            <w:tcBorders>
              <w:top w:val="nil"/>
              <w:left w:val="nil"/>
              <w:bottom w:val="single" w:sz="4" w:space="0" w:color="auto"/>
              <w:right w:val="single" w:sz="4" w:space="0" w:color="auto"/>
            </w:tcBorders>
            <w:hideMark/>
          </w:tcPr>
          <w:p w14:paraId="70C9B988"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Редко (</w:t>
            </w:r>
            <w:r w:rsidRPr="002E396B">
              <w:rPr>
                <w:rFonts w:ascii="Times New Roman" w:hAnsi="Times New Roman" w:cs="Times New Roman"/>
                <w:lang w:val="en-US"/>
              </w:rPr>
              <w:t>n</w:t>
            </w:r>
            <w:r w:rsidRPr="002E396B">
              <w:rPr>
                <w:rFonts w:ascii="Times New Roman" w:hAnsi="Times New Roman" w:cs="Times New Roman"/>
              </w:rPr>
              <w:t>=</w:t>
            </w:r>
            <w:r w:rsidRPr="002E396B">
              <w:rPr>
                <w:rFonts w:ascii="Times New Roman" w:hAnsi="Times New Roman" w:cs="Times New Roman"/>
                <w:lang w:val="en-US"/>
              </w:rPr>
              <w:t>1</w:t>
            </w:r>
            <w:r w:rsidRPr="002E396B">
              <w:rPr>
                <w:rFonts w:ascii="Times New Roman" w:hAnsi="Times New Roman" w:cs="Times New Roman"/>
              </w:rPr>
              <w:t>)</w:t>
            </w:r>
          </w:p>
        </w:tc>
        <w:tc>
          <w:tcPr>
            <w:tcW w:w="2358" w:type="dxa"/>
            <w:tcBorders>
              <w:top w:val="nil"/>
              <w:left w:val="nil"/>
              <w:bottom w:val="single" w:sz="4" w:space="0" w:color="auto"/>
              <w:right w:val="single" w:sz="4" w:space="0" w:color="auto"/>
            </w:tcBorders>
            <w:hideMark/>
          </w:tcPr>
          <w:p w14:paraId="05DF8FA5"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Нерегулярно, ~ежеквартально (</w:t>
            </w:r>
            <w:r w:rsidRPr="002E396B">
              <w:rPr>
                <w:rFonts w:ascii="Times New Roman" w:hAnsi="Times New Roman" w:cs="Times New Roman"/>
                <w:lang w:val="en-US"/>
              </w:rPr>
              <w:t>n</w:t>
            </w:r>
            <w:r w:rsidRPr="002E396B">
              <w:rPr>
                <w:rFonts w:ascii="Times New Roman" w:hAnsi="Times New Roman" w:cs="Times New Roman"/>
              </w:rPr>
              <w:t>=</w:t>
            </w:r>
            <w:r w:rsidRPr="002E396B">
              <w:rPr>
                <w:rFonts w:ascii="Times New Roman" w:hAnsi="Times New Roman" w:cs="Times New Roman"/>
                <w:lang w:val="en-US"/>
              </w:rPr>
              <w:t>4)</w:t>
            </w:r>
          </w:p>
        </w:tc>
        <w:tc>
          <w:tcPr>
            <w:tcW w:w="2178" w:type="dxa"/>
            <w:tcBorders>
              <w:top w:val="nil"/>
              <w:left w:val="nil"/>
              <w:bottom w:val="single" w:sz="4" w:space="0" w:color="auto"/>
              <w:right w:val="single" w:sz="4" w:space="0" w:color="auto"/>
            </w:tcBorders>
            <w:hideMark/>
          </w:tcPr>
          <w:p w14:paraId="6C965C85"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Более частое (</w:t>
            </w:r>
            <w:r w:rsidRPr="002E396B">
              <w:rPr>
                <w:rFonts w:ascii="Times New Roman" w:hAnsi="Times New Roman" w:cs="Times New Roman"/>
                <w:lang w:val="en-US"/>
              </w:rPr>
              <w:t>n</w:t>
            </w:r>
            <w:r w:rsidRPr="002E396B">
              <w:rPr>
                <w:rFonts w:ascii="Times New Roman" w:hAnsi="Times New Roman" w:cs="Times New Roman"/>
              </w:rPr>
              <w:t>=</w:t>
            </w:r>
            <w:r w:rsidRPr="002E396B">
              <w:rPr>
                <w:rFonts w:ascii="Times New Roman" w:hAnsi="Times New Roman" w:cs="Times New Roman"/>
                <w:lang w:val="en-US"/>
              </w:rPr>
              <w:t>6</w:t>
            </w:r>
            <w:r w:rsidRPr="002E396B">
              <w:rPr>
                <w:rFonts w:ascii="Times New Roman" w:hAnsi="Times New Roman" w:cs="Times New Roman"/>
              </w:rPr>
              <w:t>)</w:t>
            </w:r>
          </w:p>
        </w:tc>
        <w:tc>
          <w:tcPr>
            <w:tcW w:w="2693" w:type="dxa"/>
            <w:tcBorders>
              <w:top w:val="nil"/>
              <w:left w:val="nil"/>
              <w:bottom w:val="single" w:sz="4" w:space="0" w:color="auto"/>
              <w:right w:val="single" w:sz="4" w:space="0" w:color="auto"/>
            </w:tcBorders>
            <w:hideMark/>
          </w:tcPr>
          <w:p w14:paraId="5F684144"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Нерегулярно, ежегодно или ежеквартально</w:t>
            </w:r>
          </w:p>
        </w:tc>
        <w:tc>
          <w:tcPr>
            <w:tcW w:w="2155" w:type="dxa"/>
            <w:tcBorders>
              <w:top w:val="nil"/>
              <w:left w:val="nil"/>
              <w:bottom w:val="single" w:sz="4" w:space="0" w:color="auto"/>
              <w:right w:val="single" w:sz="4" w:space="0" w:color="auto"/>
            </w:tcBorders>
            <w:hideMark/>
          </w:tcPr>
          <w:p w14:paraId="3D9CBDB9"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Регулярно, ежеквартально или ежемесячно</w:t>
            </w:r>
          </w:p>
        </w:tc>
      </w:tr>
      <w:tr w:rsidR="00B67D2A" w:rsidRPr="002E396B" w14:paraId="1AAA1F01" w14:textId="77777777" w:rsidTr="00FC2E89">
        <w:trPr>
          <w:trHeight w:val="1093"/>
        </w:trPr>
        <w:tc>
          <w:tcPr>
            <w:tcW w:w="2239" w:type="dxa"/>
            <w:tcBorders>
              <w:top w:val="nil"/>
              <w:left w:val="single" w:sz="4" w:space="0" w:color="auto"/>
              <w:bottom w:val="single" w:sz="4" w:space="0" w:color="auto"/>
              <w:right w:val="single" w:sz="4" w:space="0" w:color="auto"/>
            </w:tcBorders>
            <w:hideMark/>
          </w:tcPr>
          <w:p w14:paraId="16A527A6" w14:textId="77777777" w:rsidR="00B67D2A" w:rsidRPr="002E396B" w:rsidRDefault="00B67D2A" w:rsidP="005E6F1B">
            <w:pPr>
              <w:spacing w:after="0" w:line="240" w:lineRule="auto"/>
              <w:rPr>
                <w:rFonts w:ascii="Times New Roman" w:hAnsi="Times New Roman" w:cs="Times New Roman"/>
                <w:b/>
                <w:bCs/>
                <w:color w:val="000000"/>
              </w:rPr>
            </w:pPr>
            <w:r w:rsidRPr="002E396B">
              <w:rPr>
                <w:rFonts w:ascii="Times New Roman" w:hAnsi="Times New Roman" w:cs="Times New Roman"/>
              </w:rPr>
              <w:t>Основные причины задержек</w:t>
            </w:r>
          </w:p>
        </w:tc>
        <w:tc>
          <w:tcPr>
            <w:tcW w:w="2694" w:type="dxa"/>
            <w:tcBorders>
              <w:top w:val="nil"/>
              <w:left w:val="nil"/>
              <w:bottom w:val="single" w:sz="4" w:space="0" w:color="auto"/>
              <w:right w:val="single" w:sz="4" w:space="0" w:color="auto"/>
            </w:tcBorders>
            <w:hideMark/>
          </w:tcPr>
          <w:p w14:paraId="58EED555"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Вызов скорой помощи и время прибытия (</w:t>
            </w:r>
            <w:r w:rsidRPr="002E396B">
              <w:rPr>
                <w:rFonts w:ascii="Times New Roman" w:hAnsi="Times New Roman" w:cs="Times New Roman"/>
                <w:lang w:val="en-US"/>
              </w:rPr>
              <w:t>n</w:t>
            </w:r>
            <w:r w:rsidRPr="002E396B">
              <w:rPr>
                <w:rFonts w:ascii="Times New Roman" w:hAnsi="Times New Roman" w:cs="Times New Roman"/>
              </w:rPr>
              <w:t>=4), нехватка оборудования/персонала (</w:t>
            </w:r>
            <w:r w:rsidRPr="002E396B">
              <w:rPr>
                <w:rFonts w:ascii="Times New Roman" w:hAnsi="Times New Roman" w:cs="Times New Roman"/>
                <w:lang w:val="en-US"/>
              </w:rPr>
              <w:t>n</w:t>
            </w:r>
            <w:r w:rsidRPr="002E396B">
              <w:rPr>
                <w:rFonts w:ascii="Times New Roman" w:hAnsi="Times New Roman" w:cs="Times New Roman"/>
              </w:rPr>
              <w:t>=3)</w:t>
            </w:r>
          </w:p>
        </w:tc>
        <w:tc>
          <w:tcPr>
            <w:tcW w:w="2358" w:type="dxa"/>
            <w:tcBorders>
              <w:top w:val="nil"/>
              <w:left w:val="nil"/>
              <w:bottom w:val="single" w:sz="4" w:space="0" w:color="auto"/>
              <w:right w:val="single" w:sz="4" w:space="0" w:color="auto"/>
            </w:tcBorders>
            <w:hideMark/>
          </w:tcPr>
          <w:p w14:paraId="5D7B0966"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Вызов скорой помощи, прибытие, диагностика (</w:t>
            </w:r>
            <w:r w:rsidRPr="002E396B">
              <w:rPr>
                <w:rFonts w:ascii="Times New Roman" w:hAnsi="Times New Roman" w:cs="Times New Roman"/>
                <w:lang w:val="en-US"/>
              </w:rPr>
              <w:t>n</w:t>
            </w:r>
            <w:r w:rsidRPr="002E396B">
              <w:rPr>
                <w:rFonts w:ascii="Times New Roman" w:hAnsi="Times New Roman" w:cs="Times New Roman"/>
              </w:rPr>
              <w:t>=7)</w:t>
            </w:r>
          </w:p>
        </w:tc>
        <w:tc>
          <w:tcPr>
            <w:tcW w:w="2178" w:type="dxa"/>
            <w:tcBorders>
              <w:top w:val="nil"/>
              <w:left w:val="nil"/>
              <w:bottom w:val="single" w:sz="4" w:space="0" w:color="auto"/>
              <w:right w:val="single" w:sz="4" w:space="0" w:color="auto"/>
            </w:tcBorders>
            <w:hideMark/>
          </w:tcPr>
          <w:p w14:paraId="542480FE"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Поздний вызов скорой помощи, диагностика (</w:t>
            </w:r>
            <w:r w:rsidRPr="002E396B">
              <w:rPr>
                <w:rFonts w:ascii="Times New Roman" w:hAnsi="Times New Roman" w:cs="Times New Roman"/>
                <w:lang w:val="en-US"/>
              </w:rPr>
              <w:t>n</w:t>
            </w:r>
            <w:r w:rsidRPr="002E396B">
              <w:rPr>
                <w:rFonts w:ascii="Times New Roman" w:hAnsi="Times New Roman" w:cs="Times New Roman"/>
              </w:rPr>
              <w:t>=6)</w:t>
            </w:r>
          </w:p>
        </w:tc>
        <w:tc>
          <w:tcPr>
            <w:tcW w:w="2693" w:type="dxa"/>
            <w:tcBorders>
              <w:top w:val="nil"/>
              <w:left w:val="nil"/>
              <w:bottom w:val="single" w:sz="4" w:space="0" w:color="auto"/>
              <w:right w:val="single" w:sz="4" w:space="0" w:color="auto"/>
            </w:tcBorders>
            <w:hideMark/>
          </w:tcPr>
          <w:p w14:paraId="1775828B"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Вызов скорой помощи, задержки в визуализации, нехватка персонала/оборудования</w:t>
            </w:r>
          </w:p>
        </w:tc>
        <w:tc>
          <w:tcPr>
            <w:tcW w:w="2155" w:type="dxa"/>
            <w:tcBorders>
              <w:top w:val="nil"/>
              <w:left w:val="nil"/>
              <w:bottom w:val="single" w:sz="4" w:space="0" w:color="auto"/>
              <w:right w:val="single" w:sz="4" w:space="0" w:color="auto"/>
            </w:tcBorders>
            <w:hideMark/>
          </w:tcPr>
          <w:p w14:paraId="121DC20D"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Вызов скорой помощи, диагностика, доступ к инсультному центру, кадровое обеспечение</w:t>
            </w:r>
          </w:p>
        </w:tc>
      </w:tr>
      <w:tr w:rsidR="00B67D2A" w:rsidRPr="002E396B" w14:paraId="0BA029B7" w14:textId="77777777" w:rsidTr="00FC2E89">
        <w:trPr>
          <w:trHeight w:val="1274"/>
        </w:trPr>
        <w:tc>
          <w:tcPr>
            <w:tcW w:w="2239" w:type="dxa"/>
            <w:tcBorders>
              <w:top w:val="nil"/>
              <w:left w:val="single" w:sz="4" w:space="0" w:color="auto"/>
              <w:bottom w:val="single" w:sz="4" w:space="0" w:color="auto"/>
              <w:right w:val="single" w:sz="4" w:space="0" w:color="auto"/>
            </w:tcBorders>
            <w:hideMark/>
          </w:tcPr>
          <w:p w14:paraId="0B741846" w14:textId="77777777" w:rsidR="00B67D2A" w:rsidRPr="002E396B" w:rsidRDefault="00B67D2A" w:rsidP="005E6F1B">
            <w:pPr>
              <w:spacing w:after="0" w:line="240" w:lineRule="auto"/>
              <w:rPr>
                <w:rFonts w:ascii="Times New Roman" w:hAnsi="Times New Roman" w:cs="Times New Roman"/>
                <w:b/>
                <w:bCs/>
                <w:color w:val="000000"/>
              </w:rPr>
            </w:pPr>
            <w:r w:rsidRPr="002E396B">
              <w:rPr>
                <w:rFonts w:ascii="Times New Roman" w:hAnsi="Times New Roman" w:cs="Times New Roman"/>
              </w:rPr>
              <w:t>Ориентация на улучшение лечения</w:t>
            </w:r>
          </w:p>
        </w:tc>
        <w:tc>
          <w:tcPr>
            <w:tcW w:w="2694" w:type="dxa"/>
            <w:tcBorders>
              <w:top w:val="nil"/>
              <w:left w:val="nil"/>
              <w:bottom w:val="single" w:sz="4" w:space="0" w:color="auto"/>
              <w:right w:val="single" w:sz="4" w:space="0" w:color="auto"/>
            </w:tcBorders>
            <w:vAlign w:val="center"/>
            <w:hideMark/>
          </w:tcPr>
          <w:p w14:paraId="7FD3DDAA"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color w:val="000000"/>
              </w:rPr>
              <w:t>-</w:t>
            </w:r>
          </w:p>
        </w:tc>
        <w:tc>
          <w:tcPr>
            <w:tcW w:w="2358" w:type="dxa"/>
            <w:tcBorders>
              <w:top w:val="nil"/>
              <w:left w:val="nil"/>
              <w:bottom w:val="single" w:sz="4" w:space="0" w:color="auto"/>
              <w:right w:val="single" w:sz="4" w:space="0" w:color="auto"/>
            </w:tcBorders>
            <w:hideMark/>
          </w:tcPr>
          <w:p w14:paraId="7DEBB159"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Диагностика и реабилитация (</w:t>
            </w:r>
            <w:r w:rsidRPr="002E396B">
              <w:rPr>
                <w:rFonts w:ascii="Times New Roman" w:hAnsi="Times New Roman" w:cs="Times New Roman"/>
                <w:lang w:val="en-US"/>
              </w:rPr>
              <w:t>n</w:t>
            </w:r>
            <w:r w:rsidRPr="002E396B">
              <w:rPr>
                <w:rFonts w:ascii="Times New Roman" w:hAnsi="Times New Roman" w:cs="Times New Roman"/>
              </w:rPr>
              <w:t>=</w:t>
            </w:r>
            <w:r w:rsidRPr="002E396B">
              <w:rPr>
                <w:rFonts w:ascii="Times New Roman" w:hAnsi="Times New Roman" w:cs="Times New Roman"/>
                <w:lang w:val="en-US"/>
              </w:rPr>
              <w:t>6)</w:t>
            </w:r>
          </w:p>
        </w:tc>
        <w:tc>
          <w:tcPr>
            <w:tcW w:w="2178" w:type="dxa"/>
            <w:tcBorders>
              <w:top w:val="nil"/>
              <w:left w:val="nil"/>
              <w:bottom w:val="single" w:sz="4" w:space="0" w:color="auto"/>
              <w:right w:val="single" w:sz="4" w:space="0" w:color="auto"/>
            </w:tcBorders>
            <w:hideMark/>
          </w:tcPr>
          <w:p w14:paraId="55FFA76E"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Современные методы лечения (тромбэктомия, телемедицина) (</w:t>
            </w:r>
            <w:r w:rsidRPr="002E396B">
              <w:rPr>
                <w:rFonts w:ascii="Times New Roman" w:hAnsi="Times New Roman" w:cs="Times New Roman"/>
                <w:lang w:val="en-US"/>
              </w:rPr>
              <w:t>n</w:t>
            </w:r>
            <w:r w:rsidRPr="002E396B">
              <w:rPr>
                <w:rFonts w:ascii="Times New Roman" w:hAnsi="Times New Roman" w:cs="Times New Roman"/>
              </w:rPr>
              <w:t>=5)</w:t>
            </w:r>
          </w:p>
        </w:tc>
        <w:tc>
          <w:tcPr>
            <w:tcW w:w="2693" w:type="dxa"/>
            <w:tcBorders>
              <w:top w:val="nil"/>
              <w:left w:val="nil"/>
              <w:bottom w:val="single" w:sz="4" w:space="0" w:color="auto"/>
              <w:right w:val="single" w:sz="4" w:space="0" w:color="auto"/>
            </w:tcBorders>
            <w:vAlign w:val="center"/>
            <w:hideMark/>
          </w:tcPr>
          <w:p w14:paraId="4BC709CA"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color w:val="000000"/>
              </w:rPr>
              <w:t>-</w:t>
            </w:r>
          </w:p>
        </w:tc>
        <w:tc>
          <w:tcPr>
            <w:tcW w:w="2155" w:type="dxa"/>
            <w:tcBorders>
              <w:top w:val="nil"/>
              <w:left w:val="nil"/>
              <w:bottom w:val="single" w:sz="4" w:space="0" w:color="auto"/>
              <w:right w:val="single" w:sz="4" w:space="0" w:color="auto"/>
            </w:tcBorders>
            <w:hideMark/>
          </w:tcPr>
          <w:p w14:paraId="2DCF7AA0"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Расширенная диагностика, тромбэктомия, телемедицина</w:t>
            </w:r>
          </w:p>
        </w:tc>
      </w:tr>
      <w:tr w:rsidR="00B67D2A" w:rsidRPr="002E396B" w14:paraId="6D5A49D2" w14:textId="77777777" w:rsidTr="00FC2E89">
        <w:trPr>
          <w:trHeight w:val="517"/>
        </w:trPr>
        <w:tc>
          <w:tcPr>
            <w:tcW w:w="2239" w:type="dxa"/>
            <w:tcBorders>
              <w:top w:val="nil"/>
              <w:left w:val="single" w:sz="4" w:space="0" w:color="auto"/>
              <w:bottom w:val="single" w:sz="4" w:space="0" w:color="auto"/>
              <w:right w:val="single" w:sz="4" w:space="0" w:color="auto"/>
            </w:tcBorders>
            <w:hideMark/>
          </w:tcPr>
          <w:p w14:paraId="1A6CFFF0" w14:textId="77777777" w:rsidR="00B67D2A" w:rsidRPr="002E396B" w:rsidRDefault="00B67D2A" w:rsidP="005E6F1B">
            <w:pPr>
              <w:spacing w:after="0" w:line="240" w:lineRule="auto"/>
              <w:rPr>
                <w:rFonts w:ascii="Times New Roman" w:hAnsi="Times New Roman" w:cs="Times New Roman"/>
                <w:b/>
                <w:bCs/>
                <w:color w:val="000000"/>
              </w:rPr>
            </w:pPr>
            <w:r w:rsidRPr="002E396B">
              <w:rPr>
                <w:rFonts w:ascii="Times New Roman" w:hAnsi="Times New Roman" w:cs="Times New Roman"/>
              </w:rPr>
              <w:t>Постгоспитальная реабилитация</w:t>
            </w:r>
          </w:p>
        </w:tc>
        <w:tc>
          <w:tcPr>
            <w:tcW w:w="2694" w:type="dxa"/>
            <w:tcBorders>
              <w:top w:val="nil"/>
              <w:left w:val="nil"/>
              <w:bottom w:val="single" w:sz="4" w:space="0" w:color="auto"/>
              <w:right w:val="single" w:sz="4" w:space="0" w:color="auto"/>
            </w:tcBorders>
            <w:vAlign w:val="center"/>
            <w:hideMark/>
          </w:tcPr>
          <w:p w14:paraId="62A36557"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color w:val="000000"/>
              </w:rPr>
              <w:t xml:space="preserve">Недостаточно развито </w:t>
            </w:r>
            <w:r w:rsidRPr="002E396B">
              <w:rPr>
                <w:rFonts w:ascii="Times New Roman" w:hAnsi="Times New Roman" w:cs="Times New Roman"/>
              </w:rPr>
              <w:t>(</w:t>
            </w:r>
            <w:r w:rsidRPr="002E396B">
              <w:rPr>
                <w:rFonts w:ascii="Times New Roman" w:hAnsi="Times New Roman" w:cs="Times New Roman"/>
                <w:lang w:val="en-US"/>
              </w:rPr>
              <w:t>n</w:t>
            </w:r>
            <w:r w:rsidRPr="002E396B">
              <w:rPr>
                <w:rFonts w:ascii="Times New Roman" w:hAnsi="Times New Roman" w:cs="Times New Roman"/>
              </w:rPr>
              <w:t>=3)</w:t>
            </w:r>
          </w:p>
        </w:tc>
        <w:tc>
          <w:tcPr>
            <w:tcW w:w="2358" w:type="dxa"/>
            <w:tcBorders>
              <w:top w:val="nil"/>
              <w:left w:val="nil"/>
              <w:bottom w:val="single" w:sz="4" w:space="0" w:color="auto"/>
              <w:right w:val="single" w:sz="4" w:space="0" w:color="auto"/>
            </w:tcBorders>
            <w:vAlign w:val="center"/>
            <w:hideMark/>
          </w:tcPr>
          <w:p w14:paraId="31739B90"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color w:val="000000"/>
              </w:rPr>
              <w:t>-</w:t>
            </w:r>
          </w:p>
        </w:tc>
        <w:tc>
          <w:tcPr>
            <w:tcW w:w="2178" w:type="dxa"/>
            <w:tcBorders>
              <w:top w:val="nil"/>
              <w:left w:val="nil"/>
              <w:bottom w:val="single" w:sz="4" w:space="0" w:color="auto"/>
              <w:right w:val="single" w:sz="4" w:space="0" w:color="auto"/>
            </w:tcBorders>
            <w:hideMark/>
          </w:tcPr>
          <w:p w14:paraId="3B23BECD"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Развитие отмечено (</w:t>
            </w:r>
            <w:r w:rsidRPr="002E396B">
              <w:rPr>
                <w:rFonts w:ascii="Times New Roman" w:hAnsi="Times New Roman" w:cs="Times New Roman"/>
                <w:lang w:val="en-US"/>
              </w:rPr>
              <w:t>n</w:t>
            </w:r>
            <w:r w:rsidRPr="002E396B">
              <w:rPr>
                <w:rFonts w:ascii="Times New Roman" w:hAnsi="Times New Roman" w:cs="Times New Roman"/>
              </w:rPr>
              <w:t>=</w:t>
            </w:r>
            <w:r w:rsidRPr="002E396B">
              <w:rPr>
                <w:rFonts w:ascii="Times New Roman" w:hAnsi="Times New Roman" w:cs="Times New Roman"/>
                <w:lang w:val="en-US"/>
              </w:rPr>
              <w:t>6</w:t>
            </w:r>
            <w:r w:rsidRPr="002E396B">
              <w:rPr>
                <w:rFonts w:ascii="Times New Roman" w:hAnsi="Times New Roman" w:cs="Times New Roman"/>
              </w:rPr>
              <w:t>)</w:t>
            </w:r>
          </w:p>
        </w:tc>
        <w:tc>
          <w:tcPr>
            <w:tcW w:w="2693" w:type="dxa"/>
            <w:tcBorders>
              <w:top w:val="nil"/>
              <w:left w:val="nil"/>
              <w:bottom w:val="single" w:sz="4" w:space="0" w:color="auto"/>
              <w:right w:val="single" w:sz="4" w:space="0" w:color="auto"/>
            </w:tcBorders>
            <w:hideMark/>
          </w:tcPr>
          <w:p w14:paraId="655B8FFE"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В основном всестороннее, но есть пробелы (</w:t>
            </w:r>
            <w:r w:rsidRPr="002E396B">
              <w:rPr>
                <w:rFonts w:ascii="Times New Roman" w:hAnsi="Times New Roman" w:cs="Times New Roman"/>
                <w:lang w:val="en-US"/>
              </w:rPr>
              <w:t>n</w:t>
            </w:r>
            <w:r w:rsidRPr="002E396B">
              <w:rPr>
                <w:rFonts w:ascii="Times New Roman" w:hAnsi="Times New Roman" w:cs="Times New Roman"/>
              </w:rPr>
              <w:t>=20)</w:t>
            </w:r>
          </w:p>
        </w:tc>
        <w:tc>
          <w:tcPr>
            <w:tcW w:w="2155" w:type="dxa"/>
            <w:tcBorders>
              <w:top w:val="nil"/>
              <w:left w:val="nil"/>
              <w:bottom w:val="single" w:sz="4" w:space="0" w:color="auto"/>
              <w:right w:val="single" w:sz="4" w:space="0" w:color="auto"/>
            </w:tcBorders>
            <w:hideMark/>
          </w:tcPr>
          <w:p w14:paraId="04AFF518"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Поддерживается, но всё ещё развивается</w:t>
            </w:r>
          </w:p>
        </w:tc>
      </w:tr>
      <w:tr w:rsidR="00B67D2A" w:rsidRPr="002E396B" w14:paraId="61D58D9D" w14:textId="77777777" w:rsidTr="00FC2E89">
        <w:trPr>
          <w:trHeight w:val="835"/>
        </w:trPr>
        <w:tc>
          <w:tcPr>
            <w:tcW w:w="2239" w:type="dxa"/>
            <w:tcBorders>
              <w:top w:val="nil"/>
              <w:left w:val="single" w:sz="4" w:space="0" w:color="auto"/>
              <w:bottom w:val="single" w:sz="4" w:space="0" w:color="auto"/>
              <w:right w:val="single" w:sz="4" w:space="0" w:color="auto"/>
            </w:tcBorders>
            <w:hideMark/>
          </w:tcPr>
          <w:p w14:paraId="3BCEEEA8" w14:textId="77777777" w:rsidR="00B67D2A" w:rsidRPr="002E396B" w:rsidRDefault="00B67D2A" w:rsidP="005E6F1B">
            <w:pPr>
              <w:spacing w:after="0" w:line="240" w:lineRule="auto"/>
              <w:rPr>
                <w:rFonts w:ascii="Times New Roman" w:hAnsi="Times New Roman" w:cs="Times New Roman"/>
                <w:b/>
                <w:bCs/>
                <w:color w:val="000000"/>
              </w:rPr>
            </w:pPr>
            <w:r w:rsidRPr="002E396B">
              <w:rPr>
                <w:rFonts w:ascii="Times New Roman" w:hAnsi="Times New Roman" w:cs="Times New Roman"/>
              </w:rPr>
              <w:t>Интерес к новым технологиям</w:t>
            </w:r>
          </w:p>
        </w:tc>
        <w:tc>
          <w:tcPr>
            <w:tcW w:w="2694" w:type="dxa"/>
            <w:tcBorders>
              <w:top w:val="nil"/>
              <w:left w:val="nil"/>
              <w:bottom w:val="single" w:sz="4" w:space="0" w:color="auto"/>
              <w:right w:val="single" w:sz="4" w:space="0" w:color="auto"/>
            </w:tcBorders>
            <w:vAlign w:val="center"/>
            <w:hideMark/>
          </w:tcPr>
          <w:p w14:paraId="0CA67621"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color w:val="000000"/>
              </w:rPr>
              <w:t>-</w:t>
            </w:r>
          </w:p>
        </w:tc>
        <w:tc>
          <w:tcPr>
            <w:tcW w:w="2358" w:type="dxa"/>
            <w:tcBorders>
              <w:top w:val="nil"/>
              <w:left w:val="nil"/>
              <w:bottom w:val="single" w:sz="4" w:space="0" w:color="auto"/>
              <w:right w:val="single" w:sz="4" w:space="0" w:color="auto"/>
            </w:tcBorders>
            <w:vAlign w:val="center"/>
            <w:hideMark/>
          </w:tcPr>
          <w:p w14:paraId="690E9452"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color w:val="000000"/>
              </w:rPr>
              <w:t>-</w:t>
            </w:r>
          </w:p>
        </w:tc>
        <w:tc>
          <w:tcPr>
            <w:tcW w:w="2178" w:type="dxa"/>
            <w:tcBorders>
              <w:top w:val="nil"/>
              <w:left w:val="nil"/>
              <w:bottom w:val="single" w:sz="4" w:space="0" w:color="auto"/>
              <w:right w:val="single" w:sz="4" w:space="0" w:color="auto"/>
            </w:tcBorders>
            <w:vAlign w:val="center"/>
            <w:hideMark/>
          </w:tcPr>
          <w:p w14:paraId="6F5D00CD"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color w:val="000000"/>
              </w:rPr>
              <w:t>-</w:t>
            </w:r>
          </w:p>
        </w:tc>
        <w:tc>
          <w:tcPr>
            <w:tcW w:w="2693" w:type="dxa"/>
            <w:tcBorders>
              <w:top w:val="nil"/>
              <w:left w:val="nil"/>
              <w:bottom w:val="single" w:sz="4" w:space="0" w:color="auto"/>
              <w:right w:val="single" w:sz="4" w:space="0" w:color="auto"/>
            </w:tcBorders>
            <w:hideMark/>
          </w:tcPr>
          <w:p w14:paraId="5DF4B1B5"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Робототехника, VR-терапия, телемедицина</w:t>
            </w:r>
          </w:p>
        </w:tc>
        <w:tc>
          <w:tcPr>
            <w:tcW w:w="2155" w:type="dxa"/>
            <w:tcBorders>
              <w:top w:val="nil"/>
              <w:left w:val="nil"/>
              <w:bottom w:val="single" w:sz="4" w:space="0" w:color="auto"/>
              <w:right w:val="single" w:sz="4" w:space="0" w:color="auto"/>
            </w:tcBorders>
            <w:hideMark/>
          </w:tcPr>
          <w:p w14:paraId="0F5242B3" w14:textId="77777777" w:rsidR="00B67D2A" w:rsidRPr="002E396B" w:rsidRDefault="00B67D2A" w:rsidP="005E6F1B">
            <w:pPr>
              <w:spacing w:after="0" w:line="240" w:lineRule="auto"/>
              <w:rPr>
                <w:rFonts w:ascii="Times New Roman" w:hAnsi="Times New Roman" w:cs="Times New Roman"/>
                <w:color w:val="000000"/>
              </w:rPr>
            </w:pPr>
            <w:r w:rsidRPr="002E396B">
              <w:rPr>
                <w:rFonts w:ascii="Times New Roman" w:hAnsi="Times New Roman" w:cs="Times New Roman"/>
              </w:rPr>
              <w:t>Робототехника, VR-терапия, телемедицина, расширенная диагностика</w:t>
            </w:r>
          </w:p>
        </w:tc>
      </w:tr>
    </w:tbl>
    <w:p w14:paraId="0DB71207" w14:textId="4A02D0BD" w:rsidR="00B67D2A" w:rsidRPr="000B2A05" w:rsidRDefault="00B67D2A" w:rsidP="00FC2E89">
      <w:pPr>
        <w:spacing w:line="240" w:lineRule="auto"/>
        <w:ind w:right="-851"/>
        <w:jc w:val="both"/>
        <w:rPr>
          <w:rFonts w:ascii="Times New Roman" w:hAnsi="Times New Roman" w:cs="Times New Roman"/>
          <w:sz w:val="28"/>
          <w:szCs w:val="28"/>
        </w:rPr>
        <w:sectPr w:rsidR="00B67D2A" w:rsidRPr="000B2A05" w:rsidSect="00FC2E89">
          <w:pgSz w:w="16838" w:h="11906" w:orient="landscape"/>
          <w:pgMar w:top="1276" w:right="1418" w:bottom="1416" w:left="1701" w:header="709" w:footer="709" w:gutter="0"/>
          <w:cols w:space="340"/>
          <w:docGrid w:linePitch="326"/>
        </w:sectPr>
      </w:pPr>
    </w:p>
    <w:p w14:paraId="433B599B" w14:textId="77777777" w:rsidR="00B67D2A" w:rsidRDefault="00B67D2A" w:rsidP="00FC2E89">
      <w:pPr>
        <w:spacing w:after="0" w:line="240" w:lineRule="auto"/>
        <w:ind w:firstLine="567"/>
        <w:contextualSpacing/>
        <w:jc w:val="both"/>
        <w:rPr>
          <w:rFonts w:ascii="Times New Roman" w:hAnsi="Times New Roman" w:cs="Times New Roman"/>
          <w:sz w:val="28"/>
          <w:szCs w:val="28"/>
        </w:rPr>
      </w:pPr>
      <w:r w:rsidRPr="00264BA4">
        <w:rPr>
          <w:rFonts w:ascii="Times New Roman" w:hAnsi="Times New Roman" w:cs="Times New Roman"/>
          <w:sz w:val="28"/>
          <w:szCs w:val="28"/>
        </w:rPr>
        <w:lastRenderedPageBreak/>
        <w:t>Робототехника, виртуальная реальность, телемедицина и цифровые решения способствуют улучшению реабилитации и ведения инсульта, однако их широкое внедрение сдерживается ограниченной доказательной базой, инфраструктурными и организационными барьерами, что требует дальнейших исследований, инвестиций и системной поддержки</w:t>
      </w:r>
      <w:r w:rsidRPr="00257250">
        <w:rPr>
          <w:rFonts w:ascii="Times New Roman" w:hAnsi="Times New Roman" w:cs="Times New Roman"/>
          <w:sz w:val="28"/>
          <w:szCs w:val="28"/>
        </w:rPr>
        <w:t xml:space="preserve"> [15</w:t>
      </w:r>
      <w:r w:rsidRPr="00704291">
        <w:rPr>
          <w:rFonts w:ascii="Times New Roman" w:hAnsi="Times New Roman" w:cs="Times New Roman"/>
          <w:sz w:val="28"/>
          <w:szCs w:val="28"/>
        </w:rPr>
        <w:t>2</w:t>
      </w:r>
      <w:r w:rsidRPr="00257250">
        <w:rPr>
          <w:rFonts w:ascii="Times New Roman" w:hAnsi="Times New Roman" w:cs="Times New Roman"/>
          <w:sz w:val="28"/>
          <w:szCs w:val="28"/>
        </w:rPr>
        <w:t>-15</w:t>
      </w:r>
      <w:r w:rsidRPr="00704291">
        <w:rPr>
          <w:rFonts w:ascii="Times New Roman" w:hAnsi="Times New Roman" w:cs="Times New Roman"/>
          <w:sz w:val="28"/>
          <w:szCs w:val="28"/>
        </w:rPr>
        <w:t>4</w:t>
      </w:r>
      <w:r w:rsidRPr="00257250">
        <w:rPr>
          <w:rFonts w:ascii="Times New Roman" w:hAnsi="Times New Roman" w:cs="Times New Roman"/>
          <w:sz w:val="28"/>
          <w:szCs w:val="28"/>
        </w:rPr>
        <w:t>]</w:t>
      </w:r>
      <w:r w:rsidRPr="00264BA4">
        <w:rPr>
          <w:rFonts w:ascii="Times New Roman" w:hAnsi="Times New Roman" w:cs="Times New Roman"/>
          <w:sz w:val="28"/>
          <w:szCs w:val="28"/>
        </w:rPr>
        <w:t>.</w:t>
      </w:r>
    </w:p>
    <w:p w14:paraId="56E95896" w14:textId="77777777" w:rsidR="00B67D2A" w:rsidRDefault="00B67D2A" w:rsidP="00FC2E89">
      <w:pPr>
        <w:spacing w:after="0" w:line="240" w:lineRule="auto"/>
        <w:ind w:firstLine="567"/>
        <w:contextualSpacing/>
        <w:jc w:val="both"/>
        <w:rPr>
          <w:rFonts w:ascii="Times New Roman" w:hAnsi="Times New Roman" w:cs="Times New Roman"/>
          <w:sz w:val="28"/>
          <w:szCs w:val="28"/>
        </w:rPr>
      </w:pPr>
      <w:r w:rsidRPr="00A611A6">
        <w:rPr>
          <w:rFonts w:ascii="Times New Roman" w:hAnsi="Times New Roman" w:cs="Times New Roman"/>
          <w:sz w:val="28"/>
          <w:szCs w:val="28"/>
        </w:rPr>
        <w:t>Мы обнаружили, что низкая осведомленность населения о симптомах инсульта является основным препятствием для своевременной помощи, что подтверждают все специалисты. Различия в знаниях пациентов указывают на необходимость целевых информационных кампаний, особенно для уязвимых групп, таких как пожилые люди. Исследования подчеркивают роль сообществ в повышении готовности к инсульту через культурно адаптированные вмешательства, что улучшает распознавание симптомов и своевременную активацию служб неотложной помощи</w:t>
      </w:r>
      <w:r w:rsidRPr="00257250">
        <w:rPr>
          <w:rFonts w:ascii="Times New Roman" w:hAnsi="Times New Roman" w:cs="Times New Roman"/>
          <w:sz w:val="28"/>
          <w:szCs w:val="28"/>
        </w:rPr>
        <w:t xml:space="preserve"> [15</w:t>
      </w:r>
      <w:r w:rsidRPr="00704291">
        <w:rPr>
          <w:rFonts w:ascii="Times New Roman" w:hAnsi="Times New Roman" w:cs="Times New Roman"/>
          <w:sz w:val="28"/>
          <w:szCs w:val="28"/>
        </w:rPr>
        <w:t>5</w:t>
      </w:r>
      <w:r w:rsidRPr="00257250">
        <w:rPr>
          <w:rFonts w:ascii="Times New Roman" w:hAnsi="Times New Roman" w:cs="Times New Roman"/>
          <w:sz w:val="28"/>
          <w:szCs w:val="28"/>
        </w:rPr>
        <w:t>,15</w:t>
      </w:r>
      <w:r w:rsidRPr="00704291">
        <w:rPr>
          <w:rFonts w:ascii="Times New Roman" w:hAnsi="Times New Roman" w:cs="Times New Roman"/>
          <w:sz w:val="28"/>
          <w:szCs w:val="28"/>
        </w:rPr>
        <w:t>6</w:t>
      </w:r>
      <w:r w:rsidRPr="00257250">
        <w:rPr>
          <w:rFonts w:ascii="Times New Roman" w:hAnsi="Times New Roman" w:cs="Times New Roman"/>
          <w:sz w:val="28"/>
          <w:szCs w:val="28"/>
        </w:rPr>
        <w:t>]</w:t>
      </w:r>
      <w:r w:rsidRPr="00A611A6">
        <w:rPr>
          <w:rFonts w:ascii="Times New Roman" w:hAnsi="Times New Roman" w:cs="Times New Roman"/>
          <w:sz w:val="28"/>
          <w:szCs w:val="28"/>
        </w:rPr>
        <w:t>.</w:t>
      </w:r>
    </w:p>
    <w:p w14:paraId="50F8650F" w14:textId="77777777" w:rsidR="00B67D2A" w:rsidRPr="000B2A05" w:rsidRDefault="00B67D2A" w:rsidP="00FC2E89">
      <w:pPr>
        <w:spacing w:after="0" w:line="240" w:lineRule="auto"/>
        <w:ind w:firstLine="567"/>
        <w:contextualSpacing/>
        <w:jc w:val="both"/>
        <w:rPr>
          <w:rFonts w:ascii="Times New Roman" w:hAnsi="Times New Roman" w:cs="Times New Roman"/>
          <w:sz w:val="28"/>
          <w:szCs w:val="28"/>
        </w:rPr>
      </w:pPr>
      <w:r w:rsidRPr="000B2A05">
        <w:rPr>
          <w:rFonts w:ascii="Times New Roman" w:hAnsi="Times New Roman" w:cs="Times New Roman"/>
          <w:sz w:val="28"/>
          <w:szCs w:val="28"/>
        </w:rPr>
        <w:t xml:space="preserve">Наши результаты подчеркивают необходимость системных улучшений для более эффективной поддержки функций </w:t>
      </w:r>
      <w:r>
        <w:rPr>
          <w:rFonts w:ascii="Times New Roman" w:hAnsi="Times New Roman" w:cs="Times New Roman"/>
          <w:sz w:val="28"/>
          <w:szCs w:val="28"/>
        </w:rPr>
        <w:t xml:space="preserve">скорой помощи </w:t>
      </w:r>
      <w:r w:rsidRPr="000B2A05">
        <w:rPr>
          <w:rFonts w:ascii="Times New Roman" w:hAnsi="Times New Roman" w:cs="Times New Roman"/>
          <w:sz w:val="28"/>
          <w:szCs w:val="28"/>
        </w:rPr>
        <w:t>и реабилитации. Укрепление программ непрерывного обучения, специально разработанных для этих специальностей, крайне важно для устранения существующих пробелов в знаниях и повышения качества догоспитального и постинсультного ведения. Кроме того, усиление кампаний по информированию общественности имеет решающее значение для улучшения раннего распознавания инсульта и своевременной госпитализации, что является ключевым фактором оптимизации результатов лечения. Содействие междисциплинарному сотрудничеству между поставщиками медицинских услуг и внедрение мониторинга качества через регистры инсульта может дополнительно способствовать улучшению координации медицинской помощи и результатов лечения пациентов.</w:t>
      </w:r>
    </w:p>
    <w:p w14:paraId="6449BFDF" w14:textId="77777777" w:rsidR="00B67D2A" w:rsidRPr="00A611A6" w:rsidRDefault="00B67D2A" w:rsidP="00FC2E89">
      <w:pPr>
        <w:spacing w:after="0" w:line="240" w:lineRule="auto"/>
        <w:ind w:firstLine="567"/>
        <w:contextualSpacing/>
        <w:jc w:val="both"/>
        <w:rPr>
          <w:rFonts w:ascii="Times New Roman" w:hAnsi="Times New Roman" w:cs="Times New Roman"/>
          <w:sz w:val="28"/>
          <w:szCs w:val="28"/>
        </w:rPr>
      </w:pPr>
      <w:r w:rsidRPr="00A611A6">
        <w:rPr>
          <w:rFonts w:ascii="Times New Roman" w:hAnsi="Times New Roman" w:cs="Times New Roman"/>
          <w:sz w:val="28"/>
          <w:szCs w:val="28"/>
        </w:rPr>
        <w:t>Качественный подход исследования предоставил углубленную информацию по различным специальностям. Однако региональный фокус на Алматы ограничивают возможность обобщения результатов. Несмотря на это, исследование формирует основу для разработки целевых вмешательств и выявляет направления для будущих исследований.</w:t>
      </w:r>
    </w:p>
    <w:p w14:paraId="7C52BC87" w14:textId="77777777" w:rsidR="00B67D2A" w:rsidRDefault="00B67D2A" w:rsidP="00FC2E89">
      <w:pPr>
        <w:spacing w:after="0" w:line="240" w:lineRule="auto"/>
        <w:ind w:firstLine="567"/>
        <w:contextualSpacing/>
        <w:jc w:val="both"/>
        <w:rPr>
          <w:rFonts w:ascii="Times New Roman" w:hAnsi="Times New Roman" w:cs="Times New Roman"/>
          <w:b/>
          <w:bCs/>
          <w:sz w:val="28"/>
          <w:szCs w:val="28"/>
        </w:rPr>
      </w:pPr>
    </w:p>
    <w:p w14:paraId="0D17842D" w14:textId="77777777" w:rsidR="00B67D2A" w:rsidRPr="00EA1B1C" w:rsidRDefault="00B67D2A" w:rsidP="00FC2E89">
      <w:pPr>
        <w:spacing w:after="0" w:line="240" w:lineRule="auto"/>
        <w:ind w:firstLine="567"/>
        <w:contextualSpacing/>
        <w:jc w:val="both"/>
        <w:rPr>
          <w:rFonts w:ascii="Times New Roman" w:hAnsi="Times New Roman" w:cs="Times New Roman"/>
          <w:b/>
          <w:bCs/>
          <w:sz w:val="28"/>
          <w:szCs w:val="28"/>
        </w:rPr>
      </w:pPr>
      <w:r>
        <w:rPr>
          <w:rFonts w:ascii="Times New Roman" w:hAnsi="Times New Roman" w:cs="Times New Roman"/>
          <w:b/>
          <w:bCs/>
          <w:sz w:val="28"/>
          <w:szCs w:val="28"/>
        </w:rPr>
        <w:t>4.2. Изучение</w:t>
      </w:r>
      <w:r w:rsidRPr="00EA1B1C">
        <w:rPr>
          <w:rFonts w:ascii="Times New Roman" w:hAnsi="Times New Roman" w:cs="Times New Roman"/>
          <w:b/>
          <w:bCs/>
          <w:sz w:val="28"/>
          <w:szCs w:val="28"/>
        </w:rPr>
        <w:t xml:space="preserve"> барьеров в оказании помощи при инсульте и рекомендации по улучшению на основе отзывов пациентов</w:t>
      </w:r>
      <w:r>
        <w:rPr>
          <w:rFonts w:ascii="Times New Roman" w:hAnsi="Times New Roman" w:cs="Times New Roman"/>
          <w:b/>
          <w:bCs/>
          <w:sz w:val="28"/>
          <w:szCs w:val="28"/>
        </w:rPr>
        <w:t>, перенёсших ОНМК</w:t>
      </w:r>
    </w:p>
    <w:p w14:paraId="5A367302" w14:textId="77777777" w:rsidR="00B67D2A" w:rsidRPr="00A40398" w:rsidRDefault="00B67D2A" w:rsidP="00FC2E89">
      <w:pPr>
        <w:spacing w:after="0" w:line="240" w:lineRule="auto"/>
        <w:ind w:firstLine="567"/>
        <w:contextualSpacing/>
        <w:jc w:val="both"/>
        <w:rPr>
          <w:rFonts w:ascii="Times New Roman" w:hAnsi="Times New Roman" w:cs="Times New Roman"/>
          <w:sz w:val="28"/>
          <w:szCs w:val="28"/>
        </w:rPr>
      </w:pPr>
      <w:r w:rsidRPr="00A40398">
        <w:rPr>
          <w:rFonts w:ascii="Times New Roman" w:hAnsi="Times New Roman" w:cs="Times New Roman"/>
          <w:sz w:val="28"/>
          <w:szCs w:val="28"/>
        </w:rPr>
        <w:t>В исследовании приняли участие 61 респондент, преимущественно пожилого возраста: более половины участников (52,5%) составили лица 60–79 лет, а в целом 65,6% были старше 60 лет. Наибольшая возрастная группа — 60–69 лет (27,9%). Большинство опрошенных являются пенсионерами (68,9%), что соответствует возрастной структуре выборки; 23,0% продолжают трудовую деятельность, 8,2% не работают. Почти все респонденты проживают в Алматы (95,1%), что указывает на преимущественно городскую выборку.</w:t>
      </w:r>
    </w:p>
    <w:p w14:paraId="75E70A8F" w14:textId="77777777" w:rsidR="00B67D2A" w:rsidRDefault="00B67D2A" w:rsidP="00FC2E89">
      <w:pPr>
        <w:spacing w:after="0" w:line="240" w:lineRule="auto"/>
        <w:ind w:firstLine="567"/>
        <w:contextualSpacing/>
        <w:jc w:val="both"/>
        <w:rPr>
          <w:rFonts w:ascii="Times New Roman" w:hAnsi="Times New Roman" w:cs="Times New Roman"/>
          <w:sz w:val="28"/>
          <w:szCs w:val="28"/>
        </w:rPr>
      </w:pPr>
      <w:r w:rsidRPr="00A40398">
        <w:rPr>
          <w:rFonts w:ascii="Times New Roman" w:hAnsi="Times New Roman" w:cs="Times New Roman"/>
          <w:sz w:val="28"/>
          <w:szCs w:val="28"/>
        </w:rPr>
        <w:t xml:space="preserve">Клиническая характеристика показала, что у 80,3% участников был первичный инсульт, тогда как повторные случаи (два и более инсульта) </w:t>
      </w:r>
      <w:r w:rsidRPr="00A40398">
        <w:rPr>
          <w:rFonts w:ascii="Times New Roman" w:hAnsi="Times New Roman" w:cs="Times New Roman"/>
          <w:sz w:val="28"/>
          <w:szCs w:val="28"/>
        </w:rPr>
        <w:lastRenderedPageBreak/>
        <w:t>отмечены у 13,1% респондентов. Мини-инсульт (ТИА) зарегистрирован у 1,6%</w:t>
      </w:r>
      <w:r>
        <w:rPr>
          <w:rFonts w:ascii="Times New Roman" w:hAnsi="Times New Roman" w:cs="Times New Roman"/>
          <w:sz w:val="28"/>
          <w:szCs w:val="28"/>
        </w:rPr>
        <w:t>, таблица 16</w:t>
      </w:r>
      <w:r w:rsidRPr="005F7E7A">
        <w:rPr>
          <w:rFonts w:ascii="Times New Roman" w:hAnsi="Times New Roman" w:cs="Times New Roman"/>
          <w:sz w:val="28"/>
          <w:szCs w:val="28"/>
        </w:rPr>
        <w:t>.</w:t>
      </w:r>
    </w:p>
    <w:p w14:paraId="3020D06F" w14:textId="77777777" w:rsidR="00FC2E89" w:rsidRDefault="00FC2E89" w:rsidP="00B67D2A">
      <w:pPr>
        <w:spacing w:after="0" w:line="240" w:lineRule="auto"/>
        <w:ind w:right="-284" w:firstLine="567"/>
        <w:jc w:val="both"/>
        <w:rPr>
          <w:rFonts w:ascii="Times New Roman" w:hAnsi="Times New Roman" w:cs="Times New Roman"/>
          <w:sz w:val="28"/>
          <w:szCs w:val="28"/>
        </w:rPr>
      </w:pPr>
    </w:p>
    <w:p w14:paraId="2E2A347C" w14:textId="4F8EB0C8" w:rsidR="00B67D2A" w:rsidRDefault="00FC2E89" w:rsidP="00FC2E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16 -</w:t>
      </w:r>
      <w:r w:rsidR="00B67D2A">
        <w:rPr>
          <w:rFonts w:ascii="Times New Roman" w:hAnsi="Times New Roman" w:cs="Times New Roman"/>
          <w:sz w:val="28"/>
          <w:szCs w:val="28"/>
        </w:rPr>
        <w:t xml:space="preserve"> </w:t>
      </w:r>
      <w:r w:rsidR="00B67D2A" w:rsidRPr="00C54F1C">
        <w:rPr>
          <w:rFonts w:ascii="Times New Roman" w:hAnsi="Times New Roman" w:cs="Times New Roman"/>
          <w:sz w:val="28"/>
          <w:szCs w:val="28"/>
        </w:rPr>
        <w:t xml:space="preserve">Общая сводная </w:t>
      </w:r>
      <w:r w:rsidR="00B67D2A">
        <w:rPr>
          <w:rFonts w:ascii="Times New Roman" w:hAnsi="Times New Roman" w:cs="Times New Roman"/>
          <w:sz w:val="28"/>
          <w:szCs w:val="28"/>
        </w:rPr>
        <w:t>информация</w:t>
      </w:r>
      <w:r w:rsidR="00B67D2A" w:rsidRPr="00C54F1C">
        <w:rPr>
          <w:rFonts w:ascii="Times New Roman" w:hAnsi="Times New Roman" w:cs="Times New Roman"/>
          <w:sz w:val="28"/>
          <w:szCs w:val="28"/>
        </w:rPr>
        <w:t xml:space="preserve"> интервью с пациентами, перенесшими инсульт</w:t>
      </w:r>
    </w:p>
    <w:p w14:paraId="59CC49B4" w14:textId="77777777" w:rsidR="00FC2E89" w:rsidRDefault="00FC2E89" w:rsidP="00FC2E89">
      <w:pPr>
        <w:spacing w:after="0" w:line="240" w:lineRule="auto"/>
        <w:jc w:val="both"/>
        <w:rPr>
          <w:rFonts w:ascii="Times New Roman" w:hAnsi="Times New Roman" w:cs="Times New Roman"/>
          <w:sz w:val="28"/>
          <w:szCs w:val="28"/>
        </w:rPr>
      </w:pPr>
    </w:p>
    <w:tbl>
      <w:tblPr>
        <w:tblStyle w:val="ae"/>
        <w:tblW w:w="9493" w:type="dxa"/>
        <w:tblLook w:val="04A0" w:firstRow="1" w:lastRow="0" w:firstColumn="1" w:lastColumn="0" w:noHBand="0" w:noVBand="1"/>
      </w:tblPr>
      <w:tblGrid>
        <w:gridCol w:w="2122"/>
        <w:gridCol w:w="3827"/>
        <w:gridCol w:w="3544"/>
      </w:tblGrid>
      <w:tr w:rsidR="00B67D2A" w14:paraId="5FBA5E8C" w14:textId="77777777" w:rsidTr="00FC2E89">
        <w:tc>
          <w:tcPr>
            <w:tcW w:w="2122" w:type="dxa"/>
          </w:tcPr>
          <w:p w14:paraId="242C45C7" w14:textId="77777777" w:rsidR="00B67D2A" w:rsidRPr="00C54F1C" w:rsidRDefault="00B67D2A" w:rsidP="005E6F1B">
            <w:pPr>
              <w:ind w:right="38"/>
              <w:jc w:val="both"/>
              <w:rPr>
                <w:rFonts w:ascii="Times New Roman" w:hAnsi="Times New Roman" w:cs="Times New Roman"/>
                <w:sz w:val="24"/>
                <w:szCs w:val="24"/>
              </w:rPr>
            </w:pPr>
            <w:r w:rsidRPr="00C54F1C">
              <w:rPr>
                <w:rFonts w:ascii="Times New Roman" w:hAnsi="Times New Roman" w:cs="Times New Roman"/>
                <w:sz w:val="24"/>
                <w:szCs w:val="24"/>
              </w:rPr>
              <w:t>Категория</w:t>
            </w:r>
          </w:p>
        </w:tc>
        <w:tc>
          <w:tcPr>
            <w:tcW w:w="3827" w:type="dxa"/>
          </w:tcPr>
          <w:p w14:paraId="517D96C5" w14:textId="77777777" w:rsidR="00B67D2A" w:rsidRPr="00C54F1C" w:rsidRDefault="00B67D2A" w:rsidP="005E6F1B">
            <w:pPr>
              <w:tabs>
                <w:tab w:val="left" w:pos="2806"/>
              </w:tabs>
              <w:ind w:right="38"/>
              <w:jc w:val="both"/>
              <w:rPr>
                <w:rFonts w:ascii="Times New Roman" w:hAnsi="Times New Roman" w:cs="Times New Roman"/>
                <w:sz w:val="24"/>
                <w:szCs w:val="24"/>
              </w:rPr>
            </w:pPr>
            <w:r w:rsidRPr="00C54F1C">
              <w:rPr>
                <w:rFonts w:ascii="Times New Roman" w:hAnsi="Times New Roman" w:cs="Times New Roman"/>
                <w:sz w:val="24"/>
                <w:szCs w:val="24"/>
              </w:rPr>
              <w:t>Подкатегория</w:t>
            </w:r>
          </w:p>
        </w:tc>
        <w:tc>
          <w:tcPr>
            <w:tcW w:w="3544" w:type="dxa"/>
          </w:tcPr>
          <w:p w14:paraId="5A0DD53D" w14:textId="77777777" w:rsidR="00B67D2A" w:rsidRPr="004920E2" w:rsidRDefault="00B67D2A" w:rsidP="005E6F1B">
            <w:pPr>
              <w:ind w:right="38"/>
              <w:jc w:val="center"/>
              <w:rPr>
                <w:rFonts w:ascii="Times New Roman" w:hAnsi="Times New Roman" w:cs="Times New Roman"/>
                <w:sz w:val="24"/>
                <w:szCs w:val="24"/>
                <w:lang w:val="en-US"/>
              </w:rPr>
            </w:pPr>
            <w:r>
              <w:rPr>
                <w:rFonts w:ascii="Times New Roman" w:hAnsi="Times New Roman" w:cs="Times New Roman"/>
                <w:sz w:val="24"/>
                <w:szCs w:val="24"/>
                <w:lang w:val="en-US"/>
              </w:rPr>
              <w:t>n (%)</w:t>
            </w:r>
          </w:p>
        </w:tc>
      </w:tr>
      <w:tr w:rsidR="00B67D2A" w14:paraId="7BEFD17B" w14:textId="77777777" w:rsidTr="00FC2E89">
        <w:tc>
          <w:tcPr>
            <w:tcW w:w="2122" w:type="dxa"/>
            <w:vMerge w:val="restart"/>
          </w:tcPr>
          <w:p w14:paraId="0BCA1574" w14:textId="77777777" w:rsidR="00B67D2A" w:rsidRPr="00C54F1C" w:rsidRDefault="00B67D2A" w:rsidP="005E6F1B">
            <w:pPr>
              <w:ind w:right="-284"/>
              <w:jc w:val="both"/>
              <w:rPr>
                <w:rFonts w:ascii="Times New Roman" w:hAnsi="Times New Roman" w:cs="Times New Roman"/>
                <w:sz w:val="24"/>
                <w:szCs w:val="24"/>
              </w:rPr>
            </w:pPr>
            <w:r>
              <w:rPr>
                <w:rFonts w:ascii="Times New Roman" w:hAnsi="Times New Roman" w:cs="Times New Roman"/>
                <w:sz w:val="24"/>
                <w:szCs w:val="24"/>
              </w:rPr>
              <w:t>Возраст</w:t>
            </w:r>
          </w:p>
        </w:tc>
        <w:tc>
          <w:tcPr>
            <w:tcW w:w="3827" w:type="dxa"/>
          </w:tcPr>
          <w:p w14:paraId="62A5A887" w14:textId="77777777" w:rsidR="00B67D2A" w:rsidRPr="00C54F1C" w:rsidRDefault="00B67D2A" w:rsidP="005E6F1B">
            <w:pPr>
              <w:tabs>
                <w:tab w:val="left" w:pos="2806"/>
              </w:tabs>
              <w:ind w:right="-284"/>
              <w:jc w:val="both"/>
              <w:rPr>
                <w:rFonts w:ascii="Times New Roman" w:hAnsi="Times New Roman" w:cs="Times New Roman"/>
                <w:sz w:val="24"/>
                <w:szCs w:val="24"/>
              </w:rPr>
            </w:pPr>
            <w:r>
              <w:rPr>
                <w:rFonts w:ascii="Times New Roman" w:hAnsi="Times New Roman" w:cs="Times New Roman"/>
                <w:sz w:val="24"/>
                <w:szCs w:val="24"/>
              </w:rPr>
              <w:t>До 50</w:t>
            </w:r>
          </w:p>
        </w:tc>
        <w:tc>
          <w:tcPr>
            <w:tcW w:w="3544" w:type="dxa"/>
          </w:tcPr>
          <w:p w14:paraId="083F3563" w14:textId="77777777" w:rsidR="00B67D2A" w:rsidRPr="00C54F1C" w:rsidRDefault="00B67D2A" w:rsidP="005E6F1B">
            <w:pPr>
              <w:ind w:right="-284"/>
              <w:jc w:val="center"/>
              <w:rPr>
                <w:rFonts w:ascii="Times New Roman" w:hAnsi="Times New Roman" w:cs="Times New Roman"/>
                <w:sz w:val="24"/>
                <w:szCs w:val="24"/>
              </w:rPr>
            </w:pPr>
            <w:r>
              <w:rPr>
                <w:rFonts w:ascii="Times New Roman" w:hAnsi="Times New Roman" w:cs="Times New Roman"/>
                <w:sz w:val="24"/>
                <w:szCs w:val="24"/>
              </w:rPr>
              <w:t>9 (14,8)</w:t>
            </w:r>
          </w:p>
        </w:tc>
      </w:tr>
      <w:tr w:rsidR="00B67D2A" w14:paraId="573B20A3" w14:textId="77777777" w:rsidTr="00FC2E89">
        <w:tc>
          <w:tcPr>
            <w:tcW w:w="2122" w:type="dxa"/>
            <w:vMerge/>
          </w:tcPr>
          <w:p w14:paraId="3A445691" w14:textId="77777777" w:rsidR="00B67D2A" w:rsidRPr="00C54F1C" w:rsidRDefault="00B67D2A" w:rsidP="005E6F1B">
            <w:pPr>
              <w:ind w:right="-284"/>
              <w:jc w:val="both"/>
              <w:rPr>
                <w:rFonts w:ascii="Times New Roman" w:hAnsi="Times New Roman" w:cs="Times New Roman"/>
                <w:sz w:val="24"/>
                <w:szCs w:val="24"/>
              </w:rPr>
            </w:pPr>
          </w:p>
        </w:tc>
        <w:tc>
          <w:tcPr>
            <w:tcW w:w="3827" w:type="dxa"/>
          </w:tcPr>
          <w:p w14:paraId="6AB9CE51" w14:textId="77777777" w:rsidR="00B67D2A" w:rsidRPr="00C54F1C" w:rsidRDefault="00B67D2A" w:rsidP="005E6F1B">
            <w:pPr>
              <w:tabs>
                <w:tab w:val="left" w:pos="2806"/>
              </w:tabs>
              <w:ind w:right="-284"/>
              <w:jc w:val="both"/>
              <w:rPr>
                <w:rFonts w:ascii="Times New Roman" w:hAnsi="Times New Roman" w:cs="Times New Roman"/>
                <w:sz w:val="24"/>
                <w:szCs w:val="24"/>
              </w:rPr>
            </w:pPr>
            <w:r>
              <w:rPr>
                <w:rFonts w:ascii="Times New Roman" w:hAnsi="Times New Roman" w:cs="Times New Roman"/>
                <w:sz w:val="24"/>
                <w:szCs w:val="24"/>
              </w:rPr>
              <w:t>50-59</w:t>
            </w:r>
          </w:p>
        </w:tc>
        <w:tc>
          <w:tcPr>
            <w:tcW w:w="3544" w:type="dxa"/>
          </w:tcPr>
          <w:p w14:paraId="752CEADD" w14:textId="77777777" w:rsidR="00B67D2A" w:rsidRPr="00C54F1C" w:rsidRDefault="00B67D2A" w:rsidP="005E6F1B">
            <w:pPr>
              <w:ind w:right="-284"/>
              <w:jc w:val="center"/>
              <w:rPr>
                <w:rFonts w:ascii="Times New Roman" w:hAnsi="Times New Roman" w:cs="Times New Roman"/>
                <w:sz w:val="24"/>
                <w:szCs w:val="24"/>
              </w:rPr>
            </w:pPr>
            <w:r>
              <w:rPr>
                <w:rFonts w:ascii="Times New Roman" w:hAnsi="Times New Roman" w:cs="Times New Roman"/>
                <w:sz w:val="24"/>
                <w:szCs w:val="24"/>
              </w:rPr>
              <w:t>12 (19,7)</w:t>
            </w:r>
          </w:p>
        </w:tc>
      </w:tr>
      <w:tr w:rsidR="00B67D2A" w14:paraId="385A1EB1" w14:textId="77777777" w:rsidTr="00FC2E89">
        <w:tc>
          <w:tcPr>
            <w:tcW w:w="2122" w:type="dxa"/>
            <w:vMerge/>
          </w:tcPr>
          <w:p w14:paraId="125FECE7" w14:textId="77777777" w:rsidR="00B67D2A" w:rsidRPr="00C54F1C" w:rsidRDefault="00B67D2A" w:rsidP="005E6F1B">
            <w:pPr>
              <w:ind w:right="-284"/>
              <w:jc w:val="both"/>
              <w:rPr>
                <w:rFonts w:ascii="Times New Roman" w:hAnsi="Times New Roman" w:cs="Times New Roman"/>
                <w:sz w:val="24"/>
                <w:szCs w:val="24"/>
              </w:rPr>
            </w:pPr>
          </w:p>
        </w:tc>
        <w:tc>
          <w:tcPr>
            <w:tcW w:w="3827" w:type="dxa"/>
          </w:tcPr>
          <w:p w14:paraId="05100BAD" w14:textId="77777777" w:rsidR="00B67D2A" w:rsidRPr="00C54F1C" w:rsidRDefault="00B67D2A" w:rsidP="005E6F1B">
            <w:pPr>
              <w:tabs>
                <w:tab w:val="left" w:pos="2806"/>
              </w:tabs>
              <w:ind w:right="-284"/>
              <w:jc w:val="both"/>
              <w:rPr>
                <w:rFonts w:ascii="Times New Roman" w:hAnsi="Times New Roman" w:cs="Times New Roman"/>
                <w:sz w:val="24"/>
                <w:szCs w:val="24"/>
              </w:rPr>
            </w:pPr>
            <w:r>
              <w:rPr>
                <w:rFonts w:ascii="Times New Roman" w:hAnsi="Times New Roman" w:cs="Times New Roman"/>
                <w:sz w:val="24"/>
                <w:szCs w:val="24"/>
              </w:rPr>
              <w:t>60-69</w:t>
            </w:r>
          </w:p>
        </w:tc>
        <w:tc>
          <w:tcPr>
            <w:tcW w:w="3544" w:type="dxa"/>
          </w:tcPr>
          <w:p w14:paraId="539C9056" w14:textId="77777777" w:rsidR="00B67D2A" w:rsidRPr="00A40398" w:rsidRDefault="00B67D2A" w:rsidP="005E6F1B">
            <w:pPr>
              <w:ind w:right="-284"/>
              <w:jc w:val="center"/>
              <w:rPr>
                <w:rFonts w:ascii="Times New Roman" w:hAnsi="Times New Roman" w:cs="Times New Roman"/>
                <w:sz w:val="24"/>
                <w:szCs w:val="24"/>
                <w:lang w:val="en-US"/>
              </w:rPr>
            </w:pPr>
            <w:r>
              <w:rPr>
                <w:rFonts w:ascii="Times New Roman" w:hAnsi="Times New Roman" w:cs="Times New Roman"/>
                <w:sz w:val="24"/>
                <w:szCs w:val="24"/>
              </w:rPr>
              <w:t xml:space="preserve">17 </w:t>
            </w:r>
            <w:r>
              <w:rPr>
                <w:rFonts w:ascii="Times New Roman" w:hAnsi="Times New Roman" w:cs="Times New Roman"/>
                <w:sz w:val="24"/>
                <w:szCs w:val="24"/>
                <w:lang w:val="en-US"/>
              </w:rPr>
              <w:t>(27,9))</w:t>
            </w:r>
          </w:p>
        </w:tc>
      </w:tr>
      <w:tr w:rsidR="00B67D2A" w14:paraId="17E223A2" w14:textId="77777777" w:rsidTr="00FC2E89">
        <w:tc>
          <w:tcPr>
            <w:tcW w:w="2122" w:type="dxa"/>
            <w:vMerge/>
          </w:tcPr>
          <w:p w14:paraId="745831E8" w14:textId="77777777" w:rsidR="00B67D2A" w:rsidRPr="00C54F1C" w:rsidRDefault="00B67D2A" w:rsidP="005E6F1B">
            <w:pPr>
              <w:ind w:right="-284"/>
              <w:jc w:val="both"/>
              <w:rPr>
                <w:rFonts w:ascii="Times New Roman" w:hAnsi="Times New Roman" w:cs="Times New Roman"/>
                <w:sz w:val="24"/>
                <w:szCs w:val="24"/>
              </w:rPr>
            </w:pPr>
          </w:p>
        </w:tc>
        <w:tc>
          <w:tcPr>
            <w:tcW w:w="3827" w:type="dxa"/>
          </w:tcPr>
          <w:p w14:paraId="767F87AA" w14:textId="77777777" w:rsidR="00B67D2A" w:rsidRPr="00C54F1C" w:rsidRDefault="00B67D2A" w:rsidP="005E6F1B">
            <w:pPr>
              <w:tabs>
                <w:tab w:val="left" w:pos="2806"/>
              </w:tabs>
              <w:ind w:right="-284"/>
              <w:jc w:val="both"/>
              <w:rPr>
                <w:rFonts w:ascii="Times New Roman" w:hAnsi="Times New Roman" w:cs="Times New Roman"/>
                <w:sz w:val="24"/>
                <w:szCs w:val="24"/>
              </w:rPr>
            </w:pPr>
            <w:r>
              <w:rPr>
                <w:rFonts w:ascii="Times New Roman" w:hAnsi="Times New Roman" w:cs="Times New Roman"/>
                <w:sz w:val="24"/>
                <w:szCs w:val="24"/>
              </w:rPr>
              <w:t>70-79</w:t>
            </w:r>
          </w:p>
        </w:tc>
        <w:tc>
          <w:tcPr>
            <w:tcW w:w="3544" w:type="dxa"/>
          </w:tcPr>
          <w:p w14:paraId="158484AA" w14:textId="77777777" w:rsidR="00B67D2A" w:rsidRPr="00A40398" w:rsidRDefault="00B67D2A" w:rsidP="005E6F1B">
            <w:pPr>
              <w:ind w:right="-284"/>
              <w:jc w:val="center"/>
              <w:rPr>
                <w:rFonts w:ascii="Times New Roman" w:hAnsi="Times New Roman" w:cs="Times New Roman"/>
                <w:sz w:val="24"/>
                <w:szCs w:val="24"/>
                <w:lang w:val="en-US"/>
              </w:rPr>
            </w:pPr>
            <w:r>
              <w:rPr>
                <w:rFonts w:ascii="Times New Roman" w:hAnsi="Times New Roman" w:cs="Times New Roman"/>
                <w:sz w:val="24"/>
                <w:szCs w:val="24"/>
              </w:rPr>
              <w:t>15</w:t>
            </w:r>
            <w:r>
              <w:rPr>
                <w:rFonts w:ascii="Times New Roman" w:hAnsi="Times New Roman" w:cs="Times New Roman"/>
                <w:sz w:val="24"/>
                <w:szCs w:val="24"/>
                <w:lang w:val="en-US"/>
              </w:rPr>
              <w:t xml:space="preserve"> (24,6)</w:t>
            </w:r>
          </w:p>
        </w:tc>
      </w:tr>
      <w:tr w:rsidR="00B67D2A" w14:paraId="54EB807D" w14:textId="77777777" w:rsidTr="00FC2E89">
        <w:tc>
          <w:tcPr>
            <w:tcW w:w="2122" w:type="dxa"/>
            <w:vMerge/>
          </w:tcPr>
          <w:p w14:paraId="597DC854" w14:textId="77777777" w:rsidR="00B67D2A" w:rsidRPr="00C54F1C" w:rsidRDefault="00B67D2A" w:rsidP="005E6F1B">
            <w:pPr>
              <w:ind w:right="-284"/>
              <w:jc w:val="both"/>
              <w:rPr>
                <w:rFonts w:ascii="Times New Roman" w:hAnsi="Times New Roman" w:cs="Times New Roman"/>
                <w:sz w:val="24"/>
                <w:szCs w:val="24"/>
              </w:rPr>
            </w:pPr>
          </w:p>
        </w:tc>
        <w:tc>
          <w:tcPr>
            <w:tcW w:w="3827" w:type="dxa"/>
          </w:tcPr>
          <w:p w14:paraId="497B2D7C" w14:textId="77777777" w:rsidR="00B67D2A" w:rsidRPr="00C54F1C" w:rsidRDefault="00B67D2A" w:rsidP="005E6F1B">
            <w:pPr>
              <w:tabs>
                <w:tab w:val="left" w:pos="2806"/>
              </w:tabs>
              <w:ind w:right="-284"/>
              <w:jc w:val="both"/>
              <w:rPr>
                <w:rFonts w:ascii="Times New Roman" w:hAnsi="Times New Roman" w:cs="Times New Roman"/>
                <w:sz w:val="24"/>
                <w:szCs w:val="24"/>
              </w:rPr>
            </w:pPr>
            <w:r>
              <w:rPr>
                <w:rFonts w:ascii="Times New Roman" w:hAnsi="Times New Roman" w:cs="Times New Roman"/>
                <w:sz w:val="24"/>
                <w:szCs w:val="24"/>
              </w:rPr>
              <w:t>80+</w:t>
            </w:r>
          </w:p>
        </w:tc>
        <w:tc>
          <w:tcPr>
            <w:tcW w:w="3544" w:type="dxa"/>
          </w:tcPr>
          <w:p w14:paraId="158CC843" w14:textId="77777777" w:rsidR="00B67D2A" w:rsidRPr="00A40398" w:rsidRDefault="00B67D2A" w:rsidP="005E6F1B">
            <w:pPr>
              <w:ind w:right="-284"/>
              <w:jc w:val="center"/>
              <w:rPr>
                <w:rFonts w:ascii="Times New Roman" w:hAnsi="Times New Roman" w:cs="Times New Roman"/>
                <w:sz w:val="24"/>
                <w:szCs w:val="24"/>
                <w:lang w:val="en-US"/>
              </w:rPr>
            </w:pPr>
            <w:r>
              <w:rPr>
                <w:rFonts w:ascii="Times New Roman" w:hAnsi="Times New Roman" w:cs="Times New Roman"/>
                <w:sz w:val="24"/>
                <w:szCs w:val="24"/>
              </w:rPr>
              <w:t>8</w:t>
            </w:r>
            <w:r>
              <w:rPr>
                <w:rFonts w:ascii="Times New Roman" w:hAnsi="Times New Roman" w:cs="Times New Roman"/>
                <w:sz w:val="24"/>
                <w:szCs w:val="24"/>
                <w:lang w:val="en-US"/>
              </w:rPr>
              <w:t xml:space="preserve"> (13,1)</w:t>
            </w:r>
          </w:p>
        </w:tc>
      </w:tr>
      <w:tr w:rsidR="00B67D2A" w14:paraId="1CC504B1" w14:textId="77777777" w:rsidTr="00FC2E89">
        <w:tc>
          <w:tcPr>
            <w:tcW w:w="2122" w:type="dxa"/>
            <w:vMerge w:val="restart"/>
          </w:tcPr>
          <w:p w14:paraId="69AD268E" w14:textId="77777777" w:rsidR="00B67D2A" w:rsidRPr="00C54F1C" w:rsidRDefault="00B67D2A" w:rsidP="005E6F1B">
            <w:pPr>
              <w:ind w:right="-284"/>
              <w:jc w:val="both"/>
              <w:rPr>
                <w:rFonts w:ascii="Times New Roman" w:hAnsi="Times New Roman" w:cs="Times New Roman"/>
                <w:sz w:val="24"/>
                <w:szCs w:val="24"/>
              </w:rPr>
            </w:pPr>
            <w:r w:rsidRPr="00C54F1C">
              <w:rPr>
                <w:rFonts w:ascii="Times New Roman" w:hAnsi="Times New Roman" w:cs="Times New Roman"/>
                <w:sz w:val="24"/>
                <w:szCs w:val="24"/>
              </w:rPr>
              <w:t>Род занятий</w:t>
            </w:r>
          </w:p>
        </w:tc>
        <w:tc>
          <w:tcPr>
            <w:tcW w:w="3827" w:type="dxa"/>
          </w:tcPr>
          <w:p w14:paraId="32AD0C0C" w14:textId="77777777" w:rsidR="00B67D2A" w:rsidRDefault="00B67D2A" w:rsidP="005E6F1B">
            <w:pPr>
              <w:tabs>
                <w:tab w:val="left" w:pos="2806"/>
              </w:tabs>
              <w:ind w:right="-284"/>
              <w:jc w:val="both"/>
              <w:rPr>
                <w:rFonts w:ascii="Times New Roman" w:hAnsi="Times New Roman" w:cs="Times New Roman"/>
                <w:sz w:val="24"/>
                <w:szCs w:val="24"/>
              </w:rPr>
            </w:pPr>
            <w:r w:rsidRPr="00C54F1C">
              <w:rPr>
                <w:rFonts w:ascii="Times New Roman" w:hAnsi="Times New Roman" w:cs="Times New Roman"/>
                <w:sz w:val="24"/>
                <w:szCs w:val="24"/>
              </w:rPr>
              <w:t xml:space="preserve">Пенсионер </w:t>
            </w:r>
          </w:p>
        </w:tc>
        <w:tc>
          <w:tcPr>
            <w:tcW w:w="3544" w:type="dxa"/>
          </w:tcPr>
          <w:p w14:paraId="33B408DE" w14:textId="77777777" w:rsidR="00B67D2A" w:rsidRPr="00A40398" w:rsidRDefault="00B67D2A" w:rsidP="005E6F1B">
            <w:pPr>
              <w:ind w:right="-284"/>
              <w:jc w:val="center"/>
              <w:rPr>
                <w:rFonts w:ascii="Times New Roman" w:hAnsi="Times New Roman" w:cs="Times New Roman"/>
                <w:sz w:val="24"/>
                <w:szCs w:val="24"/>
                <w:lang w:val="en-US"/>
              </w:rPr>
            </w:pPr>
            <w:r w:rsidRPr="00C54F1C">
              <w:rPr>
                <w:rFonts w:ascii="Times New Roman" w:hAnsi="Times New Roman" w:cs="Times New Roman"/>
                <w:sz w:val="24"/>
                <w:szCs w:val="24"/>
              </w:rPr>
              <w:t>42</w:t>
            </w:r>
            <w:r>
              <w:rPr>
                <w:rFonts w:ascii="Times New Roman" w:hAnsi="Times New Roman" w:cs="Times New Roman"/>
                <w:sz w:val="24"/>
                <w:szCs w:val="24"/>
                <w:lang w:val="en-US"/>
              </w:rPr>
              <w:t xml:space="preserve"> (68,9)</w:t>
            </w:r>
          </w:p>
        </w:tc>
      </w:tr>
      <w:tr w:rsidR="00B67D2A" w14:paraId="09D6B4E5" w14:textId="77777777" w:rsidTr="00FC2E89">
        <w:tc>
          <w:tcPr>
            <w:tcW w:w="2122" w:type="dxa"/>
            <w:vMerge/>
          </w:tcPr>
          <w:p w14:paraId="4D51BE2F" w14:textId="77777777" w:rsidR="00B67D2A" w:rsidRPr="00C54F1C" w:rsidRDefault="00B67D2A" w:rsidP="005E6F1B">
            <w:pPr>
              <w:ind w:right="-284"/>
              <w:jc w:val="both"/>
              <w:rPr>
                <w:rFonts w:ascii="Times New Roman" w:hAnsi="Times New Roman" w:cs="Times New Roman"/>
                <w:sz w:val="24"/>
                <w:szCs w:val="24"/>
              </w:rPr>
            </w:pPr>
          </w:p>
        </w:tc>
        <w:tc>
          <w:tcPr>
            <w:tcW w:w="3827" w:type="dxa"/>
          </w:tcPr>
          <w:p w14:paraId="53FA00A4" w14:textId="77777777" w:rsidR="00B67D2A" w:rsidRDefault="00B67D2A" w:rsidP="005E6F1B">
            <w:pPr>
              <w:tabs>
                <w:tab w:val="left" w:pos="2806"/>
              </w:tabs>
              <w:ind w:right="38"/>
              <w:jc w:val="both"/>
              <w:rPr>
                <w:rFonts w:ascii="Times New Roman" w:hAnsi="Times New Roman" w:cs="Times New Roman"/>
                <w:sz w:val="24"/>
                <w:szCs w:val="24"/>
              </w:rPr>
            </w:pPr>
            <w:r w:rsidRPr="00C54F1C">
              <w:rPr>
                <w:rFonts w:ascii="Times New Roman" w:hAnsi="Times New Roman" w:cs="Times New Roman"/>
                <w:sz w:val="24"/>
                <w:szCs w:val="24"/>
              </w:rPr>
              <w:t xml:space="preserve">Работающий (в разных сферах) </w:t>
            </w:r>
          </w:p>
        </w:tc>
        <w:tc>
          <w:tcPr>
            <w:tcW w:w="3544" w:type="dxa"/>
          </w:tcPr>
          <w:p w14:paraId="38F77F2D" w14:textId="77777777" w:rsidR="00B67D2A" w:rsidRPr="00A40398" w:rsidRDefault="00B67D2A" w:rsidP="005E6F1B">
            <w:pPr>
              <w:ind w:right="-284"/>
              <w:jc w:val="center"/>
              <w:rPr>
                <w:rFonts w:ascii="Times New Roman" w:hAnsi="Times New Roman" w:cs="Times New Roman"/>
                <w:sz w:val="24"/>
                <w:szCs w:val="24"/>
                <w:lang w:val="en-US"/>
              </w:rPr>
            </w:pPr>
            <w:r w:rsidRPr="00C54F1C">
              <w:rPr>
                <w:rFonts w:ascii="Times New Roman" w:hAnsi="Times New Roman" w:cs="Times New Roman"/>
                <w:sz w:val="24"/>
                <w:szCs w:val="24"/>
              </w:rPr>
              <w:t>14</w:t>
            </w:r>
            <w:r>
              <w:rPr>
                <w:rFonts w:ascii="Times New Roman" w:hAnsi="Times New Roman" w:cs="Times New Roman"/>
                <w:sz w:val="24"/>
                <w:szCs w:val="24"/>
                <w:lang w:val="en-US"/>
              </w:rPr>
              <w:t xml:space="preserve"> (23,0)</w:t>
            </w:r>
          </w:p>
        </w:tc>
      </w:tr>
      <w:tr w:rsidR="00B67D2A" w14:paraId="5F2CC5E4" w14:textId="77777777" w:rsidTr="00FC2E89">
        <w:tc>
          <w:tcPr>
            <w:tcW w:w="2122" w:type="dxa"/>
            <w:vMerge/>
          </w:tcPr>
          <w:p w14:paraId="0CE67CFA" w14:textId="77777777" w:rsidR="00B67D2A" w:rsidRPr="00C54F1C" w:rsidRDefault="00B67D2A" w:rsidP="005E6F1B">
            <w:pPr>
              <w:ind w:right="-284"/>
              <w:jc w:val="both"/>
              <w:rPr>
                <w:rFonts w:ascii="Times New Roman" w:hAnsi="Times New Roman" w:cs="Times New Roman"/>
                <w:sz w:val="24"/>
                <w:szCs w:val="24"/>
              </w:rPr>
            </w:pPr>
          </w:p>
        </w:tc>
        <w:tc>
          <w:tcPr>
            <w:tcW w:w="3827" w:type="dxa"/>
          </w:tcPr>
          <w:p w14:paraId="015536C0" w14:textId="77777777" w:rsidR="00B67D2A" w:rsidRDefault="00B67D2A" w:rsidP="005E6F1B">
            <w:pPr>
              <w:tabs>
                <w:tab w:val="left" w:pos="2806"/>
              </w:tabs>
              <w:ind w:right="38"/>
              <w:jc w:val="both"/>
              <w:rPr>
                <w:rFonts w:ascii="Times New Roman" w:hAnsi="Times New Roman" w:cs="Times New Roman"/>
                <w:sz w:val="24"/>
                <w:szCs w:val="24"/>
              </w:rPr>
            </w:pPr>
            <w:r w:rsidRPr="00C54F1C">
              <w:rPr>
                <w:rFonts w:ascii="Times New Roman" w:hAnsi="Times New Roman" w:cs="Times New Roman"/>
                <w:sz w:val="24"/>
                <w:szCs w:val="24"/>
              </w:rPr>
              <w:t>Безработный</w:t>
            </w:r>
          </w:p>
        </w:tc>
        <w:tc>
          <w:tcPr>
            <w:tcW w:w="3544" w:type="dxa"/>
          </w:tcPr>
          <w:p w14:paraId="3D221281" w14:textId="77777777" w:rsidR="00B67D2A" w:rsidRPr="00A40398" w:rsidRDefault="00B67D2A" w:rsidP="005E6F1B">
            <w:pPr>
              <w:ind w:right="-284"/>
              <w:jc w:val="center"/>
              <w:rPr>
                <w:rFonts w:ascii="Times New Roman" w:hAnsi="Times New Roman" w:cs="Times New Roman"/>
                <w:sz w:val="24"/>
                <w:szCs w:val="24"/>
                <w:lang w:val="en-US"/>
              </w:rPr>
            </w:pPr>
            <w:r w:rsidRPr="00C54F1C">
              <w:rPr>
                <w:rFonts w:ascii="Times New Roman" w:hAnsi="Times New Roman" w:cs="Times New Roman"/>
                <w:sz w:val="24"/>
                <w:szCs w:val="24"/>
              </w:rPr>
              <w:t>5</w:t>
            </w:r>
            <w:r>
              <w:rPr>
                <w:rFonts w:ascii="Times New Roman" w:hAnsi="Times New Roman" w:cs="Times New Roman"/>
                <w:sz w:val="24"/>
                <w:szCs w:val="24"/>
                <w:lang w:val="en-US"/>
              </w:rPr>
              <w:t xml:space="preserve"> (8,2)</w:t>
            </w:r>
          </w:p>
        </w:tc>
      </w:tr>
      <w:tr w:rsidR="00B67D2A" w14:paraId="29D7859E" w14:textId="77777777" w:rsidTr="00FC2E89">
        <w:tc>
          <w:tcPr>
            <w:tcW w:w="2122" w:type="dxa"/>
            <w:vMerge w:val="restart"/>
          </w:tcPr>
          <w:p w14:paraId="53B097C4" w14:textId="77777777" w:rsidR="00B67D2A" w:rsidRPr="00C54F1C" w:rsidRDefault="00B67D2A" w:rsidP="005E6F1B">
            <w:pPr>
              <w:ind w:right="-284"/>
              <w:jc w:val="both"/>
              <w:rPr>
                <w:rFonts w:ascii="Times New Roman" w:hAnsi="Times New Roman" w:cs="Times New Roman"/>
                <w:sz w:val="24"/>
                <w:szCs w:val="24"/>
              </w:rPr>
            </w:pPr>
            <w:r w:rsidRPr="00C54F1C">
              <w:rPr>
                <w:rFonts w:ascii="Times New Roman" w:hAnsi="Times New Roman" w:cs="Times New Roman"/>
                <w:sz w:val="24"/>
                <w:szCs w:val="24"/>
              </w:rPr>
              <w:t>Место жительства</w:t>
            </w:r>
          </w:p>
        </w:tc>
        <w:tc>
          <w:tcPr>
            <w:tcW w:w="3827" w:type="dxa"/>
          </w:tcPr>
          <w:p w14:paraId="38BB0F2C" w14:textId="77777777" w:rsidR="00B67D2A" w:rsidRDefault="00B67D2A" w:rsidP="005E6F1B">
            <w:pPr>
              <w:tabs>
                <w:tab w:val="left" w:pos="2806"/>
              </w:tabs>
              <w:ind w:right="38"/>
              <w:jc w:val="both"/>
              <w:rPr>
                <w:rFonts w:ascii="Times New Roman" w:hAnsi="Times New Roman" w:cs="Times New Roman"/>
                <w:sz w:val="24"/>
                <w:szCs w:val="24"/>
              </w:rPr>
            </w:pPr>
            <w:r w:rsidRPr="00C54F1C">
              <w:rPr>
                <w:rFonts w:ascii="Times New Roman" w:hAnsi="Times New Roman" w:cs="Times New Roman"/>
                <w:sz w:val="24"/>
                <w:szCs w:val="24"/>
              </w:rPr>
              <w:t>Алма</w:t>
            </w:r>
            <w:r>
              <w:rPr>
                <w:rFonts w:ascii="Times New Roman" w:hAnsi="Times New Roman" w:cs="Times New Roman"/>
                <w:sz w:val="24"/>
                <w:szCs w:val="24"/>
              </w:rPr>
              <w:t>ты</w:t>
            </w:r>
          </w:p>
        </w:tc>
        <w:tc>
          <w:tcPr>
            <w:tcW w:w="3544" w:type="dxa"/>
          </w:tcPr>
          <w:p w14:paraId="7B41E412" w14:textId="77777777" w:rsidR="00B67D2A" w:rsidRPr="00A40398" w:rsidRDefault="00B67D2A" w:rsidP="005E6F1B">
            <w:pPr>
              <w:ind w:right="-284"/>
              <w:jc w:val="center"/>
              <w:rPr>
                <w:rFonts w:ascii="Times New Roman" w:hAnsi="Times New Roman" w:cs="Times New Roman"/>
                <w:sz w:val="24"/>
                <w:szCs w:val="24"/>
                <w:lang w:val="en-US"/>
              </w:rPr>
            </w:pPr>
            <w:r w:rsidRPr="00C54F1C">
              <w:rPr>
                <w:rFonts w:ascii="Times New Roman" w:hAnsi="Times New Roman" w:cs="Times New Roman"/>
                <w:sz w:val="24"/>
                <w:szCs w:val="24"/>
              </w:rPr>
              <w:t>58</w:t>
            </w:r>
            <w:r>
              <w:rPr>
                <w:rFonts w:ascii="Times New Roman" w:hAnsi="Times New Roman" w:cs="Times New Roman"/>
                <w:sz w:val="24"/>
                <w:szCs w:val="24"/>
                <w:lang w:val="en-US"/>
              </w:rPr>
              <w:t xml:space="preserve"> (95,1)</w:t>
            </w:r>
          </w:p>
        </w:tc>
      </w:tr>
      <w:tr w:rsidR="00B67D2A" w14:paraId="23D32348" w14:textId="77777777" w:rsidTr="00FC2E89">
        <w:tc>
          <w:tcPr>
            <w:tcW w:w="2122" w:type="dxa"/>
            <w:vMerge/>
          </w:tcPr>
          <w:p w14:paraId="4C2DDAA2" w14:textId="77777777" w:rsidR="00B67D2A" w:rsidRPr="00C54F1C" w:rsidRDefault="00B67D2A" w:rsidP="005E6F1B">
            <w:pPr>
              <w:ind w:right="-284"/>
              <w:jc w:val="both"/>
              <w:rPr>
                <w:rFonts w:ascii="Times New Roman" w:hAnsi="Times New Roman" w:cs="Times New Roman"/>
                <w:sz w:val="24"/>
                <w:szCs w:val="24"/>
              </w:rPr>
            </w:pPr>
          </w:p>
        </w:tc>
        <w:tc>
          <w:tcPr>
            <w:tcW w:w="3827" w:type="dxa"/>
          </w:tcPr>
          <w:p w14:paraId="162969B2" w14:textId="77777777" w:rsidR="00B67D2A" w:rsidRDefault="00B67D2A" w:rsidP="005E6F1B">
            <w:pPr>
              <w:tabs>
                <w:tab w:val="left" w:pos="2806"/>
              </w:tabs>
              <w:ind w:right="38"/>
              <w:jc w:val="both"/>
              <w:rPr>
                <w:rFonts w:ascii="Times New Roman" w:hAnsi="Times New Roman" w:cs="Times New Roman"/>
                <w:sz w:val="24"/>
                <w:szCs w:val="24"/>
              </w:rPr>
            </w:pPr>
            <w:r w:rsidRPr="00C54F1C">
              <w:rPr>
                <w:rFonts w:ascii="Times New Roman" w:hAnsi="Times New Roman" w:cs="Times New Roman"/>
                <w:sz w:val="24"/>
                <w:szCs w:val="24"/>
              </w:rPr>
              <w:t>Другие города/регионы</w:t>
            </w:r>
          </w:p>
        </w:tc>
        <w:tc>
          <w:tcPr>
            <w:tcW w:w="3544" w:type="dxa"/>
          </w:tcPr>
          <w:p w14:paraId="4DC89A45" w14:textId="77777777" w:rsidR="00B67D2A" w:rsidRPr="00A40398" w:rsidRDefault="00B67D2A" w:rsidP="005E6F1B">
            <w:pPr>
              <w:ind w:right="-284"/>
              <w:jc w:val="center"/>
              <w:rPr>
                <w:rFonts w:ascii="Times New Roman" w:hAnsi="Times New Roman" w:cs="Times New Roman"/>
                <w:sz w:val="24"/>
                <w:szCs w:val="24"/>
                <w:lang w:val="en-US"/>
              </w:rPr>
            </w:pPr>
            <w:r w:rsidRPr="00C54F1C">
              <w:rPr>
                <w:rFonts w:ascii="Times New Roman" w:hAnsi="Times New Roman" w:cs="Times New Roman"/>
                <w:sz w:val="24"/>
                <w:szCs w:val="24"/>
              </w:rPr>
              <w:t>3</w:t>
            </w:r>
            <w:r>
              <w:rPr>
                <w:rFonts w:ascii="Times New Roman" w:hAnsi="Times New Roman" w:cs="Times New Roman"/>
                <w:sz w:val="24"/>
                <w:szCs w:val="24"/>
                <w:lang w:val="en-US"/>
              </w:rPr>
              <w:t xml:space="preserve"> (4,9)</w:t>
            </w:r>
          </w:p>
        </w:tc>
      </w:tr>
      <w:tr w:rsidR="00B67D2A" w14:paraId="04E91AB2" w14:textId="77777777" w:rsidTr="00FC2E89">
        <w:tc>
          <w:tcPr>
            <w:tcW w:w="2122" w:type="dxa"/>
            <w:vMerge w:val="restart"/>
          </w:tcPr>
          <w:p w14:paraId="75FD4F4E" w14:textId="77777777" w:rsidR="00B67D2A" w:rsidRPr="00C54F1C" w:rsidRDefault="00B67D2A" w:rsidP="005E6F1B">
            <w:pPr>
              <w:ind w:right="-284"/>
              <w:jc w:val="both"/>
              <w:rPr>
                <w:rFonts w:ascii="Times New Roman" w:hAnsi="Times New Roman" w:cs="Times New Roman"/>
                <w:sz w:val="24"/>
                <w:szCs w:val="24"/>
              </w:rPr>
            </w:pPr>
            <w:r w:rsidRPr="00C54F1C">
              <w:rPr>
                <w:rFonts w:ascii="Times New Roman" w:hAnsi="Times New Roman" w:cs="Times New Roman"/>
                <w:sz w:val="24"/>
                <w:szCs w:val="24"/>
              </w:rPr>
              <w:t>Перенесенный инсульт</w:t>
            </w:r>
          </w:p>
        </w:tc>
        <w:tc>
          <w:tcPr>
            <w:tcW w:w="3827" w:type="dxa"/>
          </w:tcPr>
          <w:p w14:paraId="11D84E7D" w14:textId="77777777" w:rsidR="00B67D2A" w:rsidRDefault="00B67D2A" w:rsidP="005E6F1B">
            <w:pPr>
              <w:tabs>
                <w:tab w:val="left" w:pos="2806"/>
              </w:tabs>
              <w:ind w:right="38"/>
              <w:jc w:val="both"/>
              <w:rPr>
                <w:rFonts w:ascii="Times New Roman" w:hAnsi="Times New Roman" w:cs="Times New Roman"/>
                <w:sz w:val="24"/>
                <w:szCs w:val="24"/>
              </w:rPr>
            </w:pPr>
            <w:r w:rsidRPr="00C54F1C">
              <w:rPr>
                <w:rFonts w:ascii="Times New Roman" w:hAnsi="Times New Roman" w:cs="Times New Roman"/>
                <w:sz w:val="24"/>
                <w:szCs w:val="24"/>
              </w:rPr>
              <w:t>Первичный инсульт</w:t>
            </w:r>
          </w:p>
        </w:tc>
        <w:tc>
          <w:tcPr>
            <w:tcW w:w="3544" w:type="dxa"/>
          </w:tcPr>
          <w:p w14:paraId="3247BB4C" w14:textId="77777777" w:rsidR="00B67D2A" w:rsidRPr="00A40398" w:rsidRDefault="00B67D2A" w:rsidP="005E6F1B">
            <w:pPr>
              <w:ind w:right="-284"/>
              <w:jc w:val="center"/>
              <w:rPr>
                <w:rFonts w:ascii="Times New Roman" w:hAnsi="Times New Roman" w:cs="Times New Roman"/>
                <w:sz w:val="24"/>
                <w:szCs w:val="24"/>
                <w:lang w:val="en-US"/>
              </w:rPr>
            </w:pPr>
            <w:r>
              <w:rPr>
                <w:rFonts w:ascii="Times New Roman" w:hAnsi="Times New Roman" w:cs="Times New Roman"/>
                <w:sz w:val="24"/>
                <w:szCs w:val="24"/>
              </w:rPr>
              <w:t>49</w:t>
            </w:r>
            <w:r>
              <w:rPr>
                <w:rFonts w:ascii="Times New Roman" w:hAnsi="Times New Roman" w:cs="Times New Roman"/>
                <w:sz w:val="24"/>
                <w:szCs w:val="24"/>
                <w:lang w:val="en-US"/>
              </w:rPr>
              <w:t xml:space="preserve"> (80,3)</w:t>
            </w:r>
          </w:p>
        </w:tc>
      </w:tr>
      <w:tr w:rsidR="00B67D2A" w14:paraId="608C7B22" w14:textId="77777777" w:rsidTr="00FC2E89">
        <w:tc>
          <w:tcPr>
            <w:tcW w:w="2122" w:type="dxa"/>
            <w:vMerge/>
          </w:tcPr>
          <w:p w14:paraId="7DB1C819" w14:textId="77777777" w:rsidR="00B67D2A" w:rsidRPr="00C54F1C" w:rsidRDefault="00B67D2A" w:rsidP="005E6F1B">
            <w:pPr>
              <w:ind w:right="-284"/>
              <w:jc w:val="both"/>
              <w:rPr>
                <w:rFonts w:ascii="Times New Roman" w:hAnsi="Times New Roman" w:cs="Times New Roman"/>
                <w:sz w:val="24"/>
                <w:szCs w:val="24"/>
              </w:rPr>
            </w:pPr>
          </w:p>
        </w:tc>
        <w:tc>
          <w:tcPr>
            <w:tcW w:w="3827" w:type="dxa"/>
          </w:tcPr>
          <w:p w14:paraId="28565215" w14:textId="77777777" w:rsidR="00B67D2A" w:rsidRDefault="00B67D2A" w:rsidP="005E6F1B">
            <w:pPr>
              <w:tabs>
                <w:tab w:val="left" w:pos="2806"/>
              </w:tabs>
              <w:ind w:right="38"/>
              <w:jc w:val="both"/>
              <w:rPr>
                <w:rFonts w:ascii="Times New Roman" w:hAnsi="Times New Roman" w:cs="Times New Roman"/>
                <w:sz w:val="24"/>
                <w:szCs w:val="24"/>
              </w:rPr>
            </w:pPr>
            <w:r w:rsidRPr="00C54F1C">
              <w:rPr>
                <w:rFonts w:ascii="Times New Roman" w:hAnsi="Times New Roman" w:cs="Times New Roman"/>
                <w:sz w:val="24"/>
                <w:szCs w:val="24"/>
              </w:rPr>
              <w:t>Было 2 инсульта</w:t>
            </w:r>
          </w:p>
        </w:tc>
        <w:tc>
          <w:tcPr>
            <w:tcW w:w="3544" w:type="dxa"/>
          </w:tcPr>
          <w:p w14:paraId="1297B1CB" w14:textId="77777777" w:rsidR="00B67D2A" w:rsidRPr="00A40398" w:rsidRDefault="00B67D2A" w:rsidP="005E6F1B">
            <w:pPr>
              <w:ind w:right="-284"/>
              <w:jc w:val="center"/>
              <w:rPr>
                <w:rFonts w:ascii="Times New Roman" w:hAnsi="Times New Roman" w:cs="Times New Roman"/>
                <w:sz w:val="24"/>
                <w:szCs w:val="24"/>
                <w:lang w:val="en-US"/>
              </w:rPr>
            </w:pPr>
            <w:r>
              <w:rPr>
                <w:rFonts w:ascii="Times New Roman" w:hAnsi="Times New Roman" w:cs="Times New Roman"/>
                <w:sz w:val="24"/>
                <w:szCs w:val="24"/>
              </w:rPr>
              <w:t>5</w:t>
            </w:r>
            <w:r>
              <w:rPr>
                <w:rFonts w:ascii="Times New Roman" w:hAnsi="Times New Roman" w:cs="Times New Roman"/>
                <w:sz w:val="24"/>
                <w:szCs w:val="24"/>
                <w:lang w:val="en-US"/>
              </w:rPr>
              <w:t xml:space="preserve"> (8,2)</w:t>
            </w:r>
          </w:p>
        </w:tc>
      </w:tr>
      <w:tr w:rsidR="00B67D2A" w14:paraId="152B02AB" w14:textId="77777777" w:rsidTr="00FC2E89">
        <w:tc>
          <w:tcPr>
            <w:tcW w:w="2122" w:type="dxa"/>
            <w:vMerge/>
          </w:tcPr>
          <w:p w14:paraId="085C9EA6" w14:textId="77777777" w:rsidR="00B67D2A" w:rsidRPr="00C54F1C" w:rsidRDefault="00B67D2A" w:rsidP="005E6F1B">
            <w:pPr>
              <w:ind w:right="-284"/>
              <w:jc w:val="both"/>
              <w:rPr>
                <w:rFonts w:ascii="Times New Roman" w:hAnsi="Times New Roman" w:cs="Times New Roman"/>
                <w:sz w:val="24"/>
                <w:szCs w:val="24"/>
              </w:rPr>
            </w:pPr>
          </w:p>
        </w:tc>
        <w:tc>
          <w:tcPr>
            <w:tcW w:w="3827" w:type="dxa"/>
          </w:tcPr>
          <w:p w14:paraId="643EEADE" w14:textId="77777777" w:rsidR="00B67D2A" w:rsidRDefault="00B67D2A" w:rsidP="005E6F1B">
            <w:pPr>
              <w:tabs>
                <w:tab w:val="left" w:pos="2806"/>
              </w:tabs>
              <w:ind w:right="38"/>
              <w:jc w:val="both"/>
              <w:rPr>
                <w:rFonts w:ascii="Times New Roman" w:hAnsi="Times New Roman" w:cs="Times New Roman"/>
                <w:sz w:val="24"/>
                <w:szCs w:val="24"/>
              </w:rPr>
            </w:pPr>
            <w:r w:rsidRPr="00C54F1C">
              <w:rPr>
                <w:rFonts w:ascii="Times New Roman" w:hAnsi="Times New Roman" w:cs="Times New Roman"/>
                <w:sz w:val="24"/>
                <w:szCs w:val="24"/>
              </w:rPr>
              <w:t>Было 3 или более инсультов</w:t>
            </w:r>
          </w:p>
        </w:tc>
        <w:tc>
          <w:tcPr>
            <w:tcW w:w="3544" w:type="dxa"/>
          </w:tcPr>
          <w:p w14:paraId="5CC53910" w14:textId="77777777" w:rsidR="00B67D2A" w:rsidRPr="00A40398" w:rsidRDefault="00B67D2A" w:rsidP="005E6F1B">
            <w:pPr>
              <w:ind w:right="-284"/>
              <w:jc w:val="center"/>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 xml:space="preserve"> (4,9)</w:t>
            </w:r>
          </w:p>
        </w:tc>
      </w:tr>
      <w:tr w:rsidR="00B67D2A" w14:paraId="18B28E0B" w14:textId="77777777" w:rsidTr="00FC2E89">
        <w:tc>
          <w:tcPr>
            <w:tcW w:w="2122" w:type="dxa"/>
            <w:vMerge/>
          </w:tcPr>
          <w:p w14:paraId="2E120428" w14:textId="77777777" w:rsidR="00B67D2A" w:rsidRPr="00C54F1C" w:rsidRDefault="00B67D2A" w:rsidP="005E6F1B">
            <w:pPr>
              <w:ind w:right="-284"/>
              <w:jc w:val="both"/>
              <w:rPr>
                <w:rFonts w:ascii="Times New Roman" w:hAnsi="Times New Roman" w:cs="Times New Roman"/>
                <w:sz w:val="24"/>
                <w:szCs w:val="24"/>
              </w:rPr>
            </w:pPr>
          </w:p>
        </w:tc>
        <w:tc>
          <w:tcPr>
            <w:tcW w:w="3827" w:type="dxa"/>
          </w:tcPr>
          <w:p w14:paraId="0436488E" w14:textId="77777777" w:rsidR="00B67D2A" w:rsidRDefault="00B67D2A" w:rsidP="005E6F1B">
            <w:pPr>
              <w:tabs>
                <w:tab w:val="left" w:pos="2806"/>
              </w:tabs>
              <w:ind w:right="38"/>
              <w:jc w:val="both"/>
              <w:rPr>
                <w:rFonts w:ascii="Times New Roman" w:hAnsi="Times New Roman" w:cs="Times New Roman"/>
                <w:sz w:val="24"/>
                <w:szCs w:val="24"/>
              </w:rPr>
            </w:pPr>
            <w:r w:rsidRPr="00C54F1C">
              <w:rPr>
                <w:rFonts w:ascii="Times New Roman" w:hAnsi="Times New Roman" w:cs="Times New Roman"/>
                <w:sz w:val="24"/>
                <w:szCs w:val="24"/>
              </w:rPr>
              <w:t>Были мини-инсульты/ТИА</w:t>
            </w:r>
          </w:p>
        </w:tc>
        <w:tc>
          <w:tcPr>
            <w:tcW w:w="3544" w:type="dxa"/>
          </w:tcPr>
          <w:p w14:paraId="318A10C8" w14:textId="77777777" w:rsidR="00B67D2A" w:rsidRPr="00A40398" w:rsidRDefault="00B67D2A" w:rsidP="005E6F1B">
            <w:pPr>
              <w:ind w:right="-284"/>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 xml:space="preserve"> (1,6)</w:t>
            </w:r>
          </w:p>
        </w:tc>
      </w:tr>
    </w:tbl>
    <w:p w14:paraId="66564F1E" w14:textId="77777777" w:rsidR="00B67D2A" w:rsidRDefault="00B67D2A" w:rsidP="00B67D2A">
      <w:pPr>
        <w:spacing w:after="0" w:line="240" w:lineRule="auto"/>
        <w:ind w:right="-284" w:firstLine="567"/>
        <w:jc w:val="both"/>
        <w:rPr>
          <w:rFonts w:ascii="Times New Roman" w:hAnsi="Times New Roman" w:cs="Times New Roman"/>
          <w:sz w:val="28"/>
          <w:szCs w:val="28"/>
          <w:lang w:val="en-US"/>
        </w:rPr>
      </w:pPr>
    </w:p>
    <w:p w14:paraId="18262C7C" w14:textId="77777777" w:rsidR="00B67D2A" w:rsidRPr="004920E2" w:rsidRDefault="00B67D2A" w:rsidP="00FC2E89">
      <w:pPr>
        <w:spacing w:after="0" w:line="240" w:lineRule="auto"/>
        <w:ind w:firstLine="567"/>
        <w:jc w:val="both"/>
        <w:rPr>
          <w:rFonts w:ascii="Times New Roman" w:hAnsi="Times New Roman" w:cs="Times New Roman"/>
          <w:sz w:val="28"/>
          <w:szCs w:val="28"/>
        </w:rPr>
      </w:pPr>
      <w:r w:rsidRPr="004920E2">
        <w:rPr>
          <w:rFonts w:ascii="Times New Roman" w:hAnsi="Times New Roman" w:cs="Times New Roman"/>
          <w:sz w:val="28"/>
          <w:szCs w:val="28"/>
        </w:rPr>
        <w:t>До инсульта у 44,3% респондентов имелись хронические заболевания, при этом наиболее распространённой патологией была артериальная гипертония (21,3%), далее следовали сахарный диабет (8,2%), артрит/артроз (6,6%) и заболевания щитовидной железы (3,3%). Отдельно отмечались проблемы с холестерином (1,6%) и другие заболевания (3,3%). Более половины участников (55,7%) указали на отсутствие известных хронических заболеваний, что может свидетельствовать как о реальном их отсутствии, так и о недостаточной диагностике.</w:t>
      </w:r>
    </w:p>
    <w:p w14:paraId="0B854AD2" w14:textId="77777777" w:rsidR="00B67D2A" w:rsidRPr="004920E2" w:rsidRDefault="00B67D2A" w:rsidP="00FC2E89">
      <w:pPr>
        <w:spacing w:after="0" w:line="240" w:lineRule="auto"/>
        <w:ind w:firstLine="567"/>
        <w:jc w:val="both"/>
        <w:rPr>
          <w:rFonts w:ascii="Times New Roman" w:hAnsi="Times New Roman" w:cs="Times New Roman"/>
          <w:sz w:val="28"/>
          <w:szCs w:val="28"/>
        </w:rPr>
      </w:pPr>
      <w:r w:rsidRPr="004920E2">
        <w:rPr>
          <w:rFonts w:ascii="Times New Roman" w:hAnsi="Times New Roman" w:cs="Times New Roman"/>
          <w:sz w:val="28"/>
          <w:szCs w:val="28"/>
        </w:rPr>
        <w:t>Что касается образа жизни, 41,0% респондентов вели активный образ жизни, тогда как 39,3% характеризовали его как малоподвижный; ещё 19,7% отметили смешанный тип активности. При этом 54,1% участников регулярно посещали врача, а 45,9% обращались за медицинской помощью редко или только при появлении симптомов. В совокупности данные указывают на наличие у значительной части пациентов управляемых факторов риска и недостаточную профилактическую активность до инсульта.</w:t>
      </w:r>
    </w:p>
    <w:p w14:paraId="13940F7E" w14:textId="77777777" w:rsidR="00B67D2A" w:rsidRDefault="00B67D2A" w:rsidP="00FC2E89">
      <w:pPr>
        <w:spacing w:after="0" w:line="240" w:lineRule="auto"/>
        <w:ind w:firstLine="567"/>
        <w:jc w:val="both"/>
        <w:rPr>
          <w:rFonts w:ascii="Times New Roman" w:hAnsi="Times New Roman" w:cs="Times New Roman"/>
          <w:sz w:val="28"/>
          <w:szCs w:val="28"/>
        </w:rPr>
      </w:pPr>
    </w:p>
    <w:p w14:paraId="322306E7" w14:textId="68FFF557" w:rsidR="00B67D2A" w:rsidRDefault="00B67D2A" w:rsidP="00FC2E89">
      <w:pPr>
        <w:spacing w:after="0" w:line="240" w:lineRule="auto"/>
        <w:jc w:val="both"/>
        <w:rPr>
          <w:rFonts w:ascii="Times New Roman" w:hAnsi="Times New Roman" w:cs="Times New Roman"/>
          <w:sz w:val="28"/>
          <w:szCs w:val="28"/>
        </w:rPr>
      </w:pPr>
      <w:r w:rsidRPr="000B2689">
        <w:rPr>
          <w:rFonts w:ascii="Times New Roman" w:hAnsi="Times New Roman" w:cs="Times New Roman"/>
          <w:sz w:val="28"/>
          <w:szCs w:val="28"/>
        </w:rPr>
        <w:t>Таблица 1</w:t>
      </w:r>
      <w:r>
        <w:rPr>
          <w:rFonts w:ascii="Times New Roman" w:hAnsi="Times New Roman" w:cs="Times New Roman"/>
          <w:sz w:val="28"/>
          <w:szCs w:val="28"/>
        </w:rPr>
        <w:t>7</w:t>
      </w:r>
      <w:r w:rsidRPr="000B2689">
        <w:rPr>
          <w:rFonts w:ascii="Times New Roman" w:hAnsi="Times New Roman" w:cs="Times New Roman"/>
          <w:sz w:val="28"/>
          <w:szCs w:val="28"/>
        </w:rPr>
        <w:t>. Факторы</w:t>
      </w:r>
      <w:r>
        <w:rPr>
          <w:rFonts w:ascii="Times New Roman" w:hAnsi="Times New Roman" w:cs="Times New Roman"/>
          <w:sz w:val="28"/>
          <w:szCs w:val="28"/>
        </w:rPr>
        <w:t xml:space="preserve"> риска </w:t>
      </w:r>
      <w:r w:rsidRPr="00CA5118">
        <w:rPr>
          <w:rFonts w:ascii="Times New Roman" w:hAnsi="Times New Roman" w:cs="Times New Roman"/>
          <w:sz w:val="28"/>
          <w:szCs w:val="28"/>
        </w:rPr>
        <w:t>до инсульта и особенностей поведения в отношении здоровья (</w:t>
      </w:r>
      <w:r w:rsidRPr="00CA5118">
        <w:rPr>
          <w:rFonts w:ascii="Times New Roman" w:hAnsi="Times New Roman" w:cs="Times New Roman"/>
          <w:sz w:val="28"/>
          <w:szCs w:val="28"/>
          <w:lang w:val="en-US"/>
        </w:rPr>
        <w:t>n</w:t>
      </w:r>
      <w:r w:rsidRPr="00CA5118">
        <w:rPr>
          <w:rFonts w:ascii="Times New Roman" w:hAnsi="Times New Roman" w:cs="Times New Roman"/>
          <w:sz w:val="28"/>
          <w:szCs w:val="28"/>
        </w:rPr>
        <w:t>=61)</w:t>
      </w:r>
    </w:p>
    <w:p w14:paraId="3E73EAD0" w14:textId="77777777" w:rsidR="00FC2E89" w:rsidRPr="00CA5118" w:rsidRDefault="00FC2E89" w:rsidP="00FC2E89">
      <w:pPr>
        <w:spacing w:after="0" w:line="240" w:lineRule="auto"/>
        <w:jc w:val="both"/>
        <w:rPr>
          <w:rFonts w:ascii="Times New Roman" w:hAnsi="Times New Roman" w:cs="Times New Roman"/>
          <w:sz w:val="28"/>
          <w:szCs w:val="28"/>
        </w:rPr>
      </w:pPr>
    </w:p>
    <w:tbl>
      <w:tblPr>
        <w:tblStyle w:val="ae"/>
        <w:tblW w:w="9356" w:type="dxa"/>
        <w:tblInd w:w="137" w:type="dxa"/>
        <w:tblLook w:val="04A0" w:firstRow="1" w:lastRow="0" w:firstColumn="1" w:lastColumn="0" w:noHBand="0" w:noVBand="1"/>
      </w:tblPr>
      <w:tblGrid>
        <w:gridCol w:w="2122"/>
        <w:gridCol w:w="4819"/>
        <w:gridCol w:w="2415"/>
      </w:tblGrid>
      <w:tr w:rsidR="00B67D2A" w:rsidRPr="00CA5118" w14:paraId="57F0A64E" w14:textId="77777777" w:rsidTr="00FC2E89">
        <w:tc>
          <w:tcPr>
            <w:tcW w:w="2122" w:type="dxa"/>
          </w:tcPr>
          <w:p w14:paraId="04CC9341" w14:textId="77777777" w:rsidR="00B67D2A" w:rsidRPr="00CA5118" w:rsidRDefault="00B67D2A" w:rsidP="005E6F1B">
            <w:pPr>
              <w:ind w:right="180"/>
              <w:jc w:val="both"/>
              <w:rPr>
                <w:rFonts w:ascii="Times New Roman" w:hAnsi="Times New Roman" w:cs="Times New Roman"/>
                <w:sz w:val="24"/>
                <w:szCs w:val="24"/>
              </w:rPr>
            </w:pPr>
            <w:r w:rsidRPr="00CA5118">
              <w:rPr>
                <w:rFonts w:ascii="Times New Roman" w:hAnsi="Times New Roman" w:cs="Times New Roman"/>
                <w:sz w:val="24"/>
                <w:szCs w:val="24"/>
              </w:rPr>
              <w:t>Категория</w:t>
            </w:r>
          </w:p>
        </w:tc>
        <w:tc>
          <w:tcPr>
            <w:tcW w:w="4819" w:type="dxa"/>
          </w:tcPr>
          <w:p w14:paraId="3739D518" w14:textId="77777777" w:rsidR="00B67D2A" w:rsidRPr="00CA5118" w:rsidRDefault="00B67D2A" w:rsidP="005E6F1B">
            <w:pPr>
              <w:ind w:right="180"/>
              <w:jc w:val="both"/>
              <w:rPr>
                <w:rFonts w:ascii="Times New Roman" w:hAnsi="Times New Roman" w:cs="Times New Roman"/>
                <w:sz w:val="24"/>
                <w:szCs w:val="24"/>
                <w:lang w:val="en-US"/>
              </w:rPr>
            </w:pPr>
            <w:r w:rsidRPr="00CA5118">
              <w:rPr>
                <w:rFonts w:ascii="Times New Roman" w:hAnsi="Times New Roman" w:cs="Times New Roman"/>
                <w:sz w:val="24"/>
                <w:szCs w:val="24"/>
              </w:rPr>
              <w:t>Ответы</w:t>
            </w:r>
          </w:p>
        </w:tc>
        <w:tc>
          <w:tcPr>
            <w:tcW w:w="2415" w:type="dxa"/>
          </w:tcPr>
          <w:p w14:paraId="40B0C133" w14:textId="77777777" w:rsidR="00B67D2A" w:rsidRPr="004920E2" w:rsidRDefault="00B67D2A" w:rsidP="005E6F1B">
            <w:pPr>
              <w:ind w:right="180"/>
              <w:jc w:val="center"/>
              <w:rPr>
                <w:rFonts w:ascii="Times New Roman" w:hAnsi="Times New Roman" w:cs="Times New Roman"/>
                <w:sz w:val="24"/>
                <w:szCs w:val="24"/>
                <w:lang w:val="en-US"/>
              </w:rPr>
            </w:pPr>
            <w:r>
              <w:rPr>
                <w:rFonts w:ascii="Times New Roman" w:hAnsi="Times New Roman" w:cs="Times New Roman"/>
                <w:sz w:val="24"/>
                <w:szCs w:val="24"/>
                <w:lang w:val="en-US"/>
              </w:rPr>
              <w:t>n (%)</w:t>
            </w:r>
          </w:p>
        </w:tc>
      </w:tr>
      <w:tr w:rsidR="00B67D2A" w:rsidRPr="00CA5118" w14:paraId="6CC0CC50" w14:textId="77777777" w:rsidTr="00FC2E89">
        <w:tc>
          <w:tcPr>
            <w:tcW w:w="2122" w:type="dxa"/>
            <w:vMerge w:val="restart"/>
          </w:tcPr>
          <w:p w14:paraId="4628E3F0" w14:textId="77777777" w:rsidR="00B67D2A" w:rsidRPr="00CA5118" w:rsidRDefault="00B67D2A" w:rsidP="005E6F1B">
            <w:pPr>
              <w:ind w:right="180"/>
              <w:jc w:val="both"/>
              <w:rPr>
                <w:rFonts w:ascii="Times New Roman" w:hAnsi="Times New Roman" w:cs="Times New Roman"/>
                <w:sz w:val="24"/>
                <w:szCs w:val="24"/>
              </w:rPr>
            </w:pPr>
            <w:r w:rsidRPr="00CA5118">
              <w:rPr>
                <w:rFonts w:ascii="Times New Roman" w:hAnsi="Times New Roman" w:cs="Times New Roman"/>
                <w:sz w:val="24"/>
                <w:szCs w:val="24"/>
              </w:rPr>
              <w:t>Хронические заболевания до инсульта</w:t>
            </w:r>
          </w:p>
        </w:tc>
        <w:tc>
          <w:tcPr>
            <w:tcW w:w="4819" w:type="dxa"/>
          </w:tcPr>
          <w:p w14:paraId="29BD53B8" w14:textId="77777777" w:rsidR="00B67D2A" w:rsidRPr="00CA5118" w:rsidRDefault="00B67D2A" w:rsidP="005E6F1B">
            <w:pPr>
              <w:ind w:right="180"/>
              <w:jc w:val="both"/>
              <w:rPr>
                <w:rFonts w:ascii="Times New Roman" w:hAnsi="Times New Roman" w:cs="Times New Roman"/>
                <w:sz w:val="24"/>
                <w:szCs w:val="24"/>
              </w:rPr>
            </w:pPr>
            <w:r w:rsidRPr="00CA5118">
              <w:rPr>
                <w:rFonts w:ascii="Times New Roman" w:hAnsi="Times New Roman" w:cs="Times New Roman"/>
                <w:sz w:val="24"/>
                <w:szCs w:val="24"/>
              </w:rPr>
              <w:t xml:space="preserve">Нет </w:t>
            </w:r>
          </w:p>
        </w:tc>
        <w:tc>
          <w:tcPr>
            <w:tcW w:w="2415" w:type="dxa"/>
          </w:tcPr>
          <w:p w14:paraId="5F41720A" w14:textId="77777777" w:rsidR="00B67D2A" w:rsidRPr="004920E2" w:rsidRDefault="00B67D2A" w:rsidP="005E6F1B">
            <w:pPr>
              <w:ind w:right="180"/>
              <w:jc w:val="center"/>
              <w:rPr>
                <w:rFonts w:ascii="Times New Roman" w:hAnsi="Times New Roman" w:cs="Times New Roman"/>
                <w:sz w:val="24"/>
                <w:szCs w:val="24"/>
                <w:lang w:val="en-US"/>
              </w:rPr>
            </w:pPr>
            <w:r w:rsidRPr="00CA5118">
              <w:rPr>
                <w:rFonts w:ascii="Times New Roman" w:hAnsi="Times New Roman" w:cs="Times New Roman"/>
                <w:sz w:val="24"/>
                <w:szCs w:val="24"/>
              </w:rPr>
              <w:t>34</w:t>
            </w:r>
            <w:r>
              <w:rPr>
                <w:rFonts w:ascii="Times New Roman" w:hAnsi="Times New Roman" w:cs="Times New Roman"/>
                <w:sz w:val="24"/>
                <w:szCs w:val="24"/>
                <w:lang w:val="en-US"/>
              </w:rPr>
              <w:t xml:space="preserve"> (55,7)</w:t>
            </w:r>
          </w:p>
        </w:tc>
      </w:tr>
      <w:tr w:rsidR="00B67D2A" w:rsidRPr="00CA5118" w14:paraId="0A1CD907" w14:textId="77777777" w:rsidTr="00FC2E89">
        <w:tc>
          <w:tcPr>
            <w:tcW w:w="2122" w:type="dxa"/>
            <w:vMerge/>
          </w:tcPr>
          <w:p w14:paraId="3B6AFB5E" w14:textId="77777777" w:rsidR="00B67D2A" w:rsidRPr="00CA5118" w:rsidRDefault="00B67D2A" w:rsidP="005E6F1B">
            <w:pPr>
              <w:ind w:right="180"/>
              <w:jc w:val="both"/>
              <w:rPr>
                <w:rFonts w:ascii="Times New Roman" w:hAnsi="Times New Roman" w:cs="Times New Roman"/>
                <w:sz w:val="24"/>
                <w:szCs w:val="24"/>
              </w:rPr>
            </w:pPr>
          </w:p>
        </w:tc>
        <w:tc>
          <w:tcPr>
            <w:tcW w:w="4819" w:type="dxa"/>
          </w:tcPr>
          <w:p w14:paraId="123A2AFB" w14:textId="77777777" w:rsidR="00B67D2A" w:rsidRPr="00CA5118" w:rsidRDefault="00B67D2A" w:rsidP="005E6F1B">
            <w:pPr>
              <w:ind w:right="180"/>
              <w:jc w:val="both"/>
              <w:rPr>
                <w:rFonts w:ascii="Times New Roman" w:hAnsi="Times New Roman" w:cs="Times New Roman"/>
                <w:sz w:val="24"/>
                <w:szCs w:val="24"/>
              </w:rPr>
            </w:pPr>
            <w:r w:rsidRPr="00CA5118">
              <w:rPr>
                <w:rFonts w:ascii="Times New Roman" w:hAnsi="Times New Roman" w:cs="Times New Roman"/>
                <w:sz w:val="24"/>
                <w:szCs w:val="24"/>
              </w:rPr>
              <w:t>Имел(а) хронические заболевания</w:t>
            </w:r>
          </w:p>
        </w:tc>
        <w:tc>
          <w:tcPr>
            <w:tcW w:w="2415" w:type="dxa"/>
          </w:tcPr>
          <w:p w14:paraId="5C8F8CE3" w14:textId="77777777" w:rsidR="00B67D2A" w:rsidRPr="004920E2" w:rsidRDefault="00B67D2A" w:rsidP="005E6F1B">
            <w:pPr>
              <w:ind w:right="180"/>
              <w:jc w:val="center"/>
              <w:rPr>
                <w:rFonts w:ascii="Times New Roman" w:hAnsi="Times New Roman" w:cs="Times New Roman"/>
                <w:sz w:val="24"/>
                <w:szCs w:val="24"/>
                <w:lang w:val="en-US"/>
              </w:rPr>
            </w:pPr>
            <w:r w:rsidRPr="00CA5118">
              <w:rPr>
                <w:rFonts w:ascii="Times New Roman" w:hAnsi="Times New Roman" w:cs="Times New Roman"/>
                <w:sz w:val="24"/>
                <w:szCs w:val="24"/>
              </w:rPr>
              <w:t>27</w:t>
            </w:r>
            <w:r>
              <w:rPr>
                <w:rFonts w:ascii="Times New Roman" w:hAnsi="Times New Roman" w:cs="Times New Roman"/>
                <w:sz w:val="24"/>
                <w:szCs w:val="24"/>
              </w:rPr>
              <w:t xml:space="preserve"> </w:t>
            </w:r>
            <w:r>
              <w:rPr>
                <w:rFonts w:ascii="Times New Roman" w:hAnsi="Times New Roman" w:cs="Times New Roman"/>
                <w:sz w:val="24"/>
                <w:szCs w:val="24"/>
                <w:lang w:val="en-US"/>
              </w:rPr>
              <w:t>(44,3)</w:t>
            </w:r>
          </w:p>
        </w:tc>
      </w:tr>
      <w:tr w:rsidR="00B67D2A" w:rsidRPr="00CA5118" w14:paraId="4F16B7AA" w14:textId="77777777" w:rsidTr="00FC2E89">
        <w:tc>
          <w:tcPr>
            <w:tcW w:w="2122" w:type="dxa"/>
            <w:vMerge/>
          </w:tcPr>
          <w:p w14:paraId="0FBE9EFD" w14:textId="77777777" w:rsidR="00B67D2A" w:rsidRPr="00CA5118" w:rsidRDefault="00B67D2A" w:rsidP="005E6F1B">
            <w:pPr>
              <w:ind w:right="180"/>
              <w:jc w:val="both"/>
              <w:rPr>
                <w:rFonts w:ascii="Times New Roman" w:hAnsi="Times New Roman" w:cs="Times New Roman"/>
                <w:sz w:val="24"/>
                <w:szCs w:val="24"/>
              </w:rPr>
            </w:pPr>
          </w:p>
        </w:tc>
        <w:tc>
          <w:tcPr>
            <w:tcW w:w="4819" w:type="dxa"/>
          </w:tcPr>
          <w:p w14:paraId="1EE6014A" w14:textId="77777777" w:rsidR="00B67D2A" w:rsidRPr="00D57518" w:rsidRDefault="00B67D2A" w:rsidP="005E6F1B">
            <w:pPr>
              <w:ind w:right="180"/>
              <w:jc w:val="both"/>
              <w:rPr>
                <w:rFonts w:ascii="Times New Roman" w:hAnsi="Times New Roman" w:cs="Times New Roman"/>
                <w:sz w:val="24"/>
                <w:szCs w:val="24"/>
                <w:lang w:val="kk-KZ"/>
              </w:rPr>
            </w:pPr>
            <w:r>
              <w:rPr>
                <w:rFonts w:ascii="Times New Roman" w:hAnsi="Times New Roman" w:cs="Times New Roman"/>
                <w:sz w:val="24"/>
                <w:szCs w:val="24"/>
                <w:lang w:val="kk-KZ"/>
              </w:rPr>
              <w:t>Из них;</w:t>
            </w:r>
          </w:p>
        </w:tc>
        <w:tc>
          <w:tcPr>
            <w:tcW w:w="2415" w:type="dxa"/>
          </w:tcPr>
          <w:p w14:paraId="78CC4241" w14:textId="77777777" w:rsidR="00B67D2A" w:rsidRPr="00CA5118" w:rsidRDefault="00B67D2A" w:rsidP="005E6F1B">
            <w:pPr>
              <w:ind w:right="180"/>
              <w:jc w:val="center"/>
              <w:rPr>
                <w:rFonts w:ascii="Times New Roman" w:hAnsi="Times New Roman" w:cs="Times New Roman"/>
                <w:sz w:val="24"/>
                <w:szCs w:val="24"/>
              </w:rPr>
            </w:pPr>
          </w:p>
        </w:tc>
      </w:tr>
      <w:tr w:rsidR="00B67D2A" w:rsidRPr="00CA5118" w14:paraId="468018CB" w14:textId="77777777" w:rsidTr="00FC2E89">
        <w:tc>
          <w:tcPr>
            <w:tcW w:w="2122" w:type="dxa"/>
            <w:vMerge/>
          </w:tcPr>
          <w:p w14:paraId="3590DEEF" w14:textId="77777777" w:rsidR="00B67D2A" w:rsidRPr="00CA5118" w:rsidRDefault="00B67D2A" w:rsidP="005E6F1B">
            <w:pPr>
              <w:ind w:right="180"/>
              <w:jc w:val="both"/>
              <w:rPr>
                <w:rFonts w:ascii="Times New Roman" w:hAnsi="Times New Roman" w:cs="Times New Roman"/>
                <w:sz w:val="24"/>
                <w:szCs w:val="24"/>
              </w:rPr>
            </w:pPr>
          </w:p>
        </w:tc>
        <w:tc>
          <w:tcPr>
            <w:tcW w:w="4819" w:type="dxa"/>
          </w:tcPr>
          <w:p w14:paraId="11C53910" w14:textId="77777777" w:rsidR="00B67D2A" w:rsidRPr="00CA5118" w:rsidRDefault="00B67D2A" w:rsidP="005E6F1B">
            <w:pPr>
              <w:ind w:right="180"/>
              <w:jc w:val="both"/>
              <w:rPr>
                <w:rFonts w:ascii="Times New Roman" w:hAnsi="Times New Roman" w:cs="Times New Roman"/>
                <w:sz w:val="24"/>
                <w:szCs w:val="24"/>
              </w:rPr>
            </w:pPr>
            <w:r w:rsidRPr="00CA5118">
              <w:rPr>
                <w:rFonts w:ascii="Times New Roman" w:hAnsi="Times New Roman" w:cs="Times New Roman"/>
                <w:sz w:val="24"/>
                <w:szCs w:val="24"/>
              </w:rPr>
              <w:t>Гипертония</w:t>
            </w:r>
          </w:p>
        </w:tc>
        <w:tc>
          <w:tcPr>
            <w:tcW w:w="2415" w:type="dxa"/>
          </w:tcPr>
          <w:p w14:paraId="562AE42B" w14:textId="77777777" w:rsidR="00B67D2A" w:rsidRPr="004920E2" w:rsidRDefault="00B67D2A" w:rsidP="005E6F1B">
            <w:pPr>
              <w:ind w:right="180"/>
              <w:jc w:val="center"/>
              <w:rPr>
                <w:rFonts w:ascii="Times New Roman" w:hAnsi="Times New Roman" w:cs="Times New Roman"/>
                <w:sz w:val="24"/>
                <w:szCs w:val="24"/>
                <w:lang w:val="en-US"/>
              </w:rPr>
            </w:pPr>
            <w:r w:rsidRPr="00CA5118">
              <w:rPr>
                <w:rFonts w:ascii="Times New Roman" w:hAnsi="Times New Roman" w:cs="Times New Roman"/>
                <w:sz w:val="24"/>
                <w:szCs w:val="24"/>
              </w:rPr>
              <w:t>13</w:t>
            </w:r>
            <w:r>
              <w:rPr>
                <w:rFonts w:ascii="Times New Roman" w:hAnsi="Times New Roman" w:cs="Times New Roman"/>
                <w:sz w:val="24"/>
                <w:szCs w:val="24"/>
                <w:lang w:val="en-US"/>
              </w:rPr>
              <w:t xml:space="preserve"> (21,3)</w:t>
            </w:r>
          </w:p>
        </w:tc>
      </w:tr>
      <w:tr w:rsidR="00B67D2A" w:rsidRPr="00CA5118" w14:paraId="276B9832" w14:textId="77777777" w:rsidTr="00FC2E89">
        <w:tc>
          <w:tcPr>
            <w:tcW w:w="2122" w:type="dxa"/>
            <w:vMerge/>
          </w:tcPr>
          <w:p w14:paraId="3B43EF0D" w14:textId="77777777" w:rsidR="00B67D2A" w:rsidRPr="00CA5118" w:rsidRDefault="00B67D2A" w:rsidP="005E6F1B">
            <w:pPr>
              <w:ind w:right="180"/>
              <w:jc w:val="both"/>
              <w:rPr>
                <w:rFonts w:ascii="Times New Roman" w:hAnsi="Times New Roman" w:cs="Times New Roman"/>
                <w:sz w:val="24"/>
                <w:szCs w:val="24"/>
              </w:rPr>
            </w:pPr>
          </w:p>
        </w:tc>
        <w:tc>
          <w:tcPr>
            <w:tcW w:w="4819" w:type="dxa"/>
          </w:tcPr>
          <w:p w14:paraId="38368E41" w14:textId="77777777" w:rsidR="00B67D2A" w:rsidRPr="00CA5118" w:rsidRDefault="00B67D2A" w:rsidP="005E6F1B">
            <w:pPr>
              <w:ind w:right="180"/>
              <w:jc w:val="both"/>
              <w:rPr>
                <w:rFonts w:ascii="Times New Roman" w:hAnsi="Times New Roman" w:cs="Times New Roman"/>
                <w:sz w:val="24"/>
                <w:szCs w:val="24"/>
              </w:rPr>
            </w:pPr>
            <w:r w:rsidRPr="00CA5118">
              <w:rPr>
                <w:rFonts w:ascii="Times New Roman" w:hAnsi="Times New Roman" w:cs="Times New Roman"/>
                <w:sz w:val="24"/>
                <w:szCs w:val="24"/>
              </w:rPr>
              <w:t>Диабет 5</w:t>
            </w:r>
          </w:p>
        </w:tc>
        <w:tc>
          <w:tcPr>
            <w:tcW w:w="2415" w:type="dxa"/>
          </w:tcPr>
          <w:p w14:paraId="1FFC26DC" w14:textId="77777777" w:rsidR="00B67D2A" w:rsidRPr="004920E2" w:rsidRDefault="00B67D2A" w:rsidP="005E6F1B">
            <w:pPr>
              <w:ind w:right="180"/>
              <w:jc w:val="center"/>
              <w:rPr>
                <w:rFonts w:ascii="Times New Roman" w:hAnsi="Times New Roman" w:cs="Times New Roman"/>
                <w:sz w:val="24"/>
                <w:szCs w:val="24"/>
                <w:lang w:val="en-US"/>
              </w:rPr>
            </w:pPr>
            <w:r w:rsidRPr="00CA5118">
              <w:rPr>
                <w:rFonts w:ascii="Times New Roman" w:hAnsi="Times New Roman" w:cs="Times New Roman"/>
                <w:sz w:val="24"/>
                <w:szCs w:val="24"/>
              </w:rPr>
              <w:t>5</w:t>
            </w:r>
            <w:r>
              <w:rPr>
                <w:rFonts w:ascii="Times New Roman" w:hAnsi="Times New Roman" w:cs="Times New Roman"/>
                <w:sz w:val="24"/>
                <w:szCs w:val="24"/>
                <w:lang w:val="en-US"/>
              </w:rPr>
              <w:t xml:space="preserve"> (8,2)</w:t>
            </w:r>
          </w:p>
        </w:tc>
      </w:tr>
      <w:tr w:rsidR="00B67D2A" w:rsidRPr="00CA5118" w14:paraId="20E439A1" w14:textId="77777777" w:rsidTr="00FC2E89">
        <w:tc>
          <w:tcPr>
            <w:tcW w:w="2122" w:type="dxa"/>
            <w:vMerge/>
          </w:tcPr>
          <w:p w14:paraId="65BA7A92" w14:textId="77777777" w:rsidR="00B67D2A" w:rsidRPr="00CA5118" w:rsidRDefault="00B67D2A" w:rsidP="005E6F1B">
            <w:pPr>
              <w:ind w:right="180"/>
              <w:jc w:val="both"/>
              <w:rPr>
                <w:rFonts w:ascii="Times New Roman" w:hAnsi="Times New Roman" w:cs="Times New Roman"/>
                <w:sz w:val="24"/>
                <w:szCs w:val="24"/>
              </w:rPr>
            </w:pPr>
          </w:p>
        </w:tc>
        <w:tc>
          <w:tcPr>
            <w:tcW w:w="4819" w:type="dxa"/>
          </w:tcPr>
          <w:p w14:paraId="3DFD2D06" w14:textId="77777777" w:rsidR="00B67D2A" w:rsidRPr="00CA5118" w:rsidRDefault="00B67D2A" w:rsidP="005E6F1B">
            <w:pPr>
              <w:ind w:right="180"/>
              <w:jc w:val="both"/>
              <w:rPr>
                <w:rFonts w:ascii="Times New Roman" w:hAnsi="Times New Roman" w:cs="Times New Roman"/>
                <w:sz w:val="24"/>
                <w:szCs w:val="24"/>
              </w:rPr>
            </w:pPr>
            <w:r w:rsidRPr="00CA5118">
              <w:rPr>
                <w:rFonts w:ascii="Times New Roman" w:hAnsi="Times New Roman" w:cs="Times New Roman"/>
                <w:sz w:val="24"/>
                <w:szCs w:val="24"/>
              </w:rPr>
              <w:t>Артрит/артроз (подгруппа)</w:t>
            </w:r>
          </w:p>
        </w:tc>
        <w:tc>
          <w:tcPr>
            <w:tcW w:w="2415" w:type="dxa"/>
          </w:tcPr>
          <w:p w14:paraId="34B50DEE" w14:textId="77777777" w:rsidR="00B67D2A" w:rsidRPr="004920E2" w:rsidRDefault="00B67D2A" w:rsidP="005E6F1B">
            <w:pPr>
              <w:ind w:right="180"/>
              <w:jc w:val="center"/>
              <w:rPr>
                <w:rFonts w:ascii="Times New Roman" w:hAnsi="Times New Roman" w:cs="Times New Roman"/>
                <w:sz w:val="24"/>
                <w:szCs w:val="24"/>
                <w:lang w:val="en-US"/>
              </w:rPr>
            </w:pPr>
            <w:r w:rsidRPr="00CA5118">
              <w:rPr>
                <w:rFonts w:ascii="Times New Roman" w:hAnsi="Times New Roman" w:cs="Times New Roman"/>
                <w:sz w:val="24"/>
                <w:szCs w:val="24"/>
              </w:rPr>
              <w:t>4</w:t>
            </w:r>
            <w:r>
              <w:rPr>
                <w:rFonts w:ascii="Times New Roman" w:hAnsi="Times New Roman" w:cs="Times New Roman"/>
                <w:sz w:val="24"/>
                <w:szCs w:val="24"/>
                <w:lang w:val="en-US"/>
              </w:rPr>
              <w:t xml:space="preserve"> (6,6)</w:t>
            </w:r>
          </w:p>
        </w:tc>
      </w:tr>
      <w:tr w:rsidR="00B67D2A" w:rsidRPr="00CA5118" w14:paraId="12AB1C7C" w14:textId="77777777" w:rsidTr="00FC2E89">
        <w:tc>
          <w:tcPr>
            <w:tcW w:w="2122" w:type="dxa"/>
            <w:vMerge/>
          </w:tcPr>
          <w:p w14:paraId="6E83AAFB" w14:textId="77777777" w:rsidR="00B67D2A" w:rsidRPr="00CA5118" w:rsidRDefault="00B67D2A" w:rsidP="005E6F1B">
            <w:pPr>
              <w:ind w:right="180"/>
              <w:jc w:val="both"/>
              <w:rPr>
                <w:rFonts w:ascii="Times New Roman" w:hAnsi="Times New Roman" w:cs="Times New Roman"/>
                <w:sz w:val="24"/>
                <w:szCs w:val="24"/>
              </w:rPr>
            </w:pPr>
          </w:p>
        </w:tc>
        <w:tc>
          <w:tcPr>
            <w:tcW w:w="4819" w:type="dxa"/>
          </w:tcPr>
          <w:p w14:paraId="4C4342B0" w14:textId="77777777" w:rsidR="00B67D2A" w:rsidRPr="004920E2" w:rsidRDefault="00B67D2A" w:rsidP="005E6F1B">
            <w:pPr>
              <w:ind w:right="180"/>
              <w:jc w:val="both"/>
              <w:rPr>
                <w:rFonts w:ascii="Times New Roman" w:hAnsi="Times New Roman" w:cs="Times New Roman"/>
                <w:sz w:val="24"/>
                <w:szCs w:val="24"/>
              </w:rPr>
            </w:pPr>
            <w:r w:rsidRPr="004920E2">
              <w:rPr>
                <w:rFonts w:ascii="Times New Roman" w:hAnsi="Times New Roman" w:cs="Times New Roman"/>
                <w:sz w:val="24"/>
                <w:szCs w:val="24"/>
              </w:rPr>
              <w:t>Проблемы со щитовидной железой</w:t>
            </w:r>
          </w:p>
        </w:tc>
        <w:tc>
          <w:tcPr>
            <w:tcW w:w="2415" w:type="dxa"/>
          </w:tcPr>
          <w:p w14:paraId="4B623C2B" w14:textId="77777777" w:rsidR="00B67D2A" w:rsidRPr="004920E2" w:rsidRDefault="00B67D2A" w:rsidP="005E6F1B">
            <w:pPr>
              <w:ind w:right="180"/>
              <w:jc w:val="center"/>
              <w:rPr>
                <w:rFonts w:ascii="Times New Roman" w:hAnsi="Times New Roman" w:cs="Times New Roman"/>
                <w:sz w:val="24"/>
                <w:szCs w:val="24"/>
                <w:lang w:val="en-US"/>
              </w:rPr>
            </w:pPr>
            <w:r w:rsidRPr="004920E2">
              <w:rPr>
                <w:rFonts w:ascii="Times New Roman" w:hAnsi="Times New Roman" w:cs="Times New Roman"/>
                <w:sz w:val="24"/>
                <w:szCs w:val="24"/>
              </w:rPr>
              <w:t>2</w:t>
            </w:r>
            <w:r w:rsidRPr="004920E2">
              <w:rPr>
                <w:rFonts w:ascii="Times New Roman" w:hAnsi="Times New Roman" w:cs="Times New Roman"/>
                <w:sz w:val="24"/>
                <w:szCs w:val="24"/>
                <w:lang w:val="en-US"/>
              </w:rPr>
              <w:t xml:space="preserve"> (3,3)</w:t>
            </w:r>
          </w:p>
        </w:tc>
      </w:tr>
      <w:tr w:rsidR="00B67D2A" w:rsidRPr="00CA5118" w14:paraId="2A4B4DD5" w14:textId="77777777" w:rsidTr="00FC2E89">
        <w:tc>
          <w:tcPr>
            <w:tcW w:w="2122" w:type="dxa"/>
            <w:vMerge/>
          </w:tcPr>
          <w:p w14:paraId="497072E0" w14:textId="77777777" w:rsidR="00B67D2A" w:rsidRPr="00CA5118" w:rsidRDefault="00B67D2A" w:rsidP="005E6F1B">
            <w:pPr>
              <w:ind w:right="180"/>
              <w:jc w:val="both"/>
              <w:rPr>
                <w:rFonts w:ascii="Times New Roman" w:hAnsi="Times New Roman" w:cs="Times New Roman"/>
                <w:sz w:val="24"/>
                <w:szCs w:val="24"/>
              </w:rPr>
            </w:pPr>
          </w:p>
        </w:tc>
        <w:tc>
          <w:tcPr>
            <w:tcW w:w="4819" w:type="dxa"/>
          </w:tcPr>
          <w:p w14:paraId="79F3CD32" w14:textId="77777777" w:rsidR="00B67D2A" w:rsidRPr="004920E2" w:rsidRDefault="00B67D2A" w:rsidP="005E6F1B">
            <w:pPr>
              <w:ind w:right="180"/>
              <w:jc w:val="both"/>
              <w:rPr>
                <w:rFonts w:ascii="Times New Roman" w:hAnsi="Times New Roman" w:cs="Times New Roman"/>
                <w:sz w:val="24"/>
                <w:szCs w:val="24"/>
              </w:rPr>
            </w:pPr>
            <w:r w:rsidRPr="004920E2">
              <w:rPr>
                <w:rFonts w:ascii="Times New Roman" w:hAnsi="Times New Roman" w:cs="Times New Roman"/>
                <w:sz w:val="24"/>
                <w:szCs w:val="24"/>
              </w:rPr>
              <w:t>Проблемы с холестерином</w:t>
            </w:r>
          </w:p>
        </w:tc>
        <w:tc>
          <w:tcPr>
            <w:tcW w:w="2415" w:type="dxa"/>
          </w:tcPr>
          <w:p w14:paraId="1913DE7E" w14:textId="77777777" w:rsidR="00B67D2A" w:rsidRPr="004920E2" w:rsidRDefault="00B67D2A" w:rsidP="005E6F1B">
            <w:pPr>
              <w:ind w:right="180"/>
              <w:jc w:val="center"/>
              <w:rPr>
                <w:rFonts w:ascii="Times New Roman" w:hAnsi="Times New Roman" w:cs="Times New Roman"/>
                <w:sz w:val="24"/>
                <w:szCs w:val="24"/>
                <w:lang w:val="en-US"/>
              </w:rPr>
            </w:pPr>
            <w:r w:rsidRPr="004920E2">
              <w:rPr>
                <w:rFonts w:ascii="Times New Roman" w:hAnsi="Times New Roman" w:cs="Times New Roman"/>
                <w:sz w:val="24"/>
                <w:szCs w:val="24"/>
              </w:rPr>
              <w:t>1</w:t>
            </w:r>
            <w:r w:rsidRPr="004920E2">
              <w:rPr>
                <w:rFonts w:ascii="Times New Roman" w:hAnsi="Times New Roman" w:cs="Times New Roman"/>
                <w:sz w:val="24"/>
                <w:szCs w:val="24"/>
                <w:lang w:val="en-US"/>
              </w:rPr>
              <w:t xml:space="preserve"> (1,6)</w:t>
            </w:r>
          </w:p>
        </w:tc>
      </w:tr>
      <w:tr w:rsidR="00B67D2A" w:rsidRPr="00CA5118" w14:paraId="60671175" w14:textId="77777777" w:rsidTr="00FC2E89">
        <w:tc>
          <w:tcPr>
            <w:tcW w:w="2122" w:type="dxa"/>
            <w:vMerge/>
          </w:tcPr>
          <w:p w14:paraId="25F5B7DA" w14:textId="77777777" w:rsidR="00B67D2A" w:rsidRPr="00CA5118" w:rsidRDefault="00B67D2A" w:rsidP="005E6F1B">
            <w:pPr>
              <w:ind w:right="180"/>
              <w:jc w:val="both"/>
              <w:rPr>
                <w:rFonts w:ascii="Times New Roman" w:hAnsi="Times New Roman" w:cs="Times New Roman"/>
                <w:sz w:val="24"/>
                <w:szCs w:val="24"/>
              </w:rPr>
            </w:pPr>
          </w:p>
        </w:tc>
        <w:tc>
          <w:tcPr>
            <w:tcW w:w="4819" w:type="dxa"/>
          </w:tcPr>
          <w:p w14:paraId="5E9AE702" w14:textId="77777777" w:rsidR="00B67D2A" w:rsidRPr="004920E2" w:rsidRDefault="00B67D2A" w:rsidP="005E6F1B">
            <w:pPr>
              <w:ind w:right="180"/>
              <w:jc w:val="both"/>
              <w:rPr>
                <w:rFonts w:ascii="Times New Roman" w:hAnsi="Times New Roman" w:cs="Times New Roman"/>
                <w:sz w:val="24"/>
                <w:szCs w:val="24"/>
              </w:rPr>
            </w:pPr>
            <w:r w:rsidRPr="004920E2">
              <w:rPr>
                <w:rFonts w:ascii="Times New Roman" w:hAnsi="Times New Roman" w:cs="Times New Roman"/>
                <w:sz w:val="24"/>
                <w:szCs w:val="24"/>
              </w:rPr>
              <w:t>Другое (например, панкреатит, подагра)</w:t>
            </w:r>
          </w:p>
        </w:tc>
        <w:tc>
          <w:tcPr>
            <w:tcW w:w="2415" w:type="dxa"/>
          </w:tcPr>
          <w:p w14:paraId="779D1622" w14:textId="77777777" w:rsidR="00B67D2A" w:rsidRPr="004920E2" w:rsidRDefault="00B67D2A" w:rsidP="005E6F1B">
            <w:pPr>
              <w:ind w:right="180"/>
              <w:jc w:val="center"/>
              <w:rPr>
                <w:rFonts w:ascii="Times New Roman" w:hAnsi="Times New Roman" w:cs="Times New Roman"/>
                <w:sz w:val="24"/>
                <w:szCs w:val="24"/>
                <w:lang w:val="en-US"/>
              </w:rPr>
            </w:pPr>
            <w:r w:rsidRPr="004920E2">
              <w:rPr>
                <w:rFonts w:ascii="Times New Roman" w:hAnsi="Times New Roman" w:cs="Times New Roman"/>
                <w:sz w:val="24"/>
                <w:szCs w:val="24"/>
              </w:rPr>
              <w:t>2</w:t>
            </w:r>
            <w:r w:rsidRPr="004920E2">
              <w:rPr>
                <w:rFonts w:ascii="Times New Roman" w:hAnsi="Times New Roman" w:cs="Times New Roman"/>
                <w:sz w:val="24"/>
                <w:szCs w:val="24"/>
                <w:lang w:val="en-US"/>
              </w:rPr>
              <w:t xml:space="preserve"> (3,3)</w:t>
            </w:r>
          </w:p>
        </w:tc>
      </w:tr>
      <w:tr w:rsidR="00B67D2A" w:rsidRPr="00CA5118" w14:paraId="77E9B58D" w14:textId="77777777" w:rsidTr="00FC2E89">
        <w:tc>
          <w:tcPr>
            <w:tcW w:w="2122" w:type="dxa"/>
            <w:vMerge/>
          </w:tcPr>
          <w:p w14:paraId="6D15A020" w14:textId="77777777" w:rsidR="00B67D2A" w:rsidRPr="00CA5118" w:rsidRDefault="00B67D2A" w:rsidP="005E6F1B">
            <w:pPr>
              <w:ind w:right="180"/>
              <w:jc w:val="both"/>
              <w:rPr>
                <w:rFonts w:ascii="Times New Roman" w:hAnsi="Times New Roman" w:cs="Times New Roman"/>
                <w:sz w:val="24"/>
                <w:szCs w:val="24"/>
              </w:rPr>
            </w:pPr>
          </w:p>
        </w:tc>
        <w:tc>
          <w:tcPr>
            <w:tcW w:w="4819" w:type="dxa"/>
          </w:tcPr>
          <w:p w14:paraId="71ACD7AB" w14:textId="77777777" w:rsidR="00B67D2A" w:rsidRPr="004920E2" w:rsidRDefault="00B67D2A" w:rsidP="005E6F1B">
            <w:pPr>
              <w:ind w:right="180"/>
              <w:jc w:val="both"/>
              <w:rPr>
                <w:rFonts w:ascii="Times New Roman" w:hAnsi="Times New Roman" w:cs="Times New Roman"/>
                <w:sz w:val="24"/>
                <w:szCs w:val="24"/>
              </w:rPr>
            </w:pPr>
            <w:r w:rsidRPr="004920E2">
              <w:rPr>
                <w:rFonts w:ascii="Times New Roman" w:hAnsi="Times New Roman" w:cs="Times New Roman"/>
                <w:sz w:val="24"/>
                <w:szCs w:val="24"/>
              </w:rPr>
              <w:t>Курение (заболевание не указано)</w:t>
            </w:r>
          </w:p>
        </w:tc>
        <w:tc>
          <w:tcPr>
            <w:tcW w:w="2415" w:type="dxa"/>
          </w:tcPr>
          <w:p w14:paraId="0EDAB8A1" w14:textId="77777777" w:rsidR="00B67D2A" w:rsidRPr="004920E2" w:rsidRDefault="00B67D2A" w:rsidP="005E6F1B">
            <w:pPr>
              <w:ind w:right="180"/>
              <w:jc w:val="center"/>
              <w:rPr>
                <w:rFonts w:ascii="Times New Roman" w:hAnsi="Times New Roman" w:cs="Times New Roman"/>
                <w:sz w:val="24"/>
                <w:szCs w:val="24"/>
                <w:lang w:val="en-US"/>
              </w:rPr>
            </w:pPr>
            <w:r w:rsidRPr="004920E2">
              <w:rPr>
                <w:rFonts w:ascii="Times New Roman" w:hAnsi="Times New Roman" w:cs="Times New Roman"/>
                <w:sz w:val="24"/>
                <w:szCs w:val="24"/>
              </w:rPr>
              <w:t>1</w:t>
            </w:r>
            <w:r w:rsidRPr="004920E2">
              <w:rPr>
                <w:rFonts w:ascii="Times New Roman" w:hAnsi="Times New Roman" w:cs="Times New Roman"/>
                <w:sz w:val="24"/>
                <w:szCs w:val="24"/>
                <w:lang w:val="en-US"/>
              </w:rPr>
              <w:t xml:space="preserve"> (1,6)</w:t>
            </w:r>
          </w:p>
        </w:tc>
      </w:tr>
      <w:tr w:rsidR="00B67D2A" w:rsidRPr="00CA5118" w14:paraId="59A2975D" w14:textId="77777777" w:rsidTr="00FC2E89">
        <w:tc>
          <w:tcPr>
            <w:tcW w:w="2122" w:type="dxa"/>
            <w:vMerge w:val="restart"/>
          </w:tcPr>
          <w:p w14:paraId="5BE6E3D9" w14:textId="77777777" w:rsidR="00B67D2A" w:rsidRPr="00CA5118" w:rsidRDefault="00B67D2A" w:rsidP="005E6F1B">
            <w:pPr>
              <w:ind w:right="180"/>
              <w:jc w:val="both"/>
              <w:rPr>
                <w:rFonts w:ascii="Times New Roman" w:hAnsi="Times New Roman" w:cs="Times New Roman"/>
                <w:sz w:val="24"/>
                <w:szCs w:val="24"/>
              </w:rPr>
            </w:pPr>
            <w:r w:rsidRPr="00CA5118">
              <w:rPr>
                <w:rFonts w:ascii="Times New Roman" w:hAnsi="Times New Roman" w:cs="Times New Roman"/>
                <w:sz w:val="24"/>
                <w:szCs w:val="24"/>
              </w:rPr>
              <w:t>Образ жизни до инсульта</w:t>
            </w:r>
          </w:p>
        </w:tc>
        <w:tc>
          <w:tcPr>
            <w:tcW w:w="4819" w:type="dxa"/>
          </w:tcPr>
          <w:p w14:paraId="43BFDEF6" w14:textId="77777777" w:rsidR="00B67D2A" w:rsidRPr="004920E2" w:rsidRDefault="00B67D2A" w:rsidP="005E6F1B">
            <w:pPr>
              <w:ind w:right="180"/>
              <w:jc w:val="both"/>
              <w:rPr>
                <w:rFonts w:ascii="Times New Roman" w:hAnsi="Times New Roman" w:cs="Times New Roman"/>
                <w:sz w:val="24"/>
                <w:szCs w:val="24"/>
              </w:rPr>
            </w:pPr>
            <w:r w:rsidRPr="004920E2">
              <w:rPr>
                <w:rFonts w:ascii="Times New Roman" w:hAnsi="Times New Roman" w:cs="Times New Roman"/>
                <w:sz w:val="24"/>
                <w:szCs w:val="24"/>
              </w:rPr>
              <w:t>Активный (спорт, прогулки и т. д.)</w:t>
            </w:r>
          </w:p>
        </w:tc>
        <w:tc>
          <w:tcPr>
            <w:tcW w:w="2415" w:type="dxa"/>
          </w:tcPr>
          <w:p w14:paraId="32D9691F" w14:textId="77777777" w:rsidR="00B67D2A" w:rsidRPr="004920E2" w:rsidRDefault="00B67D2A" w:rsidP="005E6F1B">
            <w:pPr>
              <w:ind w:right="180"/>
              <w:jc w:val="center"/>
              <w:rPr>
                <w:rFonts w:ascii="Times New Roman" w:hAnsi="Times New Roman" w:cs="Times New Roman"/>
                <w:sz w:val="24"/>
                <w:szCs w:val="24"/>
                <w:lang w:val="en-US"/>
              </w:rPr>
            </w:pPr>
            <w:r w:rsidRPr="004920E2">
              <w:rPr>
                <w:rFonts w:ascii="Times New Roman" w:hAnsi="Times New Roman" w:cs="Times New Roman"/>
                <w:sz w:val="24"/>
                <w:szCs w:val="24"/>
              </w:rPr>
              <w:t>25</w:t>
            </w:r>
            <w:r w:rsidRPr="004920E2">
              <w:rPr>
                <w:rFonts w:ascii="Times New Roman" w:hAnsi="Times New Roman" w:cs="Times New Roman"/>
                <w:sz w:val="24"/>
                <w:szCs w:val="24"/>
                <w:lang w:val="en-US"/>
              </w:rPr>
              <w:t xml:space="preserve"> (41,0)</w:t>
            </w:r>
          </w:p>
        </w:tc>
      </w:tr>
      <w:tr w:rsidR="00B67D2A" w:rsidRPr="00CA5118" w14:paraId="5793B932" w14:textId="77777777" w:rsidTr="00FC2E89">
        <w:tc>
          <w:tcPr>
            <w:tcW w:w="2122" w:type="dxa"/>
            <w:vMerge/>
          </w:tcPr>
          <w:p w14:paraId="4D95A11A" w14:textId="77777777" w:rsidR="00B67D2A" w:rsidRPr="00CA5118" w:rsidRDefault="00B67D2A" w:rsidP="005E6F1B">
            <w:pPr>
              <w:ind w:right="180"/>
              <w:jc w:val="both"/>
              <w:rPr>
                <w:rFonts w:ascii="Times New Roman" w:hAnsi="Times New Roman" w:cs="Times New Roman"/>
                <w:sz w:val="24"/>
                <w:szCs w:val="24"/>
              </w:rPr>
            </w:pPr>
          </w:p>
        </w:tc>
        <w:tc>
          <w:tcPr>
            <w:tcW w:w="4819" w:type="dxa"/>
          </w:tcPr>
          <w:p w14:paraId="005245E1" w14:textId="77777777" w:rsidR="00B67D2A" w:rsidRPr="004920E2" w:rsidRDefault="00B67D2A" w:rsidP="005E6F1B">
            <w:pPr>
              <w:ind w:right="180"/>
              <w:jc w:val="both"/>
              <w:rPr>
                <w:rFonts w:ascii="Times New Roman" w:hAnsi="Times New Roman" w:cs="Times New Roman"/>
                <w:sz w:val="24"/>
                <w:szCs w:val="24"/>
              </w:rPr>
            </w:pPr>
            <w:r w:rsidRPr="004920E2">
              <w:rPr>
                <w:rFonts w:ascii="Times New Roman" w:hAnsi="Times New Roman" w:cs="Times New Roman"/>
                <w:sz w:val="24"/>
                <w:szCs w:val="24"/>
              </w:rPr>
              <w:t>Малоподвижный или преимущественно сидячий</w:t>
            </w:r>
          </w:p>
        </w:tc>
        <w:tc>
          <w:tcPr>
            <w:tcW w:w="2415" w:type="dxa"/>
          </w:tcPr>
          <w:p w14:paraId="6F4F7DA3" w14:textId="77777777" w:rsidR="00B67D2A" w:rsidRPr="004920E2" w:rsidRDefault="00B67D2A" w:rsidP="005E6F1B">
            <w:pPr>
              <w:ind w:right="180"/>
              <w:jc w:val="center"/>
              <w:rPr>
                <w:rFonts w:ascii="Times New Roman" w:hAnsi="Times New Roman" w:cs="Times New Roman"/>
                <w:sz w:val="24"/>
                <w:szCs w:val="24"/>
                <w:lang w:val="en-US"/>
              </w:rPr>
            </w:pPr>
            <w:r w:rsidRPr="004920E2">
              <w:rPr>
                <w:rFonts w:ascii="Times New Roman" w:hAnsi="Times New Roman" w:cs="Times New Roman"/>
                <w:sz w:val="24"/>
                <w:szCs w:val="24"/>
              </w:rPr>
              <w:t>24</w:t>
            </w:r>
            <w:r w:rsidRPr="004920E2">
              <w:rPr>
                <w:rFonts w:ascii="Times New Roman" w:hAnsi="Times New Roman" w:cs="Times New Roman"/>
                <w:sz w:val="24"/>
                <w:szCs w:val="24"/>
                <w:lang w:val="en-US"/>
              </w:rPr>
              <w:t xml:space="preserve"> (39,3)</w:t>
            </w:r>
          </w:p>
        </w:tc>
      </w:tr>
      <w:tr w:rsidR="00B67D2A" w:rsidRPr="00CA5118" w14:paraId="09ABC648" w14:textId="77777777" w:rsidTr="00FC2E89">
        <w:tc>
          <w:tcPr>
            <w:tcW w:w="2122" w:type="dxa"/>
            <w:vMerge/>
          </w:tcPr>
          <w:p w14:paraId="59349971" w14:textId="77777777" w:rsidR="00B67D2A" w:rsidRPr="00CA5118" w:rsidRDefault="00B67D2A" w:rsidP="005E6F1B">
            <w:pPr>
              <w:ind w:right="180"/>
              <w:jc w:val="both"/>
              <w:rPr>
                <w:rFonts w:ascii="Times New Roman" w:hAnsi="Times New Roman" w:cs="Times New Roman"/>
                <w:sz w:val="24"/>
                <w:szCs w:val="24"/>
              </w:rPr>
            </w:pPr>
          </w:p>
        </w:tc>
        <w:tc>
          <w:tcPr>
            <w:tcW w:w="4819" w:type="dxa"/>
          </w:tcPr>
          <w:p w14:paraId="51EF5B91" w14:textId="77777777" w:rsidR="00B67D2A" w:rsidRPr="004920E2" w:rsidRDefault="00B67D2A" w:rsidP="005E6F1B">
            <w:pPr>
              <w:ind w:right="180"/>
              <w:jc w:val="both"/>
              <w:rPr>
                <w:rFonts w:ascii="Times New Roman" w:hAnsi="Times New Roman" w:cs="Times New Roman"/>
                <w:sz w:val="24"/>
                <w:szCs w:val="24"/>
              </w:rPr>
            </w:pPr>
            <w:r w:rsidRPr="004920E2">
              <w:rPr>
                <w:rFonts w:ascii="Times New Roman" w:hAnsi="Times New Roman" w:cs="Times New Roman"/>
                <w:sz w:val="24"/>
                <w:szCs w:val="24"/>
              </w:rPr>
              <w:t>Смешанная или неясная активность</w:t>
            </w:r>
          </w:p>
        </w:tc>
        <w:tc>
          <w:tcPr>
            <w:tcW w:w="2415" w:type="dxa"/>
          </w:tcPr>
          <w:p w14:paraId="6698A982" w14:textId="77777777" w:rsidR="00B67D2A" w:rsidRPr="004920E2" w:rsidRDefault="00B67D2A" w:rsidP="005E6F1B">
            <w:pPr>
              <w:ind w:right="180"/>
              <w:jc w:val="center"/>
              <w:rPr>
                <w:rFonts w:ascii="Times New Roman" w:hAnsi="Times New Roman" w:cs="Times New Roman"/>
                <w:sz w:val="24"/>
                <w:szCs w:val="24"/>
                <w:lang w:val="en-US"/>
              </w:rPr>
            </w:pPr>
            <w:r w:rsidRPr="004920E2">
              <w:rPr>
                <w:rFonts w:ascii="Times New Roman" w:hAnsi="Times New Roman" w:cs="Times New Roman"/>
                <w:sz w:val="24"/>
                <w:szCs w:val="24"/>
              </w:rPr>
              <w:t>12</w:t>
            </w:r>
            <w:r w:rsidRPr="004920E2">
              <w:rPr>
                <w:rFonts w:ascii="Times New Roman" w:hAnsi="Times New Roman" w:cs="Times New Roman"/>
                <w:sz w:val="24"/>
                <w:szCs w:val="24"/>
                <w:lang w:val="en-US"/>
              </w:rPr>
              <w:t xml:space="preserve"> (19,7)</w:t>
            </w:r>
          </w:p>
        </w:tc>
      </w:tr>
      <w:tr w:rsidR="00B67D2A" w:rsidRPr="00CA5118" w14:paraId="386D2EB9" w14:textId="77777777" w:rsidTr="00FC2E89">
        <w:tc>
          <w:tcPr>
            <w:tcW w:w="2122" w:type="dxa"/>
            <w:vMerge/>
          </w:tcPr>
          <w:p w14:paraId="1DE27AC5" w14:textId="77777777" w:rsidR="00B67D2A" w:rsidRPr="00CA5118" w:rsidRDefault="00B67D2A" w:rsidP="005E6F1B">
            <w:pPr>
              <w:ind w:right="180"/>
              <w:jc w:val="both"/>
              <w:rPr>
                <w:rFonts w:ascii="Times New Roman" w:hAnsi="Times New Roman" w:cs="Times New Roman"/>
                <w:sz w:val="24"/>
                <w:szCs w:val="24"/>
              </w:rPr>
            </w:pPr>
          </w:p>
        </w:tc>
        <w:tc>
          <w:tcPr>
            <w:tcW w:w="4819" w:type="dxa"/>
          </w:tcPr>
          <w:p w14:paraId="148C9D67" w14:textId="77777777" w:rsidR="00B67D2A" w:rsidRPr="004920E2" w:rsidRDefault="00B67D2A" w:rsidP="005E6F1B">
            <w:pPr>
              <w:ind w:right="180"/>
              <w:jc w:val="both"/>
              <w:rPr>
                <w:rFonts w:ascii="Times New Roman" w:hAnsi="Times New Roman" w:cs="Times New Roman"/>
                <w:sz w:val="24"/>
                <w:szCs w:val="24"/>
              </w:rPr>
            </w:pPr>
            <w:r w:rsidRPr="004920E2">
              <w:rPr>
                <w:rFonts w:ascii="Times New Roman" w:hAnsi="Times New Roman" w:cs="Times New Roman"/>
                <w:sz w:val="24"/>
                <w:szCs w:val="24"/>
              </w:rPr>
              <w:t>Заявленная активность при выполнении повседневных дел</w:t>
            </w:r>
          </w:p>
        </w:tc>
        <w:tc>
          <w:tcPr>
            <w:tcW w:w="2415" w:type="dxa"/>
          </w:tcPr>
          <w:p w14:paraId="717F36FB" w14:textId="77777777" w:rsidR="00B67D2A" w:rsidRPr="004920E2" w:rsidRDefault="00B67D2A" w:rsidP="005E6F1B">
            <w:pPr>
              <w:ind w:right="180"/>
              <w:jc w:val="center"/>
              <w:rPr>
                <w:rFonts w:ascii="Times New Roman" w:hAnsi="Times New Roman" w:cs="Times New Roman"/>
                <w:sz w:val="24"/>
                <w:szCs w:val="24"/>
                <w:lang w:val="en-US"/>
              </w:rPr>
            </w:pPr>
            <w:r w:rsidRPr="004920E2">
              <w:rPr>
                <w:rFonts w:ascii="Times New Roman" w:hAnsi="Times New Roman" w:cs="Times New Roman"/>
                <w:sz w:val="24"/>
                <w:szCs w:val="24"/>
              </w:rPr>
              <w:t>6</w:t>
            </w:r>
            <w:r w:rsidRPr="004920E2">
              <w:rPr>
                <w:rFonts w:ascii="Times New Roman" w:hAnsi="Times New Roman" w:cs="Times New Roman"/>
                <w:sz w:val="24"/>
                <w:szCs w:val="24"/>
                <w:lang w:val="en-US"/>
              </w:rPr>
              <w:t xml:space="preserve"> (9,8)</w:t>
            </w:r>
          </w:p>
        </w:tc>
      </w:tr>
      <w:tr w:rsidR="00B67D2A" w:rsidRPr="00CA5118" w14:paraId="30B11292" w14:textId="77777777" w:rsidTr="00FC2E89">
        <w:tc>
          <w:tcPr>
            <w:tcW w:w="2122" w:type="dxa"/>
            <w:vMerge w:val="restart"/>
          </w:tcPr>
          <w:p w14:paraId="4FA64CA4" w14:textId="77777777" w:rsidR="00B67D2A" w:rsidRPr="00CA5118" w:rsidRDefault="00B67D2A" w:rsidP="005E6F1B">
            <w:pPr>
              <w:ind w:right="180"/>
              <w:jc w:val="both"/>
              <w:rPr>
                <w:rFonts w:ascii="Times New Roman" w:hAnsi="Times New Roman" w:cs="Times New Roman"/>
                <w:sz w:val="24"/>
                <w:szCs w:val="24"/>
              </w:rPr>
            </w:pPr>
            <w:r w:rsidRPr="00CA5118">
              <w:rPr>
                <w:rFonts w:ascii="Times New Roman" w:hAnsi="Times New Roman" w:cs="Times New Roman"/>
                <w:sz w:val="24"/>
                <w:szCs w:val="24"/>
              </w:rPr>
              <w:t>Посещения врача</w:t>
            </w:r>
          </w:p>
        </w:tc>
        <w:tc>
          <w:tcPr>
            <w:tcW w:w="4819" w:type="dxa"/>
          </w:tcPr>
          <w:p w14:paraId="39D71CD3" w14:textId="77777777" w:rsidR="00B67D2A" w:rsidRPr="004920E2" w:rsidRDefault="00B67D2A" w:rsidP="005E6F1B">
            <w:pPr>
              <w:ind w:right="180"/>
              <w:jc w:val="both"/>
              <w:rPr>
                <w:rFonts w:ascii="Times New Roman" w:hAnsi="Times New Roman" w:cs="Times New Roman"/>
                <w:sz w:val="24"/>
                <w:szCs w:val="24"/>
              </w:rPr>
            </w:pPr>
            <w:r w:rsidRPr="004920E2">
              <w:rPr>
                <w:rFonts w:ascii="Times New Roman" w:hAnsi="Times New Roman" w:cs="Times New Roman"/>
                <w:sz w:val="24"/>
                <w:szCs w:val="24"/>
              </w:rPr>
              <w:t>Регулярные визиты/проверки</w:t>
            </w:r>
          </w:p>
        </w:tc>
        <w:tc>
          <w:tcPr>
            <w:tcW w:w="2415" w:type="dxa"/>
          </w:tcPr>
          <w:p w14:paraId="0C799E0D" w14:textId="77777777" w:rsidR="00B67D2A" w:rsidRPr="004920E2" w:rsidRDefault="00B67D2A" w:rsidP="005E6F1B">
            <w:pPr>
              <w:ind w:right="180"/>
              <w:jc w:val="center"/>
              <w:rPr>
                <w:rFonts w:ascii="Times New Roman" w:hAnsi="Times New Roman" w:cs="Times New Roman"/>
                <w:sz w:val="24"/>
                <w:szCs w:val="24"/>
                <w:lang w:val="en-US"/>
              </w:rPr>
            </w:pPr>
            <w:r w:rsidRPr="004920E2">
              <w:rPr>
                <w:rFonts w:ascii="Times New Roman" w:hAnsi="Times New Roman" w:cs="Times New Roman"/>
                <w:sz w:val="24"/>
                <w:szCs w:val="24"/>
              </w:rPr>
              <w:t>33</w:t>
            </w:r>
            <w:r w:rsidRPr="004920E2">
              <w:rPr>
                <w:rFonts w:ascii="Times New Roman" w:hAnsi="Times New Roman" w:cs="Times New Roman"/>
                <w:sz w:val="24"/>
                <w:szCs w:val="24"/>
                <w:lang w:val="en-US"/>
              </w:rPr>
              <w:t xml:space="preserve"> (54,1)</w:t>
            </w:r>
          </w:p>
        </w:tc>
      </w:tr>
      <w:tr w:rsidR="00B67D2A" w:rsidRPr="00CA5118" w14:paraId="380F4BC6" w14:textId="77777777" w:rsidTr="00FC2E89">
        <w:tc>
          <w:tcPr>
            <w:tcW w:w="2122" w:type="dxa"/>
            <w:vMerge/>
          </w:tcPr>
          <w:p w14:paraId="14222736" w14:textId="77777777" w:rsidR="00B67D2A" w:rsidRPr="00CA5118" w:rsidRDefault="00B67D2A" w:rsidP="005E6F1B">
            <w:pPr>
              <w:ind w:right="-284"/>
              <w:jc w:val="both"/>
              <w:rPr>
                <w:rFonts w:ascii="Times New Roman" w:hAnsi="Times New Roman" w:cs="Times New Roman"/>
                <w:sz w:val="28"/>
                <w:szCs w:val="28"/>
              </w:rPr>
            </w:pPr>
          </w:p>
        </w:tc>
        <w:tc>
          <w:tcPr>
            <w:tcW w:w="4819" w:type="dxa"/>
          </w:tcPr>
          <w:p w14:paraId="7D46F09F" w14:textId="77777777" w:rsidR="00B67D2A" w:rsidRPr="004920E2" w:rsidRDefault="00B67D2A" w:rsidP="005E6F1B">
            <w:pPr>
              <w:ind w:right="180"/>
              <w:jc w:val="both"/>
              <w:rPr>
                <w:rFonts w:ascii="Times New Roman" w:hAnsi="Times New Roman" w:cs="Times New Roman"/>
                <w:sz w:val="24"/>
                <w:szCs w:val="24"/>
              </w:rPr>
            </w:pPr>
            <w:r w:rsidRPr="004920E2">
              <w:rPr>
                <w:rFonts w:ascii="Times New Roman" w:hAnsi="Times New Roman" w:cs="Times New Roman"/>
                <w:sz w:val="24"/>
                <w:szCs w:val="24"/>
              </w:rPr>
              <w:t>Редко или только при наличии симптомов</w:t>
            </w:r>
          </w:p>
        </w:tc>
        <w:tc>
          <w:tcPr>
            <w:tcW w:w="2415" w:type="dxa"/>
          </w:tcPr>
          <w:p w14:paraId="2589F1D5" w14:textId="77777777" w:rsidR="00B67D2A" w:rsidRPr="004920E2" w:rsidRDefault="00B67D2A" w:rsidP="005E6F1B">
            <w:pPr>
              <w:ind w:right="-284"/>
              <w:jc w:val="center"/>
              <w:rPr>
                <w:rFonts w:ascii="Times New Roman" w:hAnsi="Times New Roman" w:cs="Times New Roman"/>
                <w:sz w:val="24"/>
                <w:szCs w:val="24"/>
                <w:lang w:val="en-US"/>
              </w:rPr>
            </w:pPr>
            <w:r w:rsidRPr="004920E2">
              <w:rPr>
                <w:rFonts w:ascii="Times New Roman" w:hAnsi="Times New Roman" w:cs="Times New Roman"/>
                <w:sz w:val="24"/>
                <w:szCs w:val="24"/>
                <w:lang w:val="en-US"/>
              </w:rPr>
              <w:t>28 (45,9)</w:t>
            </w:r>
          </w:p>
        </w:tc>
      </w:tr>
    </w:tbl>
    <w:p w14:paraId="3DDACB23" w14:textId="77777777" w:rsidR="00B67D2A" w:rsidRPr="002271C0" w:rsidRDefault="00B67D2A" w:rsidP="00B67D2A">
      <w:pPr>
        <w:spacing w:after="0" w:line="240" w:lineRule="auto"/>
        <w:ind w:right="-284" w:firstLine="567"/>
        <w:jc w:val="both"/>
        <w:rPr>
          <w:rFonts w:ascii="Times New Roman" w:hAnsi="Times New Roman" w:cs="Times New Roman"/>
          <w:sz w:val="28"/>
          <w:szCs w:val="28"/>
          <w:lang w:val="en-US"/>
        </w:rPr>
      </w:pPr>
    </w:p>
    <w:p w14:paraId="0DAFE040" w14:textId="77777777" w:rsidR="00B67D2A" w:rsidRPr="002271C0" w:rsidRDefault="00B67D2A" w:rsidP="00FC2E89">
      <w:pPr>
        <w:spacing w:after="0" w:line="240" w:lineRule="auto"/>
        <w:ind w:firstLine="567"/>
        <w:jc w:val="both"/>
        <w:rPr>
          <w:rFonts w:ascii="Times New Roman" w:hAnsi="Times New Roman" w:cs="Times New Roman"/>
          <w:sz w:val="28"/>
          <w:szCs w:val="28"/>
        </w:rPr>
      </w:pPr>
      <w:r w:rsidRPr="002271C0">
        <w:rPr>
          <w:rFonts w:ascii="Times New Roman" w:hAnsi="Times New Roman" w:cs="Times New Roman"/>
          <w:i/>
          <w:iCs/>
          <w:sz w:val="28"/>
          <w:szCs w:val="28"/>
        </w:rPr>
        <w:t xml:space="preserve">Осведомлённость об инсульте до </w:t>
      </w:r>
      <w:r>
        <w:rPr>
          <w:rFonts w:ascii="Times New Roman" w:hAnsi="Times New Roman" w:cs="Times New Roman"/>
          <w:i/>
          <w:iCs/>
          <w:sz w:val="28"/>
          <w:szCs w:val="28"/>
        </w:rPr>
        <w:t>его наступления</w:t>
      </w:r>
      <w:r w:rsidRPr="002271C0">
        <w:rPr>
          <w:rFonts w:ascii="Times New Roman" w:hAnsi="Times New Roman" w:cs="Times New Roman"/>
          <w:i/>
          <w:iCs/>
          <w:sz w:val="28"/>
          <w:szCs w:val="28"/>
        </w:rPr>
        <w:t xml:space="preserve">: </w:t>
      </w:r>
      <w:r w:rsidRPr="000B0706">
        <w:rPr>
          <w:rFonts w:ascii="Times New Roman" w:hAnsi="Times New Roman" w:cs="Times New Roman"/>
          <w:sz w:val="28"/>
          <w:szCs w:val="28"/>
        </w:rPr>
        <w:t>т</w:t>
      </w:r>
      <w:r w:rsidRPr="002271C0">
        <w:rPr>
          <w:rFonts w:ascii="Times New Roman" w:hAnsi="Times New Roman" w:cs="Times New Roman"/>
          <w:sz w:val="28"/>
          <w:szCs w:val="28"/>
        </w:rPr>
        <w:t>олько 22 из 61 респондента сообщили, что знали о симптомах инсульта заранее, используя личный опыт (родственников или друзей), средства массовой информации (телевидение, газеты), социальные сети и врачей. В то же время 39 респондентов либо не знали об инсульте вообще, либо признались, что узнали о нём только после перенесённого инсульта. Это свидетельствует о том, что почти две трети перенесших инсульт были не готовы распознавать ранние признаки.</w:t>
      </w:r>
    </w:p>
    <w:p w14:paraId="2F3AA542" w14:textId="77777777" w:rsidR="00B67D2A" w:rsidRPr="002271C0" w:rsidRDefault="00B67D2A" w:rsidP="00FC2E89">
      <w:pPr>
        <w:spacing w:after="0" w:line="240" w:lineRule="auto"/>
        <w:ind w:firstLine="567"/>
        <w:jc w:val="both"/>
        <w:rPr>
          <w:rFonts w:ascii="Times New Roman" w:hAnsi="Times New Roman" w:cs="Times New Roman"/>
          <w:sz w:val="28"/>
          <w:szCs w:val="28"/>
        </w:rPr>
      </w:pPr>
      <w:r w:rsidRPr="002271C0">
        <w:rPr>
          <w:rFonts w:ascii="Times New Roman" w:hAnsi="Times New Roman" w:cs="Times New Roman"/>
          <w:i/>
          <w:iCs/>
          <w:sz w:val="28"/>
          <w:szCs w:val="28"/>
        </w:rPr>
        <w:t>Начальные симптомы</w:t>
      </w:r>
      <w:r w:rsidRPr="002271C0">
        <w:rPr>
          <w:rFonts w:ascii="Times New Roman" w:hAnsi="Times New Roman" w:cs="Times New Roman"/>
          <w:sz w:val="28"/>
          <w:szCs w:val="28"/>
        </w:rPr>
        <w:t>: наиболее частые ранние симптомы, описанные респондентами, включали</w:t>
      </w:r>
      <w:r>
        <w:rPr>
          <w:rFonts w:ascii="Times New Roman" w:hAnsi="Times New Roman" w:cs="Times New Roman"/>
          <w:sz w:val="28"/>
          <w:szCs w:val="28"/>
        </w:rPr>
        <w:t xml:space="preserve"> г</w:t>
      </w:r>
      <w:r w:rsidRPr="002271C0">
        <w:rPr>
          <w:rFonts w:ascii="Times New Roman" w:hAnsi="Times New Roman" w:cs="Times New Roman"/>
          <w:sz w:val="28"/>
          <w:szCs w:val="28"/>
        </w:rPr>
        <w:t>оловокружение или проблемы с равновесием (n≈12)</w:t>
      </w:r>
      <w:r>
        <w:rPr>
          <w:rFonts w:ascii="Times New Roman" w:hAnsi="Times New Roman" w:cs="Times New Roman"/>
          <w:sz w:val="28"/>
          <w:szCs w:val="28"/>
        </w:rPr>
        <w:t>; онемение</w:t>
      </w:r>
      <w:r w:rsidRPr="002271C0">
        <w:rPr>
          <w:rFonts w:ascii="Times New Roman" w:hAnsi="Times New Roman" w:cs="Times New Roman"/>
          <w:sz w:val="28"/>
          <w:szCs w:val="28"/>
        </w:rPr>
        <w:t xml:space="preserve"> или паралич (особенно в лице, руке или ноге) (n≈15)</w:t>
      </w:r>
      <w:r>
        <w:rPr>
          <w:rFonts w:ascii="Times New Roman" w:hAnsi="Times New Roman" w:cs="Times New Roman"/>
          <w:sz w:val="28"/>
          <w:szCs w:val="28"/>
        </w:rPr>
        <w:t>; с</w:t>
      </w:r>
      <w:r w:rsidRPr="002271C0">
        <w:rPr>
          <w:rFonts w:ascii="Times New Roman" w:hAnsi="Times New Roman" w:cs="Times New Roman"/>
          <w:sz w:val="28"/>
          <w:szCs w:val="28"/>
        </w:rPr>
        <w:t>ильная головная боль (n≈8)</w:t>
      </w:r>
      <w:r>
        <w:rPr>
          <w:rFonts w:ascii="Times New Roman" w:hAnsi="Times New Roman" w:cs="Times New Roman"/>
          <w:sz w:val="28"/>
          <w:szCs w:val="28"/>
        </w:rPr>
        <w:t>; н</w:t>
      </w:r>
      <w:r w:rsidRPr="002271C0">
        <w:rPr>
          <w:rFonts w:ascii="Times New Roman" w:hAnsi="Times New Roman" w:cs="Times New Roman"/>
          <w:sz w:val="28"/>
          <w:szCs w:val="28"/>
        </w:rPr>
        <w:t>арушения речи или невнятная речь (n≈4)</w:t>
      </w:r>
      <w:r>
        <w:rPr>
          <w:rFonts w:ascii="Times New Roman" w:hAnsi="Times New Roman" w:cs="Times New Roman"/>
          <w:sz w:val="28"/>
          <w:szCs w:val="28"/>
        </w:rPr>
        <w:t>; п</w:t>
      </w:r>
      <w:r w:rsidRPr="002271C0">
        <w:rPr>
          <w:rFonts w:ascii="Times New Roman" w:hAnsi="Times New Roman" w:cs="Times New Roman"/>
          <w:sz w:val="28"/>
          <w:szCs w:val="28"/>
        </w:rPr>
        <w:t>отеря сознания (n≈2)</w:t>
      </w:r>
      <w:r>
        <w:rPr>
          <w:rFonts w:ascii="Times New Roman" w:hAnsi="Times New Roman" w:cs="Times New Roman"/>
          <w:sz w:val="28"/>
          <w:szCs w:val="28"/>
        </w:rPr>
        <w:t>; а</w:t>
      </w:r>
      <w:r w:rsidRPr="002271C0">
        <w:rPr>
          <w:rFonts w:ascii="Times New Roman" w:hAnsi="Times New Roman" w:cs="Times New Roman"/>
          <w:sz w:val="28"/>
          <w:szCs w:val="28"/>
        </w:rPr>
        <w:t>симметрия лица (n≈3)</w:t>
      </w:r>
      <w:r>
        <w:rPr>
          <w:rFonts w:ascii="Times New Roman" w:hAnsi="Times New Roman" w:cs="Times New Roman"/>
          <w:sz w:val="28"/>
          <w:szCs w:val="28"/>
        </w:rPr>
        <w:t xml:space="preserve">. </w:t>
      </w:r>
      <w:r w:rsidRPr="002271C0">
        <w:rPr>
          <w:rFonts w:ascii="Times New Roman" w:hAnsi="Times New Roman" w:cs="Times New Roman"/>
          <w:sz w:val="28"/>
          <w:szCs w:val="28"/>
        </w:rPr>
        <w:t>Примечательно, что некоторые участники не осознавали свои симптомы или предъявляли неопределённые жалобы, такие как общая слабость, боль в ушах или тошнота, которые легко могли быть неверно истолкованы. В некоторых случаях окружающие изначально ставили респондентам неправильный диагноз, приписывая симптомы усталости, отравлению или интоксикации.</w:t>
      </w:r>
    </w:p>
    <w:p w14:paraId="77E29CAE" w14:textId="77777777" w:rsidR="00B67D2A" w:rsidRDefault="00B67D2A" w:rsidP="00FC2E89">
      <w:pPr>
        <w:spacing w:after="0" w:line="240" w:lineRule="auto"/>
        <w:ind w:firstLine="567"/>
        <w:jc w:val="both"/>
        <w:rPr>
          <w:rFonts w:ascii="Times New Roman" w:hAnsi="Times New Roman" w:cs="Times New Roman"/>
          <w:sz w:val="28"/>
          <w:szCs w:val="28"/>
        </w:rPr>
      </w:pPr>
      <w:r w:rsidRPr="002271C0">
        <w:rPr>
          <w:rFonts w:ascii="Times New Roman" w:hAnsi="Times New Roman" w:cs="Times New Roman"/>
          <w:i/>
          <w:iCs/>
          <w:sz w:val="28"/>
          <w:szCs w:val="28"/>
        </w:rPr>
        <w:t>Реакция на симптомы</w:t>
      </w:r>
      <w:r>
        <w:rPr>
          <w:rFonts w:ascii="Times New Roman" w:hAnsi="Times New Roman" w:cs="Times New Roman"/>
          <w:i/>
          <w:iCs/>
          <w:sz w:val="28"/>
          <w:szCs w:val="28"/>
        </w:rPr>
        <w:t xml:space="preserve"> и о</w:t>
      </w:r>
      <w:r w:rsidRPr="003F5E6D">
        <w:rPr>
          <w:rFonts w:ascii="Times New Roman" w:hAnsi="Times New Roman" w:cs="Times New Roman"/>
          <w:i/>
          <w:iCs/>
          <w:sz w:val="28"/>
          <w:szCs w:val="28"/>
        </w:rPr>
        <w:t>пыт получения доврачебной помощи</w:t>
      </w:r>
      <w:r>
        <w:rPr>
          <w:rFonts w:ascii="Times New Roman" w:hAnsi="Times New Roman" w:cs="Times New Roman"/>
          <w:i/>
          <w:iCs/>
          <w:sz w:val="28"/>
          <w:szCs w:val="28"/>
        </w:rPr>
        <w:t>,</w:t>
      </w:r>
      <w:r w:rsidRPr="003F5E6D">
        <w:rPr>
          <w:rFonts w:ascii="Times New Roman" w:hAnsi="Times New Roman" w:cs="Times New Roman"/>
          <w:i/>
          <w:iCs/>
          <w:sz w:val="28"/>
          <w:szCs w:val="28"/>
        </w:rPr>
        <w:t xml:space="preserve"> и транспортировки</w:t>
      </w:r>
      <w:r>
        <w:rPr>
          <w:rFonts w:ascii="Times New Roman" w:hAnsi="Times New Roman" w:cs="Times New Roman"/>
          <w:sz w:val="28"/>
          <w:szCs w:val="28"/>
        </w:rPr>
        <w:t xml:space="preserve">: </w:t>
      </w:r>
      <w:r w:rsidRPr="002271C0">
        <w:rPr>
          <w:rFonts w:ascii="Times New Roman" w:hAnsi="Times New Roman" w:cs="Times New Roman"/>
          <w:sz w:val="28"/>
          <w:szCs w:val="28"/>
        </w:rPr>
        <w:t>несмотря на низкую осведомлённость, большинство участников (n</w:t>
      </w:r>
      <w:r>
        <w:rPr>
          <w:rFonts w:ascii="Times New Roman" w:hAnsi="Times New Roman" w:cs="Times New Roman"/>
          <w:sz w:val="28"/>
          <w:szCs w:val="28"/>
        </w:rPr>
        <w:t>=</w:t>
      </w:r>
      <w:r w:rsidRPr="002271C0">
        <w:rPr>
          <w:rFonts w:ascii="Times New Roman" w:hAnsi="Times New Roman" w:cs="Times New Roman"/>
          <w:sz w:val="28"/>
          <w:szCs w:val="28"/>
        </w:rPr>
        <w:t xml:space="preserve">35) или их </w:t>
      </w:r>
      <w:r>
        <w:rPr>
          <w:rFonts w:ascii="Times New Roman" w:hAnsi="Times New Roman" w:cs="Times New Roman"/>
          <w:sz w:val="28"/>
          <w:szCs w:val="28"/>
        </w:rPr>
        <w:t xml:space="preserve">родственников </w:t>
      </w:r>
      <w:r w:rsidRPr="002271C0">
        <w:rPr>
          <w:rFonts w:ascii="Times New Roman" w:hAnsi="Times New Roman" w:cs="Times New Roman"/>
          <w:sz w:val="28"/>
          <w:szCs w:val="28"/>
        </w:rPr>
        <w:t>немедленно вызывали скорую помощь</w:t>
      </w:r>
      <w:r>
        <w:rPr>
          <w:rFonts w:ascii="Times New Roman" w:hAnsi="Times New Roman" w:cs="Times New Roman"/>
          <w:sz w:val="28"/>
          <w:szCs w:val="28"/>
        </w:rPr>
        <w:t xml:space="preserve"> при появлений или усилении симптомов инсульта. </w:t>
      </w:r>
      <w:r w:rsidRPr="002271C0">
        <w:rPr>
          <w:rFonts w:ascii="Times New Roman" w:hAnsi="Times New Roman" w:cs="Times New Roman"/>
          <w:sz w:val="28"/>
          <w:szCs w:val="28"/>
        </w:rPr>
        <w:t>В нескольких случаях (n</w:t>
      </w:r>
      <w:r>
        <w:rPr>
          <w:rFonts w:ascii="Times New Roman" w:hAnsi="Times New Roman" w:cs="Times New Roman"/>
          <w:sz w:val="28"/>
          <w:szCs w:val="28"/>
        </w:rPr>
        <w:t>=</w:t>
      </w:r>
      <w:r w:rsidRPr="002271C0">
        <w:rPr>
          <w:rFonts w:ascii="Times New Roman" w:hAnsi="Times New Roman" w:cs="Times New Roman"/>
          <w:sz w:val="28"/>
          <w:szCs w:val="28"/>
        </w:rPr>
        <w:t>5) респонденты пытались отдохнуть или заняться самолечением, не осознав серьёзности ситуации. Некоторые полагались на домашние средства или отсроченные действия, что могло ухудшить исход.</w:t>
      </w:r>
      <w:r>
        <w:rPr>
          <w:rFonts w:ascii="Times New Roman" w:hAnsi="Times New Roman" w:cs="Times New Roman"/>
          <w:sz w:val="28"/>
          <w:szCs w:val="28"/>
        </w:rPr>
        <w:t xml:space="preserve"> </w:t>
      </w:r>
      <w:r w:rsidRPr="002271C0">
        <w:rPr>
          <w:rFonts w:ascii="Times New Roman" w:hAnsi="Times New Roman" w:cs="Times New Roman"/>
          <w:sz w:val="28"/>
          <w:szCs w:val="28"/>
        </w:rPr>
        <w:t xml:space="preserve">Несколько участников отметили, что </w:t>
      </w:r>
      <w:r>
        <w:rPr>
          <w:rFonts w:ascii="Times New Roman" w:hAnsi="Times New Roman" w:cs="Times New Roman"/>
          <w:sz w:val="28"/>
          <w:szCs w:val="28"/>
        </w:rPr>
        <w:t>«</w:t>
      </w:r>
      <w:r w:rsidRPr="002271C0">
        <w:rPr>
          <w:rFonts w:ascii="Times New Roman" w:hAnsi="Times New Roman" w:cs="Times New Roman"/>
          <w:sz w:val="28"/>
          <w:szCs w:val="28"/>
        </w:rPr>
        <w:t>именно члены семьи</w:t>
      </w:r>
      <w:r>
        <w:rPr>
          <w:rFonts w:ascii="Times New Roman" w:hAnsi="Times New Roman" w:cs="Times New Roman"/>
          <w:sz w:val="28"/>
          <w:szCs w:val="28"/>
        </w:rPr>
        <w:t xml:space="preserve"> (</w:t>
      </w:r>
      <w:r w:rsidRPr="002271C0">
        <w:rPr>
          <w:rFonts w:ascii="Times New Roman" w:hAnsi="Times New Roman" w:cs="Times New Roman"/>
          <w:sz w:val="28"/>
          <w:szCs w:val="28"/>
        </w:rPr>
        <w:t>дети, супруги, братья и сёстры</w:t>
      </w:r>
      <w:r>
        <w:rPr>
          <w:rFonts w:ascii="Times New Roman" w:hAnsi="Times New Roman" w:cs="Times New Roman"/>
          <w:sz w:val="28"/>
          <w:szCs w:val="28"/>
        </w:rPr>
        <w:t>)</w:t>
      </w:r>
      <w:r w:rsidRPr="002271C0">
        <w:rPr>
          <w:rFonts w:ascii="Times New Roman" w:hAnsi="Times New Roman" w:cs="Times New Roman"/>
          <w:sz w:val="28"/>
          <w:szCs w:val="28"/>
        </w:rPr>
        <w:t xml:space="preserve"> распознавали признаки и инициировали медицинскую помощь</w:t>
      </w:r>
      <w:r>
        <w:rPr>
          <w:rFonts w:ascii="Times New Roman" w:hAnsi="Times New Roman" w:cs="Times New Roman"/>
          <w:sz w:val="28"/>
          <w:szCs w:val="28"/>
        </w:rPr>
        <w:t>»</w:t>
      </w:r>
      <w:r w:rsidRPr="002271C0">
        <w:rPr>
          <w:rFonts w:ascii="Times New Roman" w:hAnsi="Times New Roman" w:cs="Times New Roman"/>
          <w:sz w:val="28"/>
          <w:szCs w:val="28"/>
        </w:rPr>
        <w:t xml:space="preserve">. Однако по меньшей мере 10 человек </w:t>
      </w:r>
      <w:r>
        <w:rPr>
          <w:rFonts w:ascii="Times New Roman" w:hAnsi="Times New Roman" w:cs="Times New Roman"/>
          <w:sz w:val="28"/>
          <w:szCs w:val="28"/>
        </w:rPr>
        <w:t>реакция была запоздалой из-за отсутствия рядом других людей или недооценки симптомов, что указывает на сохраняющие задержки в оказании догоспитальной помощи.</w:t>
      </w:r>
    </w:p>
    <w:p w14:paraId="4BA1B8E5" w14:textId="77777777" w:rsidR="00B67D2A" w:rsidRDefault="00B67D2A" w:rsidP="00FC2E89">
      <w:pPr>
        <w:spacing w:after="0" w:line="240" w:lineRule="auto"/>
        <w:ind w:firstLine="567"/>
        <w:jc w:val="both"/>
        <w:rPr>
          <w:rFonts w:ascii="Times New Roman" w:hAnsi="Times New Roman" w:cs="Times New Roman"/>
          <w:sz w:val="28"/>
          <w:szCs w:val="28"/>
        </w:rPr>
      </w:pPr>
      <w:r w:rsidRPr="003F5E6D">
        <w:rPr>
          <w:rFonts w:ascii="Times New Roman" w:hAnsi="Times New Roman" w:cs="Times New Roman"/>
          <w:sz w:val="28"/>
          <w:szCs w:val="28"/>
        </w:rPr>
        <w:t xml:space="preserve">Анализ догоспитальной помощи при инсульте и транспортировки участников показывает, что в большинстве случаев (n=37) решение о вызове </w:t>
      </w:r>
      <w:r w:rsidRPr="003F5E6D">
        <w:rPr>
          <w:rFonts w:ascii="Times New Roman" w:hAnsi="Times New Roman" w:cs="Times New Roman"/>
          <w:sz w:val="28"/>
          <w:szCs w:val="28"/>
        </w:rPr>
        <w:lastRenderedPageBreak/>
        <w:t>помощи принималось членами семьи. Меньшая группа респондентов (n=9) сообщила, что сам</w:t>
      </w:r>
      <w:r>
        <w:rPr>
          <w:rFonts w:ascii="Times New Roman" w:hAnsi="Times New Roman" w:cs="Times New Roman"/>
          <w:sz w:val="28"/>
          <w:szCs w:val="28"/>
        </w:rPr>
        <w:t>и</w:t>
      </w:r>
      <w:r w:rsidRPr="003F5E6D">
        <w:rPr>
          <w:rFonts w:ascii="Times New Roman" w:hAnsi="Times New Roman" w:cs="Times New Roman"/>
          <w:sz w:val="28"/>
          <w:szCs w:val="28"/>
        </w:rPr>
        <w:t xml:space="preserve"> вызывал</w:t>
      </w:r>
      <w:r>
        <w:rPr>
          <w:rFonts w:ascii="Times New Roman" w:hAnsi="Times New Roman" w:cs="Times New Roman"/>
          <w:sz w:val="28"/>
          <w:szCs w:val="28"/>
        </w:rPr>
        <w:t>и</w:t>
      </w:r>
      <w:r w:rsidRPr="003F5E6D">
        <w:rPr>
          <w:rFonts w:ascii="Times New Roman" w:hAnsi="Times New Roman" w:cs="Times New Roman"/>
          <w:sz w:val="28"/>
          <w:szCs w:val="28"/>
        </w:rPr>
        <w:t xml:space="preserve"> скорую помощь, как правило, зная о симптомах или находясь в тот момент одни. В нескольких случаях (n=5) экстренный вызов был сделан из клиники или медицинско</w:t>
      </w:r>
      <w:r>
        <w:rPr>
          <w:rFonts w:ascii="Times New Roman" w:hAnsi="Times New Roman" w:cs="Times New Roman"/>
          <w:sz w:val="28"/>
          <w:szCs w:val="28"/>
        </w:rPr>
        <w:t>й организаций</w:t>
      </w:r>
      <w:r w:rsidRPr="003F5E6D">
        <w:rPr>
          <w:rFonts w:ascii="Times New Roman" w:hAnsi="Times New Roman" w:cs="Times New Roman"/>
          <w:sz w:val="28"/>
          <w:szCs w:val="28"/>
        </w:rPr>
        <w:t>, где медицинские работники оценили степень неотложности.</w:t>
      </w:r>
    </w:p>
    <w:p w14:paraId="163F026F" w14:textId="77777777" w:rsidR="00B67D2A" w:rsidRDefault="00B67D2A" w:rsidP="00FC2E89">
      <w:pPr>
        <w:spacing w:after="0" w:line="240" w:lineRule="auto"/>
        <w:ind w:firstLine="567"/>
        <w:jc w:val="both"/>
        <w:rPr>
          <w:rFonts w:ascii="Times New Roman" w:hAnsi="Times New Roman" w:cs="Times New Roman"/>
          <w:sz w:val="28"/>
          <w:szCs w:val="28"/>
        </w:rPr>
      </w:pPr>
      <w:r w:rsidRPr="00BA63F0">
        <w:rPr>
          <w:rFonts w:ascii="Times New Roman" w:hAnsi="Times New Roman" w:cs="Times New Roman"/>
          <w:sz w:val="28"/>
          <w:szCs w:val="28"/>
        </w:rPr>
        <w:t xml:space="preserve">Анализ показывает, что в большинстве случаев (n=37) решение о вызове скорой помощи принимали члены семьи, 9 респондентов сделали это самостоятельно, а в 5 случаях экстренный вызов исходил от медицинских работников, находившихся рядом. Недостаток знаний о симптомах, неверная интерпретация первых признаков и задержка вызова скорой напрямую влияют на своевременность начала терапии, что, в свою очередь, определяет исход и тяжесть последствий инсульта. Эти данные подчёркивают необходимость проведения мероприятий по </w:t>
      </w:r>
      <w:r w:rsidRPr="008E020B">
        <w:rPr>
          <w:rFonts w:ascii="Times New Roman" w:hAnsi="Times New Roman" w:cs="Times New Roman"/>
          <w:sz w:val="28"/>
          <w:szCs w:val="28"/>
        </w:rPr>
        <w:t>повышению осведомлённости населения с использованием метода FAST (Лицо, Рука, Слово, Время), а также обучение не только людей из группы риска, но и их семей и лиц, осуществляющих</w:t>
      </w:r>
      <w:r w:rsidRPr="00BA63F0">
        <w:rPr>
          <w:rFonts w:ascii="Times New Roman" w:hAnsi="Times New Roman" w:cs="Times New Roman"/>
          <w:sz w:val="28"/>
          <w:szCs w:val="28"/>
        </w:rPr>
        <w:t xml:space="preserve"> уход.</w:t>
      </w:r>
    </w:p>
    <w:p w14:paraId="0A4D1C9E" w14:textId="77777777" w:rsidR="00B67D2A" w:rsidRPr="003F5E6D" w:rsidRDefault="00B67D2A" w:rsidP="00FC2E89">
      <w:pPr>
        <w:spacing w:after="0" w:line="240" w:lineRule="auto"/>
        <w:ind w:firstLine="567"/>
        <w:jc w:val="both"/>
        <w:rPr>
          <w:rFonts w:ascii="Times New Roman" w:hAnsi="Times New Roman" w:cs="Times New Roman"/>
          <w:sz w:val="28"/>
          <w:szCs w:val="28"/>
        </w:rPr>
      </w:pPr>
      <w:r w:rsidRPr="003F5E6D">
        <w:rPr>
          <w:rFonts w:ascii="Times New Roman" w:hAnsi="Times New Roman" w:cs="Times New Roman"/>
          <w:sz w:val="28"/>
          <w:szCs w:val="28"/>
        </w:rPr>
        <w:t xml:space="preserve">Что касается </w:t>
      </w:r>
      <w:r>
        <w:rPr>
          <w:rFonts w:ascii="Times New Roman" w:hAnsi="Times New Roman" w:cs="Times New Roman"/>
          <w:sz w:val="28"/>
          <w:szCs w:val="28"/>
        </w:rPr>
        <w:t>барьеров</w:t>
      </w:r>
      <w:r w:rsidRPr="003F5E6D">
        <w:rPr>
          <w:rFonts w:ascii="Times New Roman" w:hAnsi="Times New Roman" w:cs="Times New Roman"/>
          <w:sz w:val="28"/>
          <w:szCs w:val="28"/>
        </w:rPr>
        <w:t xml:space="preserve"> в получении медицинской помощи, около 17 респондентов сообщили о трудностях, включая задержку прибытия бригады скорой помощи (n=6), не </w:t>
      </w:r>
      <w:r w:rsidRPr="000B2689">
        <w:rPr>
          <w:rFonts w:ascii="Times New Roman" w:hAnsi="Times New Roman" w:cs="Times New Roman"/>
          <w:sz w:val="28"/>
          <w:szCs w:val="28"/>
        </w:rPr>
        <w:t xml:space="preserve">распознавание врачами СМП </w:t>
      </w:r>
      <w:r w:rsidRPr="003F5E6D">
        <w:rPr>
          <w:rFonts w:ascii="Times New Roman" w:hAnsi="Times New Roman" w:cs="Times New Roman"/>
          <w:sz w:val="28"/>
          <w:szCs w:val="28"/>
        </w:rPr>
        <w:t>симптомов инсульта (n=4), первоначальный отказ в госпитализации (n=3) или логистические проблемы с транспортировкой лежачих пациентов (n=2).</w:t>
      </w:r>
    </w:p>
    <w:p w14:paraId="4B4F8708" w14:textId="77777777" w:rsidR="00B67D2A" w:rsidRPr="003F5E6D" w:rsidRDefault="00B67D2A" w:rsidP="00FC2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Касательно</w:t>
      </w:r>
      <w:r w:rsidRPr="003F5E6D">
        <w:rPr>
          <w:rFonts w:ascii="Times New Roman" w:hAnsi="Times New Roman" w:cs="Times New Roman"/>
          <w:sz w:val="28"/>
          <w:szCs w:val="28"/>
        </w:rPr>
        <w:t xml:space="preserve"> скорости и действий служб экстренной помощи, большинство участников (n=42) отметили, что скорая помощь прибыла быстро (в течение 10–20 минут) и оказала эффективную первичную помощь. Однако несколько респондентов (n=4) сообщили о времени ожидания более 30 минут, а некоторые (n=3) критиковали потерю времени на ненужные процедуры, такие как длительные внутривенные вливания или неправильная интерпретация симптомов (например, диагноз «Вегето-сосудистая дистония» вместо инсульта).</w:t>
      </w:r>
    </w:p>
    <w:p w14:paraId="44FC0922" w14:textId="77777777" w:rsidR="00B67D2A" w:rsidRDefault="00B67D2A" w:rsidP="00FC2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таблице 18 представлен более подробно представлены з</w:t>
      </w:r>
      <w:r w:rsidRPr="00A44236">
        <w:rPr>
          <w:rFonts w:ascii="Times New Roman" w:hAnsi="Times New Roman" w:cs="Times New Roman"/>
          <w:sz w:val="28"/>
          <w:szCs w:val="28"/>
        </w:rPr>
        <w:t xml:space="preserve">арегистрированные препятствия </w:t>
      </w:r>
      <w:r>
        <w:rPr>
          <w:rFonts w:ascii="Times New Roman" w:hAnsi="Times New Roman" w:cs="Times New Roman"/>
          <w:sz w:val="28"/>
          <w:szCs w:val="28"/>
        </w:rPr>
        <w:t>при</w:t>
      </w:r>
      <w:r w:rsidRPr="00A44236">
        <w:rPr>
          <w:rFonts w:ascii="Times New Roman" w:hAnsi="Times New Roman" w:cs="Times New Roman"/>
          <w:sz w:val="28"/>
          <w:szCs w:val="28"/>
        </w:rPr>
        <w:t xml:space="preserve"> догоспитальной помощи и транспортировке</w:t>
      </w:r>
      <w:r>
        <w:rPr>
          <w:rFonts w:ascii="Times New Roman" w:hAnsi="Times New Roman" w:cs="Times New Roman"/>
          <w:sz w:val="28"/>
          <w:szCs w:val="28"/>
        </w:rPr>
        <w:t xml:space="preserve"> пациентов с инсультом.</w:t>
      </w:r>
    </w:p>
    <w:p w14:paraId="13F74548" w14:textId="77777777" w:rsidR="00B67D2A" w:rsidRDefault="00B67D2A" w:rsidP="00B67D2A">
      <w:pPr>
        <w:spacing w:after="0" w:line="240" w:lineRule="auto"/>
        <w:ind w:right="-284" w:firstLine="567"/>
        <w:jc w:val="both"/>
        <w:rPr>
          <w:rFonts w:ascii="Times New Roman" w:hAnsi="Times New Roman" w:cs="Times New Roman"/>
          <w:sz w:val="28"/>
          <w:szCs w:val="28"/>
        </w:rPr>
      </w:pPr>
    </w:p>
    <w:p w14:paraId="10298C2A" w14:textId="1165CDF3" w:rsidR="00B67D2A" w:rsidRDefault="00B67D2A" w:rsidP="00FC2E89">
      <w:pPr>
        <w:spacing w:after="0" w:line="240" w:lineRule="auto"/>
        <w:jc w:val="both"/>
        <w:rPr>
          <w:rFonts w:ascii="Times New Roman" w:hAnsi="Times New Roman" w:cs="Times New Roman"/>
          <w:sz w:val="28"/>
          <w:szCs w:val="28"/>
        </w:rPr>
      </w:pPr>
      <w:r w:rsidRPr="00A44236">
        <w:rPr>
          <w:rFonts w:ascii="Times New Roman" w:hAnsi="Times New Roman" w:cs="Times New Roman"/>
          <w:sz w:val="28"/>
          <w:szCs w:val="28"/>
        </w:rPr>
        <w:t>Таблица</w:t>
      </w:r>
      <w:r w:rsidR="00FC2E89">
        <w:rPr>
          <w:rFonts w:ascii="Times New Roman" w:hAnsi="Times New Roman" w:cs="Times New Roman"/>
          <w:sz w:val="28"/>
          <w:szCs w:val="28"/>
        </w:rPr>
        <w:t xml:space="preserve"> 18 -</w:t>
      </w:r>
      <w:r w:rsidRPr="00A44236">
        <w:rPr>
          <w:rFonts w:ascii="Times New Roman" w:hAnsi="Times New Roman" w:cs="Times New Roman"/>
          <w:sz w:val="28"/>
          <w:szCs w:val="28"/>
        </w:rPr>
        <w:t xml:space="preserve"> Зарегистрированные препятствия к догоспитальной помощи и транспортировке при инсульте (</w:t>
      </w:r>
      <w:r w:rsidRPr="00A44236">
        <w:rPr>
          <w:rFonts w:ascii="Times New Roman" w:hAnsi="Times New Roman" w:cs="Times New Roman"/>
          <w:sz w:val="28"/>
          <w:szCs w:val="28"/>
          <w:lang w:val="en-US"/>
        </w:rPr>
        <w:t>n</w:t>
      </w:r>
      <w:r w:rsidRPr="00A44236">
        <w:rPr>
          <w:rFonts w:ascii="Times New Roman" w:hAnsi="Times New Roman" w:cs="Times New Roman"/>
          <w:sz w:val="28"/>
          <w:szCs w:val="28"/>
        </w:rPr>
        <w:t>=61</w:t>
      </w:r>
      <w:r>
        <w:rPr>
          <w:rFonts w:ascii="Times New Roman" w:hAnsi="Times New Roman" w:cs="Times New Roman"/>
          <w:sz w:val="28"/>
          <w:szCs w:val="28"/>
        </w:rPr>
        <w:t xml:space="preserve">, из цитат пациентов) </w:t>
      </w:r>
    </w:p>
    <w:p w14:paraId="099A9017" w14:textId="77777777" w:rsidR="00FC2E89" w:rsidRPr="00A44236" w:rsidRDefault="00FC2E89" w:rsidP="00FC2E89">
      <w:pPr>
        <w:spacing w:after="0" w:line="240" w:lineRule="auto"/>
        <w:ind w:right="-284"/>
        <w:jc w:val="both"/>
        <w:rPr>
          <w:rFonts w:ascii="Times New Roman" w:hAnsi="Times New Roman" w:cs="Times New Roman"/>
          <w:sz w:val="28"/>
          <w:szCs w:val="28"/>
        </w:rPr>
      </w:pPr>
    </w:p>
    <w:tbl>
      <w:tblPr>
        <w:tblStyle w:val="ae"/>
        <w:tblW w:w="9493" w:type="dxa"/>
        <w:tblLook w:val="04A0" w:firstRow="1" w:lastRow="0" w:firstColumn="1" w:lastColumn="0" w:noHBand="0" w:noVBand="1"/>
      </w:tblPr>
      <w:tblGrid>
        <w:gridCol w:w="3115"/>
        <w:gridCol w:w="4110"/>
        <w:gridCol w:w="2268"/>
      </w:tblGrid>
      <w:tr w:rsidR="00B67D2A" w:rsidRPr="00CA5118" w14:paraId="05292BC8" w14:textId="77777777" w:rsidTr="00FC2E89">
        <w:tc>
          <w:tcPr>
            <w:tcW w:w="3115" w:type="dxa"/>
          </w:tcPr>
          <w:p w14:paraId="24F2D2CB"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Тип препятствия</w:t>
            </w:r>
          </w:p>
        </w:tc>
        <w:tc>
          <w:tcPr>
            <w:tcW w:w="4110" w:type="dxa"/>
          </w:tcPr>
          <w:p w14:paraId="128D7DAE"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 xml:space="preserve">Описание </w:t>
            </w:r>
          </w:p>
        </w:tc>
        <w:tc>
          <w:tcPr>
            <w:tcW w:w="2268" w:type="dxa"/>
          </w:tcPr>
          <w:p w14:paraId="591B3E12"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Количество респондентов</w:t>
            </w:r>
          </w:p>
        </w:tc>
      </w:tr>
      <w:tr w:rsidR="00B67D2A" w:rsidRPr="00CA5118" w14:paraId="38DE88FB" w14:textId="77777777" w:rsidTr="00FC2E89">
        <w:tc>
          <w:tcPr>
            <w:tcW w:w="3115" w:type="dxa"/>
          </w:tcPr>
          <w:p w14:paraId="17815912"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Задержка прибытия скорой помощи</w:t>
            </w:r>
          </w:p>
        </w:tc>
        <w:tc>
          <w:tcPr>
            <w:tcW w:w="4110" w:type="dxa"/>
          </w:tcPr>
          <w:p w14:paraId="5842D0F8"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Скорой помощи потребовалось более 30 минут, чтобы прибыть</w:t>
            </w:r>
          </w:p>
        </w:tc>
        <w:tc>
          <w:tcPr>
            <w:tcW w:w="2268" w:type="dxa"/>
          </w:tcPr>
          <w:p w14:paraId="1657943C" w14:textId="77777777" w:rsidR="00B67D2A" w:rsidRPr="00A44236" w:rsidRDefault="00B67D2A" w:rsidP="005E6F1B">
            <w:pPr>
              <w:ind w:right="38"/>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B67D2A" w:rsidRPr="00CA5118" w14:paraId="3A1E78E5" w14:textId="77777777" w:rsidTr="00FC2E89">
        <w:tc>
          <w:tcPr>
            <w:tcW w:w="3115" w:type="dxa"/>
          </w:tcPr>
          <w:p w14:paraId="4C39CE17" w14:textId="77777777" w:rsidR="00B67D2A" w:rsidRPr="00A44236" w:rsidRDefault="00B67D2A" w:rsidP="005E6F1B">
            <w:pPr>
              <w:ind w:right="38"/>
              <w:jc w:val="both"/>
              <w:rPr>
                <w:rFonts w:ascii="Times New Roman" w:hAnsi="Times New Roman" w:cs="Times New Roman"/>
                <w:sz w:val="24"/>
                <w:szCs w:val="24"/>
              </w:rPr>
            </w:pPr>
            <w:r>
              <w:rPr>
                <w:rFonts w:ascii="Times New Roman" w:hAnsi="Times New Roman" w:cs="Times New Roman"/>
                <w:sz w:val="24"/>
                <w:szCs w:val="24"/>
              </w:rPr>
              <w:t>Врачи СМП</w:t>
            </w:r>
            <w:r w:rsidRPr="00A44236">
              <w:rPr>
                <w:rFonts w:ascii="Times New Roman" w:hAnsi="Times New Roman" w:cs="Times New Roman"/>
                <w:sz w:val="24"/>
                <w:szCs w:val="24"/>
              </w:rPr>
              <w:t xml:space="preserve"> не распознали симптомы инсульта</w:t>
            </w:r>
          </w:p>
        </w:tc>
        <w:tc>
          <w:tcPr>
            <w:tcW w:w="4110" w:type="dxa"/>
          </w:tcPr>
          <w:p w14:paraId="60A41814"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Неправильный диагноз, недооценка серьезности</w:t>
            </w:r>
          </w:p>
        </w:tc>
        <w:tc>
          <w:tcPr>
            <w:tcW w:w="2268" w:type="dxa"/>
          </w:tcPr>
          <w:p w14:paraId="123C9B4C"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4</w:t>
            </w:r>
          </w:p>
        </w:tc>
      </w:tr>
      <w:tr w:rsidR="00B67D2A" w:rsidRPr="00CA5118" w14:paraId="2BABAA47" w14:textId="77777777" w:rsidTr="00FC2E89">
        <w:tc>
          <w:tcPr>
            <w:tcW w:w="3115" w:type="dxa"/>
          </w:tcPr>
          <w:p w14:paraId="3E10AB34"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 xml:space="preserve">Первоначальный отказ </w:t>
            </w:r>
            <w:r>
              <w:rPr>
                <w:rFonts w:ascii="Times New Roman" w:hAnsi="Times New Roman" w:cs="Times New Roman"/>
                <w:sz w:val="24"/>
                <w:szCs w:val="24"/>
              </w:rPr>
              <w:t>в</w:t>
            </w:r>
            <w:r w:rsidRPr="00A44236">
              <w:rPr>
                <w:rFonts w:ascii="Times New Roman" w:hAnsi="Times New Roman" w:cs="Times New Roman"/>
                <w:sz w:val="24"/>
                <w:szCs w:val="24"/>
              </w:rPr>
              <w:t xml:space="preserve"> госпитализации</w:t>
            </w:r>
          </w:p>
        </w:tc>
        <w:tc>
          <w:tcPr>
            <w:tcW w:w="4110" w:type="dxa"/>
          </w:tcPr>
          <w:p w14:paraId="2084C4B5" w14:textId="77777777" w:rsidR="00B67D2A" w:rsidRPr="00A44236" w:rsidRDefault="00B67D2A" w:rsidP="005E6F1B">
            <w:pPr>
              <w:ind w:right="38"/>
              <w:jc w:val="both"/>
              <w:rPr>
                <w:rFonts w:ascii="Times New Roman" w:hAnsi="Times New Roman" w:cs="Times New Roman"/>
                <w:sz w:val="24"/>
                <w:szCs w:val="24"/>
              </w:rPr>
            </w:pPr>
            <w:r>
              <w:rPr>
                <w:rFonts w:ascii="Times New Roman" w:hAnsi="Times New Roman" w:cs="Times New Roman"/>
                <w:sz w:val="24"/>
                <w:szCs w:val="24"/>
              </w:rPr>
              <w:t>Врачи СМП</w:t>
            </w:r>
            <w:r w:rsidRPr="00A44236">
              <w:rPr>
                <w:rFonts w:ascii="Times New Roman" w:hAnsi="Times New Roman" w:cs="Times New Roman"/>
                <w:sz w:val="24"/>
                <w:szCs w:val="24"/>
              </w:rPr>
              <w:t xml:space="preserve"> рекомендовали оставаться дома, несмотря на симптомы</w:t>
            </w:r>
          </w:p>
        </w:tc>
        <w:tc>
          <w:tcPr>
            <w:tcW w:w="2268" w:type="dxa"/>
          </w:tcPr>
          <w:p w14:paraId="207B0CED"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3</w:t>
            </w:r>
          </w:p>
        </w:tc>
      </w:tr>
      <w:tr w:rsidR="00B67D2A" w:rsidRPr="00CA5118" w14:paraId="2C06D784" w14:textId="77777777" w:rsidTr="00FC2E89">
        <w:tc>
          <w:tcPr>
            <w:tcW w:w="3115" w:type="dxa"/>
          </w:tcPr>
          <w:p w14:paraId="73B038E3"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lastRenderedPageBreak/>
              <w:t>Транспортировка лежачего пациента была затруднена</w:t>
            </w:r>
          </w:p>
        </w:tc>
        <w:tc>
          <w:tcPr>
            <w:tcW w:w="4110" w:type="dxa"/>
          </w:tcPr>
          <w:p w14:paraId="4A83472A"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Отсутствие необходимого оборудования или материально-технического обеспечения</w:t>
            </w:r>
          </w:p>
        </w:tc>
        <w:tc>
          <w:tcPr>
            <w:tcW w:w="2268" w:type="dxa"/>
          </w:tcPr>
          <w:p w14:paraId="294DE2E9" w14:textId="490F49E8" w:rsidR="00B67D2A" w:rsidRPr="00871281" w:rsidRDefault="00871281" w:rsidP="005E6F1B">
            <w:pPr>
              <w:ind w:right="38"/>
              <w:jc w:val="center"/>
              <w:rPr>
                <w:rFonts w:ascii="Times New Roman" w:hAnsi="Times New Roman" w:cs="Times New Roman"/>
                <w:sz w:val="24"/>
                <w:szCs w:val="24"/>
              </w:rPr>
            </w:pPr>
            <w:r>
              <w:rPr>
                <w:rFonts w:ascii="Times New Roman" w:hAnsi="Times New Roman" w:cs="Times New Roman"/>
                <w:sz w:val="24"/>
                <w:szCs w:val="24"/>
                <w:lang w:val="en-US"/>
              </w:rPr>
              <w:t>4</w:t>
            </w:r>
          </w:p>
        </w:tc>
      </w:tr>
      <w:tr w:rsidR="00B67D2A" w:rsidRPr="00CA5118" w14:paraId="1A85989E" w14:textId="77777777" w:rsidTr="00FC2E89">
        <w:tc>
          <w:tcPr>
            <w:tcW w:w="3115" w:type="dxa"/>
          </w:tcPr>
          <w:p w14:paraId="1D86B8C0"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Отсутствие информации до прибытия скорой помощи.</w:t>
            </w:r>
          </w:p>
        </w:tc>
        <w:tc>
          <w:tcPr>
            <w:tcW w:w="4110" w:type="dxa"/>
          </w:tcPr>
          <w:p w14:paraId="546A5067"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Семья не знала, что делать во время ожидания</w:t>
            </w:r>
          </w:p>
        </w:tc>
        <w:tc>
          <w:tcPr>
            <w:tcW w:w="2268" w:type="dxa"/>
          </w:tcPr>
          <w:p w14:paraId="0D9B512B"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1</w:t>
            </w:r>
          </w:p>
        </w:tc>
      </w:tr>
      <w:tr w:rsidR="00B67D2A" w:rsidRPr="00CA5118" w14:paraId="6D71D535" w14:textId="77777777" w:rsidTr="00FC2E89">
        <w:tc>
          <w:tcPr>
            <w:tcW w:w="3115" w:type="dxa"/>
          </w:tcPr>
          <w:p w14:paraId="123CAF81"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Страх открыто говорить о проблемах</w:t>
            </w:r>
          </w:p>
        </w:tc>
        <w:tc>
          <w:tcPr>
            <w:tcW w:w="4110" w:type="dxa"/>
          </w:tcPr>
          <w:p w14:paraId="3D25B3FE"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Нежелание жаловаться или описывать проблемы из-за страха подвергнуться жестокому обращению</w:t>
            </w:r>
          </w:p>
        </w:tc>
        <w:tc>
          <w:tcPr>
            <w:tcW w:w="2268" w:type="dxa"/>
          </w:tcPr>
          <w:p w14:paraId="6A76DFBA"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1</w:t>
            </w:r>
          </w:p>
        </w:tc>
      </w:tr>
      <w:tr w:rsidR="00B67D2A" w:rsidRPr="00CA5118" w14:paraId="56DA4073" w14:textId="77777777" w:rsidTr="00FC2E89">
        <w:tc>
          <w:tcPr>
            <w:tcW w:w="3115" w:type="dxa"/>
          </w:tcPr>
          <w:p w14:paraId="430D4F02"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Длительное ожидание в отделении неотложной помощи (после прибытия скорой помощи)</w:t>
            </w:r>
          </w:p>
        </w:tc>
        <w:tc>
          <w:tcPr>
            <w:tcW w:w="4110" w:type="dxa"/>
          </w:tcPr>
          <w:p w14:paraId="709CEA32"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Задержки с госпитализацией или лечением в больнице</w:t>
            </w:r>
          </w:p>
        </w:tc>
        <w:tc>
          <w:tcPr>
            <w:tcW w:w="2268" w:type="dxa"/>
          </w:tcPr>
          <w:p w14:paraId="4ED184A3"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1</w:t>
            </w:r>
          </w:p>
        </w:tc>
      </w:tr>
      <w:tr w:rsidR="00B67D2A" w:rsidRPr="00CA5118" w14:paraId="6C3DB9B1" w14:textId="77777777" w:rsidTr="00FC2E89">
        <w:tc>
          <w:tcPr>
            <w:tcW w:w="3115" w:type="dxa"/>
          </w:tcPr>
          <w:p w14:paraId="0DE75073"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Ненужные догоспитальные процедуры.</w:t>
            </w:r>
          </w:p>
        </w:tc>
        <w:tc>
          <w:tcPr>
            <w:tcW w:w="4110" w:type="dxa"/>
          </w:tcPr>
          <w:p w14:paraId="7E0608FE"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Внутривенное введение жидкостей или лечение, не связанное с инсультом, перед транспортировкой</w:t>
            </w:r>
          </w:p>
        </w:tc>
        <w:tc>
          <w:tcPr>
            <w:tcW w:w="2268" w:type="dxa"/>
          </w:tcPr>
          <w:p w14:paraId="4893E179"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2</w:t>
            </w:r>
          </w:p>
        </w:tc>
      </w:tr>
    </w:tbl>
    <w:p w14:paraId="1709BA3B" w14:textId="77777777" w:rsidR="00B67D2A" w:rsidRDefault="00B67D2A" w:rsidP="00B67D2A">
      <w:pPr>
        <w:spacing w:after="0" w:line="240" w:lineRule="auto"/>
        <w:ind w:right="-284" w:firstLine="567"/>
        <w:jc w:val="both"/>
        <w:rPr>
          <w:rFonts w:ascii="Times New Roman" w:hAnsi="Times New Roman" w:cs="Times New Roman"/>
          <w:sz w:val="28"/>
          <w:szCs w:val="28"/>
        </w:rPr>
      </w:pPr>
    </w:p>
    <w:p w14:paraId="6B3A37E2" w14:textId="77777777" w:rsidR="00B67D2A" w:rsidRPr="007944B8" w:rsidRDefault="00B67D2A" w:rsidP="00FC2E89">
      <w:pPr>
        <w:spacing w:after="0" w:line="240" w:lineRule="auto"/>
        <w:ind w:firstLine="567"/>
        <w:jc w:val="both"/>
        <w:rPr>
          <w:rFonts w:ascii="Times New Roman" w:hAnsi="Times New Roman" w:cs="Times New Roman"/>
          <w:sz w:val="28"/>
          <w:szCs w:val="28"/>
        </w:rPr>
      </w:pPr>
      <w:r w:rsidRPr="003F5E6D">
        <w:rPr>
          <w:rFonts w:ascii="Times New Roman" w:hAnsi="Times New Roman" w:cs="Times New Roman"/>
          <w:sz w:val="28"/>
          <w:szCs w:val="28"/>
        </w:rPr>
        <w:t xml:space="preserve">Подводя итог, можно сказать, что, хотя </w:t>
      </w:r>
      <w:r>
        <w:rPr>
          <w:rFonts w:ascii="Times New Roman" w:hAnsi="Times New Roman" w:cs="Times New Roman"/>
          <w:sz w:val="28"/>
          <w:szCs w:val="28"/>
        </w:rPr>
        <w:t xml:space="preserve">около </w:t>
      </w:r>
      <w:r w:rsidRPr="003F5E6D">
        <w:rPr>
          <w:rFonts w:ascii="Times New Roman" w:hAnsi="Times New Roman" w:cs="Times New Roman"/>
          <w:sz w:val="28"/>
          <w:szCs w:val="28"/>
        </w:rPr>
        <w:t>n</w:t>
      </w:r>
      <w:r>
        <w:rPr>
          <w:rFonts w:ascii="Times New Roman" w:hAnsi="Times New Roman" w:cs="Times New Roman"/>
          <w:sz w:val="28"/>
          <w:szCs w:val="28"/>
        </w:rPr>
        <w:t>=</w:t>
      </w:r>
      <w:r w:rsidRPr="003F5E6D">
        <w:rPr>
          <w:rFonts w:ascii="Times New Roman" w:hAnsi="Times New Roman" w:cs="Times New Roman"/>
          <w:sz w:val="28"/>
          <w:szCs w:val="28"/>
        </w:rPr>
        <w:t>45</w:t>
      </w:r>
      <w:r>
        <w:rPr>
          <w:rFonts w:ascii="Times New Roman" w:hAnsi="Times New Roman" w:cs="Times New Roman"/>
          <w:sz w:val="28"/>
          <w:szCs w:val="28"/>
        </w:rPr>
        <w:t xml:space="preserve"> респондентов</w:t>
      </w:r>
      <w:r w:rsidRPr="003F5E6D">
        <w:rPr>
          <w:rFonts w:ascii="Times New Roman" w:hAnsi="Times New Roman" w:cs="Times New Roman"/>
          <w:sz w:val="28"/>
          <w:szCs w:val="28"/>
        </w:rPr>
        <w:t xml:space="preserve"> имели в целом положительный опыт оказания неотложной помощи при инсульте и транспортировки, </w:t>
      </w:r>
      <w:r>
        <w:rPr>
          <w:rFonts w:ascii="Times New Roman" w:hAnsi="Times New Roman" w:cs="Times New Roman"/>
          <w:sz w:val="28"/>
          <w:szCs w:val="28"/>
        </w:rPr>
        <w:t xml:space="preserve">наименьшее </w:t>
      </w:r>
      <w:r w:rsidRPr="003F5E6D">
        <w:rPr>
          <w:rFonts w:ascii="Times New Roman" w:hAnsi="Times New Roman" w:cs="Times New Roman"/>
          <w:sz w:val="28"/>
          <w:szCs w:val="28"/>
        </w:rPr>
        <w:t>(n</w:t>
      </w:r>
      <w:r>
        <w:rPr>
          <w:rFonts w:ascii="Times New Roman" w:hAnsi="Times New Roman" w:cs="Times New Roman"/>
          <w:sz w:val="28"/>
          <w:szCs w:val="28"/>
        </w:rPr>
        <w:t>=</w:t>
      </w:r>
      <w:r w:rsidRPr="003F5E6D">
        <w:rPr>
          <w:rFonts w:ascii="Times New Roman" w:hAnsi="Times New Roman" w:cs="Times New Roman"/>
          <w:sz w:val="28"/>
          <w:szCs w:val="28"/>
        </w:rPr>
        <w:t xml:space="preserve">17) </w:t>
      </w:r>
      <w:r>
        <w:rPr>
          <w:rFonts w:ascii="Times New Roman" w:hAnsi="Times New Roman" w:cs="Times New Roman"/>
          <w:sz w:val="28"/>
          <w:szCs w:val="28"/>
        </w:rPr>
        <w:t>количество респондентов</w:t>
      </w:r>
      <w:r w:rsidRPr="003F5E6D">
        <w:rPr>
          <w:rFonts w:ascii="Times New Roman" w:hAnsi="Times New Roman" w:cs="Times New Roman"/>
          <w:sz w:val="28"/>
          <w:szCs w:val="28"/>
        </w:rPr>
        <w:t xml:space="preserve"> столкнулось с серьёзными препятствиями, которые могли привести к задержке лечения и потенциальному ухудшению результатов. Эти результаты подчёркивают важность более эффективного обучения сотрудников служб быстрого реагирования распознаванию инсульта, более быстрой организации диспетчерских служб и более глубокого информирования пациентов и их семей о том, когда и как действовать в экстренных ситуациях.</w:t>
      </w:r>
    </w:p>
    <w:p w14:paraId="337EB9C3" w14:textId="77777777" w:rsidR="00B67D2A" w:rsidRPr="006F2C65" w:rsidRDefault="00B67D2A" w:rsidP="00FC2E89">
      <w:pPr>
        <w:spacing w:after="0" w:line="240" w:lineRule="auto"/>
        <w:ind w:firstLine="567"/>
        <w:jc w:val="both"/>
        <w:rPr>
          <w:rFonts w:ascii="Times New Roman" w:hAnsi="Times New Roman" w:cs="Times New Roman"/>
          <w:sz w:val="28"/>
          <w:szCs w:val="28"/>
        </w:rPr>
      </w:pPr>
      <w:r w:rsidRPr="006F2C65">
        <w:rPr>
          <w:rFonts w:ascii="Times New Roman" w:hAnsi="Times New Roman" w:cs="Times New Roman"/>
          <w:i/>
          <w:iCs/>
          <w:sz w:val="28"/>
          <w:szCs w:val="28"/>
        </w:rPr>
        <w:t xml:space="preserve">Опыт </w:t>
      </w:r>
      <w:r>
        <w:rPr>
          <w:rFonts w:ascii="Times New Roman" w:hAnsi="Times New Roman" w:cs="Times New Roman"/>
          <w:i/>
          <w:iCs/>
          <w:sz w:val="28"/>
          <w:szCs w:val="28"/>
        </w:rPr>
        <w:t xml:space="preserve">получения </w:t>
      </w:r>
      <w:r w:rsidRPr="006F2C65">
        <w:rPr>
          <w:rFonts w:ascii="Times New Roman" w:hAnsi="Times New Roman" w:cs="Times New Roman"/>
          <w:i/>
          <w:iCs/>
          <w:sz w:val="28"/>
          <w:szCs w:val="28"/>
        </w:rPr>
        <w:t xml:space="preserve">специализированной </w:t>
      </w:r>
      <w:r>
        <w:rPr>
          <w:rFonts w:ascii="Times New Roman" w:hAnsi="Times New Roman" w:cs="Times New Roman"/>
          <w:i/>
          <w:iCs/>
          <w:sz w:val="28"/>
          <w:szCs w:val="28"/>
        </w:rPr>
        <w:t xml:space="preserve">медицинской </w:t>
      </w:r>
      <w:r w:rsidRPr="006F2C65">
        <w:rPr>
          <w:rFonts w:ascii="Times New Roman" w:hAnsi="Times New Roman" w:cs="Times New Roman"/>
          <w:i/>
          <w:iCs/>
          <w:sz w:val="28"/>
          <w:szCs w:val="28"/>
        </w:rPr>
        <w:t>помощи</w:t>
      </w:r>
      <w:r w:rsidRPr="006F2C65">
        <w:rPr>
          <w:rFonts w:ascii="Times New Roman" w:hAnsi="Times New Roman" w:cs="Times New Roman"/>
          <w:sz w:val="28"/>
          <w:szCs w:val="28"/>
        </w:rPr>
        <w:t>. Большинство (n</w:t>
      </w:r>
      <w:r>
        <w:rPr>
          <w:rFonts w:ascii="Times New Roman" w:hAnsi="Times New Roman" w:cs="Times New Roman"/>
          <w:sz w:val="28"/>
          <w:szCs w:val="28"/>
        </w:rPr>
        <w:t>=</w:t>
      </w:r>
      <w:r w:rsidRPr="006F2C65">
        <w:rPr>
          <w:rFonts w:ascii="Times New Roman" w:hAnsi="Times New Roman" w:cs="Times New Roman"/>
          <w:sz w:val="28"/>
          <w:szCs w:val="28"/>
        </w:rPr>
        <w:t xml:space="preserve">50) участников сообщили, что их быстро госпитализировали и сразу же после прибытия провели диагностические процедуры, такие как КТ, МРТ, анализы крови или измерение артериального давления. Несколько пациентов (n=4) отметили некоторые задержки или замешательство во время приема, особенно в </w:t>
      </w:r>
      <w:r>
        <w:rPr>
          <w:rFonts w:ascii="Times New Roman" w:hAnsi="Times New Roman" w:cs="Times New Roman"/>
          <w:sz w:val="28"/>
          <w:szCs w:val="28"/>
        </w:rPr>
        <w:t>организациях</w:t>
      </w:r>
      <w:r w:rsidRPr="006F2C65">
        <w:rPr>
          <w:rFonts w:ascii="Times New Roman" w:hAnsi="Times New Roman" w:cs="Times New Roman"/>
          <w:sz w:val="28"/>
          <w:szCs w:val="28"/>
        </w:rPr>
        <w:t>, где не было необходимого оборудования для визуализации (например, КТ/МРТ), или из-за административной неэффективности.</w:t>
      </w:r>
    </w:p>
    <w:p w14:paraId="1FA92D9B" w14:textId="77777777" w:rsidR="00B67D2A" w:rsidRPr="006F2C65" w:rsidRDefault="00B67D2A" w:rsidP="00FC2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Касательно коммуникации </w:t>
      </w:r>
      <w:r w:rsidRPr="006F2C65">
        <w:rPr>
          <w:rFonts w:ascii="Times New Roman" w:hAnsi="Times New Roman" w:cs="Times New Roman"/>
          <w:sz w:val="28"/>
          <w:szCs w:val="28"/>
        </w:rPr>
        <w:t>с медицинским</w:t>
      </w:r>
      <w:r>
        <w:rPr>
          <w:rFonts w:ascii="Times New Roman" w:hAnsi="Times New Roman" w:cs="Times New Roman"/>
          <w:sz w:val="28"/>
          <w:szCs w:val="28"/>
        </w:rPr>
        <w:t xml:space="preserve"> персоналом</w:t>
      </w:r>
      <w:r w:rsidRPr="006F2C65">
        <w:rPr>
          <w:rFonts w:ascii="Times New Roman" w:hAnsi="Times New Roman" w:cs="Times New Roman"/>
          <w:sz w:val="28"/>
          <w:szCs w:val="28"/>
        </w:rPr>
        <w:t xml:space="preserve"> большинство респондентов (n</w:t>
      </w:r>
      <w:r>
        <w:rPr>
          <w:rFonts w:ascii="Times New Roman" w:hAnsi="Times New Roman" w:cs="Times New Roman"/>
          <w:sz w:val="28"/>
          <w:szCs w:val="28"/>
        </w:rPr>
        <w:t>=</w:t>
      </w:r>
      <w:r w:rsidRPr="006F2C65">
        <w:rPr>
          <w:rFonts w:ascii="Times New Roman" w:hAnsi="Times New Roman" w:cs="Times New Roman"/>
          <w:sz w:val="28"/>
          <w:szCs w:val="28"/>
        </w:rPr>
        <w:t xml:space="preserve">43) охарактеризовали свое взаимодействие с врачами и медсестрами как положительное, отметив уважительное отношение, понятные объяснения и внимательное отношение. Однако несколько участников (n≈8) сообщили о трудностях, таких как языковой барьер, отсутствие ясности, игнорирование или </w:t>
      </w:r>
      <w:r>
        <w:rPr>
          <w:rFonts w:ascii="Times New Roman" w:hAnsi="Times New Roman" w:cs="Times New Roman"/>
          <w:sz w:val="28"/>
          <w:szCs w:val="28"/>
        </w:rPr>
        <w:t xml:space="preserve">грубое </w:t>
      </w:r>
      <w:r w:rsidRPr="006F2C65">
        <w:rPr>
          <w:rFonts w:ascii="Times New Roman" w:hAnsi="Times New Roman" w:cs="Times New Roman"/>
          <w:sz w:val="28"/>
          <w:szCs w:val="28"/>
        </w:rPr>
        <w:t>обращение, в некоторых случаях сотрудники кричали на пациентов или не решали проблемы (n=2). Один респондент также упомянул о необходимости переводчика для понимания врача.</w:t>
      </w:r>
      <w:r>
        <w:rPr>
          <w:rFonts w:ascii="Times New Roman" w:hAnsi="Times New Roman" w:cs="Times New Roman"/>
          <w:sz w:val="28"/>
          <w:szCs w:val="28"/>
        </w:rPr>
        <w:t xml:space="preserve"> </w:t>
      </w:r>
      <w:r w:rsidRPr="006F2C65">
        <w:rPr>
          <w:rFonts w:ascii="Times New Roman" w:hAnsi="Times New Roman" w:cs="Times New Roman"/>
          <w:sz w:val="28"/>
          <w:szCs w:val="28"/>
        </w:rPr>
        <w:t xml:space="preserve">Что касается разъяснения диагноза и плана лечения, около 38 респондентов посчитали, что получили адекватную информацию о своем состоянии и дальнейших действиях. Напротив, по меньшей мере 10 участников заявили, что их не информировали или им пришлось узнавать об этом самим, а некоторым сообщили только после вмешательства семьи или после начала процедур. </w:t>
      </w:r>
      <w:r w:rsidRPr="006F2C65">
        <w:rPr>
          <w:rFonts w:ascii="Times New Roman" w:hAnsi="Times New Roman" w:cs="Times New Roman"/>
          <w:sz w:val="28"/>
          <w:szCs w:val="28"/>
        </w:rPr>
        <w:lastRenderedPageBreak/>
        <w:t>Несколько пациентов отметили, что объяснения были либо запоздалыми, либо недостаточно подробными, особенно в отношении долгосрочного восстановления или инструкций после выписки.</w:t>
      </w:r>
      <w:r>
        <w:rPr>
          <w:rFonts w:ascii="Times New Roman" w:hAnsi="Times New Roman" w:cs="Times New Roman"/>
          <w:sz w:val="28"/>
          <w:szCs w:val="28"/>
        </w:rPr>
        <w:t xml:space="preserve"> </w:t>
      </w:r>
    </w:p>
    <w:p w14:paraId="38475CE4" w14:textId="77777777" w:rsidR="00B67D2A" w:rsidRDefault="00B67D2A" w:rsidP="00FC2E89">
      <w:pPr>
        <w:spacing w:after="0" w:line="240" w:lineRule="auto"/>
        <w:ind w:firstLine="567"/>
        <w:jc w:val="both"/>
        <w:rPr>
          <w:rFonts w:ascii="Times New Roman" w:hAnsi="Times New Roman" w:cs="Times New Roman"/>
          <w:sz w:val="28"/>
          <w:szCs w:val="28"/>
        </w:rPr>
      </w:pPr>
      <w:r w:rsidRPr="002543D0">
        <w:rPr>
          <w:rFonts w:ascii="Times New Roman" w:hAnsi="Times New Roman" w:cs="Times New Roman"/>
          <w:sz w:val="28"/>
          <w:szCs w:val="28"/>
        </w:rPr>
        <w:t>Около 18 пациентов сообщили о прохождении реабилитации в стационаре, включая физиотерапию, упражнения, массаж, восстановление речи и медикаментозное лечение. При этом около 30 участников отметили отсутствие или задержку начала реабилитации, что, вероятно, связано с политикой выписки или нехваткой интегрированных услуг.</w:t>
      </w:r>
    </w:p>
    <w:p w14:paraId="24C3588B" w14:textId="77777777" w:rsidR="00B67D2A" w:rsidRDefault="00B67D2A" w:rsidP="00FC2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2543D0">
        <w:rPr>
          <w:rFonts w:ascii="Times New Roman" w:hAnsi="Times New Roman" w:cs="Times New Roman"/>
          <w:sz w:val="28"/>
          <w:szCs w:val="28"/>
        </w:rPr>
        <w:t xml:space="preserve">аблица </w:t>
      </w:r>
      <w:r>
        <w:rPr>
          <w:rFonts w:ascii="Times New Roman" w:hAnsi="Times New Roman" w:cs="Times New Roman"/>
          <w:sz w:val="28"/>
          <w:szCs w:val="28"/>
        </w:rPr>
        <w:t>19</w:t>
      </w:r>
      <w:r w:rsidRPr="002543D0">
        <w:rPr>
          <w:rFonts w:ascii="Times New Roman" w:hAnsi="Times New Roman" w:cs="Times New Roman"/>
          <w:sz w:val="28"/>
          <w:szCs w:val="28"/>
        </w:rPr>
        <w:t xml:space="preserve"> обобщает основные препятствия и положительные моменты стационарной помощи при инсульте, включая госпитализацию, коммуникацию с персоналом, разъяснение диагноза, специализированное лечение, реабилитацию и обучение пациентов, а также рекомендации по улучшению качества ухода и координации услуг.</w:t>
      </w:r>
    </w:p>
    <w:p w14:paraId="75288B6F" w14:textId="77777777" w:rsidR="00B67D2A" w:rsidRDefault="00B67D2A" w:rsidP="00FC2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целом о</w:t>
      </w:r>
      <w:r w:rsidRPr="006F2C65">
        <w:rPr>
          <w:rFonts w:ascii="Times New Roman" w:hAnsi="Times New Roman" w:cs="Times New Roman"/>
          <w:sz w:val="28"/>
          <w:szCs w:val="28"/>
        </w:rPr>
        <w:t xml:space="preserve">пыт пребывания пациентов с инсультом </w:t>
      </w:r>
      <w:r>
        <w:rPr>
          <w:rFonts w:ascii="Times New Roman" w:hAnsi="Times New Roman" w:cs="Times New Roman"/>
          <w:sz w:val="28"/>
          <w:szCs w:val="28"/>
        </w:rPr>
        <w:t xml:space="preserve">в стационаре </w:t>
      </w:r>
      <w:r w:rsidRPr="006F2C65">
        <w:rPr>
          <w:rFonts w:ascii="Times New Roman" w:hAnsi="Times New Roman" w:cs="Times New Roman"/>
          <w:sz w:val="28"/>
          <w:szCs w:val="28"/>
        </w:rPr>
        <w:t xml:space="preserve">был положительным, однако сохраняются значительные пробелы в коммуникации, доступности реабилитации и единообразии оказания помощи в разных </w:t>
      </w:r>
      <w:r>
        <w:rPr>
          <w:rFonts w:ascii="Times New Roman" w:hAnsi="Times New Roman" w:cs="Times New Roman"/>
          <w:sz w:val="28"/>
          <w:szCs w:val="28"/>
        </w:rPr>
        <w:t>организациях г.Алматы</w:t>
      </w:r>
      <w:r w:rsidRPr="006F2C65">
        <w:rPr>
          <w:rFonts w:ascii="Times New Roman" w:hAnsi="Times New Roman" w:cs="Times New Roman"/>
          <w:sz w:val="28"/>
          <w:szCs w:val="28"/>
        </w:rPr>
        <w:t>. Это свидетельствует о необходимости стандартизированных протоколов коммуникации с пациентами, ранней интеграции реабилитации и улучшения подготовки персонала.</w:t>
      </w:r>
    </w:p>
    <w:p w14:paraId="2F7A1158" w14:textId="77777777" w:rsidR="00B67D2A" w:rsidRDefault="00B67D2A" w:rsidP="00FC2E89">
      <w:pPr>
        <w:spacing w:after="0" w:line="240" w:lineRule="auto"/>
        <w:ind w:firstLine="567"/>
        <w:jc w:val="both"/>
        <w:rPr>
          <w:rFonts w:ascii="Times New Roman" w:hAnsi="Times New Roman" w:cs="Times New Roman"/>
          <w:sz w:val="28"/>
          <w:szCs w:val="28"/>
        </w:rPr>
      </w:pPr>
      <w:r w:rsidRPr="00CD7CA5">
        <w:rPr>
          <w:rFonts w:ascii="Times New Roman" w:hAnsi="Times New Roman" w:cs="Times New Roman"/>
          <w:i/>
          <w:iCs/>
          <w:sz w:val="28"/>
          <w:szCs w:val="28"/>
        </w:rPr>
        <w:t>Восприятие результатов лечения</w:t>
      </w:r>
      <w:r>
        <w:rPr>
          <w:rFonts w:ascii="Times New Roman" w:hAnsi="Times New Roman" w:cs="Times New Roman"/>
          <w:sz w:val="28"/>
          <w:szCs w:val="28"/>
        </w:rPr>
        <w:t xml:space="preserve">. </w:t>
      </w:r>
      <w:r w:rsidRPr="00CD7CA5">
        <w:rPr>
          <w:rFonts w:ascii="Times New Roman" w:hAnsi="Times New Roman" w:cs="Times New Roman"/>
          <w:sz w:val="28"/>
          <w:szCs w:val="28"/>
        </w:rPr>
        <w:t xml:space="preserve">Из 61 участника только 33 респондента дали частичные ответы на вопросы о восстановлении, восприятии поддержки и предложениях по улучшению. Остальные 28 участников </w:t>
      </w:r>
      <w:r>
        <w:rPr>
          <w:rFonts w:ascii="Times New Roman" w:hAnsi="Times New Roman" w:cs="Times New Roman"/>
          <w:sz w:val="28"/>
          <w:szCs w:val="28"/>
        </w:rPr>
        <w:t>предпочли не отвечать на эти вопросы</w:t>
      </w:r>
      <w:r w:rsidRPr="00CD7CA5">
        <w:rPr>
          <w:rFonts w:ascii="Times New Roman" w:hAnsi="Times New Roman" w:cs="Times New Roman"/>
          <w:sz w:val="28"/>
          <w:szCs w:val="28"/>
        </w:rPr>
        <w:t>.</w:t>
      </w:r>
      <w:r>
        <w:rPr>
          <w:rFonts w:ascii="Times New Roman" w:hAnsi="Times New Roman" w:cs="Times New Roman"/>
          <w:sz w:val="28"/>
          <w:szCs w:val="28"/>
        </w:rPr>
        <w:t xml:space="preserve"> </w:t>
      </w:r>
      <w:r w:rsidRPr="00506CFC">
        <w:rPr>
          <w:rFonts w:ascii="Times New Roman" w:hAnsi="Times New Roman" w:cs="Times New Roman"/>
          <w:sz w:val="28"/>
          <w:szCs w:val="28"/>
        </w:rPr>
        <w:t>Около 16 участников</w:t>
      </w:r>
      <w:r>
        <w:rPr>
          <w:rFonts w:ascii="Times New Roman" w:hAnsi="Times New Roman" w:cs="Times New Roman"/>
          <w:sz w:val="28"/>
          <w:szCs w:val="28"/>
        </w:rPr>
        <w:t xml:space="preserve"> считали, что получили </w:t>
      </w:r>
      <w:r w:rsidRPr="00506CFC">
        <w:rPr>
          <w:rFonts w:ascii="Times New Roman" w:hAnsi="Times New Roman" w:cs="Times New Roman"/>
          <w:sz w:val="28"/>
          <w:szCs w:val="28"/>
        </w:rPr>
        <w:t xml:space="preserve">все необходимое для восстановления, 4 были не уверены, а 5 отметили недостаточную поддержку, включая отсутствие индивидуального ухода и реабилитационных ресурсов. Более 15 участников предложили улучшения: </w:t>
      </w:r>
      <w:r>
        <w:rPr>
          <w:rFonts w:ascii="Times New Roman" w:hAnsi="Times New Roman" w:cs="Times New Roman"/>
          <w:sz w:val="28"/>
          <w:szCs w:val="28"/>
        </w:rPr>
        <w:t>усиление реабилитации</w:t>
      </w:r>
      <w:r w:rsidRPr="00506CFC">
        <w:rPr>
          <w:rFonts w:ascii="Times New Roman" w:hAnsi="Times New Roman" w:cs="Times New Roman"/>
          <w:sz w:val="28"/>
          <w:szCs w:val="28"/>
        </w:rPr>
        <w:t xml:space="preserve"> (</w:t>
      </w:r>
      <w:r>
        <w:rPr>
          <w:rFonts w:ascii="Times New Roman" w:hAnsi="Times New Roman" w:cs="Times New Roman"/>
          <w:sz w:val="28"/>
          <w:szCs w:val="28"/>
          <w:lang w:val="en-GB"/>
        </w:rPr>
        <w:t>n</w:t>
      </w:r>
      <w:r w:rsidRPr="00A40398">
        <w:rPr>
          <w:rFonts w:ascii="Times New Roman" w:hAnsi="Times New Roman" w:cs="Times New Roman"/>
          <w:sz w:val="28"/>
          <w:szCs w:val="28"/>
        </w:rPr>
        <w:t>=</w:t>
      </w:r>
      <w:r w:rsidRPr="00506CFC">
        <w:rPr>
          <w:rFonts w:ascii="Times New Roman" w:hAnsi="Times New Roman" w:cs="Times New Roman"/>
          <w:sz w:val="28"/>
          <w:szCs w:val="28"/>
        </w:rPr>
        <w:t>6), больше внимани</w:t>
      </w:r>
      <w:r>
        <w:rPr>
          <w:rFonts w:ascii="Times New Roman" w:hAnsi="Times New Roman" w:cs="Times New Roman"/>
          <w:sz w:val="28"/>
          <w:szCs w:val="28"/>
        </w:rPr>
        <w:t>я</w:t>
      </w:r>
      <w:r w:rsidRPr="00506CFC">
        <w:rPr>
          <w:rFonts w:ascii="Times New Roman" w:hAnsi="Times New Roman" w:cs="Times New Roman"/>
          <w:sz w:val="28"/>
          <w:szCs w:val="28"/>
        </w:rPr>
        <w:t xml:space="preserve"> со стороны персонала (</w:t>
      </w:r>
      <w:r>
        <w:rPr>
          <w:rFonts w:ascii="Times New Roman" w:hAnsi="Times New Roman" w:cs="Times New Roman"/>
          <w:sz w:val="28"/>
          <w:szCs w:val="28"/>
          <w:lang w:val="en-GB"/>
        </w:rPr>
        <w:t>n</w:t>
      </w:r>
      <w:r w:rsidRPr="00A40398">
        <w:rPr>
          <w:rFonts w:ascii="Times New Roman" w:hAnsi="Times New Roman" w:cs="Times New Roman"/>
          <w:sz w:val="28"/>
          <w:szCs w:val="28"/>
        </w:rPr>
        <w:t>=</w:t>
      </w:r>
      <w:r w:rsidRPr="00506CFC">
        <w:rPr>
          <w:rFonts w:ascii="Times New Roman" w:hAnsi="Times New Roman" w:cs="Times New Roman"/>
          <w:sz w:val="28"/>
          <w:szCs w:val="28"/>
        </w:rPr>
        <w:t>4), улучшение психологической поддержки и обучения (</w:t>
      </w:r>
      <w:r>
        <w:rPr>
          <w:rFonts w:ascii="Times New Roman" w:hAnsi="Times New Roman" w:cs="Times New Roman"/>
          <w:sz w:val="28"/>
          <w:szCs w:val="28"/>
          <w:lang w:val="en-GB"/>
        </w:rPr>
        <w:t>n</w:t>
      </w:r>
      <w:r w:rsidRPr="00A40398">
        <w:rPr>
          <w:rFonts w:ascii="Times New Roman" w:hAnsi="Times New Roman" w:cs="Times New Roman"/>
          <w:sz w:val="28"/>
          <w:szCs w:val="28"/>
        </w:rPr>
        <w:t>=</w:t>
      </w:r>
      <w:r w:rsidRPr="00506CFC">
        <w:rPr>
          <w:rFonts w:ascii="Times New Roman" w:hAnsi="Times New Roman" w:cs="Times New Roman"/>
          <w:sz w:val="28"/>
          <w:szCs w:val="28"/>
        </w:rPr>
        <w:t>3), качество питания (</w:t>
      </w:r>
      <w:r>
        <w:rPr>
          <w:rFonts w:ascii="Times New Roman" w:hAnsi="Times New Roman" w:cs="Times New Roman"/>
          <w:sz w:val="28"/>
          <w:szCs w:val="28"/>
          <w:lang w:val="en-GB"/>
        </w:rPr>
        <w:t>n</w:t>
      </w:r>
      <w:r w:rsidRPr="00A40398">
        <w:rPr>
          <w:rFonts w:ascii="Times New Roman" w:hAnsi="Times New Roman" w:cs="Times New Roman"/>
          <w:sz w:val="28"/>
          <w:szCs w:val="28"/>
        </w:rPr>
        <w:t>=</w:t>
      </w:r>
      <w:r w:rsidRPr="00506CFC">
        <w:rPr>
          <w:rFonts w:ascii="Times New Roman" w:hAnsi="Times New Roman" w:cs="Times New Roman"/>
          <w:sz w:val="28"/>
          <w:szCs w:val="28"/>
        </w:rPr>
        <w:t>3) и информирование о домашних упражнениях. Несмотря на пол</w:t>
      </w:r>
      <w:r>
        <w:rPr>
          <w:rFonts w:ascii="Times New Roman" w:hAnsi="Times New Roman" w:cs="Times New Roman"/>
          <w:sz w:val="28"/>
          <w:szCs w:val="28"/>
        </w:rPr>
        <w:t xml:space="preserve">езные </w:t>
      </w:r>
      <w:r w:rsidRPr="00506CFC">
        <w:rPr>
          <w:rFonts w:ascii="Times New Roman" w:hAnsi="Times New Roman" w:cs="Times New Roman"/>
          <w:sz w:val="28"/>
          <w:szCs w:val="28"/>
        </w:rPr>
        <w:t>отзывы (</w:t>
      </w:r>
      <w:r>
        <w:rPr>
          <w:rFonts w:ascii="Times New Roman" w:hAnsi="Times New Roman" w:cs="Times New Roman"/>
          <w:sz w:val="28"/>
          <w:szCs w:val="28"/>
          <w:lang w:val="en-GB"/>
        </w:rPr>
        <w:t>n</w:t>
      </w:r>
      <w:r w:rsidRPr="00A40398">
        <w:rPr>
          <w:rFonts w:ascii="Times New Roman" w:hAnsi="Times New Roman" w:cs="Times New Roman"/>
          <w:sz w:val="28"/>
          <w:szCs w:val="28"/>
        </w:rPr>
        <w:t>=</w:t>
      </w:r>
      <w:r w:rsidRPr="00506CFC">
        <w:rPr>
          <w:rFonts w:ascii="Times New Roman" w:hAnsi="Times New Roman" w:cs="Times New Roman"/>
          <w:sz w:val="28"/>
          <w:szCs w:val="28"/>
        </w:rPr>
        <w:t>33 участника), 46% ответов были неполными или отсутствовали, что подчёркивает необходимость персонализированных и комплексных программ реабилитации после инсульта.</w:t>
      </w:r>
    </w:p>
    <w:p w14:paraId="78F825B9" w14:textId="77777777" w:rsidR="00B67D2A" w:rsidRPr="007944B8" w:rsidRDefault="00B67D2A" w:rsidP="00FC2E89">
      <w:pPr>
        <w:spacing w:after="0" w:line="240" w:lineRule="auto"/>
        <w:ind w:firstLine="567"/>
        <w:jc w:val="both"/>
        <w:rPr>
          <w:rFonts w:ascii="Times New Roman" w:hAnsi="Times New Roman" w:cs="Times New Roman"/>
          <w:sz w:val="28"/>
          <w:szCs w:val="28"/>
        </w:rPr>
        <w:sectPr w:rsidR="00B67D2A" w:rsidRPr="007944B8" w:rsidSect="00FC2E89">
          <w:footerReference w:type="default" r:id="rId23"/>
          <w:pgSz w:w="11906" w:h="16838"/>
          <w:pgMar w:top="1134" w:right="707" w:bottom="1134" w:left="1701" w:header="708" w:footer="708" w:gutter="0"/>
          <w:cols w:space="708"/>
          <w:docGrid w:linePitch="360"/>
        </w:sectPr>
      </w:pPr>
      <w:r w:rsidRPr="00E84F80">
        <w:rPr>
          <w:rFonts w:ascii="Times New Roman" w:hAnsi="Times New Roman" w:cs="Times New Roman"/>
          <w:i/>
          <w:iCs/>
          <w:sz w:val="28"/>
          <w:szCs w:val="28"/>
        </w:rPr>
        <w:t>Профилактика инсульта и информированность населения</w:t>
      </w:r>
      <w:r>
        <w:rPr>
          <w:rFonts w:ascii="Times New Roman" w:hAnsi="Times New Roman" w:cs="Times New Roman"/>
          <w:sz w:val="28"/>
          <w:szCs w:val="28"/>
        </w:rPr>
        <w:t xml:space="preserve">. </w:t>
      </w:r>
      <w:r w:rsidRPr="00CA5E1F">
        <w:rPr>
          <w:rFonts w:ascii="Times New Roman" w:hAnsi="Times New Roman" w:cs="Times New Roman"/>
          <w:sz w:val="28"/>
          <w:szCs w:val="28"/>
        </w:rPr>
        <w:t>Около 28 участников отметили, что окружающие частично распознают симптомы инсульта, но лишь немногие (</w:t>
      </w:r>
      <w:r>
        <w:rPr>
          <w:rFonts w:ascii="Times New Roman" w:hAnsi="Times New Roman" w:cs="Times New Roman"/>
          <w:sz w:val="28"/>
          <w:szCs w:val="28"/>
          <w:lang w:val="en-GB"/>
        </w:rPr>
        <w:t>n</w:t>
      </w:r>
      <w:r w:rsidRPr="00A40398">
        <w:rPr>
          <w:rFonts w:ascii="Times New Roman" w:hAnsi="Times New Roman" w:cs="Times New Roman"/>
          <w:sz w:val="28"/>
          <w:szCs w:val="28"/>
        </w:rPr>
        <w:t>=</w:t>
      </w:r>
      <w:r w:rsidRPr="00CA5E1F">
        <w:rPr>
          <w:rFonts w:ascii="Times New Roman" w:hAnsi="Times New Roman" w:cs="Times New Roman"/>
          <w:sz w:val="28"/>
          <w:szCs w:val="28"/>
        </w:rPr>
        <w:t>6) знают, как правильно действовать.</w:t>
      </w:r>
      <w:r>
        <w:rPr>
          <w:rFonts w:ascii="Times New Roman" w:hAnsi="Times New Roman" w:cs="Times New Roman"/>
          <w:sz w:val="28"/>
          <w:szCs w:val="28"/>
        </w:rPr>
        <w:t xml:space="preserve"> Однако </w:t>
      </w:r>
      <w:r w:rsidRPr="00363A09">
        <w:rPr>
          <w:rFonts w:ascii="Times New Roman" w:hAnsi="Times New Roman" w:cs="Times New Roman"/>
          <w:sz w:val="28"/>
          <w:szCs w:val="28"/>
        </w:rPr>
        <w:t>около 20</w:t>
      </w:r>
      <w:r>
        <w:rPr>
          <w:rFonts w:ascii="Times New Roman" w:hAnsi="Times New Roman" w:cs="Times New Roman"/>
          <w:sz w:val="28"/>
          <w:szCs w:val="28"/>
        </w:rPr>
        <w:t xml:space="preserve"> респондентов</w:t>
      </w:r>
      <w:r w:rsidRPr="00363A09">
        <w:rPr>
          <w:rFonts w:ascii="Times New Roman" w:hAnsi="Times New Roman" w:cs="Times New Roman"/>
          <w:sz w:val="28"/>
          <w:szCs w:val="28"/>
        </w:rPr>
        <w:t xml:space="preserve"> сообщили, что большинство людей не знают или плохо осведомлены о признаках инсульта. </w:t>
      </w:r>
      <w:r w:rsidRPr="00CA5E1F">
        <w:rPr>
          <w:rFonts w:ascii="Times New Roman" w:hAnsi="Times New Roman" w:cs="Times New Roman"/>
          <w:sz w:val="28"/>
          <w:szCs w:val="28"/>
        </w:rPr>
        <w:t xml:space="preserve">Основные </w:t>
      </w:r>
      <w:r>
        <w:rPr>
          <w:rFonts w:ascii="Times New Roman" w:hAnsi="Times New Roman" w:cs="Times New Roman"/>
          <w:sz w:val="28"/>
          <w:szCs w:val="28"/>
        </w:rPr>
        <w:t xml:space="preserve">барьеры </w:t>
      </w:r>
      <w:r w:rsidRPr="00CA5E1F">
        <w:rPr>
          <w:rFonts w:ascii="Times New Roman" w:hAnsi="Times New Roman" w:cs="Times New Roman"/>
          <w:sz w:val="28"/>
          <w:szCs w:val="28"/>
        </w:rPr>
        <w:t>для своевременного обращения за помощью включают занятость</w:t>
      </w:r>
      <w:r>
        <w:rPr>
          <w:rFonts w:ascii="Times New Roman" w:hAnsi="Times New Roman" w:cs="Times New Roman"/>
          <w:sz w:val="28"/>
          <w:szCs w:val="28"/>
        </w:rPr>
        <w:t xml:space="preserve"> (</w:t>
      </w:r>
      <w:r>
        <w:rPr>
          <w:rFonts w:ascii="Times New Roman" w:hAnsi="Times New Roman" w:cs="Times New Roman"/>
          <w:sz w:val="28"/>
          <w:szCs w:val="28"/>
          <w:lang w:val="en-US"/>
        </w:rPr>
        <w:t>n</w:t>
      </w:r>
      <w:r w:rsidRPr="00CA5E1F">
        <w:rPr>
          <w:rFonts w:ascii="Times New Roman" w:hAnsi="Times New Roman" w:cs="Times New Roman"/>
          <w:sz w:val="28"/>
          <w:szCs w:val="28"/>
        </w:rPr>
        <w:t xml:space="preserve">=7), </w:t>
      </w:r>
      <w:r w:rsidRPr="00363A09">
        <w:rPr>
          <w:rFonts w:ascii="Times New Roman" w:hAnsi="Times New Roman" w:cs="Times New Roman"/>
          <w:sz w:val="28"/>
          <w:szCs w:val="28"/>
        </w:rPr>
        <w:t>страх перед врачами или больницами (</w:t>
      </w:r>
      <w:r>
        <w:rPr>
          <w:rFonts w:ascii="Times New Roman" w:hAnsi="Times New Roman" w:cs="Times New Roman"/>
          <w:sz w:val="28"/>
          <w:szCs w:val="28"/>
          <w:lang w:val="en-US"/>
        </w:rPr>
        <w:t>n</w:t>
      </w:r>
      <w:r w:rsidRPr="00CA5E1F">
        <w:rPr>
          <w:rFonts w:ascii="Times New Roman" w:hAnsi="Times New Roman" w:cs="Times New Roman"/>
          <w:sz w:val="28"/>
          <w:szCs w:val="28"/>
        </w:rPr>
        <w:t>=5</w:t>
      </w:r>
      <w:r w:rsidRPr="00363A09">
        <w:rPr>
          <w:rFonts w:ascii="Times New Roman" w:hAnsi="Times New Roman" w:cs="Times New Roman"/>
          <w:sz w:val="28"/>
          <w:szCs w:val="28"/>
        </w:rPr>
        <w:t>), отрицание или уверенность в том, что с ними этого не произойдёт (</w:t>
      </w:r>
      <w:r>
        <w:rPr>
          <w:rFonts w:ascii="Times New Roman" w:hAnsi="Times New Roman" w:cs="Times New Roman"/>
          <w:sz w:val="28"/>
          <w:szCs w:val="28"/>
          <w:lang w:val="en-US"/>
        </w:rPr>
        <w:t>n</w:t>
      </w:r>
      <w:r w:rsidRPr="00CA5E1F">
        <w:rPr>
          <w:rFonts w:ascii="Times New Roman" w:hAnsi="Times New Roman" w:cs="Times New Roman"/>
          <w:sz w:val="28"/>
          <w:szCs w:val="28"/>
        </w:rPr>
        <w:t>=3</w:t>
      </w:r>
      <w:r w:rsidRPr="00363A09">
        <w:rPr>
          <w:rFonts w:ascii="Times New Roman" w:hAnsi="Times New Roman" w:cs="Times New Roman"/>
          <w:sz w:val="28"/>
          <w:szCs w:val="28"/>
        </w:rPr>
        <w:t>), незнание о неотложных ситуациях (</w:t>
      </w:r>
      <w:r>
        <w:rPr>
          <w:rFonts w:ascii="Times New Roman" w:hAnsi="Times New Roman" w:cs="Times New Roman"/>
          <w:sz w:val="28"/>
          <w:szCs w:val="28"/>
          <w:lang w:val="en-US"/>
        </w:rPr>
        <w:t>n</w:t>
      </w:r>
      <w:r w:rsidRPr="00CA5E1F">
        <w:rPr>
          <w:rFonts w:ascii="Times New Roman" w:hAnsi="Times New Roman" w:cs="Times New Roman"/>
          <w:sz w:val="28"/>
          <w:szCs w:val="28"/>
        </w:rPr>
        <w:t>=9</w:t>
      </w:r>
      <w:r w:rsidRPr="00363A09">
        <w:rPr>
          <w:rFonts w:ascii="Times New Roman" w:hAnsi="Times New Roman" w:cs="Times New Roman"/>
          <w:sz w:val="28"/>
          <w:szCs w:val="28"/>
        </w:rPr>
        <w:t>), финансовые трудности (</w:t>
      </w:r>
      <w:r>
        <w:rPr>
          <w:rFonts w:ascii="Times New Roman" w:hAnsi="Times New Roman" w:cs="Times New Roman"/>
          <w:sz w:val="28"/>
          <w:szCs w:val="28"/>
          <w:lang w:val="en-US"/>
        </w:rPr>
        <w:t>n</w:t>
      </w:r>
      <w:r w:rsidRPr="00CA5E1F">
        <w:rPr>
          <w:rFonts w:ascii="Times New Roman" w:hAnsi="Times New Roman" w:cs="Times New Roman"/>
          <w:sz w:val="28"/>
          <w:szCs w:val="28"/>
        </w:rPr>
        <w:t>=3</w:t>
      </w:r>
      <w:r w:rsidRPr="00363A09">
        <w:rPr>
          <w:rFonts w:ascii="Times New Roman" w:hAnsi="Times New Roman" w:cs="Times New Roman"/>
          <w:sz w:val="28"/>
          <w:szCs w:val="28"/>
        </w:rPr>
        <w:t>) и предпочтение домашних средств (</w:t>
      </w:r>
      <w:r>
        <w:rPr>
          <w:rFonts w:ascii="Times New Roman" w:hAnsi="Times New Roman" w:cs="Times New Roman"/>
          <w:sz w:val="28"/>
          <w:szCs w:val="28"/>
          <w:lang w:val="en-US"/>
        </w:rPr>
        <w:t>n</w:t>
      </w:r>
      <w:r w:rsidRPr="00CA5E1F">
        <w:rPr>
          <w:rFonts w:ascii="Times New Roman" w:hAnsi="Times New Roman" w:cs="Times New Roman"/>
          <w:sz w:val="28"/>
          <w:szCs w:val="28"/>
        </w:rPr>
        <w:t>=2</w:t>
      </w:r>
      <w:r w:rsidRPr="00363A09">
        <w:rPr>
          <w:rFonts w:ascii="Times New Roman" w:hAnsi="Times New Roman" w:cs="Times New Roman"/>
          <w:sz w:val="28"/>
          <w:szCs w:val="28"/>
        </w:rPr>
        <w:t>).</w:t>
      </w:r>
    </w:p>
    <w:p w14:paraId="62CC125B" w14:textId="4A42DA09" w:rsidR="00B67D2A" w:rsidRDefault="00B67D2A" w:rsidP="00B67D2A">
      <w:pPr>
        <w:spacing w:after="0" w:line="240" w:lineRule="auto"/>
        <w:ind w:right="-284" w:firstLine="567"/>
        <w:jc w:val="both"/>
        <w:rPr>
          <w:rFonts w:ascii="Times New Roman" w:hAnsi="Times New Roman" w:cs="Times New Roman"/>
          <w:sz w:val="28"/>
          <w:szCs w:val="28"/>
        </w:rPr>
      </w:pPr>
      <w:r w:rsidRPr="00A44236">
        <w:rPr>
          <w:rFonts w:ascii="Times New Roman" w:hAnsi="Times New Roman" w:cs="Times New Roman"/>
          <w:sz w:val="28"/>
          <w:szCs w:val="28"/>
        </w:rPr>
        <w:lastRenderedPageBreak/>
        <w:t>Таблица</w:t>
      </w:r>
      <w:r w:rsidR="00FC2E89">
        <w:rPr>
          <w:rFonts w:ascii="Times New Roman" w:hAnsi="Times New Roman" w:cs="Times New Roman"/>
          <w:sz w:val="28"/>
          <w:szCs w:val="28"/>
        </w:rPr>
        <w:t xml:space="preserve"> 19 -</w:t>
      </w:r>
      <w:r w:rsidRPr="00A44236">
        <w:rPr>
          <w:rFonts w:ascii="Times New Roman" w:hAnsi="Times New Roman" w:cs="Times New Roman"/>
          <w:sz w:val="28"/>
          <w:szCs w:val="28"/>
        </w:rPr>
        <w:t xml:space="preserve"> Зарегистрированные препятствия </w:t>
      </w:r>
      <w:r>
        <w:rPr>
          <w:rFonts w:ascii="Times New Roman" w:hAnsi="Times New Roman" w:cs="Times New Roman"/>
          <w:sz w:val="28"/>
          <w:szCs w:val="28"/>
        </w:rPr>
        <w:t>при стационарной помощи</w:t>
      </w:r>
      <w:r w:rsidRPr="00A44236">
        <w:rPr>
          <w:rFonts w:ascii="Times New Roman" w:hAnsi="Times New Roman" w:cs="Times New Roman"/>
          <w:sz w:val="28"/>
          <w:szCs w:val="28"/>
        </w:rPr>
        <w:t xml:space="preserve"> (</w:t>
      </w:r>
      <w:r w:rsidRPr="00A44236">
        <w:rPr>
          <w:rFonts w:ascii="Times New Roman" w:hAnsi="Times New Roman" w:cs="Times New Roman"/>
          <w:sz w:val="28"/>
          <w:szCs w:val="28"/>
          <w:lang w:val="en-US"/>
        </w:rPr>
        <w:t>n</w:t>
      </w:r>
      <w:r w:rsidRPr="00A44236">
        <w:rPr>
          <w:rFonts w:ascii="Times New Roman" w:hAnsi="Times New Roman" w:cs="Times New Roman"/>
          <w:sz w:val="28"/>
          <w:szCs w:val="28"/>
        </w:rPr>
        <w:t>=61)</w:t>
      </w:r>
    </w:p>
    <w:p w14:paraId="706B93A5" w14:textId="77777777" w:rsidR="00FC2E89" w:rsidRPr="00A44236" w:rsidRDefault="00FC2E89" w:rsidP="00B67D2A">
      <w:pPr>
        <w:spacing w:after="0" w:line="240" w:lineRule="auto"/>
        <w:ind w:right="-284" w:firstLine="567"/>
        <w:jc w:val="both"/>
        <w:rPr>
          <w:rFonts w:ascii="Times New Roman" w:hAnsi="Times New Roman" w:cs="Times New Roman"/>
          <w:sz w:val="28"/>
          <w:szCs w:val="28"/>
        </w:rPr>
      </w:pPr>
    </w:p>
    <w:tbl>
      <w:tblPr>
        <w:tblStyle w:val="ae"/>
        <w:tblW w:w="15021" w:type="dxa"/>
        <w:tblLook w:val="04A0" w:firstRow="1" w:lastRow="0" w:firstColumn="1" w:lastColumn="0" w:noHBand="0" w:noVBand="1"/>
      </w:tblPr>
      <w:tblGrid>
        <w:gridCol w:w="2428"/>
        <w:gridCol w:w="6072"/>
        <w:gridCol w:w="1698"/>
        <w:gridCol w:w="4823"/>
      </w:tblGrid>
      <w:tr w:rsidR="00B67D2A" w:rsidRPr="00CA5118" w14:paraId="04EA1DFC" w14:textId="77777777" w:rsidTr="00533899">
        <w:tc>
          <w:tcPr>
            <w:tcW w:w="2428" w:type="dxa"/>
          </w:tcPr>
          <w:p w14:paraId="49E9197B" w14:textId="77777777" w:rsidR="00B67D2A" w:rsidRPr="006F2C65" w:rsidRDefault="00B67D2A" w:rsidP="005E6F1B">
            <w:pPr>
              <w:ind w:right="38"/>
              <w:jc w:val="both"/>
              <w:rPr>
                <w:rFonts w:ascii="Times New Roman" w:hAnsi="Times New Roman" w:cs="Times New Roman"/>
                <w:sz w:val="24"/>
                <w:szCs w:val="24"/>
              </w:rPr>
            </w:pPr>
            <w:r>
              <w:rPr>
                <w:rFonts w:ascii="Times New Roman" w:hAnsi="Times New Roman" w:cs="Times New Roman"/>
                <w:sz w:val="24"/>
                <w:szCs w:val="24"/>
              </w:rPr>
              <w:t>Аспекты</w:t>
            </w:r>
          </w:p>
        </w:tc>
        <w:tc>
          <w:tcPr>
            <w:tcW w:w="6072" w:type="dxa"/>
          </w:tcPr>
          <w:p w14:paraId="0E835728" w14:textId="77777777" w:rsidR="00B67D2A" w:rsidRPr="00A44236" w:rsidRDefault="00B67D2A" w:rsidP="005E6F1B">
            <w:pPr>
              <w:ind w:right="38"/>
              <w:jc w:val="both"/>
              <w:rPr>
                <w:rFonts w:ascii="Times New Roman" w:hAnsi="Times New Roman" w:cs="Times New Roman"/>
                <w:sz w:val="24"/>
                <w:szCs w:val="24"/>
              </w:rPr>
            </w:pPr>
            <w:r>
              <w:rPr>
                <w:rFonts w:ascii="Times New Roman" w:hAnsi="Times New Roman" w:cs="Times New Roman"/>
                <w:sz w:val="24"/>
                <w:szCs w:val="24"/>
              </w:rPr>
              <w:t>Результаты</w:t>
            </w:r>
          </w:p>
        </w:tc>
        <w:tc>
          <w:tcPr>
            <w:tcW w:w="1698" w:type="dxa"/>
          </w:tcPr>
          <w:p w14:paraId="5FB35A58"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Количество респондентов</w:t>
            </w:r>
          </w:p>
        </w:tc>
        <w:tc>
          <w:tcPr>
            <w:tcW w:w="4823" w:type="dxa"/>
          </w:tcPr>
          <w:p w14:paraId="7E9DC060" w14:textId="77777777" w:rsidR="00B67D2A" w:rsidRPr="00A44236" w:rsidRDefault="00B67D2A" w:rsidP="005E6F1B">
            <w:pPr>
              <w:ind w:right="38"/>
              <w:jc w:val="both"/>
              <w:rPr>
                <w:rFonts w:ascii="Times New Roman" w:hAnsi="Times New Roman" w:cs="Times New Roman"/>
                <w:sz w:val="24"/>
                <w:szCs w:val="24"/>
              </w:rPr>
            </w:pPr>
            <w:r>
              <w:rPr>
                <w:rFonts w:ascii="Times New Roman" w:hAnsi="Times New Roman" w:cs="Times New Roman"/>
                <w:sz w:val="24"/>
                <w:szCs w:val="24"/>
              </w:rPr>
              <w:t>Рекомендаций</w:t>
            </w:r>
          </w:p>
        </w:tc>
      </w:tr>
      <w:tr w:rsidR="00B67D2A" w:rsidRPr="00CA5118" w14:paraId="2377ED9B" w14:textId="77777777" w:rsidTr="00533899">
        <w:tc>
          <w:tcPr>
            <w:tcW w:w="2428" w:type="dxa"/>
            <w:vMerge w:val="restart"/>
          </w:tcPr>
          <w:p w14:paraId="248D10CF" w14:textId="77777777" w:rsidR="00B67D2A" w:rsidRPr="006F2C65" w:rsidRDefault="00B67D2A" w:rsidP="005E6F1B">
            <w:pPr>
              <w:ind w:right="38"/>
              <w:jc w:val="both"/>
              <w:rPr>
                <w:rFonts w:ascii="Times New Roman" w:hAnsi="Times New Roman" w:cs="Times New Roman"/>
                <w:sz w:val="24"/>
                <w:szCs w:val="24"/>
                <w:lang w:val="en-US"/>
              </w:rPr>
            </w:pPr>
            <w:r w:rsidRPr="006F2C65">
              <w:rPr>
                <w:rFonts w:ascii="Times New Roman" w:hAnsi="Times New Roman" w:cs="Times New Roman"/>
                <w:sz w:val="24"/>
                <w:szCs w:val="24"/>
                <w:lang w:val="en-US"/>
              </w:rPr>
              <w:t>Госпитализация и первичная диагностика</w:t>
            </w:r>
          </w:p>
        </w:tc>
        <w:tc>
          <w:tcPr>
            <w:tcW w:w="6072" w:type="dxa"/>
          </w:tcPr>
          <w:p w14:paraId="52CA9AE2" w14:textId="77777777" w:rsidR="00B67D2A" w:rsidRPr="00A44236"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Большинство пациентов были госпитализированы своевременно, прошли КТ/МРТ, анализы крови и базовые обследования (например, измерение артериального давления, ЭКГ). Некоторые описали процесс как «гладкий» и «хорошо организованный».</w:t>
            </w:r>
          </w:p>
        </w:tc>
        <w:tc>
          <w:tcPr>
            <w:tcW w:w="1698" w:type="dxa"/>
          </w:tcPr>
          <w:p w14:paraId="41A4A718" w14:textId="77777777" w:rsidR="00B67D2A" w:rsidRPr="00A44236" w:rsidRDefault="00B67D2A" w:rsidP="005E6F1B">
            <w:pPr>
              <w:ind w:right="38"/>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4823" w:type="dxa"/>
          </w:tcPr>
          <w:p w14:paraId="64AB1923" w14:textId="77777777" w:rsidR="00B67D2A" w:rsidRPr="006F2C65"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Обеспечить круглосуточную доступность нейровизуализации (КТ/МРТ) во всех региональных больницах для предотвращения задержек.</w:t>
            </w:r>
          </w:p>
          <w:p w14:paraId="12F03041" w14:textId="77777777" w:rsidR="00B67D2A" w:rsidRPr="006F2C65" w:rsidRDefault="00B67D2A" w:rsidP="005E6F1B">
            <w:pPr>
              <w:ind w:right="38"/>
              <w:jc w:val="both"/>
              <w:rPr>
                <w:rFonts w:ascii="Times New Roman" w:hAnsi="Times New Roman" w:cs="Times New Roman"/>
                <w:sz w:val="24"/>
                <w:szCs w:val="24"/>
              </w:rPr>
            </w:pPr>
          </w:p>
        </w:tc>
      </w:tr>
      <w:tr w:rsidR="00B67D2A" w:rsidRPr="00CA5118" w14:paraId="4BFBF7C0" w14:textId="77777777" w:rsidTr="00533899">
        <w:tc>
          <w:tcPr>
            <w:tcW w:w="2428" w:type="dxa"/>
            <w:vMerge/>
          </w:tcPr>
          <w:p w14:paraId="4AE30B6E" w14:textId="77777777" w:rsidR="00B67D2A" w:rsidRPr="006F2C65" w:rsidRDefault="00B67D2A" w:rsidP="005E6F1B">
            <w:pPr>
              <w:ind w:right="38"/>
              <w:jc w:val="both"/>
              <w:rPr>
                <w:rFonts w:ascii="Times New Roman" w:hAnsi="Times New Roman" w:cs="Times New Roman"/>
                <w:sz w:val="24"/>
                <w:szCs w:val="24"/>
              </w:rPr>
            </w:pPr>
          </w:p>
        </w:tc>
        <w:tc>
          <w:tcPr>
            <w:tcW w:w="6072" w:type="dxa"/>
          </w:tcPr>
          <w:p w14:paraId="033A56AD" w14:textId="77777777" w:rsidR="00B67D2A" w:rsidRPr="006F2C65"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Несколько пациентов столкнулись с задержками, путаницей или неадекватной диагностикой (например, нефункциональная МРТ, длительное время ожидания).</w:t>
            </w:r>
          </w:p>
        </w:tc>
        <w:tc>
          <w:tcPr>
            <w:tcW w:w="1698" w:type="dxa"/>
          </w:tcPr>
          <w:p w14:paraId="701BEAE9" w14:textId="77777777" w:rsidR="00B67D2A" w:rsidRPr="006F2C65"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5</w:t>
            </w:r>
          </w:p>
        </w:tc>
        <w:tc>
          <w:tcPr>
            <w:tcW w:w="4823" w:type="dxa"/>
          </w:tcPr>
          <w:p w14:paraId="7A0FD219" w14:textId="77777777" w:rsidR="00B67D2A" w:rsidRPr="006F2C65"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Обеспечить лучшую координацию и обслуживание оборудования в отделениях неотложной помощи.</w:t>
            </w:r>
          </w:p>
        </w:tc>
      </w:tr>
      <w:tr w:rsidR="00B67D2A" w:rsidRPr="00CA5118" w14:paraId="7E47D8D8" w14:textId="77777777" w:rsidTr="00533899">
        <w:tc>
          <w:tcPr>
            <w:tcW w:w="2428" w:type="dxa"/>
            <w:vMerge w:val="restart"/>
          </w:tcPr>
          <w:p w14:paraId="1C5C6588" w14:textId="77777777" w:rsidR="00B67D2A" w:rsidRPr="00A44236" w:rsidRDefault="00B67D2A" w:rsidP="005E6F1B">
            <w:pPr>
              <w:ind w:right="38"/>
              <w:jc w:val="both"/>
              <w:rPr>
                <w:rFonts w:ascii="Times New Roman" w:hAnsi="Times New Roman" w:cs="Times New Roman"/>
                <w:sz w:val="24"/>
                <w:szCs w:val="24"/>
              </w:rPr>
            </w:pPr>
            <w:r>
              <w:rPr>
                <w:rFonts w:ascii="Times New Roman" w:hAnsi="Times New Roman" w:cs="Times New Roman"/>
                <w:sz w:val="24"/>
                <w:szCs w:val="24"/>
              </w:rPr>
              <w:t>Коммуникация</w:t>
            </w:r>
            <w:r w:rsidRPr="006F2C65">
              <w:rPr>
                <w:rFonts w:ascii="Times New Roman" w:hAnsi="Times New Roman" w:cs="Times New Roman"/>
                <w:sz w:val="24"/>
                <w:szCs w:val="24"/>
              </w:rPr>
              <w:t xml:space="preserve"> с врачами и медсестрами.</w:t>
            </w:r>
          </w:p>
        </w:tc>
        <w:tc>
          <w:tcPr>
            <w:tcW w:w="6072" w:type="dxa"/>
          </w:tcPr>
          <w:p w14:paraId="1FAFD1A6" w14:textId="77777777" w:rsidR="00B67D2A" w:rsidRPr="00A44236"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Большинство пациентов положительно оценили персонал, назвав его «внимательным», «сострадательным» и «профессиональным».</w:t>
            </w:r>
          </w:p>
        </w:tc>
        <w:tc>
          <w:tcPr>
            <w:tcW w:w="1698" w:type="dxa"/>
          </w:tcPr>
          <w:p w14:paraId="370A8C78"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43</w:t>
            </w:r>
          </w:p>
        </w:tc>
        <w:tc>
          <w:tcPr>
            <w:tcW w:w="4823" w:type="dxa"/>
          </w:tcPr>
          <w:p w14:paraId="2ABBB628" w14:textId="77777777" w:rsidR="00B67D2A"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Продолжить развивать гибкие навыки и вежливое обращение с пациентами в программах медицинского обучения.</w:t>
            </w:r>
          </w:p>
        </w:tc>
      </w:tr>
      <w:tr w:rsidR="00B67D2A" w:rsidRPr="00CA5118" w14:paraId="4517D5E4" w14:textId="77777777" w:rsidTr="00533899">
        <w:tc>
          <w:tcPr>
            <w:tcW w:w="2428" w:type="dxa"/>
            <w:vMerge/>
          </w:tcPr>
          <w:p w14:paraId="2556DF24" w14:textId="77777777" w:rsidR="00B67D2A" w:rsidRDefault="00B67D2A" w:rsidP="005E6F1B">
            <w:pPr>
              <w:ind w:right="38"/>
              <w:jc w:val="both"/>
              <w:rPr>
                <w:rFonts w:ascii="Times New Roman" w:hAnsi="Times New Roman" w:cs="Times New Roman"/>
                <w:sz w:val="24"/>
                <w:szCs w:val="24"/>
              </w:rPr>
            </w:pPr>
          </w:p>
        </w:tc>
        <w:tc>
          <w:tcPr>
            <w:tcW w:w="6072" w:type="dxa"/>
          </w:tcPr>
          <w:p w14:paraId="10BB278C" w14:textId="77777777" w:rsidR="00B67D2A" w:rsidRPr="006F2C65"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Некоторые пациенты столкнулись с грубым поведением, отсутствием эмпатии или пренебрежительным отношением персонала (например, криками, нетерпением). ~8</w:t>
            </w:r>
          </w:p>
        </w:tc>
        <w:tc>
          <w:tcPr>
            <w:tcW w:w="1698" w:type="dxa"/>
          </w:tcPr>
          <w:p w14:paraId="76E8D390" w14:textId="77777777" w:rsidR="00B67D2A"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8</w:t>
            </w:r>
          </w:p>
        </w:tc>
        <w:tc>
          <w:tcPr>
            <w:tcW w:w="4823" w:type="dxa"/>
          </w:tcPr>
          <w:p w14:paraId="5D0933DF" w14:textId="77777777" w:rsidR="00B67D2A" w:rsidRPr="006F2C65"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Провести обучение, особенно в отделениях неотложной неврологии и гериатрии.</w:t>
            </w:r>
          </w:p>
        </w:tc>
      </w:tr>
      <w:tr w:rsidR="00B67D2A" w:rsidRPr="00CA5118" w14:paraId="1BCACB4A" w14:textId="77777777" w:rsidTr="00533899">
        <w:tc>
          <w:tcPr>
            <w:tcW w:w="2428" w:type="dxa"/>
            <w:vMerge w:val="restart"/>
          </w:tcPr>
          <w:p w14:paraId="3E756A8A" w14:textId="77777777" w:rsidR="00B67D2A" w:rsidRPr="00A44236"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Разъяснение диагноза и лечения.</w:t>
            </w:r>
          </w:p>
        </w:tc>
        <w:tc>
          <w:tcPr>
            <w:tcW w:w="6072" w:type="dxa"/>
          </w:tcPr>
          <w:p w14:paraId="3984FA63" w14:textId="77777777" w:rsidR="00B67D2A" w:rsidRPr="00A44236"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Около 38 пациентов получили четкие объяснения диагноза инсульта, рисков и плана лечения в устной или письменной форме.</w:t>
            </w:r>
          </w:p>
        </w:tc>
        <w:tc>
          <w:tcPr>
            <w:tcW w:w="1698" w:type="dxa"/>
          </w:tcPr>
          <w:p w14:paraId="3D868207"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38</w:t>
            </w:r>
          </w:p>
        </w:tc>
        <w:tc>
          <w:tcPr>
            <w:tcW w:w="4823" w:type="dxa"/>
          </w:tcPr>
          <w:p w14:paraId="6C372D1E" w14:textId="77777777" w:rsidR="00B67D2A"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Соблюдать протоколы для четкого и доступного общения с пациентами с инсультом и их семьями.</w:t>
            </w:r>
          </w:p>
        </w:tc>
      </w:tr>
      <w:tr w:rsidR="00B67D2A" w:rsidRPr="00CA5118" w14:paraId="2E394C05" w14:textId="77777777" w:rsidTr="00533899">
        <w:tc>
          <w:tcPr>
            <w:tcW w:w="2428" w:type="dxa"/>
            <w:vMerge/>
          </w:tcPr>
          <w:p w14:paraId="4DE5A53B" w14:textId="77777777" w:rsidR="00B67D2A" w:rsidRPr="006F2C65" w:rsidRDefault="00B67D2A" w:rsidP="005E6F1B">
            <w:pPr>
              <w:ind w:right="38"/>
              <w:jc w:val="both"/>
              <w:rPr>
                <w:rFonts w:ascii="Times New Roman" w:hAnsi="Times New Roman" w:cs="Times New Roman"/>
                <w:sz w:val="24"/>
                <w:szCs w:val="24"/>
              </w:rPr>
            </w:pPr>
          </w:p>
        </w:tc>
        <w:tc>
          <w:tcPr>
            <w:tcW w:w="6072" w:type="dxa"/>
          </w:tcPr>
          <w:p w14:paraId="7E00AFFB" w14:textId="77777777" w:rsidR="00B67D2A" w:rsidRPr="006F2C65"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Другие отметили, что им приходилось переспрашивать повторно или узнавать о своем диагнозе позже, иногда от семьи или самостоятельно изучая документы</w:t>
            </w:r>
          </w:p>
        </w:tc>
        <w:tc>
          <w:tcPr>
            <w:tcW w:w="1698" w:type="dxa"/>
          </w:tcPr>
          <w:p w14:paraId="7B6C316E" w14:textId="77777777" w:rsidR="00B67D2A" w:rsidRDefault="00B67D2A" w:rsidP="005E6F1B">
            <w:pPr>
              <w:ind w:right="38"/>
              <w:jc w:val="center"/>
              <w:rPr>
                <w:rFonts w:ascii="Times New Roman" w:hAnsi="Times New Roman" w:cs="Times New Roman"/>
                <w:sz w:val="24"/>
                <w:szCs w:val="24"/>
              </w:rPr>
            </w:pPr>
            <w:r w:rsidRPr="006F2C65">
              <w:rPr>
                <w:rFonts w:ascii="Times New Roman" w:hAnsi="Times New Roman" w:cs="Times New Roman"/>
                <w:sz w:val="24"/>
                <w:szCs w:val="24"/>
              </w:rPr>
              <w:t>10–12</w:t>
            </w:r>
          </w:p>
        </w:tc>
        <w:tc>
          <w:tcPr>
            <w:tcW w:w="4823" w:type="dxa"/>
          </w:tcPr>
          <w:p w14:paraId="00B155E8" w14:textId="77777777" w:rsidR="00B67D2A" w:rsidRPr="006F2C65"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Ввести обязательные инструктажи по инсульту для пациентов и/или их семей при поступлении.</w:t>
            </w:r>
          </w:p>
        </w:tc>
      </w:tr>
      <w:tr w:rsidR="00B67D2A" w:rsidRPr="00CA5118" w14:paraId="38FA7695" w14:textId="77777777" w:rsidTr="00533899">
        <w:tc>
          <w:tcPr>
            <w:tcW w:w="2428" w:type="dxa"/>
            <w:vMerge/>
          </w:tcPr>
          <w:p w14:paraId="67263222" w14:textId="77777777" w:rsidR="00B67D2A" w:rsidRPr="006F2C65" w:rsidRDefault="00B67D2A" w:rsidP="005E6F1B">
            <w:pPr>
              <w:ind w:right="38"/>
              <w:jc w:val="both"/>
              <w:rPr>
                <w:rFonts w:ascii="Times New Roman" w:hAnsi="Times New Roman" w:cs="Times New Roman"/>
                <w:sz w:val="24"/>
                <w:szCs w:val="24"/>
              </w:rPr>
            </w:pPr>
          </w:p>
        </w:tc>
        <w:tc>
          <w:tcPr>
            <w:tcW w:w="6072" w:type="dxa"/>
          </w:tcPr>
          <w:p w14:paraId="3F5E3149" w14:textId="77777777" w:rsidR="00B67D2A" w:rsidRPr="006F2C65"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Некоторые пациенты не понимали свой диагноз из-за языкового барьера или медицинского жаргона</w:t>
            </w:r>
          </w:p>
        </w:tc>
        <w:tc>
          <w:tcPr>
            <w:tcW w:w="1698" w:type="dxa"/>
          </w:tcPr>
          <w:p w14:paraId="1B95811B" w14:textId="77777777" w:rsidR="00B67D2A" w:rsidRDefault="00B67D2A" w:rsidP="005E6F1B">
            <w:pPr>
              <w:ind w:right="38"/>
              <w:jc w:val="center"/>
              <w:rPr>
                <w:rFonts w:ascii="Times New Roman" w:hAnsi="Times New Roman" w:cs="Times New Roman"/>
                <w:sz w:val="24"/>
                <w:szCs w:val="24"/>
              </w:rPr>
            </w:pPr>
            <w:r w:rsidRPr="006F2C65">
              <w:rPr>
                <w:rFonts w:ascii="Times New Roman" w:hAnsi="Times New Roman" w:cs="Times New Roman"/>
                <w:sz w:val="24"/>
                <w:szCs w:val="24"/>
              </w:rPr>
              <w:t>3–4</w:t>
            </w:r>
          </w:p>
        </w:tc>
        <w:tc>
          <w:tcPr>
            <w:tcW w:w="4823" w:type="dxa"/>
          </w:tcPr>
          <w:p w14:paraId="5186BC81" w14:textId="77777777" w:rsidR="00B67D2A" w:rsidRPr="006F2C65"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Использовать многоязычных переводчиков или наглядные материалы (инфографика, диаграммы) для пациентов с низким уровнем медицинской грамотности.</w:t>
            </w:r>
          </w:p>
        </w:tc>
      </w:tr>
      <w:tr w:rsidR="00B67D2A" w:rsidRPr="00CA5118" w14:paraId="784831B8" w14:textId="77777777" w:rsidTr="00533899">
        <w:tc>
          <w:tcPr>
            <w:tcW w:w="2428" w:type="dxa"/>
            <w:vMerge w:val="restart"/>
          </w:tcPr>
          <w:p w14:paraId="7BA4042C" w14:textId="77777777" w:rsidR="00B67D2A" w:rsidRPr="00A44236"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Специализированное лечение (например, хирургия, тромболизис).</w:t>
            </w:r>
          </w:p>
        </w:tc>
        <w:tc>
          <w:tcPr>
            <w:tcW w:w="6072" w:type="dxa"/>
          </w:tcPr>
          <w:p w14:paraId="5E410837" w14:textId="77777777" w:rsidR="00B67D2A" w:rsidRPr="00A44236"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Небольшая группа пациентов перенесла операции на головном мозге, включая удаление тромба или аневризму. В целом, эти операции были оценены положительно</w:t>
            </w:r>
          </w:p>
        </w:tc>
        <w:tc>
          <w:tcPr>
            <w:tcW w:w="1698" w:type="dxa"/>
          </w:tcPr>
          <w:p w14:paraId="7FE5061C"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7</w:t>
            </w:r>
          </w:p>
        </w:tc>
        <w:tc>
          <w:tcPr>
            <w:tcW w:w="4823" w:type="dxa"/>
          </w:tcPr>
          <w:p w14:paraId="1028621A" w14:textId="77777777" w:rsidR="00B67D2A" w:rsidRDefault="00B67D2A" w:rsidP="005E6F1B">
            <w:pPr>
              <w:ind w:right="38"/>
              <w:jc w:val="both"/>
              <w:rPr>
                <w:rFonts w:ascii="Times New Roman" w:hAnsi="Times New Roman" w:cs="Times New Roman"/>
                <w:sz w:val="24"/>
                <w:szCs w:val="24"/>
              </w:rPr>
            </w:pPr>
            <w:r>
              <w:rPr>
                <w:rFonts w:ascii="Times New Roman" w:hAnsi="Times New Roman" w:cs="Times New Roman"/>
                <w:sz w:val="24"/>
                <w:szCs w:val="24"/>
              </w:rPr>
              <w:t>У</w:t>
            </w:r>
            <w:r w:rsidRPr="006F2C65">
              <w:rPr>
                <w:rFonts w:ascii="Times New Roman" w:hAnsi="Times New Roman" w:cs="Times New Roman"/>
                <w:sz w:val="24"/>
                <w:szCs w:val="24"/>
              </w:rPr>
              <w:t xml:space="preserve">лучшить систему медицинской сортировки, чтобы пациенты, подходящие для тромболизиса или хирургического вмешательства, выявлялись в «золотой час». </w:t>
            </w:r>
          </w:p>
        </w:tc>
      </w:tr>
      <w:tr w:rsidR="00B67D2A" w:rsidRPr="00CA5118" w14:paraId="4634DB77" w14:textId="77777777" w:rsidTr="00533899">
        <w:tc>
          <w:tcPr>
            <w:tcW w:w="2428" w:type="dxa"/>
            <w:vMerge/>
          </w:tcPr>
          <w:p w14:paraId="04A85B7B" w14:textId="77777777" w:rsidR="00B67D2A" w:rsidRPr="006F2C65" w:rsidRDefault="00B67D2A" w:rsidP="005E6F1B">
            <w:pPr>
              <w:ind w:right="38"/>
              <w:jc w:val="both"/>
              <w:rPr>
                <w:rFonts w:ascii="Times New Roman" w:hAnsi="Times New Roman" w:cs="Times New Roman"/>
                <w:sz w:val="24"/>
                <w:szCs w:val="24"/>
              </w:rPr>
            </w:pPr>
          </w:p>
        </w:tc>
        <w:tc>
          <w:tcPr>
            <w:tcW w:w="6072" w:type="dxa"/>
          </w:tcPr>
          <w:p w14:paraId="49CA2612" w14:textId="77777777" w:rsidR="00B67D2A" w:rsidRPr="006F2C65"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Большинству пациентов не были оказаны расширенные медицинские услуги из-за позднего прибытия, отсутствия возможности пройти лечение или ограничений в больнице</w:t>
            </w:r>
          </w:p>
        </w:tc>
        <w:tc>
          <w:tcPr>
            <w:tcW w:w="1698" w:type="dxa"/>
          </w:tcPr>
          <w:p w14:paraId="6B2356B4" w14:textId="77777777" w:rsidR="00B67D2A" w:rsidRDefault="00B67D2A" w:rsidP="005E6F1B">
            <w:pPr>
              <w:ind w:right="38"/>
              <w:jc w:val="center"/>
              <w:rPr>
                <w:rFonts w:ascii="Times New Roman" w:hAnsi="Times New Roman" w:cs="Times New Roman"/>
                <w:sz w:val="24"/>
                <w:szCs w:val="24"/>
              </w:rPr>
            </w:pPr>
            <w:r w:rsidRPr="006F2C65">
              <w:rPr>
                <w:rFonts w:ascii="Times New Roman" w:hAnsi="Times New Roman" w:cs="Times New Roman"/>
                <w:sz w:val="24"/>
                <w:szCs w:val="24"/>
              </w:rPr>
              <w:t>50+</w:t>
            </w:r>
          </w:p>
        </w:tc>
        <w:tc>
          <w:tcPr>
            <w:tcW w:w="4823" w:type="dxa"/>
          </w:tcPr>
          <w:p w14:paraId="45C2333F" w14:textId="77777777" w:rsidR="00B67D2A" w:rsidRPr="006F2C65"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Обучить врачей скорой помощи и фельдшеров распознавать типы инсульта и инициировать протоколы быстрой транспортировки.</w:t>
            </w:r>
          </w:p>
        </w:tc>
      </w:tr>
      <w:tr w:rsidR="00B67D2A" w:rsidRPr="00CA5118" w14:paraId="1EE719EE" w14:textId="77777777" w:rsidTr="00533899">
        <w:tc>
          <w:tcPr>
            <w:tcW w:w="2428" w:type="dxa"/>
            <w:vMerge w:val="restart"/>
          </w:tcPr>
          <w:p w14:paraId="74D44D6D" w14:textId="77777777" w:rsidR="00B67D2A" w:rsidRPr="00A44236"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lastRenderedPageBreak/>
              <w:t xml:space="preserve"> Реабилитация в стационаре.</w:t>
            </w:r>
          </w:p>
        </w:tc>
        <w:tc>
          <w:tcPr>
            <w:tcW w:w="6072" w:type="dxa"/>
          </w:tcPr>
          <w:p w14:paraId="0FAB4FB4" w14:textId="77777777" w:rsidR="00B67D2A" w:rsidRPr="00A44236"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Некоторым (в основном пациентам с ишемическим инсультом) была оказана базовая реабилитация, такая как физическая гимнастика, массаж или логопедия.</w:t>
            </w:r>
          </w:p>
        </w:tc>
        <w:tc>
          <w:tcPr>
            <w:tcW w:w="1698" w:type="dxa"/>
          </w:tcPr>
          <w:p w14:paraId="3A1D5EAB"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18</w:t>
            </w:r>
          </w:p>
        </w:tc>
        <w:tc>
          <w:tcPr>
            <w:tcW w:w="4823" w:type="dxa"/>
          </w:tcPr>
          <w:p w14:paraId="13C59B64" w14:textId="77777777" w:rsidR="00B67D2A"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 xml:space="preserve">Внедрить программы ранней реабилитации для всех пациентов с инсультом, в идеале начиная с 48 часов после стабилизации состояния. </w:t>
            </w:r>
          </w:p>
        </w:tc>
      </w:tr>
      <w:tr w:rsidR="00B67D2A" w:rsidRPr="00CA5118" w14:paraId="7AF3BDD8" w14:textId="77777777" w:rsidTr="00533899">
        <w:tc>
          <w:tcPr>
            <w:tcW w:w="2428" w:type="dxa"/>
            <w:vMerge/>
          </w:tcPr>
          <w:p w14:paraId="22DA87B2" w14:textId="77777777" w:rsidR="00B67D2A" w:rsidRPr="006F2C65" w:rsidRDefault="00B67D2A" w:rsidP="005E6F1B">
            <w:pPr>
              <w:ind w:right="38"/>
              <w:jc w:val="both"/>
              <w:rPr>
                <w:rFonts w:ascii="Times New Roman" w:hAnsi="Times New Roman" w:cs="Times New Roman"/>
                <w:sz w:val="24"/>
                <w:szCs w:val="24"/>
              </w:rPr>
            </w:pPr>
          </w:p>
        </w:tc>
        <w:tc>
          <w:tcPr>
            <w:tcW w:w="6072" w:type="dxa"/>
          </w:tcPr>
          <w:p w14:paraId="34946F09" w14:textId="77777777" w:rsidR="00B67D2A" w:rsidRPr="006F2C65"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Большинство пациентов либо не проходили реабилитацию в больнице, либо не были уверены в наличии у них структурированного плана реабилитации.</w:t>
            </w:r>
          </w:p>
        </w:tc>
        <w:tc>
          <w:tcPr>
            <w:tcW w:w="1698" w:type="dxa"/>
          </w:tcPr>
          <w:p w14:paraId="3D748F07" w14:textId="77777777" w:rsidR="00B67D2A" w:rsidRDefault="00B67D2A" w:rsidP="005E6F1B">
            <w:pPr>
              <w:ind w:right="38"/>
              <w:jc w:val="center"/>
              <w:rPr>
                <w:rFonts w:ascii="Times New Roman" w:hAnsi="Times New Roman" w:cs="Times New Roman"/>
                <w:sz w:val="24"/>
                <w:szCs w:val="24"/>
              </w:rPr>
            </w:pPr>
            <w:r w:rsidRPr="006F2C65">
              <w:rPr>
                <w:rFonts w:ascii="Times New Roman" w:hAnsi="Times New Roman" w:cs="Times New Roman"/>
                <w:sz w:val="24"/>
                <w:szCs w:val="24"/>
              </w:rPr>
              <w:t>30–35</w:t>
            </w:r>
          </w:p>
        </w:tc>
        <w:tc>
          <w:tcPr>
            <w:tcW w:w="4823" w:type="dxa"/>
          </w:tcPr>
          <w:p w14:paraId="3B9FC274" w14:textId="77777777" w:rsidR="00B67D2A" w:rsidRPr="006F2C65"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Разработать индивидуальные планы стационарной реабилитации для каждого пациента, перенесшего инсульт.</w:t>
            </w:r>
          </w:p>
        </w:tc>
      </w:tr>
      <w:tr w:rsidR="00B67D2A" w:rsidRPr="00CA5118" w14:paraId="39BDEDA5" w14:textId="77777777" w:rsidTr="00533899">
        <w:tc>
          <w:tcPr>
            <w:tcW w:w="2428" w:type="dxa"/>
            <w:vMerge w:val="restart"/>
          </w:tcPr>
          <w:p w14:paraId="73C70246" w14:textId="77777777" w:rsidR="00B67D2A" w:rsidRPr="00A44236"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Обучение пациентов во время пребывания</w:t>
            </w:r>
          </w:p>
        </w:tc>
        <w:tc>
          <w:tcPr>
            <w:tcW w:w="6072" w:type="dxa"/>
          </w:tcPr>
          <w:p w14:paraId="34AF2C8B" w14:textId="77777777" w:rsidR="00B67D2A" w:rsidRPr="00A44236"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Только часть пациентов сообщили, что были проинформированы об уходе после инсульта, профилактике или этапах восстановления перед выпиской.</w:t>
            </w:r>
          </w:p>
        </w:tc>
        <w:tc>
          <w:tcPr>
            <w:tcW w:w="1698" w:type="dxa"/>
          </w:tcPr>
          <w:p w14:paraId="3F4CA6BD"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15-20</w:t>
            </w:r>
          </w:p>
        </w:tc>
        <w:tc>
          <w:tcPr>
            <w:tcW w:w="4823" w:type="dxa"/>
          </w:tcPr>
          <w:p w14:paraId="7AA57D1E" w14:textId="77777777" w:rsidR="00B67D2A"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Сделать обучение пациентов перед выпиской стандартным компонентом ухода, включая печатные материалы и план последующего наблюдения.</w:t>
            </w:r>
          </w:p>
        </w:tc>
      </w:tr>
      <w:tr w:rsidR="00B67D2A" w:rsidRPr="00CA5118" w14:paraId="187DFB65" w14:textId="77777777" w:rsidTr="00533899">
        <w:tc>
          <w:tcPr>
            <w:tcW w:w="2428" w:type="dxa"/>
            <w:vMerge/>
          </w:tcPr>
          <w:p w14:paraId="4652B59F" w14:textId="77777777" w:rsidR="00B67D2A" w:rsidRPr="006F2C65" w:rsidRDefault="00B67D2A" w:rsidP="005E6F1B">
            <w:pPr>
              <w:ind w:right="38"/>
              <w:jc w:val="both"/>
              <w:rPr>
                <w:rFonts w:ascii="Times New Roman" w:hAnsi="Times New Roman" w:cs="Times New Roman"/>
                <w:sz w:val="24"/>
                <w:szCs w:val="24"/>
              </w:rPr>
            </w:pPr>
          </w:p>
        </w:tc>
        <w:tc>
          <w:tcPr>
            <w:tcW w:w="6072" w:type="dxa"/>
          </w:tcPr>
          <w:p w14:paraId="6E0E7711" w14:textId="77777777" w:rsidR="00B67D2A" w:rsidRPr="006F2C65"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Многие выразили неясность относительно того, как ухаживать за собой после выписки</w:t>
            </w:r>
          </w:p>
        </w:tc>
        <w:tc>
          <w:tcPr>
            <w:tcW w:w="1698" w:type="dxa"/>
          </w:tcPr>
          <w:p w14:paraId="3BFAAD01" w14:textId="77777777" w:rsidR="00B67D2A" w:rsidRDefault="00B67D2A" w:rsidP="005E6F1B">
            <w:pPr>
              <w:ind w:right="38"/>
              <w:jc w:val="center"/>
              <w:rPr>
                <w:rFonts w:ascii="Times New Roman" w:hAnsi="Times New Roman" w:cs="Times New Roman"/>
                <w:sz w:val="24"/>
                <w:szCs w:val="24"/>
              </w:rPr>
            </w:pPr>
            <w:r w:rsidRPr="006F2C65">
              <w:rPr>
                <w:rFonts w:ascii="Times New Roman" w:hAnsi="Times New Roman" w:cs="Times New Roman"/>
                <w:sz w:val="24"/>
                <w:szCs w:val="24"/>
              </w:rPr>
              <w:t>20</w:t>
            </w:r>
          </w:p>
        </w:tc>
        <w:tc>
          <w:tcPr>
            <w:tcW w:w="4823" w:type="dxa"/>
          </w:tcPr>
          <w:p w14:paraId="1ACBD383" w14:textId="77777777" w:rsidR="00B67D2A" w:rsidRPr="006F2C65"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Вовлекать членов семьи в обучение по вопросам инсульта для обеспечения поддержки дома</w:t>
            </w:r>
          </w:p>
        </w:tc>
      </w:tr>
      <w:tr w:rsidR="00B67D2A" w:rsidRPr="00CA5118" w14:paraId="28107296" w14:textId="77777777" w:rsidTr="00533899">
        <w:tc>
          <w:tcPr>
            <w:tcW w:w="2428" w:type="dxa"/>
            <w:vMerge w:val="restart"/>
          </w:tcPr>
          <w:p w14:paraId="34220B03" w14:textId="77777777" w:rsidR="00B67D2A" w:rsidRPr="00A44236"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Общее впечатление</w:t>
            </w:r>
          </w:p>
        </w:tc>
        <w:tc>
          <w:tcPr>
            <w:tcW w:w="6072" w:type="dxa"/>
          </w:tcPr>
          <w:p w14:paraId="190D4A35" w14:textId="77777777" w:rsidR="00B67D2A" w:rsidRPr="00A44236"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Многие пациенты описали пребывание в больнице как положительное, высоко оценив своевременную помощь, профессионализм и поддержку в восстановлении</w:t>
            </w:r>
          </w:p>
        </w:tc>
        <w:tc>
          <w:tcPr>
            <w:tcW w:w="1698" w:type="dxa"/>
          </w:tcPr>
          <w:p w14:paraId="2DE49E1C"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45</w:t>
            </w:r>
          </w:p>
        </w:tc>
        <w:tc>
          <w:tcPr>
            <w:tcW w:w="4823" w:type="dxa"/>
          </w:tcPr>
          <w:p w14:paraId="36925D42" w14:textId="77777777" w:rsidR="00B67D2A"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Поддерживать и расширять передовой опыт во всех учреждениях, особенно в инсультных центрах.</w:t>
            </w:r>
          </w:p>
        </w:tc>
      </w:tr>
      <w:tr w:rsidR="00B67D2A" w:rsidRPr="00CA5118" w14:paraId="6EDDAFD4" w14:textId="77777777" w:rsidTr="00533899">
        <w:tc>
          <w:tcPr>
            <w:tcW w:w="2428" w:type="dxa"/>
            <w:vMerge/>
          </w:tcPr>
          <w:p w14:paraId="1A08B485" w14:textId="77777777" w:rsidR="00B67D2A" w:rsidRPr="00A44236" w:rsidRDefault="00B67D2A" w:rsidP="005E6F1B">
            <w:pPr>
              <w:ind w:right="38"/>
              <w:jc w:val="both"/>
              <w:rPr>
                <w:rFonts w:ascii="Times New Roman" w:hAnsi="Times New Roman" w:cs="Times New Roman"/>
                <w:sz w:val="24"/>
                <w:szCs w:val="24"/>
              </w:rPr>
            </w:pPr>
          </w:p>
        </w:tc>
        <w:tc>
          <w:tcPr>
            <w:tcW w:w="6072" w:type="dxa"/>
          </w:tcPr>
          <w:p w14:paraId="5B02057E" w14:textId="77777777" w:rsidR="00B67D2A" w:rsidRPr="00A44236"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У некоторых пациентов сложилось неоднозначное или отрицательное впечатление, часто связанное с ранней ошибочной диагностикой, задержками или межличностными проблемами</w:t>
            </w:r>
          </w:p>
        </w:tc>
        <w:tc>
          <w:tcPr>
            <w:tcW w:w="1698" w:type="dxa"/>
          </w:tcPr>
          <w:p w14:paraId="77998EEF"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10-12</w:t>
            </w:r>
          </w:p>
        </w:tc>
        <w:tc>
          <w:tcPr>
            <w:tcW w:w="4823" w:type="dxa"/>
          </w:tcPr>
          <w:p w14:paraId="590D50B2" w14:textId="77777777" w:rsidR="00B67D2A" w:rsidRDefault="00B67D2A" w:rsidP="005E6F1B">
            <w:pPr>
              <w:ind w:right="38"/>
              <w:jc w:val="both"/>
              <w:rPr>
                <w:rFonts w:ascii="Times New Roman" w:hAnsi="Times New Roman" w:cs="Times New Roman"/>
                <w:sz w:val="24"/>
                <w:szCs w:val="24"/>
              </w:rPr>
            </w:pPr>
            <w:r w:rsidRPr="006F2C65">
              <w:rPr>
                <w:rFonts w:ascii="Times New Roman" w:hAnsi="Times New Roman" w:cs="Times New Roman"/>
                <w:sz w:val="24"/>
                <w:szCs w:val="24"/>
              </w:rPr>
              <w:t>Регулярный сбор отзывов пациентов и контроль качества могут помочь устранить несоответствия в обслуживании.</w:t>
            </w:r>
          </w:p>
        </w:tc>
      </w:tr>
    </w:tbl>
    <w:p w14:paraId="49AF38D3" w14:textId="77777777" w:rsidR="00B67D2A" w:rsidRDefault="00B67D2A" w:rsidP="00B67D2A">
      <w:pPr>
        <w:spacing w:after="0" w:line="240" w:lineRule="auto"/>
        <w:ind w:right="-284" w:firstLine="567"/>
        <w:jc w:val="both"/>
        <w:rPr>
          <w:rFonts w:ascii="Times New Roman" w:hAnsi="Times New Roman" w:cs="Times New Roman"/>
          <w:sz w:val="28"/>
          <w:szCs w:val="28"/>
        </w:rPr>
        <w:sectPr w:rsidR="00B67D2A" w:rsidSect="00FC2E89">
          <w:pgSz w:w="16838" w:h="11906" w:orient="landscape"/>
          <w:pgMar w:top="1276" w:right="1134" w:bottom="850" w:left="1134" w:header="708" w:footer="708" w:gutter="0"/>
          <w:cols w:space="708"/>
          <w:docGrid w:linePitch="360"/>
        </w:sectPr>
      </w:pPr>
    </w:p>
    <w:p w14:paraId="6223C434" w14:textId="77777777" w:rsidR="00B67D2A" w:rsidRPr="00CA5E1F" w:rsidRDefault="00B67D2A" w:rsidP="00FC2E89">
      <w:pPr>
        <w:spacing w:after="0" w:line="240" w:lineRule="auto"/>
        <w:ind w:firstLine="567"/>
        <w:jc w:val="both"/>
        <w:rPr>
          <w:rFonts w:ascii="Times New Roman" w:hAnsi="Times New Roman" w:cs="Times New Roman"/>
          <w:sz w:val="28"/>
          <w:szCs w:val="28"/>
        </w:rPr>
      </w:pPr>
      <w:r w:rsidRPr="00363A09">
        <w:rPr>
          <w:rFonts w:ascii="Times New Roman" w:hAnsi="Times New Roman" w:cs="Times New Roman"/>
          <w:sz w:val="28"/>
          <w:szCs w:val="28"/>
        </w:rPr>
        <w:lastRenderedPageBreak/>
        <w:t>В общей сложности 29 респондентов выделили одно или несколько препятствий для своевременного оказания медицинской помощи, что указывает на серьёзную проблему, требующую решения.</w:t>
      </w:r>
      <w:r>
        <w:rPr>
          <w:rFonts w:ascii="Times New Roman" w:hAnsi="Times New Roman" w:cs="Times New Roman"/>
          <w:sz w:val="28"/>
          <w:szCs w:val="28"/>
        </w:rPr>
        <w:t xml:space="preserve"> </w:t>
      </w:r>
      <w:r w:rsidRPr="00CA5E1F">
        <w:rPr>
          <w:rFonts w:ascii="Times New Roman" w:hAnsi="Times New Roman" w:cs="Times New Roman"/>
          <w:sz w:val="28"/>
          <w:szCs w:val="28"/>
        </w:rPr>
        <w:t>В качестве эффективных мер профилактики назывались СМИ и социальные сети (</w:t>
      </w:r>
      <w:r>
        <w:rPr>
          <w:rFonts w:ascii="Times New Roman" w:hAnsi="Times New Roman" w:cs="Times New Roman"/>
          <w:sz w:val="28"/>
          <w:szCs w:val="28"/>
          <w:lang w:val="en-US"/>
        </w:rPr>
        <w:t>n</w:t>
      </w:r>
      <w:r w:rsidRPr="00CA5E1F">
        <w:rPr>
          <w:rFonts w:ascii="Times New Roman" w:hAnsi="Times New Roman" w:cs="Times New Roman"/>
          <w:sz w:val="28"/>
          <w:szCs w:val="28"/>
        </w:rPr>
        <w:t>=10), печатные материалы (</w:t>
      </w:r>
      <w:r>
        <w:rPr>
          <w:rFonts w:ascii="Times New Roman" w:hAnsi="Times New Roman" w:cs="Times New Roman"/>
          <w:sz w:val="28"/>
          <w:szCs w:val="28"/>
          <w:lang w:val="en-US"/>
        </w:rPr>
        <w:t>n</w:t>
      </w:r>
      <w:r w:rsidRPr="00CA5E1F">
        <w:rPr>
          <w:rFonts w:ascii="Times New Roman" w:hAnsi="Times New Roman" w:cs="Times New Roman"/>
          <w:sz w:val="28"/>
          <w:szCs w:val="28"/>
        </w:rPr>
        <w:t>=6), бесплатные осмотры (</w:t>
      </w:r>
      <w:r>
        <w:rPr>
          <w:rFonts w:ascii="Times New Roman" w:hAnsi="Times New Roman" w:cs="Times New Roman"/>
          <w:sz w:val="28"/>
          <w:szCs w:val="28"/>
          <w:lang w:val="en-US"/>
        </w:rPr>
        <w:t>n</w:t>
      </w:r>
      <w:r w:rsidRPr="00CA5E1F">
        <w:rPr>
          <w:rFonts w:ascii="Times New Roman" w:hAnsi="Times New Roman" w:cs="Times New Roman"/>
          <w:sz w:val="28"/>
          <w:szCs w:val="28"/>
        </w:rPr>
        <w:t>=4) и истории обмена пациентами (</w:t>
      </w:r>
      <w:r>
        <w:rPr>
          <w:rFonts w:ascii="Times New Roman" w:hAnsi="Times New Roman" w:cs="Times New Roman"/>
          <w:sz w:val="28"/>
          <w:szCs w:val="28"/>
          <w:lang w:val="en-US"/>
        </w:rPr>
        <w:t>n</w:t>
      </w:r>
      <w:r w:rsidRPr="00CA5E1F">
        <w:rPr>
          <w:rFonts w:ascii="Times New Roman" w:hAnsi="Times New Roman" w:cs="Times New Roman"/>
          <w:sz w:val="28"/>
          <w:szCs w:val="28"/>
        </w:rPr>
        <w:t>=3). Мотивация ухода за здоровьем связана с личным опытом, поддержкой семьи, информированием о рисках и живых пациентах (</w:t>
      </w:r>
      <w:r>
        <w:rPr>
          <w:rFonts w:ascii="Times New Roman" w:hAnsi="Times New Roman" w:cs="Times New Roman"/>
          <w:sz w:val="28"/>
          <w:szCs w:val="28"/>
          <w:lang w:val="en-US"/>
        </w:rPr>
        <w:t>n</w:t>
      </w:r>
      <w:r w:rsidRPr="00CA5E1F">
        <w:rPr>
          <w:rFonts w:ascii="Times New Roman" w:hAnsi="Times New Roman" w:cs="Times New Roman"/>
          <w:sz w:val="28"/>
          <w:szCs w:val="28"/>
        </w:rPr>
        <w:t xml:space="preserve">=21). </w:t>
      </w:r>
    </w:p>
    <w:p w14:paraId="112AD8A8" w14:textId="77777777" w:rsidR="00B67D2A" w:rsidRPr="007944B8" w:rsidRDefault="00B67D2A" w:rsidP="00FC2E89">
      <w:pPr>
        <w:spacing w:after="0" w:line="240" w:lineRule="auto"/>
        <w:ind w:firstLine="567"/>
        <w:jc w:val="both"/>
        <w:rPr>
          <w:rFonts w:ascii="Times New Roman" w:hAnsi="Times New Roman" w:cs="Times New Roman"/>
          <w:sz w:val="28"/>
          <w:szCs w:val="28"/>
        </w:rPr>
      </w:pPr>
      <w:r w:rsidRPr="00363A09">
        <w:rPr>
          <w:rFonts w:ascii="Times New Roman" w:hAnsi="Times New Roman" w:cs="Times New Roman"/>
          <w:sz w:val="28"/>
          <w:szCs w:val="28"/>
        </w:rPr>
        <w:t>В заключение следует отметить, что, несмотря на некоторую осведомленность о симптомах инсульта, практические знания и своевременные действия остаются недостаточными. Социальные, психологические и системные барьеры задерживают оказание медицинской помощи. Участники подчеркивают необходимость широких кампаний в СМИ, доступного образования и поддержки общества для улучшения профилактики.</w:t>
      </w:r>
    </w:p>
    <w:p w14:paraId="33C66FBC" w14:textId="77777777" w:rsidR="00B67D2A" w:rsidRPr="00FF1E94" w:rsidRDefault="00B67D2A" w:rsidP="00FC2E89">
      <w:pPr>
        <w:spacing w:after="0" w:line="240" w:lineRule="auto"/>
        <w:ind w:firstLine="567"/>
        <w:jc w:val="both"/>
        <w:rPr>
          <w:sz w:val="28"/>
          <w:szCs w:val="28"/>
        </w:rPr>
      </w:pPr>
      <w:r w:rsidRPr="00363A09">
        <w:rPr>
          <w:rFonts w:ascii="Times New Roman" w:hAnsi="Times New Roman" w:cs="Times New Roman"/>
          <w:i/>
          <w:iCs/>
          <w:sz w:val="28"/>
          <w:szCs w:val="28"/>
        </w:rPr>
        <w:t>Отношение к телемедицине и цифровым технологиям</w:t>
      </w:r>
      <w:r w:rsidRPr="00363A09">
        <w:rPr>
          <w:rFonts w:ascii="Times New Roman" w:hAnsi="Times New Roman" w:cs="Times New Roman"/>
          <w:sz w:val="28"/>
          <w:szCs w:val="28"/>
        </w:rPr>
        <w:t xml:space="preserve">. </w:t>
      </w:r>
      <w:r w:rsidRPr="00442B9A">
        <w:rPr>
          <w:rFonts w:ascii="Times New Roman" w:hAnsi="Times New Roman" w:cs="Times New Roman"/>
          <w:sz w:val="28"/>
          <w:szCs w:val="28"/>
        </w:rPr>
        <w:t xml:space="preserve">Из 61 респондента 36 не слышали о реабилитации с помощью видеосвязи, хотя некоторые из них выразили готовность или позитивное отношение к её использованию. 15 респондентов </w:t>
      </w:r>
      <w:r>
        <w:rPr>
          <w:rFonts w:ascii="Times New Roman" w:hAnsi="Times New Roman" w:cs="Times New Roman"/>
          <w:sz w:val="28"/>
          <w:szCs w:val="28"/>
          <w:lang w:val="en-US"/>
        </w:rPr>
        <w:t>c</w:t>
      </w:r>
      <w:r>
        <w:rPr>
          <w:rFonts w:ascii="Times New Roman" w:hAnsi="Times New Roman" w:cs="Times New Roman"/>
          <w:sz w:val="28"/>
          <w:szCs w:val="28"/>
        </w:rPr>
        <w:t xml:space="preserve">лышали </w:t>
      </w:r>
      <w:r w:rsidRPr="00442B9A">
        <w:rPr>
          <w:rFonts w:ascii="Times New Roman" w:hAnsi="Times New Roman" w:cs="Times New Roman"/>
          <w:sz w:val="28"/>
          <w:szCs w:val="28"/>
        </w:rPr>
        <w:t>о телереабилитации, а некоторые сообщили о наличии опыта, например, о получении психологической поддержки онлайн. Почти все респонденты (</w:t>
      </w:r>
      <w:r>
        <w:rPr>
          <w:rFonts w:ascii="Times New Roman" w:hAnsi="Times New Roman" w:cs="Times New Roman"/>
          <w:sz w:val="28"/>
          <w:szCs w:val="28"/>
          <w:lang w:val="en-US"/>
        </w:rPr>
        <w:t>n</w:t>
      </w:r>
      <w:r w:rsidRPr="00362D11">
        <w:rPr>
          <w:rFonts w:ascii="Times New Roman" w:hAnsi="Times New Roman" w:cs="Times New Roman"/>
          <w:sz w:val="28"/>
          <w:szCs w:val="28"/>
        </w:rPr>
        <w:t>=</w:t>
      </w:r>
      <w:r w:rsidRPr="00442B9A">
        <w:rPr>
          <w:rFonts w:ascii="Times New Roman" w:hAnsi="Times New Roman" w:cs="Times New Roman"/>
          <w:sz w:val="28"/>
          <w:szCs w:val="28"/>
        </w:rPr>
        <w:t>60) сообщили о наличии доступа к необходимым технологиям (телефон, планшет, интернет), что свидетельствует о высокой технической готовности к телемедицине. Что касается удобства, многие отметили, что телереабилитация может сэкономить время и силы, особенно для тех, кто живёт далеко от медицинских центров или имеет проблемы с мобильностью. Однако к распространённым трудностям относятся нестабильное интернет-соединение (</w:t>
      </w:r>
      <w:r>
        <w:rPr>
          <w:rFonts w:ascii="Times New Roman" w:hAnsi="Times New Roman" w:cs="Times New Roman"/>
          <w:sz w:val="28"/>
          <w:szCs w:val="28"/>
          <w:lang w:val="en-US"/>
        </w:rPr>
        <w:t>n</w:t>
      </w:r>
      <w:r w:rsidRPr="00CA5E1F">
        <w:rPr>
          <w:rFonts w:ascii="Times New Roman" w:hAnsi="Times New Roman" w:cs="Times New Roman"/>
          <w:sz w:val="28"/>
          <w:szCs w:val="28"/>
        </w:rPr>
        <w:t>=</w:t>
      </w:r>
      <w:r w:rsidRPr="00362D11">
        <w:rPr>
          <w:rFonts w:ascii="Times New Roman" w:hAnsi="Times New Roman" w:cs="Times New Roman"/>
          <w:sz w:val="28"/>
          <w:szCs w:val="28"/>
        </w:rPr>
        <w:t>3</w:t>
      </w:r>
      <w:r w:rsidRPr="00442B9A">
        <w:rPr>
          <w:rFonts w:ascii="Times New Roman" w:hAnsi="Times New Roman" w:cs="Times New Roman"/>
          <w:sz w:val="28"/>
          <w:szCs w:val="28"/>
        </w:rPr>
        <w:t xml:space="preserve">), трудности с самостоятельным использованием технологий и отсутствие личного контакта </w:t>
      </w:r>
      <w:r w:rsidRPr="00FF1E94">
        <w:rPr>
          <w:rFonts w:ascii="Times New Roman" w:hAnsi="Times New Roman" w:cs="Times New Roman"/>
          <w:sz w:val="28"/>
          <w:szCs w:val="28"/>
        </w:rPr>
        <w:t>с медицинскими работниками (</w:t>
      </w:r>
      <w:r w:rsidRPr="00FF1E94">
        <w:rPr>
          <w:rFonts w:ascii="Times New Roman" w:hAnsi="Times New Roman" w:cs="Times New Roman"/>
          <w:sz w:val="28"/>
          <w:szCs w:val="28"/>
          <w:lang w:val="en-US"/>
        </w:rPr>
        <w:t>n</w:t>
      </w:r>
      <w:r w:rsidRPr="00FF1E94">
        <w:rPr>
          <w:rFonts w:ascii="Times New Roman" w:hAnsi="Times New Roman" w:cs="Times New Roman"/>
          <w:sz w:val="28"/>
          <w:szCs w:val="28"/>
        </w:rPr>
        <w:t>=13). Некоторые также высказали предпочтение личному общению, подчеркнув обеспокоенность по поводу точности диагностики и воспринимаемого качества удаленных консультаций (</w:t>
      </w:r>
      <w:r w:rsidRPr="00FF1E94">
        <w:rPr>
          <w:rFonts w:ascii="Times New Roman" w:hAnsi="Times New Roman" w:cs="Times New Roman"/>
          <w:sz w:val="28"/>
          <w:szCs w:val="28"/>
          <w:lang w:val="en-US"/>
        </w:rPr>
        <w:t>n</w:t>
      </w:r>
      <w:r w:rsidRPr="00FF1E94">
        <w:rPr>
          <w:rFonts w:ascii="Times New Roman" w:hAnsi="Times New Roman" w:cs="Times New Roman"/>
          <w:sz w:val="28"/>
          <w:szCs w:val="28"/>
        </w:rPr>
        <w:t>=5). В подавляющем большинстве случаев респонденты отмечали, что доверяют медицинской информации врачам (n=50) больше, чем интернет-источникам или приложениям. Некоторые участники осторожно использовали онлайн-ресурсы, проверяя информацию у специалистов; основные опасения касались конфиденциальности (≥4 респондента), риска неправильного диагноза и технических сбоев.</w:t>
      </w:r>
    </w:p>
    <w:p w14:paraId="5EB95CCE" w14:textId="77777777" w:rsidR="00B67D2A" w:rsidRPr="005903A5" w:rsidRDefault="00B67D2A" w:rsidP="00FC2E89">
      <w:pPr>
        <w:spacing w:after="0" w:line="240" w:lineRule="auto"/>
        <w:ind w:firstLine="567"/>
        <w:jc w:val="both"/>
        <w:rPr>
          <w:rFonts w:ascii="Times New Roman" w:hAnsi="Times New Roman" w:cs="Times New Roman"/>
          <w:sz w:val="28"/>
          <w:szCs w:val="28"/>
        </w:rPr>
      </w:pPr>
      <w:r w:rsidRPr="00442B9A">
        <w:rPr>
          <w:rFonts w:ascii="Times New Roman" w:hAnsi="Times New Roman" w:cs="Times New Roman"/>
          <w:sz w:val="28"/>
          <w:szCs w:val="28"/>
        </w:rPr>
        <w:t>В целом, несмотря на ограниченную осведомленность о телереабилитации, наблюдается положительное или нейтральное отношение к ее потенциальным преимуществам, особенно учитывая широкий доступ к цифровым устройствам. Основными препятствиями остаются технологическая грамотность, стабильность соединения и необходимость поддержания доверия и личного взаимодействия с медицинскими работниками. Решение этих проблем может повысить уровень принятия и эффективности использования услуг телемедицины в этой группе населения.</w:t>
      </w:r>
    </w:p>
    <w:p w14:paraId="082A3F0E" w14:textId="77777777" w:rsidR="00B67D2A" w:rsidRDefault="00B67D2A" w:rsidP="00FC2E89">
      <w:pPr>
        <w:spacing w:after="0" w:line="240" w:lineRule="auto"/>
        <w:ind w:firstLine="567"/>
        <w:jc w:val="both"/>
        <w:rPr>
          <w:rFonts w:ascii="Times New Roman" w:hAnsi="Times New Roman" w:cs="Times New Roman"/>
          <w:sz w:val="28"/>
          <w:szCs w:val="28"/>
        </w:rPr>
      </w:pPr>
      <w:r w:rsidRPr="005903A5">
        <w:rPr>
          <w:rFonts w:ascii="Times New Roman" w:hAnsi="Times New Roman" w:cs="Times New Roman"/>
          <w:i/>
          <w:iCs/>
          <w:sz w:val="28"/>
          <w:szCs w:val="28"/>
        </w:rPr>
        <w:t xml:space="preserve">Рекомендации от пациента. </w:t>
      </w:r>
      <w:r w:rsidRPr="005903A5">
        <w:rPr>
          <w:rFonts w:ascii="Times New Roman" w:hAnsi="Times New Roman" w:cs="Times New Roman"/>
          <w:sz w:val="28"/>
          <w:szCs w:val="28"/>
        </w:rPr>
        <w:t xml:space="preserve">В таблице </w:t>
      </w:r>
      <w:r>
        <w:rPr>
          <w:rFonts w:ascii="Times New Roman" w:hAnsi="Times New Roman" w:cs="Times New Roman"/>
          <w:sz w:val="28"/>
          <w:szCs w:val="28"/>
        </w:rPr>
        <w:t>20</w:t>
      </w:r>
      <w:r w:rsidRPr="005903A5">
        <w:rPr>
          <w:rFonts w:ascii="Times New Roman" w:hAnsi="Times New Roman" w:cs="Times New Roman"/>
          <w:sz w:val="28"/>
          <w:szCs w:val="28"/>
        </w:rPr>
        <w:t xml:space="preserve"> представлены краткое содержание рекомендаций от пациентов.</w:t>
      </w:r>
      <w:r>
        <w:rPr>
          <w:rFonts w:ascii="Times New Roman" w:hAnsi="Times New Roman" w:cs="Times New Roman"/>
          <w:i/>
          <w:iCs/>
          <w:sz w:val="28"/>
          <w:szCs w:val="28"/>
        </w:rPr>
        <w:t xml:space="preserve"> </w:t>
      </w:r>
      <w:r w:rsidRPr="00864A39">
        <w:rPr>
          <w:rFonts w:ascii="Times New Roman" w:hAnsi="Times New Roman" w:cs="Times New Roman"/>
          <w:sz w:val="28"/>
          <w:szCs w:val="28"/>
        </w:rPr>
        <w:t xml:space="preserve">Всего 61 респондент предоставил </w:t>
      </w:r>
      <w:r w:rsidRPr="00864A39">
        <w:rPr>
          <w:rFonts w:ascii="Times New Roman" w:hAnsi="Times New Roman" w:cs="Times New Roman"/>
          <w:sz w:val="28"/>
          <w:szCs w:val="28"/>
        </w:rPr>
        <w:lastRenderedPageBreak/>
        <w:t>рекомендации по улучшению лечения и реабилитации после инсульта. Пациенты подчеркнули необходимость более быстрого реагирования на чрезвычайные ситуации</w:t>
      </w:r>
      <w:r>
        <w:rPr>
          <w:rFonts w:ascii="Times New Roman" w:hAnsi="Times New Roman" w:cs="Times New Roman"/>
          <w:sz w:val="28"/>
          <w:szCs w:val="28"/>
        </w:rPr>
        <w:t xml:space="preserve"> (</w:t>
      </w:r>
      <w:r w:rsidRPr="008F574B">
        <w:rPr>
          <w:rFonts w:ascii="Times New Roman" w:hAnsi="Times New Roman" w:cs="Times New Roman"/>
          <w:sz w:val="28"/>
          <w:szCs w:val="28"/>
        </w:rPr>
        <w:t>некоторые ссылались на ожидание в 40–50 минут</w:t>
      </w:r>
      <w:r>
        <w:rPr>
          <w:rFonts w:ascii="Times New Roman" w:hAnsi="Times New Roman" w:cs="Times New Roman"/>
          <w:sz w:val="28"/>
          <w:szCs w:val="28"/>
        </w:rPr>
        <w:t>)</w:t>
      </w:r>
      <w:r w:rsidRPr="00864A39">
        <w:rPr>
          <w:rFonts w:ascii="Times New Roman" w:hAnsi="Times New Roman" w:cs="Times New Roman"/>
          <w:sz w:val="28"/>
          <w:szCs w:val="28"/>
        </w:rPr>
        <w:t xml:space="preserve">, квалифицированного персонала, расширения доступа к реабилитации (включая домашние программы и специалистов: физиотерапевтов, логопедов, психологов) и удлинения её сроков. Также выделялась низкая осведомлённость о симптомах инсульта среди пациентов и семей, что требует информационных кампаний, печатных инструкций и поддержки родственников. Некоторые участники отметили проблемы с условиями стационара, качеством диагностики и разницей в уровне обслуживания между </w:t>
      </w:r>
      <w:r>
        <w:rPr>
          <w:rFonts w:ascii="Times New Roman" w:hAnsi="Times New Roman" w:cs="Times New Roman"/>
          <w:sz w:val="28"/>
          <w:szCs w:val="28"/>
        </w:rPr>
        <w:t>организациями</w:t>
      </w:r>
      <w:r w:rsidRPr="00864A39">
        <w:rPr>
          <w:rFonts w:ascii="Times New Roman" w:hAnsi="Times New Roman" w:cs="Times New Roman"/>
          <w:sz w:val="28"/>
          <w:szCs w:val="28"/>
        </w:rPr>
        <w:t>, что указывает на необходимость стандартизации и контроля качества. Индивидуальные советы другим пациентам касались самозаботы, терпения и эмоциональной устойчивости, включая регулярный контроль здоровья, здоровый образ жизни, соблюдение рекомендаций врачей и психологическую активность. Некоторые респонденты дали ограниченные или отсутствующие ответы, что может указывать на удовлетворённость системой или низкую вовлечённость.</w:t>
      </w:r>
    </w:p>
    <w:p w14:paraId="57C1A4FF" w14:textId="77777777" w:rsidR="00B67D2A" w:rsidRDefault="00B67D2A" w:rsidP="00B67D2A">
      <w:pPr>
        <w:spacing w:after="0" w:line="240" w:lineRule="auto"/>
        <w:ind w:left="851" w:right="-1135" w:firstLine="567"/>
        <w:jc w:val="both"/>
        <w:rPr>
          <w:rFonts w:ascii="Times New Roman" w:hAnsi="Times New Roman" w:cs="Times New Roman"/>
          <w:sz w:val="28"/>
          <w:szCs w:val="28"/>
        </w:rPr>
      </w:pPr>
    </w:p>
    <w:p w14:paraId="3AE3AB38" w14:textId="3F9D6C0E" w:rsidR="00B67D2A" w:rsidRDefault="00B67D2A" w:rsidP="00FC2E89">
      <w:pPr>
        <w:spacing w:after="0" w:line="240" w:lineRule="auto"/>
        <w:jc w:val="both"/>
        <w:rPr>
          <w:rFonts w:ascii="Times New Roman" w:hAnsi="Times New Roman" w:cs="Times New Roman"/>
          <w:sz w:val="28"/>
          <w:szCs w:val="28"/>
        </w:rPr>
      </w:pPr>
      <w:r w:rsidRPr="00A44236">
        <w:rPr>
          <w:rFonts w:ascii="Times New Roman" w:hAnsi="Times New Roman" w:cs="Times New Roman"/>
          <w:sz w:val="28"/>
          <w:szCs w:val="28"/>
        </w:rPr>
        <w:t>Таблица</w:t>
      </w:r>
      <w:r>
        <w:rPr>
          <w:rFonts w:ascii="Times New Roman" w:hAnsi="Times New Roman" w:cs="Times New Roman"/>
          <w:sz w:val="28"/>
          <w:szCs w:val="28"/>
        </w:rPr>
        <w:t xml:space="preserve"> 20. </w:t>
      </w:r>
      <w:r w:rsidRPr="00957EE8">
        <w:rPr>
          <w:rFonts w:ascii="Times New Roman" w:hAnsi="Times New Roman" w:cs="Times New Roman"/>
          <w:sz w:val="28"/>
          <w:szCs w:val="28"/>
        </w:rPr>
        <w:t xml:space="preserve">Рекомендации и советы участников по улучшению лечения и реабилитации после инсульта </w:t>
      </w:r>
      <w:r w:rsidRPr="00A44236">
        <w:rPr>
          <w:rFonts w:ascii="Times New Roman" w:hAnsi="Times New Roman" w:cs="Times New Roman"/>
          <w:sz w:val="28"/>
          <w:szCs w:val="28"/>
        </w:rPr>
        <w:t>(</w:t>
      </w:r>
      <w:r w:rsidRPr="00A44236">
        <w:rPr>
          <w:rFonts w:ascii="Times New Roman" w:hAnsi="Times New Roman" w:cs="Times New Roman"/>
          <w:sz w:val="28"/>
          <w:szCs w:val="28"/>
          <w:lang w:val="en-US"/>
        </w:rPr>
        <w:t>n</w:t>
      </w:r>
      <w:r w:rsidRPr="00A44236">
        <w:rPr>
          <w:rFonts w:ascii="Times New Roman" w:hAnsi="Times New Roman" w:cs="Times New Roman"/>
          <w:sz w:val="28"/>
          <w:szCs w:val="28"/>
        </w:rPr>
        <w:t>=61)</w:t>
      </w:r>
    </w:p>
    <w:p w14:paraId="15471E4B" w14:textId="77777777" w:rsidR="00FC2E89" w:rsidRPr="00A44236" w:rsidRDefault="00FC2E89" w:rsidP="00FC2E89">
      <w:pPr>
        <w:spacing w:after="0" w:line="240" w:lineRule="auto"/>
        <w:ind w:right="-1135"/>
        <w:jc w:val="both"/>
        <w:rPr>
          <w:rFonts w:ascii="Times New Roman" w:hAnsi="Times New Roman" w:cs="Times New Roman"/>
          <w:sz w:val="28"/>
          <w:szCs w:val="28"/>
        </w:rPr>
      </w:pPr>
    </w:p>
    <w:tbl>
      <w:tblPr>
        <w:tblStyle w:val="ae"/>
        <w:tblW w:w="9498" w:type="dxa"/>
        <w:tblInd w:w="-5" w:type="dxa"/>
        <w:tblLook w:val="04A0" w:firstRow="1" w:lastRow="0" w:firstColumn="1" w:lastColumn="0" w:noHBand="0" w:noVBand="1"/>
      </w:tblPr>
      <w:tblGrid>
        <w:gridCol w:w="3860"/>
        <w:gridCol w:w="3978"/>
        <w:gridCol w:w="1660"/>
      </w:tblGrid>
      <w:tr w:rsidR="00B67D2A" w:rsidRPr="00CA5118" w14:paraId="5C266382" w14:textId="77777777" w:rsidTr="00FC2E89">
        <w:tc>
          <w:tcPr>
            <w:tcW w:w="3860" w:type="dxa"/>
          </w:tcPr>
          <w:p w14:paraId="4B2C625A" w14:textId="77777777" w:rsidR="00B67D2A" w:rsidRPr="00A44236" w:rsidRDefault="00B67D2A" w:rsidP="005E6F1B">
            <w:pPr>
              <w:ind w:right="38"/>
              <w:jc w:val="both"/>
              <w:rPr>
                <w:rFonts w:ascii="Times New Roman" w:hAnsi="Times New Roman" w:cs="Times New Roman"/>
                <w:sz w:val="24"/>
                <w:szCs w:val="24"/>
              </w:rPr>
            </w:pPr>
            <w:r>
              <w:rPr>
                <w:rFonts w:ascii="Times New Roman" w:hAnsi="Times New Roman" w:cs="Times New Roman"/>
                <w:sz w:val="24"/>
                <w:szCs w:val="24"/>
              </w:rPr>
              <w:t>Категория</w:t>
            </w:r>
          </w:p>
        </w:tc>
        <w:tc>
          <w:tcPr>
            <w:tcW w:w="3978" w:type="dxa"/>
          </w:tcPr>
          <w:p w14:paraId="00C5FCD4"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 xml:space="preserve">Описание </w:t>
            </w:r>
          </w:p>
        </w:tc>
        <w:tc>
          <w:tcPr>
            <w:tcW w:w="1660" w:type="dxa"/>
          </w:tcPr>
          <w:p w14:paraId="4680F43B" w14:textId="77777777" w:rsidR="00B67D2A" w:rsidRPr="00A44236" w:rsidRDefault="00B67D2A" w:rsidP="005E6F1B">
            <w:pPr>
              <w:ind w:right="38"/>
              <w:jc w:val="both"/>
              <w:rPr>
                <w:rFonts w:ascii="Times New Roman" w:hAnsi="Times New Roman" w:cs="Times New Roman"/>
                <w:sz w:val="24"/>
                <w:szCs w:val="24"/>
              </w:rPr>
            </w:pPr>
            <w:r w:rsidRPr="00A44236">
              <w:rPr>
                <w:rFonts w:ascii="Times New Roman" w:hAnsi="Times New Roman" w:cs="Times New Roman"/>
                <w:sz w:val="24"/>
                <w:szCs w:val="24"/>
              </w:rPr>
              <w:t>Количество респондентов</w:t>
            </w:r>
          </w:p>
        </w:tc>
      </w:tr>
      <w:tr w:rsidR="00B67D2A" w:rsidRPr="00CA5118" w14:paraId="07AADDFC" w14:textId="77777777" w:rsidTr="00FC2E89">
        <w:tc>
          <w:tcPr>
            <w:tcW w:w="3860" w:type="dxa"/>
          </w:tcPr>
          <w:p w14:paraId="47C462FE"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Более быстрое реагирование на экстренные ситуации</w:t>
            </w:r>
          </w:p>
        </w:tc>
        <w:tc>
          <w:tcPr>
            <w:tcW w:w="3978" w:type="dxa"/>
          </w:tcPr>
          <w:p w14:paraId="54169246"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Более быстрое прибытие скорой помощи, своевременная диагностика</w:t>
            </w:r>
          </w:p>
        </w:tc>
        <w:tc>
          <w:tcPr>
            <w:tcW w:w="1660" w:type="dxa"/>
          </w:tcPr>
          <w:p w14:paraId="00F665C5" w14:textId="77777777" w:rsidR="00B67D2A" w:rsidRPr="006F6219"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10</w:t>
            </w:r>
          </w:p>
        </w:tc>
      </w:tr>
      <w:tr w:rsidR="00B67D2A" w:rsidRPr="00CA5118" w14:paraId="69F76A8D" w14:textId="77777777" w:rsidTr="00FC2E89">
        <w:tc>
          <w:tcPr>
            <w:tcW w:w="3860" w:type="dxa"/>
          </w:tcPr>
          <w:p w14:paraId="4112AE7E"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Квалифицированный медицинский персонал</w:t>
            </w:r>
          </w:p>
        </w:tc>
        <w:tc>
          <w:tcPr>
            <w:tcW w:w="3978" w:type="dxa"/>
          </w:tcPr>
          <w:p w14:paraId="04BCE19F"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Более опытные врачи и фельдшеры, а не студенты</w:t>
            </w:r>
          </w:p>
        </w:tc>
        <w:tc>
          <w:tcPr>
            <w:tcW w:w="1660" w:type="dxa"/>
          </w:tcPr>
          <w:p w14:paraId="5D283147"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6</w:t>
            </w:r>
          </w:p>
        </w:tc>
      </w:tr>
      <w:tr w:rsidR="00B67D2A" w:rsidRPr="00CA5118" w14:paraId="7F25CE4B" w14:textId="77777777" w:rsidTr="00FC2E89">
        <w:tc>
          <w:tcPr>
            <w:tcW w:w="3860" w:type="dxa"/>
          </w:tcPr>
          <w:p w14:paraId="53BF836E"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 xml:space="preserve">Улучшение условий в больнице </w:t>
            </w:r>
          </w:p>
        </w:tc>
        <w:tc>
          <w:tcPr>
            <w:tcW w:w="3978" w:type="dxa"/>
          </w:tcPr>
          <w:p w14:paraId="7521F57D"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Улучшение стационарного ухода, гигиены, питания, наличие кнопок вызова</w:t>
            </w:r>
          </w:p>
        </w:tc>
        <w:tc>
          <w:tcPr>
            <w:tcW w:w="1660" w:type="dxa"/>
          </w:tcPr>
          <w:p w14:paraId="32D3B725"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5</w:t>
            </w:r>
          </w:p>
        </w:tc>
      </w:tr>
      <w:tr w:rsidR="00B67D2A" w:rsidRPr="00CA5118" w14:paraId="3E404CDA" w14:textId="77777777" w:rsidTr="00FC2E89">
        <w:tc>
          <w:tcPr>
            <w:tcW w:w="3860" w:type="dxa"/>
          </w:tcPr>
          <w:p w14:paraId="68681ADD"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Понятные протоколы лечения и ранние инструкции</w:t>
            </w:r>
          </w:p>
        </w:tc>
        <w:tc>
          <w:tcPr>
            <w:tcW w:w="3978" w:type="dxa"/>
          </w:tcPr>
          <w:p w14:paraId="7CDB87CB"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Протоколы лечения, простые инструкции с первого дня</w:t>
            </w:r>
          </w:p>
        </w:tc>
        <w:tc>
          <w:tcPr>
            <w:tcW w:w="1660" w:type="dxa"/>
          </w:tcPr>
          <w:p w14:paraId="0CF56C16"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4</w:t>
            </w:r>
          </w:p>
        </w:tc>
      </w:tr>
      <w:tr w:rsidR="00B67D2A" w:rsidRPr="00CA5118" w14:paraId="37755146" w14:textId="77777777" w:rsidTr="00FC2E89">
        <w:tc>
          <w:tcPr>
            <w:tcW w:w="3860" w:type="dxa"/>
          </w:tcPr>
          <w:p w14:paraId="43D11E43"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Доступность и качество реабилитации</w:t>
            </w:r>
          </w:p>
        </w:tc>
        <w:tc>
          <w:tcPr>
            <w:tcW w:w="3978" w:type="dxa"/>
          </w:tcPr>
          <w:p w14:paraId="4882CCBA"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Больше реабилитационных центров, более длительные периоды реабилитации, больше специалистов</w:t>
            </w:r>
          </w:p>
        </w:tc>
        <w:tc>
          <w:tcPr>
            <w:tcW w:w="1660" w:type="dxa"/>
          </w:tcPr>
          <w:p w14:paraId="5CF4D3FC"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11</w:t>
            </w:r>
          </w:p>
        </w:tc>
      </w:tr>
      <w:tr w:rsidR="00B67D2A" w:rsidRPr="00CA5118" w14:paraId="0F85ABFE" w14:textId="77777777" w:rsidTr="00FC2E89">
        <w:tc>
          <w:tcPr>
            <w:tcW w:w="3860" w:type="dxa"/>
          </w:tcPr>
          <w:p w14:paraId="2ABBC565"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Варианты реабилитации на дому</w:t>
            </w:r>
          </w:p>
        </w:tc>
        <w:tc>
          <w:tcPr>
            <w:tcW w:w="3978" w:type="dxa"/>
          </w:tcPr>
          <w:p w14:paraId="00907ACD"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Реабилитационные программы на дому с посещением врача</w:t>
            </w:r>
          </w:p>
        </w:tc>
        <w:tc>
          <w:tcPr>
            <w:tcW w:w="1660" w:type="dxa"/>
          </w:tcPr>
          <w:p w14:paraId="41C3CC69"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2</w:t>
            </w:r>
          </w:p>
        </w:tc>
      </w:tr>
      <w:tr w:rsidR="00B67D2A" w:rsidRPr="00CA5118" w14:paraId="5AEFA302" w14:textId="77777777" w:rsidTr="00FC2E89">
        <w:tc>
          <w:tcPr>
            <w:tcW w:w="3860" w:type="dxa"/>
          </w:tcPr>
          <w:p w14:paraId="1623F808"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Повышение осведомлённости об инсульте и просвещение населения</w:t>
            </w:r>
          </w:p>
        </w:tc>
        <w:tc>
          <w:tcPr>
            <w:tcW w:w="3978" w:type="dxa"/>
          </w:tcPr>
          <w:p w14:paraId="7CEF0CB1"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Плакаты, кампании в социальных сетях, школьное образование</w:t>
            </w:r>
          </w:p>
        </w:tc>
        <w:tc>
          <w:tcPr>
            <w:tcW w:w="1660" w:type="dxa"/>
          </w:tcPr>
          <w:p w14:paraId="79C6CE92"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7</w:t>
            </w:r>
          </w:p>
        </w:tc>
      </w:tr>
      <w:tr w:rsidR="00B67D2A" w:rsidRPr="00CA5118" w14:paraId="2D2C04E4" w14:textId="77777777" w:rsidTr="00FC2E89">
        <w:tc>
          <w:tcPr>
            <w:tcW w:w="3860" w:type="dxa"/>
          </w:tcPr>
          <w:p w14:paraId="364D7A30"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Информация для пациентов и их семей</w:t>
            </w:r>
          </w:p>
        </w:tc>
        <w:tc>
          <w:tcPr>
            <w:tcW w:w="3978" w:type="dxa"/>
          </w:tcPr>
          <w:p w14:paraId="555563F2"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Чёткие рекомендации для пациентов и родственников, обучение лиц, осуществляющих уход</w:t>
            </w:r>
          </w:p>
        </w:tc>
        <w:tc>
          <w:tcPr>
            <w:tcW w:w="1660" w:type="dxa"/>
          </w:tcPr>
          <w:p w14:paraId="47E812F4"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6</w:t>
            </w:r>
          </w:p>
        </w:tc>
      </w:tr>
      <w:tr w:rsidR="00B67D2A" w:rsidRPr="00CA5118" w14:paraId="310CA1ED" w14:textId="77777777" w:rsidTr="00FC2E89">
        <w:tc>
          <w:tcPr>
            <w:tcW w:w="3860" w:type="dxa"/>
          </w:tcPr>
          <w:p w14:paraId="0CC46809"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Сокращение времени ожидания анализов</w:t>
            </w:r>
          </w:p>
        </w:tc>
        <w:tc>
          <w:tcPr>
            <w:tcW w:w="3978" w:type="dxa"/>
          </w:tcPr>
          <w:p w14:paraId="65D7E680"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Ускоренный доступ к диагностическим процедурам, таким как КТ/МРТ</w:t>
            </w:r>
          </w:p>
        </w:tc>
        <w:tc>
          <w:tcPr>
            <w:tcW w:w="1660" w:type="dxa"/>
          </w:tcPr>
          <w:p w14:paraId="26B2B669"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3</w:t>
            </w:r>
          </w:p>
        </w:tc>
      </w:tr>
      <w:tr w:rsidR="00B67D2A" w:rsidRPr="00CA5118" w14:paraId="2832E382" w14:textId="77777777" w:rsidTr="00FC2E89">
        <w:tc>
          <w:tcPr>
            <w:tcW w:w="3860" w:type="dxa"/>
          </w:tcPr>
          <w:p w14:paraId="4CACDB63"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lastRenderedPageBreak/>
              <w:t>Психологическая поддержка</w:t>
            </w:r>
          </w:p>
        </w:tc>
        <w:tc>
          <w:tcPr>
            <w:tcW w:w="3978" w:type="dxa"/>
          </w:tcPr>
          <w:p w14:paraId="1E693A16"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Поддержка, эмоциональное восстановление, вера в исцеление</w:t>
            </w:r>
          </w:p>
        </w:tc>
        <w:tc>
          <w:tcPr>
            <w:tcW w:w="1660" w:type="dxa"/>
          </w:tcPr>
          <w:p w14:paraId="45E61EA8"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5</w:t>
            </w:r>
          </w:p>
        </w:tc>
      </w:tr>
      <w:tr w:rsidR="00B67D2A" w:rsidRPr="00CA5118" w14:paraId="260C40A2" w14:textId="77777777" w:rsidTr="00FC2E89">
        <w:tc>
          <w:tcPr>
            <w:tcW w:w="3860" w:type="dxa"/>
          </w:tcPr>
          <w:p w14:paraId="434EA8D9"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Советы: забота о себе и мониторинг</w:t>
            </w:r>
          </w:p>
        </w:tc>
        <w:tc>
          <w:tcPr>
            <w:tcW w:w="3978" w:type="dxa"/>
          </w:tcPr>
          <w:p w14:paraId="3BB076A2"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Контролируйте артериальное давление, здоровое питание, регулярные осмотры</w:t>
            </w:r>
          </w:p>
        </w:tc>
        <w:tc>
          <w:tcPr>
            <w:tcW w:w="1660" w:type="dxa"/>
          </w:tcPr>
          <w:p w14:paraId="7BC3EA9B"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17</w:t>
            </w:r>
          </w:p>
        </w:tc>
      </w:tr>
      <w:tr w:rsidR="00B67D2A" w:rsidRPr="00CA5118" w14:paraId="29B15059" w14:textId="77777777" w:rsidTr="00FC2E89">
        <w:tc>
          <w:tcPr>
            <w:tcW w:w="3860" w:type="dxa"/>
          </w:tcPr>
          <w:p w14:paraId="3F18584D"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Советы: образ жизни и настрой</w:t>
            </w:r>
          </w:p>
        </w:tc>
        <w:tc>
          <w:tcPr>
            <w:tcW w:w="3978" w:type="dxa"/>
          </w:tcPr>
          <w:p w14:paraId="24004676"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 xml:space="preserve">Избегайте стресса, будьте активны, следуйте советам врача, не сдавайтесь </w:t>
            </w:r>
          </w:p>
        </w:tc>
        <w:tc>
          <w:tcPr>
            <w:tcW w:w="1660" w:type="dxa"/>
          </w:tcPr>
          <w:p w14:paraId="399BD118"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20</w:t>
            </w:r>
          </w:p>
        </w:tc>
      </w:tr>
      <w:tr w:rsidR="00B67D2A" w:rsidRPr="00CA5118" w14:paraId="676B1389" w14:textId="77777777" w:rsidTr="00FC2E89">
        <w:tc>
          <w:tcPr>
            <w:tcW w:w="3860" w:type="dxa"/>
          </w:tcPr>
          <w:p w14:paraId="12643CE1"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Нет предложений / «Всё хорошо» / «Не знаю»</w:t>
            </w:r>
          </w:p>
        </w:tc>
        <w:tc>
          <w:tcPr>
            <w:tcW w:w="3978" w:type="dxa"/>
          </w:tcPr>
          <w:p w14:paraId="2A802F59" w14:textId="77777777" w:rsidR="00B67D2A" w:rsidRPr="00A44236" w:rsidRDefault="00B67D2A" w:rsidP="005E6F1B">
            <w:pPr>
              <w:ind w:right="38"/>
              <w:jc w:val="both"/>
              <w:rPr>
                <w:rFonts w:ascii="Times New Roman" w:hAnsi="Times New Roman" w:cs="Times New Roman"/>
                <w:sz w:val="24"/>
                <w:szCs w:val="24"/>
              </w:rPr>
            </w:pPr>
            <w:r w:rsidRPr="006F6219">
              <w:rPr>
                <w:rFonts w:ascii="Times New Roman" w:hAnsi="Times New Roman" w:cs="Times New Roman"/>
                <w:sz w:val="24"/>
                <w:szCs w:val="24"/>
              </w:rPr>
              <w:t>Респонденты не предоставили конкретных комментариев или были удовлетворены</w:t>
            </w:r>
          </w:p>
        </w:tc>
        <w:tc>
          <w:tcPr>
            <w:tcW w:w="1660" w:type="dxa"/>
          </w:tcPr>
          <w:p w14:paraId="12A5383C" w14:textId="77777777" w:rsidR="00B67D2A" w:rsidRPr="00A44236" w:rsidRDefault="00B67D2A" w:rsidP="005E6F1B">
            <w:pPr>
              <w:ind w:right="38"/>
              <w:jc w:val="center"/>
              <w:rPr>
                <w:rFonts w:ascii="Times New Roman" w:hAnsi="Times New Roman" w:cs="Times New Roman"/>
                <w:sz w:val="24"/>
                <w:szCs w:val="24"/>
              </w:rPr>
            </w:pPr>
            <w:r>
              <w:rPr>
                <w:rFonts w:ascii="Times New Roman" w:hAnsi="Times New Roman" w:cs="Times New Roman"/>
                <w:sz w:val="24"/>
                <w:szCs w:val="24"/>
              </w:rPr>
              <w:t>12</w:t>
            </w:r>
          </w:p>
        </w:tc>
      </w:tr>
    </w:tbl>
    <w:p w14:paraId="11D96263" w14:textId="77777777" w:rsidR="00B67D2A" w:rsidRDefault="00B67D2A" w:rsidP="00B67D2A">
      <w:pPr>
        <w:spacing w:after="0" w:line="240" w:lineRule="auto"/>
        <w:ind w:left="851" w:right="-1135" w:firstLine="567"/>
        <w:jc w:val="both"/>
        <w:rPr>
          <w:rFonts w:ascii="Times New Roman" w:hAnsi="Times New Roman" w:cs="Times New Roman"/>
          <w:sz w:val="28"/>
          <w:szCs w:val="28"/>
        </w:rPr>
      </w:pPr>
    </w:p>
    <w:p w14:paraId="5BA02DDB" w14:textId="77777777" w:rsidR="00B67D2A" w:rsidRDefault="00B67D2A" w:rsidP="00FC2E89">
      <w:pPr>
        <w:spacing w:after="0" w:line="240" w:lineRule="auto"/>
        <w:ind w:firstLine="567"/>
        <w:jc w:val="both"/>
        <w:rPr>
          <w:rFonts w:ascii="Times New Roman" w:hAnsi="Times New Roman" w:cs="Times New Roman"/>
          <w:sz w:val="28"/>
          <w:szCs w:val="28"/>
        </w:rPr>
      </w:pPr>
      <w:r w:rsidRPr="009170E1">
        <w:rPr>
          <w:rFonts w:ascii="Times New Roman" w:hAnsi="Times New Roman" w:cs="Times New Roman"/>
          <w:sz w:val="28"/>
          <w:szCs w:val="28"/>
        </w:rPr>
        <w:t xml:space="preserve">В таблице </w:t>
      </w:r>
      <w:r>
        <w:rPr>
          <w:rFonts w:ascii="Times New Roman" w:hAnsi="Times New Roman" w:cs="Times New Roman"/>
          <w:sz w:val="28"/>
          <w:szCs w:val="28"/>
        </w:rPr>
        <w:t xml:space="preserve">21 </w:t>
      </w:r>
      <w:r w:rsidRPr="009170E1">
        <w:rPr>
          <w:rFonts w:ascii="Times New Roman" w:hAnsi="Times New Roman" w:cs="Times New Roman"/>
          <w:sz w:val="28"/>
          <w:szCs w:val="28"/>
        </w:rPr>
        <w:t>обобщены данные 61 пациента, пережившего инсульт, о трудностях, с которыми они столкнулись в начале инсульта, при оказании неотложной помощи, пребывании в больнице и реабилитации. В ней классифицированы выявленные пациентами препятствия, их непосредственные рекомендации и изложены стратегические перспективы для систем здравоохранения, программ общественного здравоохранения и разработки политики. Результаты выявляют системные пробелы в экстренном реагировании, доступе к реабилитации, медицинской грамотности и психосоциальной поддержке, а также предлагают практические решения, ориентированные на пациента, для улучшения качества медицинской помощи на всех уровнях.</w:t>
      </w:r>
    </w:p>
    <w:p w14:paraId="2B0C05BF" w14:textId="77777777" w:rsidR="00B67D2A" w:rsidRDefault="00B67D2A" w:rsidP="00FC2E89">
      <w:pPr>
        <w:spacing w:after="0" w:line="240" w:lineRule="auto"/>
        <w:ind w:firstLine="567"/>
        <w:jc w:val="both"/>
        <w:rPr>
          <w:rFonts w:ascii="Times New Roman" w:hAnsi="Times New Roman" w:cs="Times New Roman"/>
          <w:sz w:val="28"/>
          <w:szCs w:val="28"/>
        </w:rPr>
      </w:pPr>
      <w:r w:rsidRPr="002C4768">
        <w:rPr>
          <w:rFonts w:ascii="Times New Roman" w:hAnsi="Times New Roman" w:cs="Times New Roman"/>
          <w:i/>
          <w:iCs/>
          <w:sz w:val="28"/>
          <w:szCs w:val="28"/>
        </w:rPr>
        <w:t>Дискуссия</w:t>
      </w:r>
      <w:r>
        <w:rPr>
          <w:rFonts w:ascii="Times New Roman" w:hAnsi="Times New Roman" w:cs="Times New Roman"/>
          <w:sz w:val="28"/>
          <w:szCs w:val="28"/>
        </w:rPr>
        <w:t>: у</w:t>
      </w:r>
      <w:r w:rsidRPr="006E6717">
        <w:rPr>
          <w:rFonts w:ascii="Times New Roman" w:hAnsi="Times New Roman" w:cs="Times New Roman"/>
          <w:sz w:val="28"/>
          <w:szCs w:val="28"/>
        </w:rPr>
        <w:t xml:space="preserve"> большинства пациентов первый инсульт произ</w:t>
      </w:r>
      <w:r>
        <w:rPr>
          <w:rFonts w:ascii="Times New Roman" w:hAnsi="Times New Roman" w:cs="Times New Roman"/>
          <w:sz w:val="28"/>
          <w:szCs w:val="28"/>
        </w:rPr>
        <w:t xml:space="preserve">ошел </w:t>
      </w:r>
      <w:r w:rsidRPr="006E6717">
        <w:rPr>
          <w:rFonts w:ascii="Times New Roman" w:hAnsi="Times New Roman" w:cs="Times New Roman"/>
          <w:sz w:val="28"/>
          <w:szCs w:val="28"/>
        </w:rPr>
        <w:t>неожиданно, при этом ключевыми факторами риска были возраст, хронические заболевания (гипертония, диабет) и малоподвижный образ жизни</w:t>
      </w:r>
      <w:r w:rsidRPr="00704291">
        <w:rPr>
          <w:rFonts w:ascii="Times New Roman" w:hAnsi="Times New Roman" w:cs="Times New Roman"/>
          <w:sz w:val="28"/>
          <w:szCs w:val="28"/>
        </w:rPr>
        <w:t xml:space="preserve"> [157]</w:t>
      </w:r>
      <w:r w:rsidRPr="006E6717">
        <w:rPr>
          <w:rFonts w:ascii="Times New Roman" w:hAnsi="Times New Roman" w:cs="Times New Roman"/>
          <w:sz w:val="28"/>
          <w:szCs w:val="28"/>
        </w:rPr>
        <w:t xml:space="preserve">. Несмотря на профилактические осмотры </w:t>
      </w:r>
      <w:r>
        <w:rPr>
          <w:rFonts w:ascii="Times New Roman" w:hAnsi="Times New Roman" w:cs="Times New Roman"/>
          <w:sz w:val="28"/>
          <w:szCs w:val="28"/>
        </w:rPr>
        <w:t>у</w:t>
      </w:r>
      <w:r w:rsidRPr="006E6717">
        <w:rPr>
          <w:rFonts w:ascii="Times New Roman" w:hAnsi="Times New Roman" w:cs="Times New Roman"/>
          <w:sz w:val="28"/>
          <w:szCs w:val="28"/>
        </w:rPr>
        <w:t xml:space="preserve"> некоторых</w:t>
      </w:r>
      <w:r>
        <w:rPr>
          <w:rFonts w:ascii="Times New Roman" w:hAnsi="Times New Roman" w:cs="Times New Roman"/>
          <w:sz w:val="28"/>
          <w:szCs w:val="28"/>
        </w:rPr>
        <w:t xml:space="preserve"> респондентов</w:t>
      </w:r>
      <w:r w:rsidRPr="006E6717">
        <w:rPr>
          <w:rFonts w:ascii="Times New Roman" w:hAnsi="Times New Roman" w:cs="Times New Roman"/>
          <w:sz w:val="28"/>
          <w:szCs w:val="28"/>
        </w:rPr>
        <w:t xml:space="preserve">, раннее </w:t>
      </w:r>
      <w:r>
        <w:rPr>
          <w:rFonts w:ascii="Times New Roman" w:hAnsi="Times New Roman" w:cs="Times New Roman"/>
          <w:sz w:val="28"/>
          <w:szCs w:val="28"/>
        </w:rPr>
        <w:t>выявление</w:t>
      </w:r>
      <w:r w:rsidRPr="006E6717">
        <w:rPr>
          <w:rFonts w:ascii="Times New Roman" w:hAnsi="Times New Roman" w:cs="Times New Roman"/>
          <w:sz w:val="28"/>
          <w:szCs w:val="28"/>
        </w:rPr>
        <w:t xml:space="preserve"> болезни </w:t>
      </w:r>
      <w:r>
        <w:rPr>
          <w:rFonts w:ascii="Times New Roman" w:hAnsi="Times New Roman" w:cs="Times New Roman"/>
          <w:sz w:val="28"/>
          <w:szCs w:val="28"/>
        </w:rPr>
        <w:t xml:space="preserve">оставалось низким, </w:t>
      </w:r>
      <w:r w:rsidRPr="006E6717">
        <w:rPr>
          <w:rFonts w:ascii="Times New Roman" w:hAnsi="Times New Roman" w:cs="Times New Roman"/>
          <w:sz w:val="28"/>
          <w:szCs w:val="28"/>
        </w:rPr>
        <w:t>что подчёркивает необходимость комплексных профилактических стратегий и управления факторами риска</w:t>
      </w:r>
      <w:r w:rsidRPr="00704291">
        <w:rPr>
          <w:rFonts w:ascii="Times New Roman" w:hAnsi="Times New Roman" w:cs="Times New Roman"/>
          <w:sz w:val="28"/>
          <w:szCs w:val="28"/>
        </w:rPr>
        <w:t xml:space="preserve"> [43,158-160]. </w:t>
      </w:r>
      <w:r w:rsidRPr="002C4768">
        <w:rPr>
          <w:rFonts w:ascii="Times New Roman" w:hAnsi="Times New Roman" w:cs="Times New Roman"/>
          <w:sz w:val="28"/>
          <w:szCs w:val="28"/>
        </w:rPr>
        <w:t xml:space="preserve">Наше исследование показало, что </w:t>
      </w:r>
      <w:r>
        <w:rPr>
          <w:rFonts w:ascii="Times New Roman" w:hAnsi="Times New Roman" w:cs="Times New Roman"/>
          <w:sz w:val="28"/>
          <w:szCs w:val="28"/>
        </w:rPr>
        <w:t>м</w:t>
      </w:r>
      <w:r w:rsidRPr="006E6717">
        <w:rPr>
          <w:rFonts w:ascii="Times New Roman" w:hAnsi="Times New Roman" w:cs="Times New Roman"/>
          <w:sz w:val="28"/>
          <w:szCs w:val="28"/>
        </w:rPr>
        <w:t>олодые пациенты часто не знали симптомов инсульта и сталкивались со стигмой, что подчёркивает необходимость целевых образовательных кампаний.</w:t>
      </w:r>
      <w:r w:rsidRPr="006E6717">
        <w:t xml:space="preserve"> </w:t>
      </w:r>
      <w:r w:rsidRPr="006E6717">
        <w:rPr>
          <w:rFonts w:ascii="Times New Roman" w:hAnsi="Times New Roman" w:cs="Times New Roman"/>
          <w:sz w:val="28"/>
          <w:szCs w:val="28"/>
        </w:rPr>
        <w:t xml:space="preserve">В разных странах осведомлённость об </w:t>
      </w:r>
      <w:r>
        <w:rPr>
          <w:rFonts w:ascii="Times New Roman" w:hAnsi="Times New Roman" w:cs="Times New Roman"/>
          <w:sz w:val="28"/>
          <w:szCs w:val="28"/>
        </w:rPr>
        <w:t>инсульте</w:t>
      </w:r>
      <w:r w:rsidRPr="006E6717">
        <w:rPr>
          <w:rFonts w:ascii="Times New Roman" w:hAnsi="Times New Roman" w:cs="Times New Roman"/>
          <w:sz w:val="28"/>
          <w:szCs w:val="28"/>
        </w:rPr>
        <w:t xml:space="preserve"> зависит от социально-демографических факторов: в Саудовской Аравии </w:t>
      </w:r>
      <w:r>
        <w:rPr>
          <w:rFonts w:ascii="Times New Roman" w:hAnsi="Times New Roman" w:cs="Times New Roman"/>
          <w:sz w:val="28"/>
          <w:szCs w:val="28"/>
        </w:rPr>
        <w:t xml:space="preserve">это </w:t>
      </w:r>
      <w:r w:rsidRPr="006E6717">
        <w:rPr>
          <w:rFonts w:ascii="Times New Roman" w:hAnsi="Times New Roman" w:cs="Times New Roman"/>
          <w:sz w:val="28"/>
          <w:szCs w:val="28"/>
        </w:rPr>
        <w:t xml:space="preserve">семейность и доход, в Корее </w:t>
      </w:r>
      <w:r>
        <w:rPr>
          <w:rFonts w:ascii="Times New Roman" w:hAnsi="Times New Roman" w:cs="Times New Roman"/>
          <w:sz w:val="28"/>
          <w:szCs w:val="28"/>
        </w:rPr>
        <w:t>низкая</w:t>
      </w:r>
      <w:r w:rsidRPr="006E6717">
        <w:rPr>
          <w:rFonts w:ascii="Times New Roman" w:hAnsi="Times New Roman" w:cs="Times New Roman"/>
          <w:sz w:val="28"/>
          <w:szCs w:val="28"/>
        </w:rPr>
        <w:t xml:space="preserve"> информированность о факторах риска у здоровых людей, в </w:t>
      </w:r>
      <w:r>
        <w:rPr>
          <w:rFonts w:ascii="Times New Roman" w:hAnsi="Times New Roman" w:cs="Times New Roman"/>
          <w:sz w:val="28"/>
          <w:szCs w:val="28"/>
        </w:rPr>
        <w:t xml:space="preserve">Канаде низкая </w:t>
      </w:r>
      <w:r w:rsidRPr="006E6717">
        <w:rPr>
          <w:rFonts w:ascii="Times New Roman" w:hAnsi="Times New Roman" w:cs="Times New Roman"/>
          <w:sz w:val="28"/>
          <w:szCs w:val="28"/>
        </w:rPr>
        <w:t xml:space="preserve">осведомлённость среди мужчин, </w:t>
      </w:r>
      <w:r>
        <w:rPr>
          <w:rFonts w:ascii="Times New Roman" w:hAnsi="Times New Roman" w:cs="Times New Roman"/>
          <w:sz w:val="28"/>
          <w:szCs w:val="28"/>
        </w:rPr>
        <w:t xml:space="preserve">пожилых </w:t>
      </w:r>
      <w:r w:rsidRPr="006E6717">
        <w:rPr>
          <w:rFonts w:ascii="Times New Roman" w:hAnsi="Times New Roman" w:cs="Times New Roman"/>
          <w:sz w:val="28"/>
          <w:szCs w:val="28"/>
        </w:rPr>
        <w:t>и малообеспеченных, что подчёркивает необходимость целевых инклюзивных форм обучения</w:t>
      </w:r>
      <w:r w:rsidRPr="00704291">
        <w:rPr>
          <w:rFonts w:ascii="Times New Roman" w:hAnsi="Times New Roman" w:cs="Times New Roman"/>
          <w:sz w:val="28"/>
          <w:szCs w:val="28"/>
        </w:rPr>
        <w:t xml:space="preserve"> [161-163]</w:t>
      </w:r>
      <w:r w:rsidRPr="006E6717">
        <w:rPr>
          <w:rFonts w:ascii="Times New Roman" w:hAnsi="Times New Roman" w:cs="Times New Roman"/>
          <w:sz w:val="28"/>
          <w:szCs w:val="28"/>
        </w:rPr>
        <w:t>.</w:t>
      </w:r>
      <w:r>
        <w:rPr>
          <w:rFonts w:ascii="Times New Roman" w:hAnsi="Times New Roman" w:cs="Times New Roman"/>
          <w:sz w:val="28"/>
          <w:szCs w:val="28"/>
        </w:rPr>
        <w:t xml:space="preserve"> </w:t>
      </w:r>
    </w:p>
    <w:p w14:paraId="07454C67" w14:textId="77777777" w:rsidR="00B67D2A" w:rsidRDefault="00B67D2A" w:rsidP="00FC2E89">
      <w:pPr>
        <w:spacing w:after="0" w:line="240" w:lineRule="auto"/>
        <w:ind w:firstLine="567"/>
        <w:jc w:val="both"/>
        <w:rPr>
          <w:rFonts w:ascii="Times New Roman" w:hAnsi="Times New Roman" w:cs="Times New Roman"/>
          <w:sz w:val="28"/>
          <w:szCs w:val="28"/>
        </w:rPr>
      </w:pPr>
      <w:r w:rsidRPr="006505E0">
        <w:rPr>
          <w:rFonts w:ascii="Times New Roman" w:hAnsi="Times New Roman" w:cs="Times New Roman"/>
          <w:sz w:val="28"/>
          <w:szCs w:val="28"/>
        </w:rPr>
        <w:t xml:space="preserve">Наши результаты показывают, что скорая помощь остается основным транспортом для пациентов, при этом </w:t>
      </w:r>
      <w:r>
        <w:rPr>
          <w:rFonts w:ascii="Times New Roman" w:hAnsi="Times New Roman" w:cs="Times New Roman"/>
          <w:sz w:val="28"/>
          <w:szCs w:val="28"/>
        </w:rPr>
        <w:t xml:space="preserve">респонденты </w:t>
      </w:r>
      <w:r w:rsidRPr="006505E0">
        <w:rPr>
          <w:rFonts w:ascii="Times New Roman" w:hAnsi="Times New Roman" w:cs="Times New Roman"/>
          <w:sz w:val="28"/>
          <w:szCs w:val="28"/>
        </w:rPr>
        <w:t xml:space="preserve">полагаются на поддержку семьи, </w:t>
      </w:r>
      <w:r>
        <w:rPr>
          <w:rFonts w:ascii="Times New Roman" w:hAnsi="Times New Roman" w:cs="Times New Roman"/>
          <w:sz w:val="28"/>
          <w:szCs w:val="28"/>
        </w:rPr>
        <w:t xml:space="preserve">что соответствует </w:t>
      </w:r>
      <w:r w:rsidRPr="006505E0">
        <w:rPr>
          <w:rFonts w:ascii="Times New Roman" w:hAnsi="Times New Roman" w:cs="Times New Roman"/>
          <w:sz w:val="28"/>
          <w:szCs w:val="28"/>
        </w:rPr>
        <w:t>данны</w:t>
      </w:r>
      <w:r>
        <w:rPr>
          <w:rFonts w:ascii="Times New Roman" w:hAnsi="Times New Roman" w:cs="Times New Roman"/>
          <w:sz w:val="28"/>
          <w:szCs w:val="28"/>
        </w:rPr>
        <w:t>м</w:t>
      </w:r>
      <w:r w:rsidRPr="006505E0">
        <w:rPr>
          <w:rFonts w:ascii="Times New Roman" w:hAnsi="Times New Roman" w:cs="Times New Roman"/>
          <w:sz w:val="28"/>
          <w:szCs w:val="28"/>
        </w:rPr>
        <w:t xml:space="preserve"> из Великобритании и Канады</w:t>
      </w:r>
      <w:r w:rsidRPr="00704291">
        <w:rPr>
          <w:rFonts w:ascii="Times New Roman" w:hAnsi="Times New Roman" w:cs="Times New Roman"/>
          <w:sz w:val="28"/>
          <w:szCs w:val="28"/>
        </w:rPr>
        <w:t xml:space="preserve"> [164,165]</w:t>
      </w:r>
      <w:r w:rsidRPr="006505E0">
        <w:rPr>
          <w:rFonts w:ascii="Times New Roman" w:hAnsi="Times New Roman" w:cs="Times New Roman"/>
          <w:sz w:val="28"/>
          <w:szCs w:val="28"/>
        </w:rPr>
        <w:t>. Задержки прибытия скорой, низкое распознавание симптомов медицинскими работниками и ограниченная информированность пациентов и их семей остаются ключевыми препятствиями, особенно в странах с низким и средним доходом</w:t>
      </w:r>
      <w:r w:rsidRPr="00704291">
        <w:rPr>
          <w:rFonts w:ascii="Times New Roman" w:hAnsi="Times New Roman" w:cs="Times New Roman"/>
          <w:sz w:val="28"/>
          <w:szCs w:val="28"/>
        </w:rPr>
        <w:t xml:space="preserve"> [166,167]</w:t>
      </w:r>
      <w:r w:rsidRPr="006505E0">
        <w:rPr>
          <w:rFonts w:ascii="Times New Roman" w:hAnsi="Times New Roman" w:cs="Times New Roman"/>
          <w:sz w:val="28"/>
          <w:szCs w:val="28"/>
        </w:rPr>
        <w:t>. В то же время централизованные модели и целевые кампании, такие как FAST в Канаде или интегрированные отделения в Новой Зеландии, демонстрируют улучшение ранней помощи</w:t>
      </w:r>
      <w:r w:rsidRPr="00704291">
        <w:rPr>
          <w:rFonts w:ascii="Times New Roman" w:hAnsi="Times New Roman" w:cs="Times New Roman"/>
          <w:sz w:val="28"/>
          <w:szCs w:val="28"/>
        </w:rPr>
        <w:t xml:space="preserve"> [162,169,168]</w:t>
      </w:r>
      <w:r w:rsidRPr="006505E0">
        <w:rPr>
          <w:rFonts w:ascii="Times New Roman" w:hAnsi="Times New Roman" w:cs="Times New Roman"/>
          <w:sz w:val="28"/>
          <w:szCs w:val="28"/>
        </w:rPr>
        <w:t>.</w:t>
      </w:r>
    </w:p>
    <w:p w14:paraId="0890C0FF" w14:textId="77777777" w:rsidR="00B67D2A" w:rsidRDefault="00B67D2A" w:rsidP="00B67D2A">
      <w:pPr>
        <w:spacing w:after="0" w:line="240" w:lineRule="auto"/>
        <w:ind w:left="851" w:right="-1135" w:firstLine="567"/>
        <w:jc w:val="both"/>
        <w:rPr>
          <w:rFonts w:ascii="Times New Roman" w:hAnsi="Times New Roman" w:cs="Times New Roman"/>
          <w:sz w:val="28"/>
          <w:szCs w:val="28"/>
        </w:rPr>
        <w:sectPr w:rsidR="00B67D2A" w:rsidSect="00FC2E89">
          <w:pgSz w:w="11906" w:h="16838"/>
          <w:pgMar w:top="1134" w:right="707" w:bottom="1134" w:left="1701" w:header="708" w:footer="708" w:gutter="0"/>
          <w:cols w:space="708"/>
          <w:docGrid w:linePitch="360"/>
        </w:sectPr>
      </w:pPr>
    </w:p>
    <w:p w14:paraId="3448A53E" w14:textId="2BEBBC25" w:rsidR="00B67D2A" w:rsidRDefault="00FC2E89" w:rsidP="00FC2E89">
      <w:pPr>
        <w:spacing w:after="0" w:line="240" w:lineRule="auto"/>
        <w:ind w:right="-1135" w:firstLine="567"/>
        <w:jc w:val="both"/>
        <w:rPr>
          <w:rFonts w:ascii="Times New Roman" w:hAnsi="Times New Roman" w:cs="Times New Roman"/>
          <w:sz w:val="28"/>
          <w:szCs w:val="28"/>
        </w:rPr>
      </w:pPr>
      <w:r>
        <w:rPr>
          <w:rFonts w:ascii="Times New Roman" w:hAnsi="Times New Roman" w:cs="Times New Roman"/>
          <w:sz w:val="28"/>
          <w:szCs w:val="28"/>
        </w:rPr>
        <w:lastRenderedPageBreak/>
        <w:t>Таблица 21 -</w:t>
      </w:r>
      <w:r w:rsidR="00B67D2A">
        <w:rPr>
          <w:rFonts w:ascii="Times New Roman" w:hAnsi="Times New Roman" w:cs="Times New Roman"/>
          <w:sz w:val="28"/>
          <w:szCs w:val="28"/>
        </w:rPr>
        <w:t xml:space="preserve"> </w:t>
      </w:r>
      <w:r w:rsidR="00B67D2A" w:rsidRPr="0063493C">
        <w:rPr>
          <w:rFonts w:ascii="Times New Roman" w:hAnsi="Times New Roman" w:cs="Times New Roman"/>
          <w:sz w:val="28"/>
          <w:szCs w:val="28"/>
        </w:rPr>
        <w:t>Ключевые препятствия, рекомендации пациентов и перспективы</w:t>
      </w:r>
    </w:p>
    <w:p w14:paraId="61F8149D" w14:textId="77777777" w:rsidR="00B67D2A" w:rsidRDefault="00B67D2A" w:rsidP="00B67D2A">
      <w:pPr>
        <w:spacing w:after="0" w:line="240" w:lineRule="auto"/>
        <w:ind w:left="851" w:right="-1135" w:firstLine="567"/>
        <w:jc w:val="both"/>
        <w:rPr>
          <w:rFonts w:ascii="Times New Roman" w:hAnsi="Times New Roman" w:cs="Times New Roman"/>
          <w:sz w:val="28"/>
          <w:szCs w:val="28"/>
        </w:rPr>
      </w:pPr>
    </w:p>
    <w:tbl>
      <w:tblPr>
        <w:tblStyle w:val="ae"/>
        <w:tblW w:w="13892" w:type="dxa"/>
        <w:tblInd w:w="562" w:type="dxa"/>
        <w:tblLook w:val="04A0" w:firstRow="1" w:lastRow="0" w:firstColumn="1" w:lastColumn="0" w:noHBand="0" w:noVBand="1"/>
      </w:tblPr>
      <w:tblGrid>
        <w:gridCol w:w="2437"/>
        <w:gridCol w:w="3800"/>
        <w:gridCol w:w="3371"/>
        <w:gridCol w:w="4284"/>
      </w:tblGrid>
      <w:tr w:rsidR="00B67D2A" w:rsidRPr="0063493C" w14:paraId="0DEF6B0B" w14:textId="77777777" w:rsidTr="00FC2E89">
        <w:tc>
          <w:tcPr>
            <w:tcW w:w="2437" w:type="dxa"/>
          </w:tcPr>
          <w:p w14:paraId="053BA3C1"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Категория</w:t>
            </w:r>
          </w:p>
        </w:tc>
        <w:tc>
          <w:tcPr>
            <w:tcW w:w="3800" w:type="dxa"/>
          </w:tcPr>
          <w:p w14:paraId="5C05D8FC"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Проблемы / Препятствия</w:t>
            </w:r>
          </w:p>
        </w:tc>
        <w:tc>
          <w:tcPr>
            <w:tcW w:w="3371" w:type="dxa"/>
          </w:tcPr>
          <w:p w14:paraId="67622C63"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Рекомендации для пациентов</w:t>
            </w:r>
          </w:p>
        </w:tc>
        <w:tc>
          <w:tcPr>
            <w:tcW w:w="4284" w:type="dxa"/>
          </w:tcPr>
          <w:p w14:paraId="3C4DC0EF"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Выводы на будущее</w:t>
            </w:r>
          </w:p>
        </w:tc>
      </w:tr>
      <w:tr w:rsidR="00B67D2A" w:rsidRPr="0063493C" w14:paraId="29E1DAEC" w14:textId="77777777" w:rsidTr="00FC2E89">
        <w:tc>
          <w:tcPr>
            <w:tcW w:w="2437" w:type="dxa"/>
          </w:tcPr>
          <w:p w14:paraId="34EA2CC9"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Осведомленность о симптомах инсульта.</w:t>
            </w:r>
          </w:p>
        </w:tc>
        <w:tc>
          <w:tcPr>
            <w:tcW w:w="3800" w:type="dxa"/>
          </w:tcPr>
          <w:p w14:paraId="16C4DFCE"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Большинство пациентов (n=39) не знали о симптомах инсульта; многие ошибочно принимали ранние признаки за усталость или другие незначительные проблемы.</w:t>
            </w:r>
          </w:p>
        </w:tc>
        <w:tc>
          <w:tcPr>
            <w:tcW w:w="3371" w:type="dxa"/>
          </w:tcPr>
          <w:p w14:paraId="19CAB1F0"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Необходимо начать активные кампании по информированию общественности о симптомах инсульта и методе FAST</w:t>
            </w:r>
          </w:p>
        </w:tc>
        <w:tc>
          <w:tcPr>
            <w:tcW w:w="4284" w:type="dxa"/>
          </w:tcPr>
          <w:p w14:paraId="1018FE56"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Для улучшения раннего распознавания и сокращения задержек в лечении необходимы просвещение в СМИ, программы в школах и кампании, ориентированные на семьи.</w:t>
            </w:r>
          </w:p>
        </w:tc>
      </w:tr>
      <w:tr w:rsidR="00B67D2A" w:rsidRPr="0063493C" w14:paraId="75062597" w14:textId="77777777" w:rsidTr="00FC2E89">
        <w:tc>
          <w:tcPr>
            <w:tcW w:w="2437" w:type="dxa"/>
          </w:tcPr>
          <w:p w14:paraId="5898539E"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Экстренное реагирование и службы скорой помощи</w:t>
            </w:r>
          </w:p>
        </w:tc>
        <w:tc>
          <w:tcPr>
            <w:tcW w:w="3800" w:type="dxa"/>
          </w:tcPr>
          <w:p w14:paraId="66CCC3F7"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Задержка прибытия скорой помощи (до 40–50 минут), неопытность персонала скорой помощи и неправильная диагностика при первом обращении.</w:t>
            </w:r>
          </w:p>
        </w:tc>
        <w:tc>
          <w:tcPr>
            <w:tcW w:w="3371" w:type="dxa"/>
          </w:tcPr>
          <w:p w14:paraId="5886C654"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Повысить скорость работы скорой помощи и обучить сотрудников экстренных служб распознаванию инсульта.</w:t>
            </w:r>
          </w:p>
        </w:tc>
        <w:tc>
          <w:tcPr>
            <w:tcW w:w="4284" w:type="dxa"/>
          </w:tcPr>
          <w:p w14:paraId="45735810"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Национальные протоколы СМП должны включать обучение по сортировке и реагированию, специфическому для инсульта; GPS в реальном времени и отслеживание диспетчерских пунктов могут помочь сократить задержки.</w:t>
            </w:r>
          </w:p>
        </w:tc>
      </w:tr>
      <w:tr w:rsidR="00B67D2A" w:rsidRPr="0063493C" w14:paraId="5A85725C" w14:textId="77777777" w:rsidTr="00FC2E89">
        <w:tc>
          <w:tcPr>
            <w:tcW w:w="2437" w:type="dxa"/>
          </w:tcPr>
          <w:p w14:paraId="07DD1283"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Доступ к реабилитации</w:t>
            </w:r>
          </w:p>
        </w:tc>
        <w:tc>
          <w:tcPr>
            <w:tcW w:w="3800" w:type="dxa"/>
          </w:tcPr>
          <w:p w14:paraId="471BDA6C"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Реабилитация часто задерживалась, была недоступна или слишком короткой по продолжительности; многие были выписаны без четких планов реабилитации.</w:t>
            </w:r>
          </w:p>
        </w:tc>
        <w:tc>
          <w:tcPr>
            <w:tcW w:w="3371" w:type="dxa"/>
          </w:tcPr>
          <w:p w14:paraId="129728DE"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Расширить количество и охват реабилитационных центров; внедрить программы реабилитации на дому и долгосрочной реабилитации.</w:t>
            </w:r>
          </w:p>
        </w:tc>
        <w:tc>
          <w:tcPr>
            <w:tcW w:w="4284" w:type="dxa"/>
          </w:tcPr>
          <w:p w14:paraId="4C079900"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Системы здравоохранения должны интегрировать непрерывные пути реабилитации из больницы в дом, с финансированием реабилитации на базе местных сообществ и телереабилитационных услуг.</w:t>
            </w:r>
          </w:p>
        </w:tc>
      </w:tr>
      <w:tr w:rsidR="00B67D2A" w:rsidRPr="0063493C" w14:paraId="6031BEA6" w14:textId="77777777" w:rsidTr="00FC2E89">
        <w:tc>
          <w:tcPr>
            <w:tcW w:w="2437" w:type="dxa"/>
          </w:tcPr>
          <w:p w14:paraId="4C8119B3"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Опыт работы в больнице и коммуникация</w:t>
            </w:r>
          </w:p>
        </w:tc>
        <w:tc>
          <w:tcPr>
            <w:tcW w:w="3800" w:type="dxa"/>
          </w:tcPr>
          <w:p w14:paraId="0FC3BF8C"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 xml:space="preserve">Неоднозначный опыт работы в больнице: некоторые сталкивались с недопониманием, отсутствием объяснений </w:t>
            </w:r>
          </w:p>
        </w:tc>
        <w:tc>
          <w:tcPr>
            <w:tcW w:w="3371" w:type="dxa"/>
          </w:tcPr>
          <w:p w14:paraId="63981754"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Стандартизировать протоколы коммуникации; предоставить письменные материалы и обучить персонал взаимодействию с пациентами.</w:t>
            </w:r>
          </w:p>
        </w:tc>
        <w:tc>
          <w:tcPr>
            <w:tcW w:w="4284" w:type="dxa"/>
          </w:tcPr>
          <w:p w14:paraId="5CC3D791"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Подчеркнуть важность моделей ухода, ориентированных на пациента; Внедрить систему показателей удовлетворенности пациентов и обязательные рекомендации по информированию об инсульте.</w:t>
            </w:r>
          </w:p>
        </w:tc>
      </w:tr>
      <w:tr w:rsidR="00B67D2A" w:rsidRPr="0063493C" w14:paraId="46EF9759" w14:textId="77777777" w:rsidTr="00FC2E89">
        <w:tc>
          <w:tcPr>
            <w:tcW w:w="2437" w:type="dxa"/>
          </w:tcPr>
          <w:p w14:paraId="6F6BD280"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Профилактические визиты к врачу и медицинское обслуживание</w:t>
            </w:r>
          </w:p>
        </w:tc>
        <w:tc>
          <w:tcPr>
            <w:tcW w:w="3800" w:type="dxa"/>
          </w:tcPr>
          <w:p w14:paraId="16775D6E"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Почти половина пациентов не посещали врачей регулярно, часто из-за того, что чувствовали себя здоровыми или не знали о рисках инсульта.</w:t>
            </w:r>
          </w:p>
        </w:tc>
        <w:tc>
          <w:tcPr>
            <w:tcW w:w="3371" w:type="dxa"/>
          </w:tcPr>
          <w:p w14:paraId="7C481235"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Необходимо поощрять регулярные обследования, особенно для оценки артериального давления, состояния сосудов и выявления скрытых факторов риска.</w:t>
            </w:r>
          </w:p>
        </w:tc>
        <w:tc>
          <w:tcPr>
            <w:tcW w:w="4284" w:type="dxa"/>
          </w:tcPr>
          <w:p w14:paraId="73EF85DE"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Национальные программы профилактики должны быть нацелены на «невидимые» риски, предлагая бесплатное или субсидируемое обследование для взрослых старше 40 лет.</w:t>
            </w:r>
          </w:p>
        </w:tc>
      </w:tr>
      <w:tr w:rsidR="00B67D2A" w:rsidRPr="0063493C" w14:paraId="3A8CAD1B" w14:textId="77777777" w:rsidTr="00FC2E89">
        <w:tc>
          <w:tcPr>
            <w:tcW w:w="2437" w:type="dxa"/>
          </w:tcPr>
          <w:p w14:paraId="708E1B5A"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Образ жизни и физическая неактивность</w:t>
            </w:r>
          </w:p>
        </w:tc>
        <w:tc>
          <w:tcPr>
            <w:tcW w:w="3800" w:type="dxa"/>
          </w:tcPr>
          <w:p w14:paraId="16BC4CBA"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Многие вели малоподвижный образ жизни или имели неверное представление о том, что считается физической активностью.</w:t>
            </w:r>
          </w:p>
        </w:tc>
        <w:tc>
          <w:tcPr>
            <w:tcW w:w="3371" w:type="dxa"/>
          </w:tcPr>
          <w:p w14:paraId="50D826F4"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Поощряйте прогулки, базовые упражнения и физическую активность в семье для пожилых людей.</w:t>
            </w:r>
          </w:p>
        </w:tc>
        <w:tc>
          <w:tcPr>
            <w:tcW w:w="4284" w:type="dxa"/>
          </w:tcPr>
          <w:p w14:paraId="0F5B3F00"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Инициативы в области общественного здравоохранения должны переосмыслить и упростить понятие «активного образа жизни», особенно для пожилых людей.</w:t>
            </w:r>
          </w:p>
        </w:tc>
      </w:tr>
      <w:tr w:rsidR="00B67D2A" w:rsidRPr="0063493C" w14:paraId="7993C9C4" w14:textId="77777777" w:rsidTr="00FC2E89">
        <w:tc>
          <w:tcPr>
            <w:tcW w:w="2437" w:type="dxa"/>
          </w:tcPr>
          <w:p w14:paraId="41D9B0F0"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lastRenderedPageBreak/>
              <w:t>Психологические и социальные барьеры</w:t>
            </w:r>
          </w:p>
        </w:tc>
        <w:tc>
          <w:tcPr>
            <w:tcW w:w="3800" w:type="dxa"/>
          </w:tcPr>
          <w:p w14:paraId="5765AFA4"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Страх перед врачами, отрицание, финансовое положение и вера в домашние средства препятствовали обращению за помощью.</w:t>
            </w:r>
          </w:p>
        </w:tc>
        <w:tc>
          <w:tcPr>
            <w:tcW w:w="3371" w:type="dxa"/>
          </w:tcPr>
          <w:p w14:paraId="73101937"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Повышать осведомленность о ментальных и эмоциональных факторах, влияющих на принятие решений в отношении здоровья.</w:t>
            </w:r>
          </w:p>
        </w:tc>
        <w:tc>
          <w:tcPr>
            <w:tcW w:w="4284" w:type="dxa"/>
          </w:tcPr>
          <w:p w14:paraId="4BA44FBC"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Поддержка психического здоровья должна быть неотъемлемой частью ухода за пациентами после инсульта и информационного обеспечения общественного здравоохранения для преодоления эмоциональной и культурной стигматизации</w:t>
            </w:r>
          </w:p>
        </w:tc>
      </w:tr>
      <w:tr w:rsidR="00B67D2A" w:rsidRPr="0063493C" w14:paraId="688C13A2" w14:textId="77777777" w:rsidTr="00FC2E89">
        <w:tc>
          <w:tcPr>
            <w:tcW w:w="2437" w:type="dxa"/>
          </w:tcPr>
          <w:p w14:paraId="35B068AD"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Телереабилитация и использование технологий</w:t>
            </w:r>
          </w:p>
        </w:tc>
        <w:tc>
          <w:tcPr>
            <w:tcW w:w="3800" w:type="dxa"/>
          </w:tcPr>
          <w:p w14:paraId="4BAC9415"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59% не слышали о видеореабилитации, хотя у большинства были смартфоны/интернет; высказывались опасения по поводу доверия, цифровых навыков и качества связи.</w:t>
            </w:r>
          </w:p>
        </w:tc>
        <w:tc>
          <w:tcPr>
            <w:tcW w:w="3371" w:type="dxa"/>
          </w:tcPr>
          <w:p w14:paraId="36B9BE4C"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Внедрить программы телереабилитации с простыми интерфейсами и поддержкой; обучать пациентов и лиц, осуществляющих уход.</w:t>
            </w:r>
          </w:p>
        </w:tc>
        <w:tc>
          <w:tcPr>
            <w:tcW w:w="4284" w:type="dxa"/>
          </w:tcPr>
          <w:p w14:paraId="0EC64D31"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Разработать удобные для пациентов с инсультом цифровые платформы; обеспечить цифровую интеграцию пожилых людей посредством программ повышения технической грамотности и обучения семей.</w:t>
            </w:r>
          </w:p>
        </w:tc>
      </w:tr>
      <w:tr w:rsidR="00B67D2A" w:rsidRPr="0063493C" w14:paraId="6345A28E" w14:textId="77777777" w:rsidTr="00FC2E89">
        <w:tc>
          <w:tcPr>
            <w:tcW w:w="2437" w:type="dxa"/>
          </w:tcPr>
          <w:p w14:paraId="60DA2EF4"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Инфраструктура больниц и пробелы в качестве</w:t>
            </w:r>
          </w:p>
        </w:tc>
        <w:tc>
          <w:tcPr>
            <w:tcW w:w="3800" w:type="dxa"/>
          </w:tcPr>
          <w:p w14:paraId="2D481F35"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Сообщения о ненадлежащих условиях (например, неправильная диагностика, отсутствие кнопок вызова, разное качество в разных больницах).</w:t>
            </w:r>
          </w:p>
        </w:tc>
        <w:tc>
          <w:tcPr>
            <w:tcW w:w="3371" w:type="dxa"/>
          </w:tcPr>
          <w:p w14:paraId="42E2028E"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Модернизация стационаров; унификация стандартов качества во всех учреждениях.</w:t>
            </w:r>
          </w:p>
        </w:tc>
        <w:tc>
          <w:tcPr>
            <w:tcW w:w="4284" w:type="dxa"/>
          </w:tcPr>
          <w:p w14:paraId="7388D44E"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Необходимо стандартизировать общенациональные инсультные отделения; обратная связь с пациентами должна определять аккредитацию и финансирование больниц.</w:t>
            </w:r>
          </w:p>
        </w:tc>
      </w:tr>
      <w:tr w:rsidR="00B67D2A" w:rsidRPr="0063493C" w14:paraId="5DBF5ACC" w14:textId="77777777" w:rsidTr="00FC2E89">
        <w:tc>
          <w:tcPr>
            <w:tcW w:w="2437" w:type="dxa"/>
          </w:tcPr>
          <w:p w14:paraId="017A02EC"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Поддержка семьи и роль лиц, осуществляющих уход</w:t>
            </w:r>
          </w:p>
        </w:tc>
        <w:tc>
          <w:tcPr>
            <w:tcW w:w="3800" w:type="dxa"/>
          </w:tcPr>
          <w:p w14:paraId="40CEC956"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Во многих случаях члены семьи первыми распознавали признаки инсульта и принимали меры..</w:t>
            </w:r>
          </w:p>
        </w:tc>
        <w:tc>
          <w:tcPr>
            <w:tcW w:w="3371" w:type="dxa"/>
          </w:tcPr>
          <w:p w14:paraId="580ECB86"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Предоставляйте лицам, осуществляющим уход, информацию и эмоциональную поддержку с первого дня</w:t>
            </w:r>
          </w:p>
        </w:tc>
        <w:tc>
          <w:tcPr>
            <w:tcW w:w="4284" w:type="dxa"/>
          </w:tcPr>
          <w:p w14:paraId="4AA2AC78"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Включайте обучение семьи в протоколы лечения инсульта; разрабатывайте учебные модули для лиц, осуществляющих уход, и горячие линии.</w:t>
            </w:r>
          </w:p>
        </w:tc>
      </w:tr>
      <w:tr w:rsidR="00B67D2A" w:rsidRPr="0063493C" w14:paraId="09AB67F2" w14:textId="77777777" w:rsidTr="00FC2E89">
        <w:tc>
          <w:tcPr>
            <w:tcW w:w="2437" w:type="dxa"/>
          </w:tcPr>
          <w:p w14:paraId="110B30D5"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Мотивация и настрой пациента.</w:t>
            </w:r>
          </w:p>
        </w:tc>
        <w:tc>
          <w:tcPr>
            <w:tcW w:w="3800" w:type="dxa"/>
          </w:tcPr>
          <w:p w14:paraId="755D245B"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Многие пациенты подчеркивали важность поддержания активности, не сдаваться и сохранять психологическую устойчивость.</w:t>
            </w:r>
          </w:p>
        </w:tc>
        <w:tc>
          <w:tcPr>
            <w:tcW w:w="3371" w:type="dxa"/>
          </w:tcPr>
          <w:p w14:paraId="1148B41E"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Поощряйте эмоциональную устойчивость, заботу о себе и веру в выздоровление.</w:t>
            </w:r>
          </w:p>
        </w:tc>
        <w:tc>
          <w:tcPr>
            <w:tcW w:w="4284" w:type="dxa"/>
          </w:tcPr>
          <w:p w14:paraId="2D329C85"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В будущем психологическую устойчивость следует интегрировать в программы реабилитации.</w:t>
            </w:r>
          </w:p>
        </w:tc>
      </w:tr>
      <w:tr w:rsidR="00B67D2A" w:rsidRPr="0063493C" w14:paraId="3C774449" w14:textId="77777777" w:rsidTr="00FC2E89">
        <w:tc>
          <w:tcPr>
            <w:tcW w:w="2437" w:type="dxa"/>
          </w:tcPr>
          <w:p w14:paraId="0FBF6949"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Использование реальных историй пациентов.</w:t>
            </w:r>
          </w:p>
        </w:tc>
        <w:tc>
          <w:tcPr>
            <w:tcW w:w="3800" w:type="dxa"/>
          </w:tcPr>
          <w:p w14:paraId="3D36DC1A"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Некоторые участники заявили, что с радостью поделятся своим опытом для повышения осведомленности.</w:t>
            </w:r>
          </w:p>
        </w:tc>
        <w:tc>
          <w:tcPr>
            <w:tcW w:w="3371" w:type="dxa"/>
          </w:tcPr>
          <w:p w14:paraId="7CA6AF54"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Используйте реальные истории выживших в кампаниях и образовательных программах.</w:t>
            </w:r>
          </w:p>
        </w:tc>
        <w:tc>
          <w:tcPr>
            <w:tcW w:w="4284" w:type="dxa"/>
          </w:tcPr>
          <w:p w14:paraId="21A11A36" w14:textId="77777777" w:rsidR="00B67D2A" w:rsidRPr="0063493C" w:rsidRDefault="00B67D2A" w:rsidP="005E6F1B">
            <w:pPr>
              <w:ind w:right="136"/>
              <w:jc w:val="both"/>
              <w:rPr>
                <w:rFonts w:ascii="Times New Roman" w:hAnsi="Times New Roman" w:cs="Times New Roman"/>
              </w:rPr>
            </w:pPr>
            <w:r w:rsidRPr="0063493C">
              <w:rPr>
                <w:rFonts w:ascii="Times New Roman" w:hAnsi="Times New Roman" w:cs="Times New Roman"/>
              </w:rPr>
              <w:t>Пропаганда, проводимая выжившими, и программы взаимопомощи могут повысить вовлеченность сообщества и доверие к информации, касающейся здравоохранения.</w:t>
            </w:r>
          </w:p>
        </w:tc>
      </w:tr>
    </w:tbl>
    <w:p w14:paraId="468386FA" w14:textId="77777777" w:rsidR="00B67D2A" w:rsidRDefault="00B67D2A" w:rsidP="00B67D2A">
      <w:pPr>
        <w:spacing w:after="0" w:line="240" w:lineRule="auto"/>
        <w:ind w:left="851" w:right="-1135" w:firstLine="567"/>
        <w:jc w:val="both"/>
        <w:rPr>
          <w:rFonts w:ascii="Times New Roman" w:hAnsi="Times New Roman" w:cs="Times New Roman"/>
          <w:sz w:val="28"/>
          <w:szCs w:val="28"/>
        </w:rPr>
      </w:pPr>
    </w:p>
    <w:p w14:paraId="3EDDF239" w14:textId="77777777" w:rsidR="00B67D2A" w:rsidRDefault="00B67D2A" w:rsidP="00B67D2A">
      <w:pPr>
        <w:spacing w:after="0" w:line="240" w:lineRule="auto"/>
        <w:ind w:left="851" w:right="-1135" w:firstLine="567"/>
        <w:jc w:val="both"/>
        <w:rPr>
          <w:rFonts w:ascii="Times New Roman" w:hAnsi="Times New Roman" w:cs="Times New Roman"/>
          <w:sz w:val="28"/>
          <w:szCs w:val="28"/>
        </w:rPr>
        <w:sectPr w:rsidR="00B67D2A" w:rsidSect="00FC2E89">
          <w:pgSz w:w="16838" w:h="11906" w:orient="landscape"/>
          <w:pgMar w:top="1276" w:right="1134" w:bottom="850" w:left="1701" w:header="708" w:footer="708" w:gutter="0"/>
          <w:cols w:space="708"/>
          <w:docGrid w:linePitch="360"/>
        </w:sectPr>
      </w:pPr>
    </w:p>
    <w:p w14:paraId="63A24088" w14:textId="77777777" w:rsidR="00B67D2A" w:rsidRDefault="00B67D2A" w:rsidP="00FC2E89">
      <w:pPr>
        <w:spacing w:after="0" w:line="240" w:lineRule="auto"/>
        <w:ind w:firstLine="567"/>
        <w:jc w:val="both"/>
        <w:rPr>
          <w:rFonts w:ascii="Times New Roman" w:hAnsi="Times New Roman" w:cs="Times New Roman"/>
          <w:sz w:val="28"/>
          <w:szCs w:val="28"/>
        </w:rPr>
      </w:pPr>
      <w:r w:rsidRPr="002C4768">
        <w:rPr>
          <w:rFonts w:ascii="Times New Roman" w:hAnsi="Times New Roman" w:cs="Times New Roman"/>
          <w:sz w:val="28"/>
          <w:szCs w:val="28"/>
        </w:rPr>
        <w:lastRenderedPageBreak/>
        <w:t>Мы также обнаружили, что, хотя высокий уровень доступа к цифровым устройствам представляет собой значительный потенциал для дистанционной реабилитации после инсульта, вопросы доверия и удобства использования, а также неоднозначное отношение к телемедицине подчёркивают необходимость в индивидуальных, удобных для пользователя решениях. Аналогичным образом, пациенты, перенесшие инсульт, выразили неоднозначное отношение к цифровым медицинским технологиям, но высоко оценили такие функции, как достоверная медицинская информация, личные медицинские карты и онлайн-поддержка реабилитации, подчеркнув при этом важность простых и доступных решений, адаптированных к их потребностям.</w:t>
      </w:r>
      <w:r w:rsidRPr="003F3CE3">
        <w:t xml:space="preserve"> </w:t>
      </w:r>
      <w:r w:rsidRPr="003F3CE3">
        <w:rPr>
          <w:rFonts w:ascii="Times New Roman" w:hAnsi="Times New Roman" w:cs="Times New Roman"/>
          <w:sz w:val="28"/>
          <w:szCs w:val="28"/>
        </w:rPr>
        <w:t>Для успешного внедрения телемедицины в исследованиях предлагаются модели телереабилитации для пациентов с ОНМК, обеспечивающие масштабное внедрение и повышение качества медицинской помощи</w:t>
      </w:r>
      <w:r w:rsidRPr="001B60E6">
        <w:rPr>
          <w:rFonts w:ascii="Times New Roman" w:hAnsi="Times New Roman" w:cs="Times New Roman"/>
          <w:sz w:val="28"/>
          <w:szCs w:val="28"/>
        </w:rPr>
        <w:t xml:space="preserve"> [170-172]</w:t>
      </w:r>
      <w:r w:rsidRPr="003F3CE3">
        <w:rPr>
          <w:rFonts w:ascii="Times New Roman" w:hAnsi="Times New Roman" w:cs="Times New Roman"/>
          <w:sz w:val="28"/>
          <w:szCs w:val="28"/>
        </w:rPr>
        <w:t>.</w:t>
      </w:r>
    </w:p>
    <w:p w14:paraId="553B62B0" w14:textId="77777777" w:rsidR="00A611A6" w:rsidRDefault="00A611A6" w:rsidP="000F4E51">
      <w:pPr>
        <w:spacing w:after="0" w:line="240" w:lineRule="auto"/>
        <w:ind w:right="-284" w:firstLine="567"/>
        <w:jc w:val="both"/>
        <w:rPr>
          <w:rFonts w:ascii="Times New Roman" w:hAnsi="Times New Roman" w:cs="Times New Roman"/>
          <w:sz w:val="28"/>
          <w:szCs w:val="28"/>
        </w:rPr>
        <w:sectPr w:rsidR="00A611A6" w:rsidSect="00FC2E89">
          <w:footerReference w:type="default" r:id="rId24"/>
          <w:pgSz w:w="11906" w:h="16838"/>
          <w:pgMar w:top="1134" w:right="707" w:bottom="1134" w:left="1701" w:header="708" w:footer="708" w:gutter="0"/>
          <w:cols w:space="708"/>
          <w:docGrid w:linePitch="360"/>
        </w:sectPr>
      </w:pPr>
    </w:p>
    <w:p w14:paraId="56ED5EC7" w14:textId="10F19CF9" w:rsidR="0062402E" w:rsidRPr="00FC2E89" w:rsidRDefault="00533899" w:rsidP="00FC2E89">
      <w:pPr>
        <w:pStyle w:val="a6"/>
        <w:numPr>
          <w:ilvl w:val="0"/>
          <w:numId w:val="26"/>
        </w:numPr>
        <w:ind w:left="0" w:right="-284" w:firstLine="567"/>
        <w:jc w:val="center"/>
        <w:rPr>
          <w:b/>
          <w:bCs/>
          <w:sz w:val="28"/>
          <w:szCs w:val="28"/>
        </w:rPr>
      </w:pPr>
      <w:r>
        <w:rPr>
          <w:b/>
          <w:bCs/>
          <w:sz w:val="28"/>
          <w:szCs w:val="28"/>
        </w:rPr>
        <w:lastRenderedPageBreak/>
        <w:t xml:space="preserve"> </w:t>
      </w:r>
      <w:r w:rsidR="003065A7" w:rsidRPr="00FC2E89">
        <w:rPr>
          <w:b/>
          <w:bCs/>
          <w:sz w:val="28"/>
          <w:szCs w:val="28"/>
        </w:rPr>
        <w:t xml:space="preserve">ЭКОНОМИЧЕСКИЙ АНАЛИЗ ЭФФЕКТИВНОСТИ ПРИМЕНЕНИЯ ТЕХНОЛОГИЙ </w:t>
      </w:r>
      <w:r w:rsidR="003065A7" w:rsidRPr="00FC2E89">
        <w:rPr>
          <w:b/>
          <w:bCs/>
          <w:sz w:val="28"/>
          <w:szCs w:val="28"/>
          <w:lang w:val="en-US"/>
        </w:rPr>
        <w:t>MOBILE</w:t>
      </w:r>
      <w:r w:rsidR="003065A7" w:rsidRPr="00FC2E89">
        <w:rPr>
          <w:b/>
          <w:bCs/>
          <w:sz w:val="28"/>
          <w:szCs w:val="28"/>
        </w:rPr>
        <w:t xml:space="preserve"> </w:t>
      </w:r>
      <w:r w:rsidR="003065A7" w:rsidRPr="00FC2E89">
        <w:rPr>
          <w:b/>
          <w:bCs/>
          <w:sz w:val="28"/>
          <w:szCs w:val="28"/>
          <w:lang w:val="en-US"/>
        </w:rPr>
        <w:t>STROKE</w:t>
      </w:r>
      <w:r w:rsidR="003065A7" w:rsidRPr="00FC2E89">
        <w:rPr>
          <w:b/>
          <w:bCs/>
          <w:sz w:val="28"/>
          <w:szCs w:val="28"/>
        </w:rPr>
        <w:t xml:space="preserve"> </w:t>
      </w:r>
      <w:r w:rsidR="003065A7" w:rsidRPr="00FC2E89">
        <w:rPr>
          <w:b/>
          <w:bCs/>
          <w:sz w:val="28"/>
          <w:szCs w:val="28"/>
          <w:lang w:val="en-US"/>
        </w:rPr>
        <w:t>UNIT</w:t>
      </w:r>
    </w:p>
    <w:p w14:paraId="7B0DD2F1" w14:textId="77777777" w:rsidR="00FC2E89" w:rsidRDefault="00FC2E89" w:rsidP="000F4E51">
      <w:pPr>
        <w:spacing w:after="0" w:line="240" w:lineRule="auto"/>
        <w:ind w:right="-284" w:firstLine="567"/>
        <w:jc w:val="both"/>
        <w:rPr>
          <w:rFonts w:ascii="Times New Roman" w:hAnsi="Times New Roman" w:cs="Times New Roman"/>
          <w:sz w:val="28"/>
          <w:szCs w:val="28"/>
        </w:rPr>
      </w:pPr>
    </w:p>
    <w:p w14:paraId="79668ED8" w14:textId="4DB02F27" w:rsidR="00ED1D21" w:rsidRDefault="00ED1D21" w:rsidP="000F4E51">
      <w:pPr>
        <w:spacing w:after="0" w:line="240" w:lineRule="auto"/>
        <w:ind w:right="-284" w:firstLine="567"/>
        <w:jc w:val="both"/>
        <w:rPr>
          <w:rFonts w:ascii="Times New Roman" w:hAnsi="Times New Roman" w:cs="Times New Roman"/>
          <w:sz w:val="28"/>
          <w:szCs w:val="28"/>
        </w:rPr>
      </w:pPr>
      <w:r w:rsidRPr="003B61C1">
        <w:rPr>
          <w:rFonts w:ascii="Times New Roman" w:hAnsi="Times New Roman" w:cs="Times New Roman"/>
          <w:sz w:val="28"/>
          <w:szCs w:val="28"/>
        </w:rPr>
        <w:t xml:space="preserve">С помощью марковского моделирования мы проанализировали долгосрочную динамику распределения пациентов по функциональному состоянию после острого ишемического инсульта с использованием </w:t>
      </w:r>
      <w:r>
        <w:rPr>
          <w:rFonts w:ascii="Times New Roman" w:hAnsi="Times New Roman" w:cs="Times New Roman"/>
          <w:sz w:val="28"/>
          <w:szCs w:val="28"/>
          <w:lang w:val="en-US"/>
        </w:rPr>
        <w:t>MSU</w:t>
      </w:r>
      <w:r w:rsidRPr="003B61C1">
        <w:rPr>
          <w:rFonts w:ascii="Times New Roman" w:hAnsi="Times New Roman" w:cs="Times New Roman"/>
          <w:sz w:val="28"/>
          <w:szCs w:val="28"/>
        </w:rPr>
        <w:t xml:space="preserve"> и стандартного лечения. Горизонт моделирования составил 2</w:t>
      </w:r>
      <w:r>
        <w:rPr>
          <w:rFonts w:ascii="Times New Roman" w:hAnsi="Times New Roman" w:cs="Times New Roman"/>
          <w:sz w:val="28"/>
          <w:szCs w:val="28"/>
        </w:rPr>
        <w:t>5</w:t>
      </w:r>
      <w:r w:rsidRPr="003B61C1">
        <w:rPr>
          <w:rFonts w:ascii="Times New Roman" w:hAnsi="Times New Roman" w:cs="Times New Roman"/>
          <w:sz w:val="28"/>
          <w:szCs w:val="28"/>
        </w:rPr>
        <w:t xml:space="preserve"> лет с годовым циклом.</w:t>
      </w:r>
      <w:r w:rsidRPr="00E4051F">
        <w:rPr>
          <w:rFonts w:ascii="Times New Roman" w:hAnsi="Times New Roman" w:cs="Times New Roman"/>
          <w:sz w:val="28"/>
          <w:szCs w:val="28"/>
        </w:rPr>
        <w:t xml:space="preserve"> </w:t>
      </w:r>
      <w:r>
        <w:rPr>
          <w:rFonts w:ascii="Times New Roman" w:hAnsi="Times New Roman" w:cs="Times New Roman"/>
          <w:sz w:val="28"/>
          <w:szCs w:val="28"/>
        </w:rPr>
        <w:t xml:space="preserve">Даже если будет внедрена </w:t>
      </w:r>
      <w:r>
        <w:rPr>
          <w:rFonts w:ascii="Times New Roman" w:hAnsi="Times New Roman" w:cs="Times New Roman"/>
          <w:sz w:val="28"/>
          <w:szCs w:val="28"/>
          <w:lang w:val="en-US"/>
        </w:rPr>
        <w:t>MSU</w:t>
      </w:r>
      <w:r>
        <w:rPr>
          <w:rFonts w:ascii="Times New Roman" w:hAnsi="Times New Roman" w:cs="Times New Roman"/>
          <w:sz w:val="28"/>
          <w:szCs w:val="28"/>
        </w:rPr>
        <w:t xml:space="preserve"> в г.Алматы</w:t>
      </w:r>
      <w:r w:rsidRPr="00E4051F">
        <w:rPr>
          <w:rFonts w:ascii="Times New Roman" w:hAnsi="Times New Roman" w:cs="Times New Roman"/>
          <w:sz w:val="28"/>
          <w:szCs w:val="28"/>
        </w:rPr>
        <w:t xml:space="preserve">, определенная доля пациентов с </w:t>
      </w:r>
      <w:r w:rsidRPr="003B61C1">
        <w:rPr>
          <w:rFonts w:ascii="Times New Roman" w:hAnsi="Times New Roman" w:cs="Times New Roman"/>
          <w:sz w:val="28"/>
          <w:szCs w:val="28"/>
        </w:rPr>
        <w:t>остр</w:t>
      </w:r>
      <w:r>
        <w:rPr>
          <w:rFonts w:ascii="Times New Roman" w:hAnsi="Times New Roman" w:cs="Times New Roman"/>
          <w:sz w:val="28"/>
          <w:szCs w:val="28"/>
        </w:rPr>
        <w:t>ым</w:t>
      </w:r>
      <w:r w:rsidRPr="003B61C1">
        <w:rPr>
          <w:rFonts w:ascii="Times New Roman" w:hAnsi="Times New Roman" w:cs="Times New Roman"/>
          <w:sz w:val="28"/>
          <w:szCs w:val="28"/>
        </w:rPr>
        <w:t xml:space="preserve"> ишемическ</w:t>
      </w:r>
      <w:r>
        <w:rPr>
          <w:rFonts w:ascii="Times New Roman" w:hAnsi="Times New Roman" w:cs="Times New Roman"/>
          <w:sz w:val="28"/>
          <w:szCs w:val="28"/>
        </w:rPr>
        <w:t xml:space="preserve">им инсультом </w:t>
      </w:r>
      <w:r w:rsidRPr="00E4051F">
        <w:rPr>
          <w:rFonts w:ascii="Times New Roman" w:hAnsi="Times New Roman" w:cs="Times New Roman"/>
          <w:sz w:val="28"/>
          <w:szCs w:val="28"/>
        </w:rPr>
        <w:t>будет продолжать получать стандартное лечение в зависимости от доступности системы и по другим логистическим причинам.</w:t>
      </w:r>
      <w:r>
        <w:rPr>
          <w:rFonts w:ascii="Times New Roman" w:hAnsi="Times New Roman" w:cs="Times New Roman"/>
          <w:sz w:val="28"/>
          <w:szCs w:val="28"/>
        </w:rPr>
        <w:t xml:space="preserve"> </w:t>
      </w:r>
    </w:p>
    <w:p w14:paraId="6E82F531" w14:textId="29A1DC47" w:rsidR="00ED1D21" w:rsidRPr="00092115" w:rsidRDefault="00ED1D21" w:rsidP="000F4E51">
      <w:pPr>
        <w:spacing w:after="0" w:line="240" w:lineRule="auto"/>
        <w:ind w:right="-284" w:firstLine="567"/>
        <w:jc w:val="both"/>
        <w:rPr>
          <w:rFonts w:ascii="Times New Roman" w:hAnsi="Times New Roman" w:cs="Times New Roman"/>
          <w:sz w:val="28"/>
          <w:szCs w:val="28"/>
        </w:rPr>
      </w:pPr>
      <w:r w:rsidRPr="007C266D">
        <w:rPr>
          <w:rFonts w:ascii="Times New Roman" w:hAnsi="Times New Roman" w:cs="Times New Roman"/>
          <w:sz w:val="28"/>
          <w:szCs w:val="28"/>
        </w:rPr>
        <w:t xml:space="preserve">На исходном </w:t>
      </w:r>
      <w:r w:rsidRPr="00D120F8">
        <w:rPr>
          <w:rFonts w:ascii="Times New Roman" w:hAnsi="Times New Roman" w:cs="Times New Roman"/>
          <w:sz w:val="28"/>
          <w:szCs w:val="28"/>
        </w:rPr>
        <w:t xml:space="preserve">этапе (после первых 90 дней) доля функционально независимых пациентов (пациенты способны к самостоятельному передвижению и самообслуживанию и не нуждаются в постоянной помощи; </w:t>
      </w:r>
      <w:r w:rsidRPr="003B61C1">
        <w:rPr>
          <w:rFonts w:ascii="Times New Roman" w:hAnsi="Times New Roman" w:cs="Times New Roman"/>
          <w:sz w:val="28"/>
          <w:szCs w:val="28"/>
        </w:rPr>
        <w:t xml:space="preserve">mRS 0-2) была выше в группе </w:t>
      </w:r>
      <w:r>
        <w:rPr>
          <w:rFonts w:ascii="Times New Roman" w:hAnsi="Times New Roman" w:cs="Times New Roman"/>
          <w:sz w:val="28"/>
          <w:szCs w:val="28"/>
          <w:lang w:val="en-US"/>
        </w:rPr>
        <w:t>MSU</w:t>
      </w:r>
      <w:r w:rsidRPr="003B61C1">
        <w:rPr>
          <w:rFonts w:ascii="Times New Roman" w:hAnsi="Times New Roman" w:cs="Times New Roman"/>
          <w:sz w:val="28"/>
          <w:szCs w:val="28"/>
        </w:rPr>
        <w:t xml:space="preserve"> по сравнению со стандартным лечением (0,52</w:t>
      </w:r>
      <w:r>
        <w:rPr>
          <w:rFonts w:ascii="Times New Roman" w:hAnsi="Times New Roman" w:cs="Times New Roman"/>
          <w:sz w:val="28"/>
          <w:szCs w:val="28"/>
        </w:rPr>
        <w:t>1</w:t>
      </w:r>
      <w:r w:rsidRPr="003B61C1">
        <w:rPr>
          <w:rFonts w:ascii="Times New Roman" w:hAnsi="Times New Roman" w:cs="Times New Roman"/>
          <w:sz w:val="28"/>
          <w:szCs w:val="28"/>
        </w:rPr>
        <w:t xml:space="preserve"> и 0,4</w:t>
      </w:r>
      <w:r>
        <w:rPr>
          <w:rFonts w:ascii="Times New Roman" w:hAnsi="Times New Roman" w:cs="Times New Roman"/>
          <w:sz w:val="28"/>
          <w:szCs w:val="28"/>
        </w:rPr>
        <w:t>86</w:t>
      </w:r>
      <w:r w:rsidRPr="003B61C1">
        <w:rPr>
          <w:rFonts w:ascii="Times New Roman" w:hAnsi="Times New Roman" w:cs="Times New Roman"/>
          <w:sz w:val="28"/>
          <w:szCs w:val="28"/>
        </w:rPr>
        <w:t xml:space="preserve"> соответственно), в то время как доля смертей была несколько ниже (0,12</w:t>
      </w:r>
      <w:r>
        <w:rPr>
          <w:rFonts w:ascii="Times New Roman" w:hAnsi="Times New Roman" w:cs="Times New Roman"/>
          <w:sz w:val="28"/>
          <w:szCs w:val="28"/>
        </w:rPr>
        <w:t>4</w:t>
      </w:r>
      <w:r w:rsidRPr="003B61C1">
        <w:rPr>
          <w:rFonts w:ascii="Times New Roman" w:hAnsi="Times New Roman" w:cs="Times New Roman"/>
          <w:sz w:val="28"/>
          <w:szCs w:val="28"/>
        </w:rPr>
        <w:t xml:space="preserve"> против 0,13</w:t>
      </w:r>
      <w:r>
        <w:rPr>
          <w:rFonts w:ascii="Times New Roman" w:hAnsi="Times New Roman" w:cs="Times New Roman"/>
          <w:sz w:val="28"/>
          <w:szCs w:val="28"/>
        </w:rPr>
        <w:t>4</w:t>
      </w:r>
      <w:r w:rsidRPr="003B61C1">
        <w:rPr>
          <w:rFonts w:ascii="Times New Roman" w:hAnsi="Times New Roman" w:cs="Times New Roman"/>
          <w:sz w:val="28"/>
          <w:szCs w:val="28"/>
        </w:rPr>
        <w:t xml:space="preserve">). Эти различия отражают преимущество более раннего начала лечения и более высокой </w:t>
      </w:r>
      <w:r w:rsidRPr="00252600">
        <w:rPr>
          <w:rFonts w:ascii="Times New Roman" w:hAnsi="Times New Roman" w:cs="Times New Roman"/>
          <w:sz w:val="28"/>
          <w:szCs w:val="28"/>
        </w:rPr>
        <w:t>эффективности догоспитального маршрута при использовании MSU.</w:t>
      </w:r>
      <w:r>
        <w:rPr>
          <w:rFonts w:ascii="Times New Roman" w:hAnsi="Times New Roman" w:cs="Times New Roman"/>
          <w:sz w:val="28"/>
          <w:szCs w:val="28"/>
        </w:rPr>
        <w:t xml:space="preserve"> </w:t>
      </w:r>
      <w:r w:rsidRPr="00252600">
        <w:rPr>
          <w:rFonts w:ascii="Times New Roman" w:hAnsi="Times New Roman" w:cs="Times New Roman"/>
          <w:sz w:val="28"/>
          <w:szCs w:val="28"/>
        </w:rPr>
        <w:t xml:space="preserve">В течение первого года наблюдения доля функционально независимых пациентов оставалась выше в группе MSU (0,536) по сравнению со стандартным лечением (0,507), при этом доля смертей также была ниже (0,166 против 0,176). Доля функционально зависимых пациентов </w:t>
      </w:r>
      <w:r w:rsidRPr="00252600">
        <w:rPr>
          <w:rFonts w:ascii="Times New Roman" w:hAnsi="Times New Roman" w:cs="Times New Roman"/>
          <w:i/>
          <w:iCs/>
          <w:sz w:val="28"/>
          <w:szCs w:val="28"/>
        </w:rPr>
        <w:t>(пациенты, нуждающиеся в регулярной или постоянной посторонней помощи в повседневной жизни; mRS 3–5)</w:t>
      </w:r>
      <w:r w:rsidRPr="00252600">
        <w:rPr>
          <w:rFonts w:ascii="Times New Roman" w:hAnsi="Times New Roman" w:cs="Times New Roman"/>
          <w:sz w:val="28"/>
          <w:szCs w:val="28"/>
        </w:rPr>
        <w:t xml:space="preserve"> в группе MSU была ниже, чем в стандартной группе (0,298 против 0,317), что соответствует более благоприятным ранним исходам.</w:t>
      </w:r>
      <w:r>
        <w:rPr>
          <w:rFonts w:ascii="Times New Roman" w:hAnsi="Times New Roman" w:cs="Times New Roman"/>
          <w:sz w:val="28"/>
          <w:szCs w:val="28"/>
        </w:rPr>
        <w:t xml:space="preserve"> </w:t>
      </w:r>
      <w:r w:rsidRPr="00252600">
        <w:rPr>
          <w:rFonts w:ascii="Times New Roman" w:hAnsi="Times New Roman" w:cs="Times New Roman"/>
          <w:sz w:val="28"/>
          <w:szCs w:val="28"/>
        </w:rPr>
        <w:t xml:space="preserve">Начиная со второго года моделирования, доля функционально независимых пациентов постепенно снижалась в обеих стратегиях, что было обусловлено возрастной смертностью и переходами в функционально зависимое состояние </w:t>
      </w:r>
      <w:r w:rsidRPr="00252600">
        <w:rPr>
          <w:rFonts w:ascii="Times New Roman" w:hAnsi="Times New Roman" w:cs="Times New Roman"/>
          <w:i/>
          <w:iCs/>
          <w:sz w:val="28"/>
          <w:szCs w:val="28"/>
        </w:rPr>
        <w:t>(утрата способности к самостоятельному выполнению повседневных действий)</w:t>
      </w:r>
      <w:r w:rsidRPr="00252600">
        <w:rPr>
          <w:rFonts w:ascii="Times New Roman" w:hAnsi="Times New Roman" w:cs="Times New Roman"/>
          <w:sz w:val="28"/>
          <w:szCs w:val="28"/>
        </w:rPr>
        <w:t xml:space="preserve">. Тем не менее на протяжении всего периода моделирования в группе MSU сохранялась более высокая доля функционально независимых пациентов и более низкая доля смертей по сравнению со стандартным лечением. К 25-му году доля проживающих независимо пациентов составила 0,166 в группе MSU и 0,160 в группе стандартного лечения, а доля умерших оставалась ниже в группе MSU (0,736 против 0,742). Таким образом, использование MSU обеспечивало устойчивое, хотя и </w:t>
      </w:r>
      <w:r w:rsidRPr="00092115">
        <w:rPr>
          <w:rFonts w:ascii="Times New Roman" w:hAnsi="Times New Roman" w:cs="Times New Roman"/>
          <w:sz w:val="28"/>
          <w:szCs w:val="28"/>
        </w:rPr>
        <w:t xml:space="preserve">постепенно уменьшающееся, преимуществу по функциональным результатам (таблица </w:t>
      </w:r>
      <w:r w:rsidR="006D6E83">
        <w:rPr>
          <w:rFonts w:ascii="Times New Roman" w:hAnsi="Times New Roman" w:cs="Times New Roman"/>
          <w:sz w:val="28"/>
          <w:szCs w:val="28"/>
        </w:rPr>
        <w:t>22</w:t>
      </w:r>
      <w:r w:rsidRPr="00092115">
        <w:rPr>
          <w:rFonts w:ascii="Times New Roman" w:hAnsi="Times New Roman" w:cs="Times New Roman"/>
          <w:sz w:val="28"/>
          <w:szCs w:val="28"/>
        </w:rPr>
        <w:t>).</w:t>
      </w:r>
    </w:p>
    <w:p w14:paraId="31055B67" w14:textId="6FEDB55B" w:rsidR="00ED1D21" w:rsidRDefault="00ED1D21" w:rsidP="000F4E51">
      <w:pPr>
        <w:spacing w:after="0" w:line="240" w:lineRule="auto"/>
        <w:ind w:right="-284" w:firstLine="567"/>
        <w:jc w:val="both"/>
        <w:rPr>
          <w:rFonts w:ascii="Times New Roman" w:hAnsi="Times New Roman" w:cs="Times New Roman"/>
          <w:sz w:val="28"/>
          <w:szCs w:val="28"/>
        </w:rPr>
        <w:sectPr w:rsidR="00ED1D21" w:rsidSect="00ED1D21">
          <w:pgSz w:w="11906" w:h="16838"/>
          <w:pgMar w:top="1134" w:right="850" w:bottom="1134" w:left="1701" w:header="708" w:footer="708" w:gutter="0"/>
          <w:cols w:space="708"/>
          <w:docGrid w:linePitch="360"/>
        </w:sectPr>
      </w:pPr>
      <w:r w:rsidRPr="00092115">
        <w:rPr>
          <w:rFonts w:ascii="Times New Roman" w:hAnsi="Times New Roman" w:cs="Times New Roman"/>
          <w:i/>
          <w:iCs/>
          <w:sz w:val="28"/>
          <w:szCs w:val="28"/>
        </w:rPr>
        <w:t xml:space="preserve">Кумулятивные уровни эффективности (QALY): </w:t>
      </w:r>
      <w:r w:rsidRPr="00092115">
        <w:rPr>
          <w:rFonts w:ascii="Times New Roman" w:hAnsi="Times New Roman" w:cs="Times New Roman"/>
          <w:sz w:val="28"/>
          <w:szCs w:val="28"/>
        </w:rPr>
        <w:t>Годовые значения полезности (QALY) были рассчитаны на основе распределения пациентов</w:t>
      </w:r>
      <w:r w:rsidRPr="003B61C1">
        <w:rPr>
          <w:rFonts w:ascii="Times New Roman" w:hAnsi="Times New Roman" w:cs="Times New Roman"/>
          <w:sz w:val="28"/>
          <w:szCs w:val="28"/>
        </w:rPr>
        <w:t xml:space="preserve"> по функциональному статусу с учетом соответствующих коэффициентов полезности и дисконтирования по ставке 4% в год.</w:t>
      </w:r>
      <w:r>
        <w:rPr>
          <w:rFonts w:ascii="Times New Roman" w:hAnsi="Times New Roman" w:cs="Times New Roman"/>
          <w:sz w:val="28"/>
          <w:szCs w:val="28"/>
        </w:rPr>
        <w:t xml:space="preserve"> </w:t>
      </w:r>
    </w:p>
    <w:p w14:paraId="359048F9" w14:textId="76068DC6" w:rsidR="00ED1D21" w:rsidRDefault="00ED1D21" w:rsidP="000818BE">
      <w:pPr>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lastRenderedPageBreak/>
        <w:t xml:space="preserve">Таблица </w:t>
      </w:r>
      <w:r w:rsidR="006D6E83">
        <w:rPr>
          <w:rFonts w:ascii="Times New Roman" w:hAnsi="Times New Roman" w:cs="Times New Roman"/>
          <w:sz w:val="28"/>
          <w:szCs w:val="28"/>
        </w:rPr>
        <w:t>22</w:t>
      </w:r>
      <w:r w:rsidR="000818B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4D72">
        <w:rPr>
          <w:rFonts w:ascii="Times New Roman" w:hAnsi="Times New Roman" w:cs="Times New Roman"/>
          <w:sz w:val="28"/>
          <w:szCs w:val="28"/>
        </w:rPr>
        <w:t>Динамика распределения пациентов, эффективности (QALY) и затрат в стратегиях MSU и стандартного лечения на 25-летнем горизонте моделирования</w:t>
      </w:r>
    </w:p>
    <w:p w14:paraId="7B4C4807" w14:textId="77777777" w:rsidR="00ED1D21" w:rsidRPr="00B94D72" w:rsidRDefault="00ED1D21" w:rsidP="000F4E51">
      <w:pPr>
        <w:spacing w:after="0" w:line="240" w:lineRule="auto"/>
        <w:ind w:right="-284" w:firstLine="567"/>
        <w:jc w:val="both"/>
        <w:rPr>
          <w:rFonts w:ascii="Times New Roman" w:hAnsi="Times New Roman" w:cs="Times New Roman"/>
          <w:sz w:val="28"/>
          <w:szCs w:val="28"/>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977"/>
        <w:gridCol w:w="763"/>
        <w:gridCol w:w="709"/>
        <w:gridCol w:w="709"/>
        <w:gridCol w:w="709"/>
        <w:gridCol w:w="708"/>
        <w:gridCol w:w="851"/>
        <w:gridCol w:w="850"/>
        <w:gridCol w:w="1701"/>
        <w:gridCol w:w="1276"/>
        <w:gridCol w:w="952"/>
        <w:gridCol w:w="851"/>
        <w:gridCol w:w="1457"/>
        <w:gridCol w:w="1418"/>
      </w:tblGrid>
      <w:tr w:rsidR="00ED1D21" w:rsidRPr="00B94D72" w14:paraId="2E09A8CA" w14:textId="77777777" w:rsidTr="00533899">
        <w:trPr>
          <w:trHeight w:val="900"/>
          <w:jc w:val="center"/>
        </w:trPr>
        <w:tc>
          <w:tcPr>
            <w:tcW w:w="665" w:type="dxa"/>
            <w:vAlign w:val="center"/>
            <w:hideMark/>
          </w:tcPr>
          <w:p w14:paraId="38743100"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eastAsia="Times New Roman" w:hAnsi="Times New Roman" w:cs="Times New Roman"/>
                <w:b/>
                <w:bCs/>
                <w:color w:val="000000"/>
                <w:sz w:val="20"/>
                <w:szCs w:val="20"/>
                <w:lang w:eastAsia="ru-RU"/>
              </w:rPr>
              <w:t>Цикл (год)</w:t>
            </w:r>
          </w:p>
        </w:tc>
        <w:tc>
          <w:tcPr>
            <w:tcW w:w="977" w:type="dxa"/>
            <w:vAlign w:val="center"/>
            <w:hideMark/>
          </w:tcPr>
          <w:p w14:paraId="5C889B99"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eastAsia="Times New Roman" w:hAnsi="Times New Roman" w:cs="Times New Roman"/>
                <w:b/>
                <w:bCs/>
                <w:color w:val="000000"/>
                <w:sz w:val="20"/>
                <w:szCs w:val="20"/>
                <w:lang w:eastAsia="ru-RU"/>
              </w:rPr>
              <w:t>Ind_MSU</w:t>
            </w:r>
          </w:p>
        </w:tc>
        <w:tc>
          <w:tcPr>
            <w:tcW w:w="763" w:type="dxa"/>
            <w:vAlign w:val="center"/>
            <w:hideMark/>
          </w:tcPr>
          <w:p w14:paraId="7FC62B2C"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eastAsia="Times New Roman" w:hAnsi="Times New Roman" w:cs="Times New Roman"/>
                <w:b/>
                <w:bCs/>
                <w:color w:val="000000"/>
                <w:sz w:val="20"/>
                <w:szCs w:val="20"/>
                <w:lang w:eastAsia="ru-RU"/>
              </w:rPr>
              <w:t>Dep_MSU</w:t>
            </w:r>
          </w:p>
        </w:tc>
        <w:tc>
          <w:tcPr>
            <w:tcW w:w="709" w:type="dxa"/>
            <w:vAlign w:val="center"/>
            <w:hideMark/>
          </w:tcPr>
          <w:p w14:paraId="70733B15"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eastAsia="Times New Roman" w:hAnsi="Times New Roman" w:cs="Times New Roman"/>
                <w:b/>
                <w:bCs/>
                <w:color w:val="000000"/>
                <w:sz w:val="20"/>
                <w:szCs w:val="20"/>
                <w:lang w:eastAsia="ru-RU"/>
              </w:rPr>
              <w:t>Dead_MSU</w:t>
            </w:r>
          </w:p>
        </w:tc>
        <w:tc>
          <w:tcPr>
            <w:tcW w:w="709" w:type="dxa"/>
            <w:vAlign w:val="center"/>
            <w:hideMark/>
          </w:tcPr>
          <w:p w14:paraId="0FAE7776"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eastAsia="Times New Roman" w:hAnsi="Times New Roman" w:cs="Times New Roman"/>
                <w:b/>
                <w:bCs/>
                <w:color w:val="000000"/>
                <w:sz w:val="20"/>
                <w:szCs w:val="20"/>
                <w:lang w:eastAsia="ru-RU"/>
              </w:rPr>
              <w:t>Ind_Std</w:t>
            </w:r>
          </w:p>
        </w:tc>
        <w:tc>
          <w:tcPr>
            <w:tcW w:w="709" w:type="dxa"/>
            <w:vAlign w:val="center"/>
            <w:hideMark/>
          </w:tcPr>
          <w:p w14:paraId="3329B3D3"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eastAsia="Times New Roman" w:hAnsi="Times New Roman" w:cs="Times New Roman"/>
                <w:b/>
                <w:bCs/>
                <w:color w:val="000000"/>
                <w:sz w:val="20"/>
                <w:szCs w:val="20"/>
                <w:lang w:eastAsia="ru-RU"/>
              </w:rPr>
              <w:t>Dep_Std</w:t>
            </w:r>
          </w:p>
        </w:tc>
        <w:tc>
          <w:tcPr>
            <w:tcW w:w="708" w:type="dxa"/>
            <w:vAlign w:val="center"/>
            <w:hideMark/>
          </w:tcPr>
          <w:p w14:paraId="61E463D7"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eastAsia="Times New Roman" w:hAnsi="Times New Roman" w:cs="Times New Roman"/>
                <w:b/>
                <w:bCs/>
                <w:color w:val="000000"/>
                <w:sz w:val="20"/>
                <w:szCs w:val="20"/>
                <w:lang w:eastAsia="ru-RU"/>
              </w:rPr>
              <w:t>Dead_Std</w:t>
            </w:r>
          </w:p>
        </w:tc>
        <w:tc>
          <w:tcPr>
            <w:tcW w:w="851" w:type="dxa"/>
            <w:vAlign w:val="center"/>
            <w:hideMark/>
          </w:tcPr>
          <w:p w14:paraId="11D7262B"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eastAsia="Times New Roman" w:hAnsi="Times New Roman" w:cs="Times New Roman"/>
                <w:b/>
                <w:bCs/>
                <w:color w:val="000000"/>
                <w:sz w:val="20"/>
                <w:szCs w:val="20"/>
                <w:lang w:eastAsia="ru-RU"/>
              </w:rPr>
              <w:t>QALY_MSU</w:t>
            </w:r>
          </w:p>
        </w:tc>
        <w:tc>
          <w:tcPr>
            <w:tcW w:w="850" w:type="dxa"/>
            <w:vAlign w:val="center"/>
            <w:hideMark/>
          </w:tcPr>
          <w:p w14:paraId="05E00B27"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eastAsia="Times New Roman" w:hAnsi="Times New Roman" w:cs="Times New Roman"/>
                <w:b/>
                <w:bCs/>
                <w:color w:val="000000"/>
                <w:sz w:val="20"/>
                <w:szCs w:val="20"/>
                <w:lang w:eastAsia="ru-RU"/>
              </w:rPr>
              <w:t>QALY_Std</w:t>
            </w:r>
          </w:p>
        </w:tc>
        <w:tc>
          <w:tcPr>
            <w:tcW w:w="1701" w:type="dxa"/>
            <w:vAlign w:val="center"/>
            <w:hideMark/>
          </w:tcPr>
          <w:p w14:paraId="7F188E3D"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eastAsia="Times New Roman" w:hAnsi="Times New Roman" w:cs="Times New Roman"/>
                <w:b/>
                <w:bCs/>
                <w:color w:val="000000"/>
                <w:sz w:val="20"/>
                <w:szCs w:val="20"/>
                <w:lang w:eastAsia="ru-RU"/>
              </w:rPr>
              <w:t>Costs_MSU, ₸</w:t>
            </w:r>
          </w:p>
        </w:tc>
        <w:tc>
          <w:tcPr>
            <w:tcW w:w="1276" w:type="dxa"/>
            <w:vAlign w:val="center"/>
            <w:hideMark/>
          </w:tcPr>
          <w:p w14:paraId="6C15A767"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eastAsia="Times New Roman" w:hAnsi="Times New Roman" w:cs="Times New Roman"/>
                <w:b/>
                <w:bCs/>
                <w:color w:val="000000"/>
                <w:sz w:val="20"/>
                <w:szCs w:val="20"/>
                <w:lang w:eastAsia="ru-RU"/>
              </w:rPr>
              <w:t>Costs_Std, ₸</w:t>
            </w:r>
          </w:p>
        </w:tc>
        <w:tc>
          <w:tcPr>
            <w:tcW w:w="952" w:type="dxa"/>
            <w:vAlign w:val="center"/>
            <w:hideMark/>
          </w:tcPr>
          <w:p w14:paraId="15C41454"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eastAsia="Times New Roman" w:hAnsi="Times New Roman" w:cs="Times New Roman"/>
                <w:b/>
                <w:bCs/>
                <w:color w:val="000000"/>
                <w:sz w:val="20"/>
                <w:szCs w:val="20"/>
                <w:lang w:eastAsia="ru-RU"/>
              </w:rPr>
              <w:t>CumQ_MSU</w:t>
            </w:r>
          </w:p>
        </w:tc>
        <w:tc>
          <w:tcPr>
            <w:tcW w:w="851" w:type="dxa"/>
            <w:vAlign w:val="center"/>
            <w:hideMark/>
          </w:tcPr>
          <w:p w14:paraId="1E4CA260"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eastAsia="Times New Roman" w:hAnsi="Times New Roman" w:cs="Times New Roman"/>
                <w:b/>
                <w:bCs/>
                <w:color w:val="000000"/>
                <w:sz w:val="20"/>
                <w:szCs w:val="20"/>
                <w:lang w:eastAsia="ru-RU"/>
              </w:rPr>
              <w:t>CumQ_Std</w:t>
            </w:r>
          </w:p>
        </w:tc>
        <w:tc>
          <w:tcPr>
            <w:tcW w:w="1457" w:type="dxa"/>
            <w:vAlign w:val="center"/>
            <w:hideMark/>
          </w:tcPr>
          <w:p w14:paraId="7CFDF7C4"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eastAsia="Times New Roman" w:hAnsi="Times New Roman" w:cs="Times New Roman"/>
                <w:b/>
                <w:bCs/>
                <w:color w:val="000000"/>
                <w:sz w:val="20"/>
                <w:szCs w:val="20"/>
                <w:lang w:eastAsia="ru-RU"/>
              </w:rPr>
              <w:t>CumCosts_MSU, ₸</w:t>
            </w:r>
          </w:p>
        </w:tc>
        <w:tc>
          <w:tcPr>
            <w:tcW w:w="1418" w:type="dxa"/>
            <w:vAlign w:val="center"/>
            <w:hideMark/>
          </w:tcPr>
          <w:p w14:paraId="36171191"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eastAsia="Times New Roman" w:hAnsi="Times New Roman" w:cs="Times New Roman"/>
                <w:b/>
                <w:bCs/>
                <w:color w:val="000000"/>
                <w:sz w:val="20"/>
                <w:szCs w:val="20"/>
                <w:lang w:eastAsia="ru-RU"/>
              </w:rPr>
              <w:t>CumCosts_Std, ₸</w:t>
            </w:r>
          </w:p>
        </w:tc>
      </w:tr>
      <w:tr w:rsidR="00ED1D21" w:rsidRPr="00B94D72" w14:paraId="438CD210" w14:textId="77777777" w:rsidTr="00533899">
        <w:trPr>
          <w:trHeight w:val="300"/>
          <w:jc w:val="center"/>
        </w:trPr>
        <w:tc>
          <w:tcPr>
            <w:tcW w:w="665" w:type="dxa"/>
            <w:vAlign w:val="center"/>
            <w:hideMark/>
          </w:tcPr>
          <w:p w14:paraId="439D214D"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0</w:t>
            </w:r>
          </w:p>
        </w:tc>
        <w:tc>
          <w:tcPr>
            <w:tcW w:w="977" w:type="dxa"/>
            <w:vAlign w:val="center"/>
            <w:hideMark/>
          </w:tcPr>
          <w:p w14:paraId="7E137198"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0,52</w:t>
            </w:r>
          </w:p>
        </w:tc>
        <w:tc>
          <w:tcPr>
            <w:tcW w:w="763" w:type="dxa"/>
            <w:vAlign w:val="center"/>
            <w:hideMark/>
          </w:tcPr>
          <w:p w14:paraId="4AF9C044"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0,35</w:t>
            </w:r>
          </w:p>
        </w:tc>
        <w:tc>
          <w:tcPr>
            <w:tcW w:w="709" w:type="dxa"/>
            <w:vAlign w:val="center"/>
            <w:hideMark/>
          </w:tcPr>
          <w:p w14:paraId="6A51C7D8"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0,12</w:t>
            </w:r>
          </w:p>
        </w:tc>
        <w:tc>
          <w:tcPr>
            <w:tcW w:w="709" w:type="dxa"/>
            <w:vAlign w:val="center"/>
            <w:hideMark/>
          </w:tcPr>
          <w:p w14:paraId="5E6C8CD2"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0,49</w:t>
            </w:r>
          </w:p>
        </w:tc>
        <w:tc>
          <w:tcPr>
            <w:tcW w:w="709" w:type="dxa"/>
            <w:vAlign w:val="center"/>
            <w:hideMark/>
          </w:tcPr>
          <w:p w14:paraId="05634EF3"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0,38</w:t>
            </w:r>
          </w:p>
        </w:tc>
        <w:tc>
          <w:tcPr>
            <w:tcW w:w="708" w:type="dxa"/>
            <w:vAlign w:val="center"/>
            <w:hideMark/>
          </w:tcPr>
          <w:p w14:paraId="4DD88104"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0,13</w:t>
            </w:r>
          </w:p>
        </w:tc>
        <w:tc>
          <w:tcPr>
            <w:tcW w:w="851" w:type="dxa"/>
            <w:vAlign w:val="center"/>
            <w:hideMark/>
          </w:tcPr>
          <w:p w14:paraId="05DA4DE6"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w:t>
            </w:r>
          </w:p>
        </w:tc>
        <w:tc>
          <w:tcPr>
            <w:tcW w:w="850" w:type="dxa"/>
            <w:vAlign w:val="center"/>
            <w:hideMark/>
          </w:tcPr>
          <w:p w14:paraId="22EB230F" w14:textId="77777777" w:rsidR="00ED1D21" w:rsidRPr="001830B2" w:rsidRDefault="00ED1D21" w:rsidP="000F4E51">
            <w:pPr>
              <w:spacing w:after="0" w:line="240" w:lineRule="auto"/>
              <w:jc w:val="center"/>
              <w:rPr>
                <w:rFonts w:ascii="Times New Roman" w:eastAsia="Times New Roman" w:hAnsi="Times New Roman" w:cs="Times New Roman"/>
                <w:sz w:val="20"/>
                <w:szCs w:val="20"/>
                <w:lang w:eastAsia="ru-RU"/>
              </w:rPr>
            </w:pPr>
            <w:r w:rsidRPr="001830B2">
              <w:rPr>
                <w:rFonts w:ascii="Times New Roman" w:eastAsia="Times New Roman" w:hAnsi="Times New Roman" w:cs="Times New Roman"/>
                <w:sz w:val="20"/>
                <w:szCs w:val="20"/>
                <w:lang w:eastAsia="ru-RU"/>
              </w:rPr>
              <w:t>–</w:t>
            </w:r>
          </w:p>
        </w:tc>
        <w:tc>
          <w:tcPr>
            <w:tcW w:w="1701" w:type="dxa"/>
            <w:vAlign w:val="center"/>
            <w:hideMark/>
          </w:tcPr>
          <w:p w14:paraId="31ACBA43" w14:textId="77777777" w:rsidR="00ED1D21" w:rsidRPr="001830B2" w:rsidRDefault="00ED1D21" w:rsidP="000F4E51">
            <w:pPr>
              <w:spacing w:after="0" w:line="240" w:lineRule="auto"/>
              <w:jc w:val="center"/>
              <w:rPr>
                <w:rFonts w:ascii="Times New Roman" w:eastAsia="Times New Roman" w:hAnsi="Times New Roman" w:cs="Times New Roman"/>
                <w:sz w:val="20"/>
                <w:szCs w:val="20"/>
                <w:lang w:eastAsia="ru-RU"/>
              </w:rPr>
            </w:pPr>
            <w:r w:rsidRPr="001830B2">
              <w:rPr>
                <w:rFonts w:ascii="Times New Roman" w:eastAsia="Times New Roman" w:hAnsi="Times New Roman" w:cs="Times New Roman"/>
                <w:sz w:val="20"/>
                <w:szCs w:val="20"/>
                <w:lang w:eastAsia="ru-RU"/>
              </w:rPr>
              <w:t>–</w:t>
            </w:r>
          </w:p>
        </w:tc>
        <w:tc>
          <w:tcPr>
            <w:tcW w:w="1276" w:type="dxa"/>
            <w:vAlign w:val="center"/>
            <w:hideMark/>
          </w:tcPr>
          <w:p w14:paraId="4A725E93"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w:t>
            </w:r>
          </w:p>
        </w:tc>
        <w:tc>
          <w:tcPr>
            <w:tcW w:w="952" w:type="dxa"/>
            <w:vAlign w:val="center"/>
            <w:hideMark/>
          </w:tcPr>
          <w:p w14:paraId="20A31D1F"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w:t>
            </w:r>
          </w:p>
        </w:tc>
        <w:tc>
          <w:tcPr>
            <w:tcW w:w="851" w:type="dxa"/>
            <w:vAlign w:val="center"/>
            <w:hideMark/>
          </w:tcPr>
          <w:p w14:paraId="2CA1016F"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w:t>
            </w:r>
          </w:p>
        </w:tc>
        <w:tc>
          <w:tcPr>
            <w:tcW w:w="1457" w:type="dxa"/>
            <w:vAlign w:val="center"/>
            <w:hideMark/>
          </w:tcPr>
          <w:p w14:paraId="37C0CAA1"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w:t>
            </w:r>
          </w:p>
        </w:tc>
        <w:tc>
          <w:tcPr>
            <w:tcW w:w="1418" w:type="dxa"/>
            <w:vAlign w:val="center"/>
            <w:hideMark/>
          </w:tcPr>
          <w:p w14:paraId="7A2A4B04"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w:t>
            </w:r>
          </w:p>
        </w:tc>
      </w:tr>
      <w:tr w:rsidR="00ED1D21" w:rsidRPr="00B94D72" w14:paraId="05708D13" w14:textId="77777777" w:rsidTr="00533899">
        <w:trPr>
          <w:trHeight w:val="300"/>
          <w:jc w:val="center"/>
        </w:trPr>
        <w:tc>
          <w:tcPr>
            <w:tcW w:w="665" w:type="dxa"/>
            <w:vAlign w:val="center"/>
            <w:hideMark/>
          </w:tcPr>
          <w:p w14:paraId="0C63822A"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1</w:t>
            </w:r>
          </w:p>
        </w:tc>
        <w:tc>
          <w:tcPr>
            <w:tcW w:w="977" w:type="dxa"/>
            <w:hideMark/>
          </w:tcPr>
          <w:p w14:paraId="60852A45"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0,536</w:t>
            </w:r>
          </w:p>
        </w:tc>
        <w:tc>
          <w:tcPr>
            <w:tcW w:w="763" w:type="dxa"/>
            <w:hideMark/>
          </w:tcPr>
          <w:p w14:paraId="6FB38EED"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0,298</w:t>
            </w:r>
          </w:p>
        </w:tc>
        <w:tc>
          <w:tcPr>
            <w:tcW w:w="709" w:type="dxa"/>
            <w:hideMark/>
          </w:tcPr>
          <w:p w14:paraId="567F0F96"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0,166</w:t>
            </w:r>
          </w:p>
        </w:tc>
        <w:tc>
          <w:tcPr>
            <w:tcW w:w="709" w:type="dxa"/>
            <w:hideMark/>
          </w:tcPr>
          <w:p w14:paraId="6385C023"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0,507</w:t>
            </w:r>
          </w:p>
        </w:tc>
        <w:tc>
          <w:tcPr>
            <w:tcW w:w="709" w:type="dxa"/>
            <w:hideMark/>
          </w:tcPr>
          <w:p w14:paraId="1D28E5F8"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0,317</w:t>
            </w:r>
          </w:p>
        </w:tc>
        <w:tc>
          <w:tcPr>
            <w:tcW w:w="708" w:type="dxa"/>
            <w:hideMark/>
          </w:tcPr>
          <w:p w14:paraId="450B1A1C"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0,176</w:t>
            </w:r>
          </w:p>
        </w:tc>
        <w:tc>
          <w:tcPr>
            <w:tcW w:w="851" w:type="dxa"/>
            <w:hideMark/>
          </w:tcPr>
          <w:p w14:paraId="55F574CB"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0,491</w:t>
            </w:r>
          </w:p>
        </w:tc>
        <w:tc>
          <w:tcPr>
            <w:tcW w:w="850" w:type="dxa"/>
            <w:hideMark/>
          </w:tcPr>
          <w:p w14:paraId="448E7AAB" w14:textId="77777777" w:rsidR="00ED1D21" w:rsidRPr="001830B2" w:rsidRDefault="00ED1D21" w:rsidP="000F4E51">
            <w:pPr>
              <w:spacing w:after="0" w:line="240" w:lineRule="auto"/>
              <w:jc w:val="center"/>
              <w:rPr>
                <w:rFonts w:ascii="Times New Roman" w:eastAsia="Times New Roman" w:hAnsi="Times New Roman" w:cs="Times New Roman"/>
                <w:sz w:val="20"/>
                <w:szCs w:val="20"/>
                <w:lang w:eastAsia="ru-RU"/>
              </w:rPr>
            </w:pPr>
            <w:r w:rsidRPr="001830B2">
              <w:rPr>
                <w:rFonts w:ascii="Times New Roman" w:hAnsi="Times New Roman" w:cs="Times New Roman"/>
                <w:sz w:val="20"/>
                <w:szCs w:val="20"/>
              </w:rPr>
              <w:t>0,477</w:t>
            </w:r>
          </w:p>
        </w:tc>
        <w:tc>
          <w:tcPr>
            <w:tcW w:w="1701" w:type="dxa"/>
            <w:hideMark/>
          </w:tcPr>
          <w:p w14:paraId="2904D3AE" w14:textId="77777777" w:rsidR="00ED1D21" w:rsidRPr="001830B2" w:rsidRDefault="00ED1D21" w:rsidP="000F4E51">
            <w:pPr>
              <w:spacing w:after="0" w:line="240" w:lineRule="auto"/>
              <w:jc w:val="center"/>
              <w:rPr>
                <w:rFonts w:ascii="Times New Roman" w:eastAsia="Times New Roman" w:hAnsi="Times New Roman" w:cs="Times New Roman"/>
                <w:sz w:val="20"/>
                <w:szCs w:val="20"/>
                <w:lang w:eastAsia="ru-RU"/>
              </w:rPr>
            </w:pPr>
            <w:r w:rsidRPr="001830B2">
              <w:rPr>
                <w:rFonts w:ascii="Times New Roman" w:hAnsi="Times New Roman" w:cs="Times New Roman"/>
                <w:sz w:val="20"/>
                <w:szCs w:val="20"/>
              </w:rPr>
              <w:t>1 467 349,036</w:t>
            </w:r>
          </w:p>
        </w:tc>
        <w:tc>
          <w:tcPr>
            <w:tcW w:w="1276" w:type="dxa"/>
            <w:hideMark/>
          </w:tcPr>
          <w:p w14:paraId="393980B8"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714 635,695</w:t>
            </w:r>
          </w:p>
        </w:tc>
        <w:tc>
          <w:tcPr>
            <w:tcW w:w="952" w:type="dxa"/>
            <w:hideMark/>
          </w:tcPr>
          <w:p w14:paraId="6E0BE9C2"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0,491</w:t>
            </w:r>
          </w:p>
        </w:tc>
        <w:tc>
          <w:tcPr>
            <w:tcW w:w="851" w:type="dxa"/>
            <w:hideMark/>
          </w:tcPr>
          <w:p w14:paraId="5A13AC4A"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0,477</w:t>
            </w:r>
          </w:p>
        </w:tc>
        <w:tc>
          <w:tcPr>
            <w:tcW w:w="1457" w:type="dxa"/>
            <w:hideMark/>
          </w:tcPr>
          <w:p w14:paraId="3FC5739E"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1 467 349,036</w:t>
            </w:r>
          </w:p>
        </w:tc>
        <w:tc>
          <w:tcPr>
            <w:tcW w:w="1418" w:type="dxa"/>
            <w:hideMark/>
          </w:tcPr>
          <w:p w14:paraId="14F13AFC"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714 635,695</w:t>
            </w:r>
          </w:p>
        </w:tc>
      </w:tr>
      <w:tr w:rsidR="00ED1D21" w:rsidRPr="00B94D72" w14:paraId="366245B8" w14:textId="77777777" w:rsidTr="00533899">
        <w:trPr>
          <w:trHeight w:val="300"/>
          <w:jc w:val="center"/>
        </w:trPr>
        <w:tc>
          <w:tcPr>
            <w:tcW w:w="665" w:type="dxa"/>
            <w:vAlign w:val="center"/>
            <w:hideMark/>
          </w:tcPr>
          <w:p w14:paraId="49E0B5DE"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5</w:t>
            </w:r>
          </w:p>
        </w:tc>
        <w:tc>
          <w:tcPr>
            <w:tcW w:w="977" w:type="dxa"/>
            <w:hideMark/>
          </w:tcPr>
          <w:p w14:paraId="4CADE6AE"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0,440</w:t>
            </w:r>
          </w:p>
        </w:tc>
        <w:tc>
          <w:tcPr>
            <w:tcW w:w="763" w:type="dxa"/>
            <w:hideMark/>
          </w:tcPr>
          <w:p w14:paraId="467783AB"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0,249</w:t>
            </w:r>
          </w:p>
        </w:tc>
        <w:tc>
          <w:tcPr>
            <w:tcW w:w="709" w:type="dxa"/>
            <w:hideMark/>
          </w:tcPr>
          <w:p w14:paraId="72030485"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0,311</w:t>
            </w:r>
          </w:p>
        </w:tc>
        <w:tc>
          <w:tcPr>
            <w:tcW w:w="709" w:type="dxa"/>
            <w:hideMark/>
          </w:tcPr>
          <w:p w14:paraId="78D15481"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0,419</w:t>
            </w:r>
          </w:p>
        </w:tc>
        <w:tc>
          <w:tcPr>
            <w:tcW w:w="709" w:type="dxa"/>
            <w:hideMark/>
          </w:tcPr>
          <w:p w14:paraId="11A3D22D"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0,261</w:t>
            </w:r>
          </w:p>
        </w:tc>
        <w:tc>
          <w:tcPr>
            <w:tcW w:w="708" w:type="dxa"/>
            <w:hideMark/>
          </w:tcPr>
          <w:p w14:paraId="54C2BED2"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0,321</w:t>
            </w:r>
          </w:p>
        </w:tc>
        <w:tc>
          <w:tcPr>
            <w:tcW w:w="851" w:type="dxa"/>
            <w:hideMark/>
          </w:tcPr>
          <w:p w14:paraId="4E1F5A27"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0,346</w:t>
            </w:r>
          </w:p>
        </w:tc>
        <w:tc>
          <w:tcPr>
            <w:tcW w:w="850" w:type="dxa"/>
            <w:hideMark/>
          </w:tcPr>
          <w:p w14:paraId="23D2582C" w14:textId="77777777" w:rsidR="00ED1D21" w:rsidRPr="001830B2" w:rsidRDefault="00ED1D21" w:rsidP="000F4E51">
            <w:pPr>
              <w:spacing w:after="0" w:line="240" w:lineRule="auto"/>
              <w:jc w:val="center"/>
              <w:rPr>
                <w:rFonts w:ascii="Times New Roman" w:eastAsia="Times New Roman" w:hAnsi="Times New Roman" w:cs="Times New Roman"/>
                <w:sz w:val="20"/>
                <w:szCs w:val="20"/>
                <w:lang w:eastAsia="ru-RU"/>
              </w:rPr>
            </w:pPr>
            <w:r w:rsidRPr="001830B2">
              <w:rPr>
                <w:rFonts w:ascii="Times New Roman" w:hAnsi="Times New Roman" w:cs="Times New Roman"/>
                <w:sz w:val="20"/>
                <w:szCs w:val="20"/>
              </w:rPr>
              <w:t>0,336</w:t>
            </w:r>
          </w:p>
        </w:tc>
        <w:tc>
          <w:tcPr>
            <w:tcW w:w="1701" w:type="dxa"/>
            <w:hideMark/>
          </w:tcPr>
          <w:p w14:paraId="578D46D5" w14:textId="77777777" w:rsidR="00ED1D21" w:rsidRPr="001830B2" w:rsidRDefault="00ED1D21" w:rsidP="000F4E51">
            <w:pPr>
              <w:spacing w:after="0" w:line="240" w:lineRule="auto"/>
              <w:jc w:val="center"/>
              <w:rPr>
                <w:rFonts w:ascii="Times New Roman" w:eastAsia="Times New Roman" w:hAnsi="Times New Roman" w:cs="Times New Roman"/>
                <w:sz w:val="20"/>
                <w:szCs w:val="20"/>
                <w:lang w:eastAsia="ru-RU"/>
              </w:rPr>
            </w:pPr>
            <w:r w:rsidRPr="001830B2">
              <w:rPr>
                <w:rFonts w:ascii="Times New Roman" w:hAnsi="Times New Roman" w:cs="Times New Roman"/>
                <w:sz w:val="20"/>
                <w:szCs w:val="20"/>
              </w:rPr>
              <w:t>164 050,178</w:t>
            </w:r>
          </w:p>
        </w:tc>
        <w:tc>
          <w:tcPr>
            <w:tcW w:w="1276" w:type="dxa"/>
            <w:hideMark/>
          </w:tcPr>
          <w:p w14:paraId="61E331B8"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195 347,701</w:t>
            </w:r>
          </w:p>
        </w:tc>
        <w:tc>
          <w:tcPr>
            <w:tcW w:w="952" w:type="dxa"/>
            <w:hideMark/>
          </w:tcPr>
          <w:p w14:paraId="63F73F9A"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2,074</w:t>
            </w:r>
          </w:p>
        </w:tc>
        <w:tc>
          <w:tcPr>
            <w:tcW w:w="851" w:type="dxa"/>
            <w:hideMark/>
          </w:tcPr>
          <w:p w14:paraId="1F4FD608"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2,016</w:t>
            </w:r>
          </w:p>
        </w:tc>
        <w:tc>
          <w:tcPr>
            <w:tcW w:w="1457" w:type="dxa"/>
            <w:hideMark/>
          </w:tcPr>
          <w:p w14:paraId="54D2B7A3"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2 218 252,937</w:t>
            </w:r>
          </w:p>
        </w:tc>
        <w:tc>
          <w:tcPr>
            <w:tcW w:w="1418" w:type="dxa"/>
            <w:hideMark/>
          </w:tcPr>
          <w:p w14:paraId="32DBD40A"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1 561 144,911</w:t>
            </w:r>
          </w:p>
        </w:tc>
      </w:tr>
      <w:tr w:rsidR="00ED1D21" w:rsidRPr="00B94D72" w14:paraId="62D3C52F" w14:textId="77777777" w:rsidTr="00533899">
        <w:trPr>
          <w:trHeight w:val="300"/>
          <w:jc w:val="center"/>
        </w:trPr>
        <w:tc>
          <w:tcPr>
            <w:tcW w:w="665" w:type="dxa"/>
            <w:vAlign w:val="center"/>
            <w:hideMark/>
          </w:tcPr>
          <w:p w14:paraId="7319859F"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10</w:t>
            </w:r>
          </w:p>
        </w:tc>
        <w:tc>
          <w:tcPr>
            <w:tcW w:w="977" w:type="dxa"/>
            <w:hideMark/>
          </w:tcPr>
          <w:p w14:paraId="3528268A"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0,345</w:t>
            </w:r>
          </w:p>
        </w:tc>
        <w:tc>
          <w:tcPr>
            <w:tcW w:w="763" w:type="dxa"/>
            <w:hideMark/>
          </w:tcPr>
          <w:p w14:paraId="605B46AF"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0,198</w:t>
            </w:r>
          </w:p>
        </w:tc>
        <w:tc>
          <w:tcPr>
            <w:tcW w:w="709" w:type="dxa"/>
            <w:hideMark/>
          </w:tcPr>
          <w:p w14:paraId="28B39D83"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0,458</w:t>
            </w:r>
          </w:p>
        </w:tc>
        <w:tc>
          <w:tcPr>
            <w:tcW w:w="709" w:type="dxa"/>
            <w:hideMark/>
          </w:tcPr>
          <w:p w14:paraId="0DAE80B0"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0,329</w:t>
            </w:r>
          </w:p>
        </w:tc>
        <w:tc>
          <w:tcPr>
            <w:tcW w:w="709" w:type="dxa"/>
            <w:hideMark/>
          </w:tcPr>
          <w:p w14:paraId="7A8B8819"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0,204</w:t>
            </w:r>
          </w:p>
        </w:tc>
        <w:tc>
          <w:tcPr>
            <w:tcW w:w="708" w:type="dxa"/>
            <w:hideMark/>
          </w:tcPr>
          <w:p w14:paraId="55F10EB5"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0,467</w:t>
            </w:r>
          </w:p>
        </w:tc>
        <w:tc>
          <w:tcPr>
            <w:tcW w:w="851" w:type="dxa"/>
            <w:hideMark/>
          </w:tcPr>
          <w:p w14:paraId="1BCE17B0"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0,223</w:t>
            </w:r>
          </w:p>
        </w:tc>
        <w:tc>
          <w:tcPr>
            <w:tcW w:w="850" w:type="dxa"/>
            <w:hideMark/>
          </w:tcPr>
          <w:p w14:paraId="4C6F7DEC" w14:textId="77777777" w:rsidR="00ED1D21" w:rsidRPr="001830B2" w:rsidRDefault="00ED1D21" w:rsidP="000F4E51">
            <w:pPr>
              <w:spacing w:after="0" w:line="240" w:lineRule="auto"/>
              <w:jc w:val="center"/>
              <w:rPr>
                <w:rFonts w:ascii="Times New Roman" w:eastAsia="Times New Roman" w:hAnsi="Times New Roman" w:cs="Times New Roman"/>
                <w:sz w:val="20"/>
                <w:szCs w:val="20"/>
                <w:lang w:eastAsia="ru-RU"/>
              </w:rPr>
            </w:pPr>
            <w:r w:rsidRPr="001830B2">
              <w:rPr>
                <w:rFonts w:ascii="Times New Roman" w:hAnsi="Times New Roman" w:cs="Times New Roman"/>
                <w:sz w:val="20"/>
                <w:szCs w:val="20"/>
              </w:rPr>
              <w:t>0,217</w:t>
            </w:r>
          </w:p>
        </w:tc>
        <w:tc>
          <w:tcPr>
            <w:tcW w:w="1701" w:type="dxa"/>
            <w:hideMark/>
          </w:tcPr>
          <w:p w14:paraId="6C3EAF68" w14:textId="77777777" w:rsidR="00ED1D21" w:rsidRPr="001830B2" w:rsidRDefault="00ED1D21" w:rsidP="000F4E51">
            <w:pPr>
              <w:spacing w:after="0" w:line="240" w:lineRule="auto"/>
              <w:jc w:val="center"/>
              <w:rPr>
                <w:rFonts w:ascii="Times New Roman" w:eastAsia="Times New Roman" w:hAnsi="Times New Roman" w:cs="Times New Roman"/>
                <w:sz w:val="20"/>
                <w:szCs w:val="20"/>
                <w:lang w:eastAsia="ru-RU"/>
              </w:rPr>
            </w:pPr>
            <w:r w:rsidRPr="001830B2">
              <w:rPr>
                <w:rFonts w:ascii="Times New Roman" w:hAnsi="Times New Roman" w:cs="Times New Roman"/>
                <w:sz w:val="20"/>
                <w:szCs w:val="20"/>
              </w:rPr>
              <w:t>106 256,497</w:t>
            </w:r>
          </w:p>
        </w:tc>
        <w:tc>
          <w:tcPr>
            <w:tcW w:w="1276" w:type="dxa"/>
            <w:hideMark/>
          </w:tcPr>
          <w:p w14:paraId="3BDC1F78"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150 825,215</w:t>
            </w:r>
          </w:p>
        </w:tc>
        <w:tc>
          <w:tcPr>
            <w:tcW w:w="952" w:type="dxa"/>
            <w:hideMark/>
          </w:tcPr>
          <w:p w14:paraId="06B00DA6"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3,413</w:t>
            </w:r>
          </w:p>
        </w:tc>
        <w:tc>
          <w:tcPr>
            <w:tcW w:w="851" w:type="dxa"/>
            <w:hideMark/>
          </w:tcPr>
          <w:p w14:paraId="2B083E9F"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3,318</w:t>
            </w:r>
          </w:p>
        </w:tc>
        <w:tc>
          <w:tcPr>
            <w:tcW w:w="1457" w:type="dxa"/>
            <w:hideMark/>
          </w:tcPr>
          <w:p w14:paraId="76571EC5"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2 855 155,174</w:t>
            </w:r>
          </w:p>
        </w:tc>
        <w:tc>
          <w:tcPr>
            <w:tcW w:w="1418" w:type="dxa"/>
            <w:hideMark/>
          </w:tcPr>
          <w:p w14:paraId="07445093"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2 399 495,730</w:t>
            </w:r>
          </w:p>
        </w:tc>
      </w:tr>
      <w:tr w:rsidR="00ED1D21" w:rsidRPr="00B94D72" w14:paraId="60CDFE2C" w14:textId="77777777" w:rsidTr="00533899">
        <w:trPr>
          <w:trHeight w:val="300"/>
          <w:jc w:val="center"/>
        </w:trPr>
        <w:tc>
          <w:tcPr>
            <w:tcW w:w="665" w:type="dxa"/>
            <w:vAlign w:val="center"/>
          </w:tcPr>
          <w:p w14:paraId="7140753C"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15</w:t>
            </w:r>
          </w:p>
        </w:tc>
        <w:tc>
          <w:tcPr>
            <w:tcW w:w="977" w:type="dxa"/>
          </w:tcPr>
          <w:p w14:paraId="50DE84D8"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0,270</w:t>
            </w:r>
          </w:p>
        </w:tc>
        <w:tc>
          <w:tcPr>
            <w:tcW w:w="763" w:type="dxa"/>
          </w:tcPr>
          <w:p w14:paraId="039B2AAA"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0,157</w:t>
            </w:r>
          </w:p>
        </w:tc>
        <w:tc>
          <w:tcPr>
            <w:tcW w:w="709" w:type="dxa"/>
          </w:tcPr>
          <w:p w14:paraId="72C06737"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0,573</w:t>
            </w:r>
          </w:p>
        </w:tc>
        <w:tc>
          <w:tcPr>
            <w:tcW w:w="709" w:type="dxa"/>
          </w:tcPr>
          <w:p w14:paraId="5A44904E"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0,259</w:t>
            </w:r>
          </w:p>
        </w:tc>
        <w:tc>
          <w:tcPr>
            <w:tcW w:w="709" w:type="dxa"/>
          </w:tcPr>
          <w:p w14:paraId="1360ECC3"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0,160</w:t>
            </w:r>
          </w:p>
        </w:tc>
        <w:tc>
          <w:tcPr>
            <w:tcW w:w="708" w:type="dxa"/>
          </w:tcPr>
          <w:p w14:paraId="0867A1F3"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0,581</w:t>
            </w:r>
          </w:p>
        </w:tc>
        <w:tc>
          <w:tcPr>
            <w:tcW w:w="851" w:type="dxa"/>
          </w:tcPr>
          <w:p w14:paraId="0ABCA818"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0,144</w:t>
            </w:r>
          </w:p>
        </w:tc>
        <w:tc>
          <w:tcPr>
            <w:tcW w:w="850" w:type="dxa"/>
          </w:tcPr>
          <w:p w14:paraId="028958C5" w14:textId="77777777" w:rsidR="00ED1D21" w:rsidRPr="001830B2" w:rsidRDefault="00ED1D21" w:rsidP="000F4E51">
            <w:pPr>
              <w:spacing w:after="0" w:line="240" w:lineRule="auto"/>
              <w:jc w:val="center"/>
              <w:rPr>
                <w:rFonts w:ascii="Times New Roman" w:eastAsia="Times New Roman" w:hAnsi="Times New Roman" w:cs="Times New Roman"/>
                <w:sz w:val="20"/>
                <w:szCs w:val="20"/>
                <w:lang w:eastAsia="ru-RU"/>
              </w:rPr>
            </w:pPr>
            <w:r w:rsidRPr="001830B2">
              <w:rPr>
                <w:rFonts w:ascii="Times New Roman" w:hAnsi="Times New Roman" w:cs="Times New Roman"/>
                <w:sz w:val="20"/>
                <w:szCs w:val="20"/>
              </w:rPr>
              <w:t>0,140</w:t>
            </w:r>
          </w:p>
        </w:tc>
        <w:tc>
          <w:tcPr>
            <w:tcW w:w="1701" w:type="dxa"/>
          </w:tcPr>
          <w:p w14:paraId="6A1F2BF2" w14:textId="77777777" w:rsidR="00ED1D21" w:rsidRPr="001830B2" w:rsidRDefault="00ED1D21" w:rsidP="000F4E51">
            <w:pPr>
              <w:spacing w:after="0" w:line="240" w:lineRule="auto"/>
              <w:jc w:val="center"/>
              <w:rPr>
                <w:rFonts w:ascii="Times New Roman" w:eastAsia="Times New Roman" w:hAnsi="Times New Roman" w:cs="Times New Roman"/>
                <w:sz w:val="20"/>
                <w:szCs w:val="20"/>
                <w:lang w:eastAsia="ru-RU"/>
              </w:rPr>
            </w:pPr>
            <w:r w:rsidRPr="001830B2">
              <w:rPr>
                <w:rFonts w:ascii="Times New Roman" w:hAnsi="Times New Roman" w:cs="Times New Roman"/>
                <w:sz w:val="20"/>
                <w:szCs w:val="20"/>
              </w:rPr>
              <w:t>68 777,221</w:t>
            </w:r>
          </w:p>
        </w:tc>
        <w:tc>
          <w:tcPr>
            <w:tcW w:w="1276" w:type="dxa"/>
          </w:tcPr>
          <w:p w14:paraId="48E5CD77"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116 791,798</w:t>
            </w:r>
          </w:p>
        </w:tc>
        <w:tc>
          <w:tcPr>
            <w:tcW w:w="952" w:type="dxa"/>
          </w:tcPr>
          <w:p w14:paraId="330823F3"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4,277</w:t>
            </w:r>
          </w:p>
        </w:tc>
        <w:tc>
          <w:tcPr>
            <w:tcW w:w="851" w:type="dxa"/>
          </w:tcPr>
          <w:p w14:paraId="5A57F353"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4,159</w:t>
            </w:r>
          </w:p>
        </w:tc>
        <w:tc>
          <w:tcPr>
            <w:tcW w:w="1457" w:type="dxa"/>
          </w:tcPr>
          <w:p w14:paraId="7B1E8D04"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3 267 520,133</w:t>
            </w:r>
          </w:p>
        </w:tc>
        <w:tc>
          <w:tcPr>
            <w:tcW w:w="1418" w:type="dxa"/>
          </w:tcPr>
          <w:p w14:paraId="5E14D8CC"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3 047 901,338</w:t>
            </w:r>
          </w:p>
        </w:tc>
      </w:tr>
      <w:tr w:rsidR="00ED1D21" w:rsidRPr="00B94D72" w14:paraId="042E70B0" w14:textId="77777777" w:rsidTr="00533899">
        <w:trPr>
          <w:trHeight w:val="300"/>
          <w:jc w:val="center"/>
        </w:trPr>
        <w:tc>
          <w:tcPr>
            <w:tcW w:w="665" w:type="dxa"/>
            <w:vAlign w:val="center"/>
            <w:hideMark/>
          </w:tcPr>
          <w:p w14:paraId="599CC5AF"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20</w:t>
            </w:r>
          </w:p>
        </w:tc>
        <w:tc>
          <w:tcPr>
            <w:tcW w:w="977" w:type="dxa"/>
            <w:hideMark/>
          </w:tcPr>
          <w:p w14:paraId="6E58B365"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0,212</w:t>
            </w:r>
          </w:p>
        </w:tc>
        <w:tc>
          <w:tcPr>
            <w:tcW w:w="763" w:type="dxa"/>
            <w:hideMark/>
          </w:tcPr>
          <w:p w14:paraId="5BE72E50"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0,124</w:t>
            </w:r>
          </w:p>
        </w:tc>
        <w:tc>
          <w:tcPr>
            <w:tcW w:w="709" w:type="dxa"/>
            <w:hideMark/>
          </w:tcPr>
          <w:p w14:paraId="4EE8A062"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0,664</w:t>
            </w:r>
          </w:p>
        </w:tc>
        <w:tc>
          <w:tcPr>
            <w:tcW w:w="709" w:type="dxa"/>
            <w:hideMark/>
          </w:tcPr>
          <w:p w14:paraId="4D5DA9F7"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0,204</w:t>
            </w:r>
          </w:p>
        </w:tc>
        <w:tc>
          <w:tcPr>
            <w:tcW w:w="709" w:type="dxa"/>
            <w:hideMark/>
          </w:tcPr>
          <w:p w14:paraId="1D4E44D2"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0,125</w:t>
            </w:r>
          </w:p>
        </w:tc>
        <w:tc>
          <w:tcPr>
            <w:tcW w:w="708" w:type="dxa"/>
            <w:hideMark/>
          </w:tcPr>
          <w:p w14:paraId="5EB2E8D4"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0,671</w:t>
            </w:r>
          </w:p>
        </w:tc>
        <w:tc>
          <w:tcPr>
            <w:tcW w:w="851" w:type="dxa"/>
            <w:hideMark/>
          </w:tcPr>
          <w:p w14:paraId="109B043B"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0,093</w:t>
            </w:r>
          </w:p>
        </w:tc>
        <w:tc>
          <w:tcPr>
            <w:tcW w:w="850" w:type="dxa"/>
            <w:hideMark/>
          </w:tcPr>
          <w:p w14:paraId="25FDFE89"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0,091</w:t>
            </w:r>
          </w:p>
        </w:tc>
        <w:tc>
          <w:tcPr>
            <w:tcW w:w="1701" w:type="dxa"/>
            <w:hideMark/>
          </w:tcPr>
          <w:p w14:paraId="1C1AA2F7"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44 494,696</w:t>
            </w:r>
          </w:p>
        </w:tc>
        <w:tc>
          <w:tcPr>
            <w:tcW w:w="1276" w:type="dxa"/>
            <w:hideMark/>
          </w:tcPr>
          <w:p w14:paraId="44EAA55D"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90 661,171</w:t>
            </w:r>
          </w:p>
        </w:tc>
        <w:tc>
          <w:tcPr>
            <w:tcW w:w="952" w:type="dxa"/>
            <w:hideMark/>
          </w:tcPr>
          <w:p w14:paraId="78D6AD22"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4,835</w:t>
            </w:r>
          </w:p>
        </w:tc>
        <w:tc>
          <w:tcPr>
            <w:tcW w:w="851" w:type="dxa"/>
            <w:hideMark/>
          </w:tcPr>
          <w:p w14:paraId="5EBCF513"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4,702</w:t>
            </w:r>
          </w:p>
        </w:tc>
        <w:tc>
          <w:tcPr>
            <w:tcW w:w="1457" w:type="dxa"/>
            <w:hideMark/>
          </w:tcPr>
          <w:p w14:paraId="1212C055"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3 534 352,625</w:t>
            </w:r>
          </w:p>
        </w:tc>
        <w:tc>
          <w:tcPr>
            <w:tcW w:w="1418" w:type="dxa"/>
            <w:hideMark/>
          </w:tcPr>
          <w:p w14:paraId="74693BF7"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3 550 731,283</w:t>
            </w:r>
          </w:p>
        </w:tc>
      </w:tr>
      <w:tr w:rsidR="00ED1D21" w:rsidRPr="00B94D72" w14:paraId="38F42BD8" w14:textId="77777777" w:rsidTr="00533899">
        <w:trPr>
          <w:trHeight w:val="300"/>
          <w:jc w:val="center"/>
        </w:trPr>
        <w:tc>
          <w:tcPr>
            <w:tcW w:w="665" w:type="dxa"/>
            <w:vAlign w:val="center"/>
            <w:hideMark/>
          </w:tcPr>
          <w:p w14:paraId="04A5D074"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25</w:t>
            </w:r>
          </w:p>
        </w:tc>
        <w:tc>
          <w:tcPr>
            <w:tcW w:w="977" w:type="dxa"/>
            <w:hideMark/>
          </w:tcPr>
          <w:p w14:paraId="683AB4AD"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0,166</w:t>
            </w:r>
          </w:p>
        </w:tc>
        <w:tc>
          <w:tcPr>
            <w:tcW w:w="763" w:type="dxa"/>
            <w:hideMark/>
          </w:tcPr>
          <w:p w14:paraId="2F323614"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0,098</w:t>
            </w:r>
          </w:p>
        </w:tc>
        <w:tc>
          <w:tcPr>
            <w:tcW w:w="709" w:type="dxa"/>
            <w:hideMark/>
          </w:tcPr>
          <w:p w14:paraId="34515FF4"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0,736</w:t>
            </w:r>
          </w:p>
        </w:tc>
        <w:tc>
          <w:tcPr>
            <w:tcW w:w="709" w:type="dxa"/>
            <w:hideMark/>
          </w:tcPr>
          <w:p w14:paraId="30DAE072"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0,160</w:t>
            </w:r>
          </w:p>
        </w:tc>
        <w:tc>
          <w:tcPr>
            <w:tcW w:w="709" w:type="dxa"/>
            <w:hideMark/>
          </w:tcPr>
          <w:p w14:paraId="57E12FDB"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0,098</w:t>
            </w:r>
          </w:p>
        </w:tc>
        <w:tc>
          <w:tcPr>
            <w:tcW w:w="708" w:type="dxa"/>
            <w:hideMark/>
          </w:tcPr>
          <w:p w14:paraId="74F5D878"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0,742</w:t>
            </w:r>
          </w:p>
        </w:tc>
        <w:tc>
          <w:tcPr>
            <w:tcW w:w="851" w:type="dxa"/>
            <w:hideMark/>
          </w:tcPr>
          <w:p w14:paraId="167E73B9"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0,060</w:t>
            </w:r>
          </w:p>
        </w:tc>
        <w:tc>
          <w:tcPr>
            <w:tcW w:w="850" w:type="dxa"/>
            <w:hideMark/>
          </w:tcPr>
          <w:p w14:paraId="0C2A4B10"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0,058</w:t>
            </w:r>
          </w:p>
        </w:tc>
        <w:tc>
          <w:tcPr>
            <w:tcW w:w="1701" w:type="dxa"/>
            <w:hideMark/>
          </w:tcPr>
          <w:p w14:paraId="4D8E69E5"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28 773,726</w:t>
            </w:r>
          </w:p>
        </w:tc>
        <w:tc>
          <w:tcPr>
            <w:tcW w:w="1276" w:type="dxa"/>
            <w:hideMark/>
          </w:tcPr>
          <w:p w14:paraId="6B816229"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hAnsi="Times New Roman" w:cs="Times New Roman"/>
                <w:color w:val="000000"/>
                <w:sz w:val="20"/>
                <w:szCs w:val="20"/>
              </w:rPr>
              <w:t>70 522,392</w:t>
            </w:r>
          </w:p>
        </w:tc>
        <w:tc>
          <w:tcPr>
            <w:tcW w:w="952" w:type="dxa"/>
            <w:hideMark/>
          </w:tcPr>
          <w:p w14:paraId="5D9FB548"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hAnsi="Times New Roman" w:cs="Times New Roman"/>
                <w:color w:val="000000"/>
                <w:sz w:val="20"/>
                <w:szCs w:val="20"/>
              </w:rPr>
              <w:t>5,195</w:t>
            </w:r>
          </w:p>
        </w:tc>
        <w:tc>
          <w:tcPr>
            <w:tcW w:w="851" w:type="dxa"/>
            <w:hideMark/>
          </w:tcPr>
          <w:p w14:paraId="52FA64B2"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hAnsi="Times New Roman" w:cs="Times New Roman"/>
                <w:color w:val="000000"/>
                <w:sz w:val="20"/>
                <w:szCs w:val="20"/>
              </w:rPr>
              <w:t>5,053</w:t>
            </w:r>
          </w:p>
        </w:tc>
        <w:tc>
          <w:tcPr>
            <w:tcW w:w="1457" w:type="dxa"/>
            <w:hideMark/>
          </w:tcPr>
          <w:p w14:paraId="6AF5DCD3"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hAnsi="Times New Roman" w:cs="Times New Roman"/>
                <w:color w:val="000000"/>
                <w:sz w:val="20"/>
                <w:szCs w:val="20"/>
              </w:rPr>
              <w:t>3 706 936,153</w:t>
            </w:r>
          </w:p>
        </w:tc>
        <w:tc>
          <w:tcPr>
            <w:tcW w:w="1418" w:type="dxa"/>
            <w:hideMark/>
          </w:tcPr>
          <w:p w14:paraId="75257486"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hAnsi="Times New Roman" w:cs="Times New Roman"/>
                <w:color w:val="000000"/>
                <w:sz w:val="20"/>
                <w:szCs w:val="20"/>
              </w:rPr>
              <w:t>3 941 539,112</w:t>
            </w:r>
          </w:p>
        </w:tc>
      </w:tr>
      <w:tr w:rsidR="00ED1D21" w:rsidRPr="00B94D72" w14:paraId="6A10CE9F" w14:textId="77777777" w:rsidTr="00533899">
        <w:trPr>
          <w:trHeight w:val="300"/>
          <w:jc w:val="center"/>
        </w:trPr>
        <w:tc>
          <w:tcPr>
            <w:tcW w:w="14596" w:type="dxa"/>
            <w:gridSpan w:val="15"/>
            <w:vAlign w:val="center"/>
          </w:tcPr>
          <w:p w14:paraId="0A42DE5B" w14:textId="77777777" w:rsidR="00ED1D21" w:rsidRPr="00B94D72" w:rsidRDefault="00ED1D21" w:rsidP="000F4E51">
            <w:pPr>
              <w:spacing w:after="0" w:line="240" w:lineRule="auto"/>
              <w:jc w:val="center"/>
              <w:rPr>
                <w:rFonts w:ascii="Times New Roman" w:eastAsia="Times New Roman" w:hAnsi="Times New Roman" w:cs="Times New Roman"/>
                <w:color w:val="000000"/>
                <w:sz w:val="20"/>
                <w:szCs w:val="20"/>
                <w:lang w:eastAsia="ru-RU"/>
              </w:rPr>
            </w:pPr>
            <w:r w:rsidRPr="00B94D72">
              <w:rPr>
                <w:rFonts w:ascii="Times New Roman" w:eastAsia="Times New Roman" w:hAnsi="Times New Roman" w:cs="Times New Roman"/>
                <w:color w:val="000000"/>
                <w:sz w:val="20"/>
                <w:szCs w:val="20"/>
                <w:lang w:eastAsia="ru-RU"/>
              </w:rPr>
              <w:t xml:space="preserve">Независимое состояние (Ind) — функционально независимые пациенты, способные к самообслуживанию и не нуждающиеся в постоянной помощи </w:t>
            </w:r>
            <w:r w:rsidRPr="00B94D72">
              <w:rPr>
                <w:rFonts w:ascii="Times New Roman" w:eastAsia="Times New Roman" w:hAnsi="Times New Roman" w:cs="Times New Roman"/>
                <w:i/>
                <w:iCs/>
                <w:color w:val="000000"/>
                <w:sz w:val="20"/>
                <w:szCs w:val="20"/>
                <w:lang w:eastAsia="ru-RU"/>
              </w:rPr>
              <w:t>(mRS 0–2); з</w:t>
            </w:r>
            <w:r w:rsidRPr="00B94D72">
              <w:rPr>
                <w:rFonts w:ascii="Times New Roman" w:eastAsia="Times New Roman" w:hAnsi="Times New Roman" w:cs="Times New Roman"/>
                <w:color w:val="000000"/>
                <w:sz w:val="20"/>
                <w:szCs w:val="20"/>
                <w:lang w:eastAsia="ru-RU"/>
              </w:rPr>
              <w:t xml:space="preserve">ависимое состояние (Dep) — пациенты, нуждающиеся в регулярной или постоянной посторонней помощи </w:t>
            </w:r>
            <w:r w:rsidRPr="00B94D72">
              <w:rPr>
                <w:rFonts w:ascii="Times New Roman" w:eastAsia="Times New Roman" w:hAnsi="Times New Roman" w:cs="Times New Roman"/>
                <w:i/>
                <w:iCs/>
                <w:color w:val="000000"/>
                <w:sz w:val="20"/>
                <w:szCs w:val="20"/>
                <w:lang w:eastAsia="ru-RU"/>
              </w:rPr>
              <w:t>(mRS 3–5); с</w:t>
            </w:r>
            <w:r w:rsidRPr="00B94D72">
              <w:rPr>
                <w:rFonts w:ascii="Times New Roman" w:eastAsia="Times New Roman" w:hAnsi="Times New Roman" w:cs="Times New Roman"/>
                <w:color w:val="000000"/>
                <w:sz w:val="20"/>
                <w:szCs w:val="20"/>
                <w:lang w:eastAsia="ru-RU"/>
              </w:rPr>
              <w:t>мерть — терминальное состояние модели</w:t>
            </w:r>
          </w:p>
          <w:p w14:paraId="4258F737" w14:textId="77777777" w:rsidR="00ED1D21" w:rsidRPr="00B94D72" w:rsidRDefault="00ED1D21" w:rsidP="000F4E51">
            <w:pPr>
              <w:spacing w:after="0" w:line="240" w:lineRule="auto"/>
              <w:jc w:val="center"/>
              <w:rPr>
                <w:rFonts w:ascii="Times New Roman" w:eastAsia="Times New Roman" w:hAnsi="Times New Roman" w:cs="Times New Roman"/>
                <w:b/>
                <w:bCs/>
                <w:color w:val="000000"/>
                <w:sz w:val="20"/>
                <w:szCs w:val="20"/>
                <w:lang w:eastAsia="ru-RU"/>
              </w:rPr>
            </w:pPr>
            <w:r w:rsidRPr="00B94D72">
              <w:rPr>
                <w:rFonts w:ascii="Times New Roman" w:eastAsia="Times New Roman" w:hAnsi="Times New Roman" w:cs="Times New Roman"/>
                <w:color w:val="000000"/>
                <w:sz w:val="20"/>
                <w:szCs w:val="20"/>
                <w:lang w:eastAsia="ru-RU"/>
              </w:rPr>
              <w:t>QALY (quality-adjusted life years) — годы жизни с поправкой на качество; все значения QALY и затрат дисконтированы по ставке 4% в год; горизонт моделирования — 25 лет, шаг модели — 1 год; MSU (Mobile Stroke Unit) — специализированная мобильная инсультная бригада; Std (Standard of care) — стандартное лечение (обычная служба скорой медицинской помощи и последующее стационарное лечение).</w:t>
            </w:r>
          </w:p>
        </w:tc>
      </w:tr>
    </w:tbl>
    <w:p w14:paraId="21D39B35" w14:textId="77777777" w:rsidR="00ED1D21" w:rsidRPr="00802466" w:rsidRDefault="00ED1D21" w:rsidP="000F4E51">
      <w:pPr>
        <w:spacing w:after="0" w:line="240" w:lineRule="auto"/>
        <w:ind w:right="-284" w:firstLine="567"/>
        <w:jc w:val="both"/>
        <w:rPr>
          <w:rFonts w:ascii="Times New Roman" w:hAnsi="Times New Roman" w:cs="Times New Roman"/>
          <w:sz w:val="28"/>
          <w:szCs w:val="28"/>
        </w:rPr>
      </w:pPr>
    </w:p>
    <w:p w14:paraId="4DF5F3E1" w14:textId="77777777" w:rsidR="00ED1D21" w:rsidRPr="00802466" w:rsidRDefault="00ED1D21" w:rsidP="000F4E51">
      <w:pPr>
        <w:spacing w:after="0" w:line="240" w:lineRule="auto"/>
        <w:ind w:right="-284" w:firstLine="567"/>
        <w:jc w:val="both"/>
        <w:rPr>
          <w:rFonts w:ascii="Times New Roman" w:hAnsi="Times New Roman" w:cs="Times New Roman"/>
          <w:sz w:val="28"/>
          <w:szCs w:val="28"/>
        </w:rPr>
      </w:pPr>
    </w:p>
    <w:p w14:paraId="6F99DE58" w14:textId="77777777" w:rsidR="00ED1D21" w:rsidRDefault="00ED1D21" w:rsidP="000F4E51">
      <w:pPr>
        <w:spacing w:after="0" w:line="240" w:lineRule="auto"/>
        <w:ind w:right="-284" w:firstLine="567"/>
        <w:jc w:val="both"/>
        <w:rPr>
          <w:rFonts w:ascii="Times New Roman" w:hAnsi="Times New Roman" w:cs="Times New Roman"/>
          <w:sz w:val="28"/>
          <w:szCs w:val="28"/>
        </w:rPr>
      </w:pPr>
    </w:p>
    <w:p w14:paraId="7CF3CD7A" w14:textId="77777777" w:rsidR="00ED1D21" w:rsidRDefault="00ED1D21" w:rsidP="000F4E51">
      <w:pPr>
        <w:spacing w:after="0" w:line="240" w:lineRule="auto"/>
        <w:ind w:right="-284" w:firstLine="567"/>
        <w:jc w:val="both"/>
        <w:rPr>
          <w:rFonts w:ascii="Times New Roman" w:hAnsi="Times New Roman" w:cs="Times New Roman"/>
          <w:sz w:val="28"/>
          <w:szCs w:val="28"/>
        </w:rPr>
      </w:pPr>
    </w:p>
    <w:p w14:paraId="301EB6BC" w14:textId="77777777" w:rsidR="00ED1D21" w:rsidRPr="00802466" w:rsidRDefault="00ED1D21" w:rsidP="000F4E51">
      <w:pPr>
        <w:spacing w:after="0" w:line="240" w:lineRule="auto"/>
        <w:ind w:right="-284" w:firstLine="567"/>
        <w:jc w:val="both"/>
        <w:rPr>
          <w:rFonts w:ascii="Times New Roman" w:hAnsi="Times New Roman" w:cs="Times New Roman"/>
          <w:sz w:val="28"/>
          <w:szCs w:val="28"/>
        </w:rPr>
      </w:pPr>
    </w:p>
    <w:p w14:paraId="2555160D" w14:textId="77777777" w:rsidR="00ED1D21" w:rsidRDefault="00ED1D21" w:rsidP="000F4E51">
      <w:pPr>
        <w:spacing w:after="0" w:line="240" w:lineRule="auto"/>
        <w:ind w:right="-284" w:firstLine="567"/>
        <w:jc w:val="both"/>
        <w:rPr>
          <w:rFonts w:ascii="Times New Roman" w:hAnsi="Times New Roman" w:cs="Times New Roman"/>
          <w:sz w:val="28"/>
          <w:szCs w:val="28"/>
        </w:rPr>
        <w:sectPr w:rsidR="00ED1D21" w:rsidSect="00533899">
          <w:pgSz w:w="16838" w:h="11906" w:orient="landscape"/>
          <w:pgMar w:top="1701" w:right="962" w:bottom="850" w:left="1701" w:header="708" w:footer="708" w:gutter="0"/>
          <w:cols w:space="708"/>
          <w:docGrid w:linePitch="360"/>
        </w:sectPr>
      </w:pPr>
    </w:p>
    <w:p w14:paraId="4C3BBCB3" w14:textId="77CB5881" w:rsidR="00ED1D21" w:rsidRDefault="00981353" w:rsidP="000818BE">
      <w:pPr>
        <w:spacing w:after="0" w:line="240" w:lineRule="auto"/>
        <w:ind w:firstLine="567"/>
        <w:jc w:val="both"/>
        <w:rPr>
          <w:rFonts w:ascii="Times New Roman" w:hAnsi="Times New Roman" w:cs="Times New Roman"/>
          <w:sz w:val="28"/>
          <w:szCs w:val="28"/>
        </w:rPr>
      </w:pPr>
      <w:r w:rsidRPr="003B61C1">
        <w:rPr>
          <w:rFonts w:ascii="Times New Roman" w:hAnsi="Times New Roman" w:cs="Times New Roman"/>
          <w:sz w:val="28"/>
          <w:szCs w:val="28"/>
        </w:rPr>
        <w:lastRenderedPageBreak/>
        <w:t>В первый год моделирования среднее число QALY составило 0,49</w:t>
      </w:r>
      <w:r>
        <w:rPr>
          <w:rFonts w:ascii="Times New Roman" w:hAnsi="Times New Roman" w:cs="Times New Roman"/>
          <w:sz w:val="28"/>
          <w:szCs w:val="28"/>
        </w:rPr>
        <w:t>1</w:t>
      </w:r>
      <w:r w:rsidRPr="003B61C1">
        <w:rPr>
          <w:rFonts w:ascii="Times New Roman" w:hAnsi="Times New Roman" w:cs="Times New Roman"/>
          <w:sz w:val="28"/>
          <w:szCs w:val="28"/>
        </w:rPr>
        <w:t xml:space="preserve"> для стратегии MSU и 0,4</w:t>
      </w:r>
      <w:r>
        <w:rPr>
          <w:rFonts w:ascii="Times New Roman" w:hAnsi="Times New Roman" w:cs="Times New Roman"/>
          <w:sz w:val="28"/>
          <w:szCs w:val="28"/>
        </w:rPr>
        <w:t>77</w:t>
      </w:r>
      <w:r w:rsidRPr="003B61C1">
        <w:rPr>
          <w:rFonts w:ascii="Times New Roman" w:hAnsi="Times New Roman" w:cs="Times New Roman"/>
          <w:sz w:val="28"/>
          <w:szCs w:val="28"/>
        </w:rPr>
        <w:t xml:space="preserve"> для стандартного лечения. В последующие годы в обеих группах наблюдалось постепенное снижение годовых QALY, отражающее старение когорты и </w:t>
      </w:r>
      <w:r>
        <w:rPr>
          <w:rFonts w:ascii="Times New Roman" w:hAnsi="Times New Roman" w:cs="Times New Roman"/>
          <w:sz w:val="28"/>
          <w:szCs w:val="28"/>
        </w:rPr>
        <w:t>рост</w:t>
      </w:r>
      <w:r w:rsidRPr="003B61C1">
        <w:rPr>
          <w:rFonts w:ascii="Times New Roman" w:hAnsi="Times New Roman" w:cs="Times New Roman"/>
          <w:sz w:val="28"/>
          <w:szCs w:val="28"/>
        </w:rPr>
        <w:t xml:space="preserve"> смертности. Однако на протяжении всего периода моделирования QALY в группе MSU оставались выше, чем в группе стандартного лечения.</w:t>
      </w:r>
      <w:r>
        <w:rPr>
          <w:rFonts w:ascii="Times New Roman" w:hAnsi="Times New Roman" w:cs="Times New Roman"/>
          <w:sz w:val="28"/>
          <w:szCs w:val="28"/>
        </w:rPr>
        <w:t xml:space="preserve"> </w:t>
      </w:r>
      <w:r w:rsidR="00ED1D21" w:rsidRPr="003B61C1">
        <w:rPr>
          <w:rFonts w:ascii="Times New Roman" w:hAnsi="Times New Roman" w:cs="Times New Roman"/>
          <w:sz w:val="28"/>
          <w:szCs w:val="28"/>
        </w:rPr>
        <w:t>Кумулятивные уровни эффективности продемонстрировали устойчивое преимущество стратегии MSU. К пятому году кумулятивные дисконтированные QALY составили 2,07</w:t>
      </w:r>
      <w:r w:rsidR="00ED1D21">
        <w:rPr>
          <w:rFonts w:ascii="Times New Roman" w:hAnsi="Times New Roman" w:cs="Times New Roman"/>
          <w:sz w:val="28"/>
          <w:szCs w:val="28"/>
        </w:rPr>
        <w:t>4</w:t>
      </w:r>
      <w:r w:rsidR="00ED1D21" w:rsidRPr="003B61C1">
        <w:rPr>
          <w:rFonts w:ascii="Times New Roman" w:hAnsi="Times New Roman" w:cs="Times New Roman"/>
          <w:sz w:val="28"/>
          <w:szCs w:val="28"/>
        </w:rPr>
        <w:t xml:space="preserve"> для MSU и 2,0</w:t>
      </w:r>
      <w:r w:rsidR="00ED1D21">
        <w:rPr>
          <w:rFonts w:ascii="Times New Roman" w:hAnsi="Times New Roman" w:cs="Times New Roman"/>
          <w:sz w:val="28"/>
          <w:szCs w:val="28"/>
        </w:rPr>
        <w:t>16</w:t>
      </w:r>
      <w:r w:rsidR="00ED1D21" w:rsidRPr="003B61C1">
        <w:rPr>
          <w:rFonts w:ascii="Times New Roman" w:hAnsi="Times New Roman" w:cs="Times New Roman"/>
          <w:sz w:val="28"/>
          <w:szCs w:val="28"/>
        </w:rPr>
        <w:t xml:space="preserve"> для стандартного лечения. К 10-му году соответствующие значения достигли 3,41</w:t>
      </w:r>
      <w:r w:rsidR="00ED1D21">
        <w:rPr>
          <w:rFonts w:ascii="Times New Roman" w:hAnsi="Times New Roman" w:cs="Times New Roman"/>
          <w:sz w:val="28"/>
          <w:szCs w:val="28"/>
        </w:rPr>
        <w:t>3</w:t>
      </w:r>
      <w:r w:rsidR="00ED1D21" w:rsidRPr="003B61C1">
        <w:rPr>
          <w:rFonts w:ascii="Times New Roman" w:hAnsi="Times New Roman" w:cs="Times New Roman"/>
          <w:sz w:val="28"/>
          <w:szCs w:val="28"/>
        </w:rPr>
        <w:t xml:space="preserve"> и 3,3</w:t>
      </w:r>
      <w:r w:rsidR="00ED1D21">
        <w:rPr>
          <w:rFonts w:ascii="Times New Roman" w:hAnsi="Times New Roman" w:cs="Times New Roman"/>
          <w:sz w:val="28"/>
          <w:szCs w:val="28"/>
        </w:rPr>
        <w:t>18</w:t>
      </w:r>
      <w:r w:rsidR="00ED1D21" w:rsidRPr="003B61C1">
        <w:rPr>
          <w:rFonts w:ascii="Times New Roman" w:hAnsi="Times New Roman" w:cs="Times New Roman"/>
          <w:sz w:val="28"/>
          <w:szCs w:val="28"/>
        </w:rPr>
        <w:t>, а к 20-му году — 4,8</w:t>
      </w:r>
      <w:r w:rsidR="00ED1D21">
        <w:rPr>
          <w:rFonts w:ascii="Times New Roman" w:hAnsi="Times New Roman" w:cs="Times New Roman"/>
          <w:sz w:val="28"/>
          <w:szCs w:val="28"/>
        </w:rPr>
        <w:t>35</w:t>
      </w:r>
      <w:r w:rsidR="00ED1D21" w:rsidRPr="003B61C1">
        <w:rPr>
          <w:rFonts w:ascii="Times New Roman" w:hAnsi="Times New Roman" w:cs="Times New Roman"/>
          <w:sz w:val="28"/>
          <w:szCs w:val="28"/>
        </w:rPr>
        <w:t xml:space="preserve"> и 4,70</w:t>
      </w:r>
      <w:r w:rsidR="00ED1D21">
        <w:rPr>
          <w:rFonts w:ascii="Times New Roman" w:hAnsi="Times New Roman" w:cs="Times New Roman"/>
          <w:sz w:val="28"/>
          <w:szCs w:val="28"/>
        </w:rPr>
        <w:t>2</w:t>
      </w:r>
      <w:r w:rsidR="00ED1D21" w:rsidRPr="003B61C1">
        <w:rPr>
          <w:rFonts w:ascii="Times New Roman" w:hAnsi="Times New Roman" w:cs="Times New Roman"/>
          <w:sz w:val="28"/>
          <w:szCs w:val="28"/>
        </w:rPr>
        <w:t>.</w:t>
      </w:r>
      <w:r w:rsidR="00ED1D21">
        <w:rPr>
          <w:rFonts w:ascii="Times New Roman" w:hAnsi="Times New Roman" w:cs="Times New Roman"/>
          <w:sz w:val="28"/>
          <w:szCs w:val="28"/>
        </w:rPr>
        <w:t xml:space="preserve"> </w:t>
      </w:r>
      <w:r w:rsidR="00ED1D21" w:rsidRPr="003B61C1">
        <w:rPr>
          <w:rFonts w:ascii="Times New Roman" w:hAnsi="Times New Roman" w:cs="Times New Roman"/>
          <w:sz w:val="28"/>
          <w:szCs w:val="28"/>
        </w:rPr>
        <w:t>В конце 2</w:t>
      </w:r>
      <w:r w:rsidR="00ED1D21">
        <w:rPr>
          <w:rFonts w:ascii="Times New Roman" w:hAnsi="Times New Roman" w:cs="Times New Roman"/>
          <w:sz w:val="28"/>
          <w:szCs w:val="28"/>
        </w:rPr>
        <w:t>5</w:t>
      </w:r>
      <w:r w:rsidR="00ED1D21" w:rsidRPr="003B61C1">
        <w:rPr>
          <w:rFonts w:ascii="Times New Roman" w:hAnsi="Times New Roman" w:cs="Times New Roman"/>
          <w:sz w:val="28"/>
          <w:szCs w:val="28"/>
        </w:rPr>
        <w:t>-летнего периода моделирования общее дисконтированное количество QALY составило 5,</w:t>
      </w:r>
      <w:r w:rsidR="00ED1D21">
        <w:rPr>
          <w:rFonts w:ascii="Times New Roman" w:hAnsi="Times New Roman" w:cs="Times New Roman"/>
          <w:sz w:val="28"/>
          <w:szCs w:val="28"/>
        </w:rPr>
        <w:t>195</w:t>
      </w:r>
      <w:r w:rsidR="00ED1D21" w:rsidRPr="003B61C1">
        <w:rPr>
          <w:rFonts w:ascii="Times New Roman" w:hAnsi="Times New Roman" w:cs="Times New Roman"/>
          <w:sz w:val="28"/>
          <w:szCs w:val="28"/>
        </w:rPr>
        <w:t xml:space="preserve"> для стратегии MSU и 5,</w:t>
      </w:r>
      <w:r w:rsidR="00ED1D21">
        <w:rPr>
          <w:rFonts w:ascii="Times New Roman" w:hAnsi="Times New Roman" w:cs="Times New Roman"/>
          <w:sz w:val="28"/>
          <w:szCs w:val="28"/>
        </w:rPr>
        <w:t>053</w:t>
      </w:r>
      <w:r w:rsidR="00ED1D21" w:rsidRPr="003B61C1">
        <w:rPr>
          <w:rFonts w:ascii="Times New Roman" w:hAnsi="Times New Roman" w:cs="Times New Roman"/>
          <w:sz w:val="28"/>
          <w:szCs w:val="28"/>
        </w:rPr>
        <w:t xml:space="preserve"> для стандартного лечения. Таким образом, повышение эффективности при использовании MSU составило ΔQALY = +0,14,</w:t>
      </w:r>
      <w:r w:rsidR="00ED1D21">
        <w:rPr>
          <w:rFonts w:ascii="Times New Roman" w:hAnsi="Times New Roman" w:cs="Times New Roman"/>
          <w:sz w:val="28"/>
          <w:szCs w:val="28"/>
        </w:rPr>
        <w:t>2</w:t>
      </w:r>
      <w:r w:rsidR="00ED1D21" w:rsidRPr="003B61C1">
        <w:rPr>
          <w:rFonts w:ascii="Times New Roman" w:hAnsi="Times New Roman" w:cs="Times New Roman"/>
          <w:sz w:val="28"/>
          <w:szCs w:val="28"/>
        </w:rPr>
        <w:t xml:space="preserve"> что указывает на улучшение качества жизни и ожидаемой продолжительности жизни пациентов.</w:t>
      </w:r>
    </w:p>
    <w:p w14:paraId="2AC2FFE9" w14:textId="77777777" w:rsidR="00ED1D21" w:rsidRPr="003B61C1" w:rsidRDefault="00ED1D21" w:rsidP="000818BE">
      <w:pPr>
        <w:spacing w:after="0" w:line="240" w:lineRule="auto"/>
        <w:ind w:firstLine="567"/>
        <w:jc w:val="both"/>
        <w:rPr>
          <w:rFonts w:ascii="Times New Roman" w:hAnsi="Times New Roman" w:cs="Times New Roman"/>
          <w:sz w:val="28"/>
          <w:szCs w:val="28"/>
        </w:rPr>
      </w:pPr>
      <w:r w:rsidRPr="003B61C1">
        <w:rPr>
          <w:rFonts w:ascii="Times New Roman" w:hAnsi="Times New Roman" w:cs="Times New Roman"/>
          <w:i/>
          <w:iCs/>
          <w:sz w:val="28"/>
          <w:szCs w:val="28"/>
        </w:rPr>
        <w:t>Затраты и их структура</w:t>
      </w:r>
      <w:r>
        <w:rPr>
          <w:rFonts w:ascii="Times New Roman" w:hAnsi="Times New Roman" w:cs="Times New Roman"/>
          <w:i/>
          <w:iCs/>
          <w:sz w:val="28"/>
          <w:szCs w:val="28"/>
        </w:rPr>
        <w:t xml:space="preserve">: </w:t>
      </w:r>
      <w:r w:rsidRPr="003B61C1">
        <w:rPr>
          <w:rFonts w:ascii="Times New Roman" w:hAnsi="Times New Roman" w:cs="Times New Roman"/>
          <w:sz w:val="28"/>
          <w:szCs w:val="28"/>
        </w:rPr>
        <w:t>Анализ затрат включал прямые медицинские, социальные и организационные расходы. В первый год моделирования затраты в группе MSU были значительно выше, чем в группе стандартного лечения (1467349</w:t>
      </w:r>
      <w:r>
        <w:rPr>
          <w:rFonts w:ascii="Times New Roman" w:hAnsi="Times New Roman" w:cs="Times New Roman"/>
          <w:sz w:val="28"/>
          <w:szCs w:val="28"/>
        </w:rPr>
        <w:t>,036</w:t>
      </w:r>
      <w:r w:rsidRPr="003B61C1">
        <w:rPr>
          <w:rFonts w:ascii="Times New Roman" w:hAnsi="Times New Roman" w:cs="Times New Roman"/>
          <w:sz w:val="28"/>
          <w:szCs w:val="28"/>
        </w:rPr>
        <w:t xml:space="preserve"> тенге против 71463</w:t>
      </w:r>
      <w:r>
        <w:rPr>
          <w:rFonts w:ascii="Times New Roman" w:hAnsi="Times New Roman" w:cs="Times New Roman"/>
          <w:sz w:val="28"/>
          <w:szCs w:val="28"/>
        </w:rPr>
        <w:t>5,695</w:t>
      </w:r>
      <w:r w:rsidRPr="003B61C1">
        <w:rPr>
          <w:rFonts w:ascii="Times New Roman" w:hAnsi="Times New Roman" w:cs="Times New Roman"/>
          <w:sz w:val="28"/>
          <w:szCs w:val="28"/>
        </w:rPr>
        <w:t xml:space="preserve"> тенге), что обусловлено высокими первоначальными инвестициями, включая затраты на эксплуатацию MSU и обучение персонала.</w:t>
      </w:r>
      <w:r>
        <w:rPr>
          <w:rFonts w:ascii="Times New Roman" w:hAnsi="Times New Roman" w:cs="Times New Roman"/>
          <w:sz w:val="28"/>
          <w:szCs w:val="28"/>
        </w:rPr>
        <w:t xml:space="preserve"> </w:t>
      </w:r>
    </w:p>
    <w:p w14:paraId="15E0622B" w14:textId="77777777" w:rsidR="00ED1D21" w:rsidRPr="003B61C1" w:rsidRDefault="00ED1D21" w:rsidP="000818BE">
      <w:pPr>
        <w:spacing w:after="0" w:line="240" w:lineRule="auto"/>
        <w:ind w:firstLine="567"/>
        <w:jc w:val="both"/>
        <w:rPr>
          <w:rFonts w:ascii="Times New Roman" w:hAnsi="Times New Roman" w:cs="Times New Roman"/>
          <w:sz w:val="28"/>
          <w:szCs w:val="28"/>
        </w:rPr>
      </w:pPr>
      <w:r w:rsidRPr="003B61C1">
        <w:rPr>
          <w:rFonts w:ascii="Times New Roman" w:hAnsi="Times New Roman" w:cs="Times New Roman"/>
          <w:sz w:val="28"/>
          <w:szCs w:val="28"/>
        </w:rPr>
        <w:t>Начиная со второго года, годовые затраты в группе MSU были ниже, чем в группе стандартного лечения. Это связано с большей долей функционально независимых пациентов, требующих меньших затрат на медицинское обслуживание, реабилитацию и социальную поддержку. Например, во второй год годовые затраты составили 21280</w:t>
      </w:r>
      <w:r>
        <w:rPr>
          <w:rFonts w:ascii="Times New Roman" w:hAnsi="Times New Roman" w:cs="Times New Roman"/>
          <w:sz w:val="28"/>
          <w:szCs w:val="28"/>
        </w:rPr>
        <w:t>2,562</w:t>
      </w:r>
      <w:r w:rsidRPr="003B61C1">
        <w:rPr>
          <w:rFonts w:ascii="Times New Roman" w:hAnsi="Times New Roman" w:cs="Times New Roman"/>
          <w:sz w:val="28"/>
          <w:szCs w:val="28"/>
        </w:rPr>
        <w:t xml:space="preserve"> тенге для группы MSU и 228515</w:t>
      </w:r>
      <w:r>
        <w:rPr>
          <w:rFonts w:ascii="Times New Roman" w:hAnsi="Times New Roman" w:cs="Times New Roman"/>
          <w:sz w:val="28"/>
          <w:szCs w:val="28"/>
        </w:rPr>
        <w:t>,321</w:t>
      </w:r>
      <w:r w:rsidRPr="003B61C1">
        <w:rPr>
          <w:rFonts w:ascii="Times New Roman" w:hAnsi="Times New Roman" w:cs="Times New Roman"/>
          <w:sz w:val="28"/>
          <w:szCs w:val="28"/>
        </w:rPr>
        <w:t xml:space="preserve"> тенге для группы стандартного лечения, а в пятый год — 164050</w:t>
      </w:r>
      <w:r>
        <w:rPr>
          <w:rFonts w:ascii="Times New Roman" w:hAnsi="Times New Roman" w:cs="Times New Roman"/>
          <w:sz w:val="28"/>
          <w:szCs w:val="28"/>
        </w:rPr>
        <w:t>,178</w:t>
      </w:r>
      <w:r w:rsidRPr="003B61C1">
        <w:rPr>
          <w:rFonts w:ascii="Times New Roman" w:hAnsi="Times New Roman" w:cs="Times New Roman"/>
          <w:sz w:val="28"/>
          <w:szCs w:val="28"/>
        </w:rPr>
        <w:t xml:space="preserve"> тенге и 19534</w:t>
      </w:r>
      <w:r>
        <w:rPr>
          <w:rFonts w:ascii="Times New Roman" w:hAnsi="Times New Roman" w:cs="Times New Roman"/>
          <w:sz w:val="28"/>
          <w:szCs w:val="28"/>
        </w:rPr>
        <w:t>7,701</w:t>
      </w:r>
      <w:r w:rsidRPr="003B61C1">
        <w:rPr>
          <w:rFonts w:ascii="Times New Roman" w:hAnsi="Times New Roman" w:cs="Times New Roman"/>
          <w:sz w:val="28"/>
          <w:szCs w:val="28"/>
        </w:rPr>
        <w:t xml:space="preserve"> тенге соответственно.</w:t>
      </w:r>
    </w:p>
    <w:p w14:paraId="5C22BAE6" w14:textId="4875083C" w:rsidR="00ED1D21" w:rsidRDefault="00ED1D21" w:rsidP="000818BE">
      <w:pPr>
        <w:spacing w:after="0" w:line="240" w:lineRule="auto"/>
        <w:ind w:firstLine="567"/>
        <w:jc w:val="both"/>
        <w:rPr>
          <w:rFonts w:ascii="Times New Roman" w:hAnsi="Times New Roman" w:cs="Times New Roman"/>
          <w:sz w:val="28"/>
          <w:szCs w:val="28"/>
        </w:rPr>
      </w:pPr>
      <w:r w:rsidRPr="003B61C1">
        <w:rPr>
          <w:rFonts w:ascii="Times New Roman" w:hAnsi="Times New Roman" w:cs="Times New Roman"/>
          <w:sz w:val="28"/>
          <w:szCs w:val="28"/>
        </w:rPr>
        <w:t>В долгосрочной перспективе различия в структуре затрат прив</w:t>
      </w:r>
      <w:r>
        <w:rPr>
          <w:rFonts w:ascii="Times New Roman" w:hAnsi="Times New Roman" w:cs="Times New Roman"/>
          <w:sz w:val="28"/>
          <w:szCs w:val="28"/>
        </w:rPr>
        <w:t xml:space="preserve">одили </w:t>
      </w:r>
      <w:r w:rsidRPr="003B61C1">
        <w:rPr>
          <w:rFonts w:ascii="Times New Roman" w:hAnsi="Times New Roman" w:cs="Times New Roman"/>
          <w:sz w:val="28"/>
          <w:szCs w:val="28"/>
        </w:rPr>
        <w:t>к постепенному выравниванию</w:t>
      </w:r>
      <w:r>
        <w:rPr>
          <w:rFonts w:ascii="Times New Roman" w:hAnsi="Times New Roman" w:cs="Times New Roman"/>
          <w:sz w:val="28"/>
          <w:szCs w:val="28"/>
        </w:rPr>
        <w:t>, а затем снижению совокупных</w:t>
      </w:r>
      <w:r w:rsidRPr="003B61C1">
        <w:rPr>
          <w:rFonts w:ascii="Times New Roman" w:hAnsi="Times New Roman" w:cs="Times New Roman"/>
          <w:sz w:val="28"/>
          <w:szCs w:val="28"/>
        </w:rPr>
        <w:t xml:space="preserve"> </w:t>
      </w:r>
      <w:r>
        <w:rPr>
          <w:rFonts w:ascii="Times New Roman" w:hAnsi="Times New Roman" w:cs="Times New Roman"/>
          <w:sz w:val="28"/>
          <w:szCs w:val="28"/>
        </w:rPr>
        <w:t xml:space="preserve">расходов </w:t>
      </w:r>
      <w:r w:rsidRPr="003B61C1">
        <w:rPr>
          <w:rFonts w:ascii="Times New Roman" w:hAnsi="Times New Roman" w:cs="Times New Roman"/>
          <w:sz w:val="28"/>
          <w:szCs w:val="28"/>
        </w:rPr>
        <w:t xml:space="preserve">в группе MSU. </w:t>
      </w:r>
      <w:r w:rsidRPr="00F57F39">
        <w:rPr>
          <w:rFonts w:ascii="Times New Roman" w:hAnsi="Times New Roman" w:cs="Times New Roman"/>
          <w:sz w:val="28"/>
          <w:szCs w:val="28"/>
        </w:rPr>
        <w:t>Кумулятивные дисконтированные затраты оставались выше в группе MSU до 19-го года (3 489</w:t>
      </w:r>
      <w:r>
        <w:rPr>
          <w:rFonts w:ascii="Times New Roman" w:hAnsi="Times New Roman" w:cs="Times New Roman"/>
          <w:sz w:val="28"/>
          <w:szCs w:val="28"/>
        </w:rPr>
        <w:t> </w:t>
      </w:r>
      <w:r w:rsidRPr="00F57F39">
        <w:rPr>
          <w:rFonts w:ascii="Times New Roman" w:hAnsi="Times New Roman" w:cs="Times New Roman"/>
          <w:sz w:val="28"/>
          <w:szCs w:val="28"/>
        </w:rPr>
        <w:t>85</w:t>
      </w:r>
      <w:r>
        <w:rPr>
          <w:rFonts w:ascii="Times New Roman" w:hAnsi="Times New Roman" w:cs="Times New Roman"/>
          <w:sz w:val="28"/>
          <w:szCs w:val="28"/>
        </w:rPr>
        <w:t>7,929</w:t>
      </w:r>
      <w:r w:rsidRPr="00F57F39">
        <w:rPr>
          <w:rFonts w:ascii="Times New Roman" w:hAnsi="Times New Roman" w:cs="Times New Roman"/>
          <w:sz w:val="28"/>
          <w:szCs w:val="28"/>
        </w:rPr>
        <w:t xml:space="preserve"> тенге против 3 460</w:t>
      </w:r>
      <w:r>
        <w:rPr>
          <w:rFonts w:ascii="Times New Roman" w:hAnsi="Times New Roman" w:cs="Times New Roman"/>
          <w:sz w:val="28"/>
          <w:szCs w:val="28"/>
        </w:rPr>
        <w:t> </w:t>
      </w:r>
      <w:r w:rsidRPr="00F57F39">
        <w:rPr>
          <w:rFonts w:ascii="Times New Roman" w:hAnsi="Times New Roman" w:cs="Times New Roman"/>
          <w:sz w:val="28"/>
          <w:szCs w:val="28"/>
        </w:rPr>
        <w:t>070</w:t>
      </w:r>
      <w:r>
        <w:rPr>
          <w:rFonts w:ascii="Times New Roman" w:hAnsi="Times New Roman" w:cs="Times New Roman"/>
          <w:sz w:val="28"/>
          <w:szCs w:val="28"/>
        </w:rPr>
        <w:t>,111</w:t>
      </w:r>
      <w:r w:rsidRPr="00F57F39">
        <w:rPr>
          <w:rFonts w:ascii="Times New Roman" w:hAnsi="Times New Roman" w:cs="Times New Roman"/>
          <w:sz w:val="28"/>
          <w:szCs w:val="28"/>
        </w:rPr>
        <w:t xml:space="preserve"> тенге), однако начиная с 20-го года стратегия MSU становилась экономически более выгодной (353435</w:t>
      </w:r>
      <w:r>
        <w:rPr>
          <w:rFonts w:ascii="Times New Roman" w:hAnsi="Times New Roman" w:cs="Times New Roman"/>
          <w:sz w:val="28"/>
          <w:szCs w:val="28"/>
        </w:rPr>
        <w:t>2,625</w:t>
      </w:r>
      <w:r w:rsidRPr="00F57F39">
        <w:rPr>
          <w:rFonts w:ascii="Times New Roman" w:hAnsi="Times New Roman" w:cs="Times New Roman"/>
          <w:sz w:val="28"/>
          <w:szCs w:val="28"/>
        </w:rPr>
        <w:t xml:space="preserve"> тенге против 3550731</w:t>
      </w:r>
      <w:r>
        <w:rPr>
          <w:rFonts w:ascii="Times New Roman" w:hAnsi="Times New Roman" w:cs="Times New Roman"/>
          <w:sz w:val="28"/>
          <w:szCs w:val="28"/>
        </w:rPr>
        <w:t>,283</w:t>
      </w:r>
      <w:r w:rsidRPr="00F57F39">
        <w:rPr>
          <w:rFonts w:ascii="Times New Roman" w:hAnsi="Times New Roman" w:cs="Times New Roman"/>
          <w:sz w:val="28"/>
          <w:szCs w:val="28"/>
        </w:rPr>
        <w:t xml:space="preserve"> тенге). По итогам полного периода моделирования суммарные дисконтированные затраты составили 3 706</w:t>
      </w:r>
      <w:r>
        <w:rPr>
          <w:rFonts w:ascii="Times New Roman" w:hAnsi="Times New Roman" w:cs="Times New Roman"/>
          <w:sz w:val="28"/>
          <w:szCs w:val="28"/>
        </w:rPr>
        <w:t> </w:t>
      </w:r>
      <w:r w:rsidRPr="00F57F39">
        <w:rPr>
          <w:rFonts w:ascii="Times New Roman" w:hAnsi="Times New Roman" w:cs="Times New Roman"/>
          <w:sz w:val="28"/>
          <w:szCs w:val="28"/>
        </w:rPr>
        <w:t>936</w:t>
      </w:r>
      <w:r>
        <w:rPr>
          <w:rFonts w:ascii="Times New Roman" w:hAnsi="Times New Roman" w:cs="Times New Roman"/>
          <w:sz w:val="28"/>
          <w:szCs w:val="28"/>
        </w:rPr>
        <w:t>,153</w:t>
      </w:r>
      <w:r w:rsidRPr="00F57F39">
        <w:rPr>
          <w:rFonts w:ascii="Times New Roman" w:hAnsi="Times New Roman" w:cs="Times New Roman"/>
          <w:sz w:val="28"/>
          <w:szCs w:val="28"/>
        </w:rPr>
        <w:t xml:space="preserve"> тенге для MSU и 3 941</w:t>
      </w:r>
      <w:r>
        <w:rPr>
          <w:rFonts w:ascii="Times New Roman" w:hAnsi="Times New Roman" w:cs="Times New Roman"/>
          <w:sz w:val="28"/>
          <w:szCs w:val="28"/>
        </w:rPr>
        <w:t> </w:t>
      </w:r>
      <w:r w:rsidRPr="00F57F39">
        <w:rPr>
          <w:rFonts w:ascii="Times New Roman" w:hAnsi="Times New Roman" w:cs="Times New Roman"/>
          <w:sz w:val="28"/>
          <w:szCs w:val="28"/>
        </w:rPr>
        <w:t>539</w:t>
      </w:r>
      <w:r>
        <w:rPr>
          <w:rFonts w:ascii="Times New Roman" w:hAnsi="Times New Roman" w:cs="Times New Roman"/>
          <w:sz w:val="28"/>
          <w:szCs w:val="28"/>
        </w:rPr>
        <w:t>,112</w:t>
      </w:r>
      <w:r w:rsidRPr="00F57F39">
        <w:rPr>
          <w:rFonts w:ascii="Times New Roman" w:hAnsi="Times New Roman" w:cs="Times New Roman"/>
          <w:sz w:val="28"/>
          <w:szCs w:val="28"/>
        </w:rPr>
        <w:t xml:space="preserve"> тенге для стандартного лечения. Таким образом, использование MSU было связано со снижением затрат на ΔСтоимость = −</w:t>
      </w:r>
      <w:r>
        <w:rPr>
          <w:rFonts w:ascii="Times New Roman" w:hAnsi="Times New Roman" w:cs="Times New Roman"/>
          <w:sz w:val="28"/>
          <w:szCs w:val="28"/>
        </w:rPr>
        <w:t>234 602,959</w:t>
      </w:r>
      <w:r w:rsidRPr="003B61C1">
        <w:rPr>
          <w:rFonts w:ascii="Times New Roman" w:hAnsi="Times New Roman" w:cs="Times New Roman"/>
          <w:sz w:val="28"/>
          <w:szCs w:val="28"/>
        </w:rPr>
        <w:t xml:space="preserve"> </w:t>
      </w:r>
      <w:r w:rsidRPr="00F57F39">
        <w:rPr>
          <w:rFonts w:ascii="Times New Roman" w:hAnsi="Times New Roman" w:cs="Times New Roman"/>
          <w:sz w:val="28"/>
          <w:szCs w:val="28"/>
        </w:rPr>
        <w:t>тенге на одного пациента</w:t>
      </w:r>
      <w:r w:rsidR="006D6E83">
        <w:rPr>
          <w:rFonts w:ascii="Times New Roman" w:hAnsi="Times New Roman" w:cs="Times New Roman"/>
          <w:sz w:val="28"/>
          <w:szCs w:val="28"/>
        </w:rPr>
        <w:t>, таблица 23</w:t>
      </w:r>
      <w:r w:rsidRPr="00F57F39">
        <w:rPr>
          <w:rFonts w:ascii="Times New Roman" w:hAnsi="Times New Roman" w:cs="Times New Roman"/>
          <w:sz w:val="28"/>
          <w:szCs w:val="28"/>
        </w:rPr>
        <w:t>.</w:t>
      </w:r>
    </w:p>
    <w:p w14:paraId="3B68FAFF" w14:textId="77777777" w:rsidR="00ED1D21" w:rsidRPr="003B61C1" w:rsidRDefault="00ED1D21" w:rsidP="000818BE">
      <w:pPr>
        <w:spacing w:after="0" w:line="240" w:lineRule="auto"/>
        <w:ind w:firstLine="567"/>
        <w:jc w:val="both"/>
        <w:rPr>
          <w:rFonts w:ascii="Times New Roman" w:hAnsi="Times New Roman" w:cs="Times New Roman"/>
          <w:sz w:val="28"/>
          <w:szCs w:val="28"/>
        </w:rPr>
      </w:pPr>
      <w:r w:rsidRPr="003B61C1">
        <w:rPr>
          <w:rFonts w:ascii="Times New Roman" w:hAnsi="Times New Roman" w:cs="Times New Roman"/>
          <w:i/>
          <w:iCs/>
          <w:sz w:val="28"/>
          <w:szCs w:val="28"/>
        </w:rPr>
        <w:t>Сравнительная оценка экономической эффективности</w:t>
      </w:r>
      <w:r>
        <w:rPr>
          <w:rFonts w:ascii="Times New Roman" w:hAnsi="Times New Roman" w:cs="Times New Roman"/>
          <w:i/>
          <w:iCs/>
          <w:sz w:val="28"/>
          <w:szCs w:val="28"/>
        </w:rPr>
        <w:t xml:space="preserve">: </w:t>
      </w:r>
      <w:r>
        <w:rPr>
          <w:rFonts w:ascii="Times New Roman" w:hAnsi="Times New Roman" w:cs="Times New Roman"/>
          <w:sz w:val="28"/>
          <w:szCs w:val="28"/>
        </w:rPr>
        <w:t xml:space="preserve">Совместный </w:t>
      </w:r>
      <w:r w:rsidRPr="003B61C1">
        <w:rPr>
          <w:rFonts w:ascii="Times New Roman" w:hAnsi="Times New Roman" w:cs="Times New Roman"/>
          <w:sz w:val="28"/>
          <w:szCs w:val="28"/>
        </w:rPr>
        <w:t xml:space="preserve">анализ экономической эффективности показал, что стратегия MSU превосходит стандартное лечение, обеспечивая более высокую эффективность при </w:t>
      </w:r>
      <w:r>
        <w:rPr>
          <w:rFonts w:ascii="Times New Roman" w:hAnsi="Times New Roman" w:cs="Times New Roman"/>
          <w:sz w:val="28"/>
          <w:szCs w:val="28"/>
        </w:rPr>
        <w:t>меньших суммарных</w:t>
      </w:r>
      <w:r w:rsidRPr="003B61C1">
        <w:rPr>
          <w:rFonts w:ascii="Times New Roman" w:hAnsi="Times New Roman" w:cs="Times New Roman"/>
          <w:sz w:val="28"/>
          <w:szCs w:val="28"/>
        </w:rPr>
        <w:t xml:space="preserve"> затратах.</w:t>
      </w:r>
      <w:r>
        <w:rPr>
          <w:rFonts w:ascii="Times New Roman" w:hAnsi="Times New Roman" w:cs="Times New Roman"/>
          <w:sz w:val="28"/>
          <w:szCs w:val="28"/>
        </w:rPr>
        <w:t xml:space="preserve"> </w:t>
      </w:r>
      <w:r w:rsidRPr="003B61C1">
        <w:rPr>
          <w:rFonts w:ascii="Times New Roman" w:hAnsi="Times New Roman" w:cs="Times New Roman"/>
          <w:sz w:val="28"/>
          <w:szCs w:val="28"/>
        </w:rPr>
        <w:t xml:space="preserve">Разница в </w:t>
      </w:r>
      <w:r>
        <w:rPr>
          <w:rFonts w:ascii="Times New Roman" w:hAnsi="Times New Roman" w:cs="Times New Roman"/>
          <w:sz w:val="28"/>
          <w:szCs w:val="28"/>
        </w:rPr>
        <w:t>итоговых</w:t>
      </w:r>
      <w:r w:rsidRPr="003B61C1">
        <w:rPr>
          <w:rFonts w:ascii="Times New Roman" w:hAnsi="Times New Roman" w:cs="Times New Roman"/>
          <w:sz w:val="28"/>
          <w:szCs w:val="28"/>
        </w:rPr>
        <w:t xml:space="preserve"> показателях составила:</w:t>
      </w:r>
    </w:p>
    <w:p w14:paraId="4571E2A0" w14:textId="77777777" w:rsidR="00ED1D21" w:rsidRPr="003B61C1" w:rsidRDefault="00ED1D21" w:rsidP="000818BE">
      <w:pPr>
        <w:spacing w:after="0" w:line="240" w:lineRule="auto"/>
        <w:ind w:firstLine="567"/>
        <w:jc w:val="both"/>
        <w:rPr>
          <w:rFonts w:ascii="Times New Roman" w:hAnsi="Times New Roman" w:cs="Times New Roman"/>
          <w:sz w:val="28"/>
          <w:szCs w:val="28"/>
        </w:rPr>
      </w:pPr>
    </w:p>
    <w:p w14:paraId="3D0FF3BC" w14:textId="77777777" w:rsidR="00ED1D21" w:rsidRPr="003B61C1" w:rsidRDefault="00ED1D21" w:rsidP="000818BE">
      <w:pPr>
        <w:spacing w:after="0" w:line="240" w:lineRule="auto"/>
        <w:ind w:firstLine="567"/>
        <w:jc w:val="both"/>
        <w:rPr>
          <w:rFonts w:ascii="Times New Roman" w:hAnsi="Times New Roman" w:cs="Times New Roman"/>
          <w:sz w:val="28"/>
          <w:szCs w:val="28"/>
        </w:rPr>
      </w:pPr>
      <w:r w:rsidRPr="003B61C1">
        <w:rPr>
          <w:rFonts w:ascii="Times New Roman" w:hAnsi="Times New Roman" w:cs="Times New Roman"/>
          <w:sz w:val="28"/>
          <w:szCs w:val="28"/>
        </w:rPr>
        <w:t>ΔQALY = +0,14</w:t>
      </w:r>
      <w:r>
        <w:rPr>
          <w:rFonts w:ascii="Times New Roman" w:hAnsi="Times New Roman" w:cs="Times New Roman"/>
          <w:sz w:val="28"/>
          <w:szCs w:val="28"/>
        </w:rPr>
        <w:t xml:space="preserve">2 и </w:t>
      </w:r>
      <w:r w:rsidRPr="003B61C1">
        <w:rPr>
          <w:rFonts w:ascii="Times New Roman" w:hAnsi="Times New Roman" w:cs="Times New Roman"/>
          <w:sz w:val="28"/>
          <w:szCs w:val="28"/>
        </w:rPr>
        <w:t>ΔСтоимость = -</w:t>
      </w:r>
      <w:r>
        <w:rPr>
          <w:rFonts w:ascii="Times New Roman" w:hAnsi="Times New Roman" w:cs="Times New Roman"/>
          <w:sz w:val="28"/>
          <w:szCs w:val="28"/>
        </w:rPr>
        <w:t>234 602,959</w:t>
      </w:r>
      <w:r w:rsidRPr="003B61C1">
        <w:rPr>
          <w:rFonts w:ascii="Times New Roman" w:hAnsi="Times New Roman" w:cs="Times New Roman"/>
          <w:sz w:val="28"/>
          <w:szCs w:val="28"/>
        </w:rPr>
        <w:t xml:space="preserve"> тенге</w:t>
      </w:r>
    </w:p>
    <w:p w14:paraId="28064472" w14:textId="77777777" w:rsidR="00ED1D21" w:rsidRPr="003B61C1" w:rsidRDefault="00ED1D21" w:rsidP="000818BE">
      <w:pPr>
        <w:spacing w:after="0" w:line="240" w:lineRule="auto"/>
        <w:ind w:firstLine="567"/>
        <w:jc w:val="both"/>
        <w:rPr>
          <w:rFonts w:ascii="Times New Roman" w:hAnsi="Times New Roman" w:cs="Times New Roman"/>
          <w:sz w:val="28"/>
          <w:szCs w:val="28"/>
        </w:rPr>
      </w:pPr>
    </w:p>
    <w:p w14:paraId="137C9864" w14:textId="77777777" w:rsidR="00ED1D21" w:rsidRPr="003B61C1" w:rsidRDefault="00ED1D21" w:rsidP="000818BE">
      <w:pPr>
        <w:spacing w:after="0" w:line="240" w:lineRule="auto"/>
        <w:ind w:firstLine="567"/>
        <w:jc w:val="both"/>
        <w:rPr>
          <w:rFonts w:ascii="Times New Roman" w:hAnsi="Times New Roman" w:cs="Times New Roman"/>
          <w:sz w:val="28"/>
          <w:szCs w:val="28"/>
        </w:rPr>
      </w:pPr>
      <w:r w:rsidRPr="003B61C1">
        <w:rPr>
          <w:rFonts w:ascii="Times New Roman" w:hAnsi="Times New Roman" w:cs="Times New Roman"/>
          <w:sz w:val="28"/>
          <w:szCs w:val="28"/>
        </w:rPr>
        <w:t>В связи с</w:t>
      </w:r>
      <w:r>
        <w:rPr>
          <w:rFonts w:ascii="Times New Roman" w:hAnsi="Times New Roman" w:cs="Times New Roman"/>
          <w:sz w:val="28"/>
          <w:szCs w:val="28"/>
        </w:rPr>
        <w:t xml:space="preserve"> тем, что</w:t>
      </w:r>
      <w:r w:rsidRPr="00A65A65">
        <w:rPr>
          <w:rFonts w:ascii="Times New Roman" w:hAnsi="Times New Roman" w:cs="Times New Roman"/>
          <w:sz w:val="28"/>
          <w:szCs w:val="28"/>
        </w:rPr>
        <w:t xml:space="preserve"> стратегия MSU одновременно</w:t>
      </w:r>
      <w:r>
        <w:rPr>
          <w:rFonts w:ascii="Times New Roman" w:hAnsi="Times New Roman" w:cs="Times New Roman"/>
          <w:sz w:val="28"/>
          <w:szCs w:val="28"/>
        </w:rPr>
        <w:t xml:space="preserve"> характеризовалась увеличением эффективности и снижением затрат</w:t>
      </w:r>
      <w:r w:rsidRPr="00A65A65">
        <w:rPr>
          <w:rFonts w:ascii="Times New Roman" w:hAnsi="Times New Roman" w:cs="Times New Roman"/>
          <w:sz w:val="28"/>
          <w:szCs w:val="28"/>
        </w:rPr>
        <w:t xml:space="preserve">, </w:t>
      </w:r>
      <w:r>
        <w:rPr>
          <w:rFonts w:ascii="Times New Roman" w:hAnsi="Times New Roman" w:cs="Times New Roman"/>
          <w:sz w:val="28"/>
          <w:szCs w:val="28"/>
        </w:rPr>
        <w:t xml:space="preserve">инкрементальный </w:t>
      </w:r>
      <w:r w:rsidRPr="00A65A65">
        <w:rPr>
          <w:rFonts w:ascii="Times New Roman" w:hAnsi="Times New Roman" w:cs="Times New Roman"/>
          <w:sz w:val="28"/>
          <w:szCs w:val="28"/>
        </w:rPr>
        <w:t xml:space="preserve">коэффициент </w:t>
      </w:r>
      <w:r>
        <w:rPr>
          <w:rFonts w:ascii="Times New Roman" w:hAnsi="Times New Roman" w:cs="Times New Roman"/>
          <w:sz w:val="28"/>
          <w:szCs w:val="28"/>
        </w:rPr>
        <w:t xml:space="preserve">«затраты-эффективность» </w:t>
      </w:r>
      <w:r w:rsidRPr="00A65A65">
        <w:rPr>
          <w:rFonts w:ascii="Times New Roman" w:hAnsi="Times New Roman" w:cs="Times New Roman"/>
          <w:sz w:val="28"/>
          <w:szCs w:val="28"/>
        </w:rPr>
        <w:t>(ICER)</w:t>
      </w:r>
      <w:r>
        <w:rPr>
          <w:rFonts w:ascii="Times New Roman" w:hAnsi="Times New Roman" w:cs="Times New Roman"/>
          <w:sz w:val="28"/>
          <w:szCs w:val="28"/>
        </w:rPr>
        <w:t xml:space="preserve"> принимал отрицательное значение и составил </w:t>
      </w:r>
      <w:r w:rsidRPr="00A65A65">
        <w:rPr>
          <w:rFonts w:ascii="Times New Roman" w:hAnsi="Times New Roman" w:cs="Times New Roman"/>
          <w:sz w:val="28"/>
          <w:szCs w:val="28"/>
        </w:rPr>
        <w:t>-</w:t>
      </w:r>
      <w:r>
        <w:rPr>
          <w:rFonts w:ascii="Times New Roman" w:hAnsi="Times New Roman" w:cs="Times New Roman"/>
          <w:sz w:val="28"/>
          <w:szCs w:val="28"/>
        </w:rPr>
        <w:t>1,65</w:t>
      </w:r>
      <w:r w:rsidRPr="00A65A65">
        <w:rPr>
          <w:rFonts w:ascii="Times New Roman" w:hAnsi="Times New Roman" w:cs="Times New Roman"/>
          <w:sz w:val="28"/>
          <w:szCs w:val="28"/>
        </w:rPr>
        <w:t xml:space="preserve"> миллиона тенге на </w:t>
      </w:r>
      <w:r>
        <w:rPr>
          <w:rFonts w:ascii="Times New Roman" w:hAnsi="Times New Roman" w:cs="Times New Roman"/>
          <w:sz w:val="28"/>
          <w:szCs w:val="28"/>
        </w:rPr>
        <w:t xml:space="preserve">1 </w:t>
      </w:r>
      <w:r w:rsidRPr="00A65A65">
        <w:rPr>
          <w:rFonts w:ascii="Times New Roman" w:hAnsi="Times New Roman" w:cs="Times New Roman"/>
          <w:sz w:val="28"/>
          <w:szCs w:val="28"/>
        </w:rPr>
        <w:t xml:space="preserve">QALY, что </w:t>
      </w:r>
      <w:r>
        <w:rPr>
          <w:rFonts w:ascii="Times New Roman" w:hAnsi="Times New Roman" w:cs="Times New Roman"/>
          <w:sz w:val="28"/>
          <w:szCs w:val="28"/>
        </w:rPr>
        <w:t xml:space="preserve">свидетельствует о доминировании стратегии </w:t>
      </w:r>
      <w:r w:rsidRPr="00A65A65">
        <w:rPr>
          <w:rFonts w:ascii="Times New Roman" w:hAnsi="Times New Roman" w:cs="Times New Roman"/>
          <w:sz w:val="28"/>
          <w:szCs w:val="28"/>
        </w:rPr>
        <w:t xml:space="preserve">MSU </w:t>
      </w:r>
      <w:r>
        <w:rPr>
          <w:rFonts w:ascii="Times New Roman" w:hAnsi="Times New Roman" w:cs="Times New Roman"/>
          <w:sz w:val="28"/>
          <w:szCs w:val="28"/>
        </w:rPr>
        <w:t>по сравнению со</w:t>
      </w:r>
      <w:r w:rsidRPr="00A65A65">
        <w:rPr>
          <w:rFonts w:ascii="Times New Roman" w:hAnsi="Times New Roman" w:cs="Times New Roman"/>
          <w:sz w:val="28"/>
          <w:szCs w:val="28"/>
        </w:rPr>
        <w:t xml:space="preserve"> стандартным лечением. </w:t>
      </w:r>
    </w:p>
    <w:p w14:paraId="2DEEF90A" w14:textId="77777777" w:rsidR="00ED1D21" w:rsidRDefault="00ED1D21" w:rsidP="000818BE">
      <w:pPr>
        <w:spacing w:after="0" w:line="240" w:lineRule="auto"/>
        <w:ind w:firstLine="567"/>
        <w:jc w:val="both"/>
        <w:rPr>
          <w:rFonts w:ascii="Times New Roman" w:hAnsi="Times New Roman" w:cs="Times New Roman"/>
          <w:sz w:val="28"/>
          <w:szCs w:val="28"/>
        </w:rPr>
      </w:pPr>
      <w:r w:rsidRPr="003B61C1">
        <w:rPr>
          <w:rFonts w:ascii="Times New Roman" w:hAnsi="Times New Roman" w:cs="Times New Roman"/>
          <w:sz w:val="28"/>
          <w:szCs w:val="28"/>
        </w:rPr>
        <w:t xml:space="preserve">Для оценки экономической привлекательности стратегии </w:t>
      </w:r>
      <w:r>
        <w:rPr>
          <w:rFonts w:ascii="Times New Roman" w:hAnsi="Times New Roman" w:cs="Times New Roman"/>
          <w:sz w:val="28"/>
          <w:szCs w:val="28"/>
          <w:lang w:val="en-US"/>
        </w:rPr>
        <w:t>MSU</w:t>
      </w:r>
      <w:r w:rsidRPr="003B61C1">
        <w:rPr>
          <w:rFonts w:ascii="Times New Roman" w:hAnsi="Times New Roman" w:cs="Times New Roman"/>
          <w:sz w:val="28"/>
          <w:szCs w:val="28"/>
        </w:rPr>
        <w:t xml:space="preserve"> также была рассчитана чистая денежная выгода (</w:t>
      </w:r>
      <w:r>
        <w:rPr>
          <w:rFonts w:ascii="Times New Roman" w:hAnsi="Times New Roman" w:cs="Times New Roman"/>
          <w:sz w:val="28"/>
          <w:szCs w:val="28"/>
          <w:lang w:val="en-US"/>
        </w:rPr>
        <w:t>Net</w:t>
      </w:r>
      <w:r w:rsidRPr="00746D8E">
        <w:rPr>
          <w:rFonts w:ascii="Times New Roman" w:hAnsi="Times New Roman" w:cs="Times New Roman"/>
          <w:sz w:val="28"/>
          <w:szCs w:val="28"/>
        </w:rPr>
        <w:t xml:space="preserve"> </w:t>
      </w:r>
      <w:r>
        <w:rPr>
          <w:rFonts w:ascii="Times New Roman" w:hAnsi="Times New Roman" w:cs="Times New Roman"/>
          <w:sz w:val="28"/>
          <w:szCs w:val="28"/>
          <w:lang w:val="en-US"/>
        </w:rPr>
        <w:t>monetary</w:t>
      </w:r>
      <w:r w:rsidRPr="00746D8E">
        <w:rPr>
          <w:rFonts w:ascii="Times New Roman" w:hAnsi="Times New Roman" w:cs="Times New Roman"/>
          <w:sz w:val="28"/>
          <w:szCs w:val="28"/>
        </w:rPr>
        <w:t xml:space="preserve"> </w:t>
      </w:r>
      <w:r>
        <w:rPr>
          <w:rFonts w:ascii="Times New Roman" w:hAnsi="Times New Roman" w:cs="Times New Roman"/>
          <w:sz w:val="28"/>
          <w:szCs w:val="28"/>
          <w:lang w:val="en-US"/>
        </w:rPr>
        <w:t>benefit</w:t>
      </w:r>
      <w:r w:rsidRPr="00746D8E">
        <w:rPr>
          <w:rFonts w:ascii="Times New Roman" w:hAnsi="Times New Roman" w:cs="Times New Roman"/>
          <w:sz w:val="28"/>
          <w:szCs w:val="28"/>
        </w:rPr>
        <w:t xml:space="preserve">, </w:t>
      </w:r>
      <w:r>
        <w:rPr>
          <w:rFonts w:ascii="Times New Roman" w:hAnsi="Times New Roman" w:cs="Times New Roman"/>
          <w:sz w:val="28"/>
          <w:szCs w:val="28"/>
          <w:lang w:val="en-US"/>
        </w:rPr>
        <w:t>NMB</w:t>
      </w:r>
      <w:r w:rsidRPr="003B61C1">
        <w:rPr>
          <w:rFonts w:ascii="Times New Roman" w:hAnsi="Times New Roman" w:cs="Times New Roman"/>
          <w:sz w:val="28"/>
          <w:szCs w:val="28"/>
        </w:rPr>
        <w:t xml:space="preserve">). При пороговом значении готовности платить, равном единовременному валовому региональному продукту на душу населения (1500200 тенге на QALY), </w:t>
      </w:r>
      <w:r>
        <w:rPr>
          <w:rFonts w:ascii="Times New Roman" w:hAnsi="Times New Roman" w:cs="Times New Roman"/>
          <w:sz w:val="28"/>
          <w:szCs w:val="28"/>
          <w:lang w:val="en-US"/>
        </w:rPr>
        <w:t>NMB</w:t>
      </w:r>
      <w:r w:rsidRPr="003B61C1">
        <w:rPr>
          <w:rFonts w:ascii="Times New Roman" w:hAnsi="Times New Roman" w:cs="Times New Roman"/>
          <w:sz w:val="28"/>
          <w:szCs w:val="28"/>
        </w:rPr>
        <w:t xml:space="preserve"> составила +</w:t>
      </w:r>
      <w:r>
        <w:rPr>
          <w:rFonts w:ascii="Times New Roman" w:hAnsi="Times New Roman" w:cs="Times New Roman"/>
          <w:sz w:val="28"/>
          <w:szCs w:val="28"/>
        </w:rPr>
        <w:t>447 964</w:t>
      </w:r>
      <w:r w:rsidRPr="003B61C1">
        <w:rPr>
          <w:rFonts w:ascii="Times New Roman" w:hAnsi="Times New Roman" w:cs="Times New Roman"/>
          <w:sz w:val="28"/>
          <w:szCs w:val="28"/>
        </w:rPr>
        <w:t xml:space="preserve"> тенге. При использовании более высокого порогового значения (3×В</w:t>
      </w:r>
      <w:r>
        <w:rPr>
          <w:rFonts w:ascii="Times New Roman" w:hAnsi="Times New Roman" w:cs="Times New Roman"/>
          <w:sz w:val="28"/>
          <w:szCs w:val="28"/>
        </w:rPr>
        <w:t>ВП</w:t>
      </w:r>
      <w:r w:rsidRPr="003B61C1">
        <w:rPr>
          <w:rFonts w:ascii="Times New Roman" w:hAnsi="Times New Roman" w:cs="Times New Roman"/>
          <w:sz w:val="28"/>
          <w:szCs w:val="28"/>
        </w:rPr>
        <w:t xml:space="preserve">, 4 500 600 тенге на QALY) </w:t>
      </w:r>
      <w:r>
        <w:rPr>
          <w:rFonts w:ascii="Times New Roman" w:hAnsi="Times New Roman" w:cs="Times New Roman"/>
          <w:sz w:val="28"/>
          <w:szCs w:val="28"/>
          <w:lang w:val="en-US"/>
        </w:rPr>
        <w:t>NMB</w:t>
      </w:r>
      <w:r w:rsidRPr="003B61C1">
        <w:rPr>
          <w:rFonts w:ascii="Times New Roman" w:hAnsi="Times New Roman" w:cs="Times New Roman"/>
          <w:sz w:val="28"/>
          <w:szCs w:val="28"/>
        </w:rPr>
        <w:t xml:space="preserve"> увеличилась до +</w:t>
      </w:r>
      <w:r>
        <w:rPr>
          <w:rFonts w:ascii="Times New Roman" w:hAnsi="Times New Roman" w:cs="Times New Roman"/>
          <w:sz w:val="28"/>
          <w:szCs w:val="28"/>
        </w:rPr>
        <w:t xml:space="preserve"> 874686 </w:t>
      </w:r>
      <w:r w:rsidRPr="003B61C1">
        <w:rPr>
          <w:rFonts w:ascii="Times New Roman" w:hAnsi="Times New Roman" w:cs="Times New Roman"/>
          <w:sz w:val="28"/>
          <w:szCs w:val="28"/>
        </w:rPr>
        <w:t>тенге. Положительные значения NMB при обоих пороговых значениях готовности платить указывают на высокую вероятность экономической целесообразности внедрения MSU.</w:t>
      </w:r>
    </w:p>
    <w:p w14:paraId="43D4BDC3" w14:textId="77777777" w:rsidR="00ED1D21" w:rsidRPr="009143D3" w:rsidRDefault="00ED1D21" w:rsidP="000F4E51">
      <w:pPr>
        <w:spacing w:after="0" w:line="240" w:lineRule="auto"/>
        <w:ind w:left="851" w:right="-1135" w:firstLine="567"/>
        <w:jc w:val="both"/>
        <w:rPr>
          <w:rFonts w:ascii="Times New Roman" w:hAnsi="Times New Roman" w:cs="Times New Roman"/>
          <w:sz w:val="28"/>
          <w:szCs w:val="28"/>
        </w:rPr>
      </w:pPr>
    </w:p>
    <w:p w14:paraId="5380C678" w14:textId="00F3F9AE" w:rsidR="00ED1D21" w:rsidRDefault="00ED1D21" w:rsidP="000818B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w:t>
      </w:r>
      <w:r w:rsidR="006D6E83">
        <w:rPr>
          <w:rFonts w:ascii="Times New Roman" w:hAnsi="Times New Roman" w:cs="Times New Roman"/>
          <w:sz w:val="28"/>
          <w:szCs w:val="28"/>
        </w:rPr>
        <w:t>23</w:t>
      </w:r>
      <w:r w:rsidR="000818BE">
        <w:rPr>
          <w:rFonts w:ascii="Times New Roman" w:hAnsi="Times New Roman" w:cs="Times New Roman"/>
          <w:sz w:val="28"/>
          <w:szCs w:val="28"/>
        </w:rPr>
        <w:t xml:space="preserve"> - </w:t>
      </w:r>
      <w:r>
        <w:rPr>
          <w:rFonts w:ascii="Times New Roman" w:hAnsi="Times New Roman" w:cs="Times New Roman"/>
          <w:sz w:val="28"/>
          <w:szCs w:val="28"/>
        </w:rPr>
        <w:t xml:space="preserve">Сравнительная экономическая оценка стратегии </w:t>
      </w:r>
      <w:r>
        <w:rPr>
          <w:rFonts w:ascii="Times New Roman" w:hAnsi="Times New Roman" w:cs="Times New Roman"/>
          <w:sz w:val="28"/>
          <w:szCs w:val="28"/>
          <w:lang w:val="en-US"/>
        </w:rPr>
        <w:t>MSU</w:t>
      </w:r>
      <w:r>
        <w:rPr>
          <w:rFonts w:ascii="Times New Roman" w:hAnsi="Times New Roman" w:cs="Times New Roman"/>
          <w:sz w:val="28"/>
          <w:szCs w:val="28"/>
        </w:rPr>
        <w:t xml:space="preserve"> и стандартного лечения </w:t>
      </w:r>
    </w:p>
    <w:p w14:paraId="2ABE4B33" w14:textId="77777777" w:rsidR="000818BE" w:rsidRPr="005B6644" w:rsidRDefault="000818BE" w:rsidP="000818BE">
      <w:pPr>
        <w:spacing w:after="0" w:line="240" w:lineRule="auto"/>
        <w:ind w:right="-1135"/>
        <w:jc w:val="both"/>
        <w:rPr>
          <w:rFonts w:ascii="Times New Roman" w:hAnsi="Times New Roman" w:cs="Times New Roman"/>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1"/>
        <w:gridCol w:w="1545"/>
        <w:gridCol w:w="1481"/>
        <w:gridCol w:w="2131"/>
      </w:tblGrid>
      <w:tr w:rsidR="00ED1D21" w:rsidRPr="00D00B34" w14:paraId="2D271F9F" w14:textId="77777777" w:rsidTr="000818BE">
        <w:trPr>
          <w:trHeight w:val="473"/>
        </w:trPr>
        <w:tc>
          <w:tcPr>
            <w:tcW w:w="4341" w:type="dxa"/>
            <w:vAlign w:val="center"/>
            <w:hideMark/>
          </w:tcPr>
          <w:p w14:paraId="0E4AC143"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Показатель</w:t>
            </w:r>
          </w:p>
        </w:tc>
        <w:tc>
          <w:tcPr>
            <w:tcW w:w="1545" w:type="dxa"/>
            <w:vAlign w:val="center"/>
            <w:hideMark/>
          </w:tcPr>
          <w:p w14:paraId="64E4EEBF"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MSU</w:t>
            </w:r>
          </w:p>
        </w:tc>
        <w:tc>
          <w:tcPr>
            <w:tcW w:w="1481" w:type="dxa"/>
            <w:vAlign w:val="center"/>
            <w:hideMark/>
          </w:tcPr>
          <w:p w14:paraId="3DA7F333"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Стандартное лечение</w:t>
            </w:r>
          </w:p>
        </w:tc>
        <w:tc>
          <w:tcPr>
            <w:tcW w:w="2131" w:type="dxa"/>
            <w:vAlign w:val="center"/>
            <w:hideMark/>
          </w:tcPr>
          <w:p w14:paraId="6F29AEE3"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Инкремент (MSU − Standard)</w:t>
            </w:r>
          </w:p>
        </w:tc>
      </w:tr>
      <w:tr w:rsidR="00ED1D21" w:rsidRPr="00D00B34" w14:paraId="3A0A2ED4" w14:textId="77777777" w:rsidTr="000818BE">
        <w:trPr>
          <w:trHeight w:val="282"/>
        </w:trPr>
        <w:tc>
          <w:tcPr>
            <w:tcW w:w="4341" w:type="dxa"/>
            <w:vAlign w:val="center"/>
            <w:hideMark/>
          </w:tcPr>
          <w:p w14:paraId="50F4D2A1" w14:textId="77777777" w:rsidR="00ED1D21" w:rsidRPr="00D00B34" w:rsidRDefault="00ED1D21" w:rsidP="000F4E51">
            <w:pPr>
              <w:spacing w:after="0" w:line="240" w:lineRule="auto"/>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Суммарные дисконтированные QALY</w:t>
            </w:r>
          </w:p>
        </w:tc>
        <w:tc>
          <w:tcPr>
            <w:tcW w:w="1545" w:type="dxa"/>
            <w:vAlign w:val="center"/>
            <w:hideMark/>
          </w:tcPr>
          <w:p w14:paraId="5B414959"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5,</w:t>
            </w:r>
            <w:r>
              <w:rPr>
                <w:rFonts w:ascii="Times New Roman" w:eastAsia="Times New Roman" w:hAnsi="Times New Roman" w:cs="Times New Roman"/>
                <w:color w:val="000000"/>
                <w:lang w:eastAsia="ru-RU"/>
              </w:rPr>
              <w:t>195</w:t>
            </w:r>
          </w:p>
        </w:tc>
        <w:tc>
          <w:tcPr>
            <w:tcW w:w="1481" w:type="dxa"/>
            <w:vAlign w:val="center"/>
            <w:hideMark/>
          </w:tcPr>
          <w:p w14:paraId="72A7B385"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5,</w:t>
            </w:r>
            <w:r>
              <w:rPr>
                <w:rFonts w:ascii="Times New Roman" w:eastAsia="Times New Roman" w:hAnsi="Times New Roman" w:cs="Times New Roman"/>
                <w:color w:val="000000"/>
                <w:lang w:eastAsia="ru-RU"/>
              </w:rPr>
              <w:t>053</w:t>
            </w:r>
          </w:p>
        </w:tc>
        <w:tc>
          <w:tcPr>
            <w:tcW w:w="2131" w:type="dxa"/>
            <w:vAlign w:val="center"/>
            <w:hideMark/>
          </w:tcPr>
          <w:p w14:paraId="269EED81"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w:t>
            </w:r>
            <w:r w:rsidRPr="00D00B34">
              <w:rPr>
                <w:rFonts w:ascii="Times New Roman" w:eastAsia="Times New Roman" w:hAnsi="Times New Roman" w:cs="Times New Roman"/>
                <w:color w:val="000000"/>
                <w:lang w:eastAsia="ru-RU"/>
              </w:rPr>
              <w:t>0,1</w:t>
            </w:r>
            <w:r>
              <w:rPr>
                <w:rFonts w:ascii="Times New Roman" w:eastAsia="Times New Roman" w:hAnsi="Times New Roman" w:cs="Times New Roman"/>
                <w:color w:val="000000"/>
                <w:lang w:eastAsia="ru-RU"/>
              </w:rPr>
              <w:t>42</w:t>
            </w:r>
          </w:p>
        </w:tc>
      </w:tr>
      <w:tr w:rsidR="00ED1D21" w:rsidRPr="00D00B34" w14:paraId="3141C1B5" w14:textId="77777777" w:rsidTr="000818BE">
        <w:trPr>
          <w:trHeight w:val="516"/>
        </w:trPr>
        <w:tc>
          <w:tcPr>
            <w:tcW w:w="4341" w:type="dxa"/>
            <w:vAlign w:val="center"/>
            <w:hideMark/>
          </w:tcPr>
          <w:p w14:paraId="33B34100" w14:textId="77777777" w:rsidR="00ED1D21" w:rsidRPr="00D00B34" w:rsidRDefault="00ED1D21" w:rsidP="000F4E51">
            <w:pPr>
              <w:spacing w:after="0" w:line="240" w:lineRule="auto"/>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Суммарные дисконтированные затраты, ₸</w:t>
            </w:r>
          </w:p>
        </w:tc>
        <w:tc>
          <w:tcPr>
            <w:tcW w:w="1545" w:type="dxa"/>
            <w:vAlign w:val="center"/>
            <w:hideMark/>
          </w:tcPr>
          <w:p w14:paraId="7ED16980"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t> 706 936,153</w:t>
            </w:r>
          </w:p>
        </w:tc>
        <w:tc>
          <w:tcPr>
            <w:tcW w:w="1481" w:type="dxa"/>
            <w:vAlign w:val="center"/>
            <w:hideMark/>
          </w:tcPr>
          <w:p w14:paraId="42C93ECC"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3 941 539,112</w:t>
            </w:r>
          </w:p>
        </w:tc>
        <w:tc>
          <w:tcPr>
            <w:tcW w:w="2131" w:type="dxa"/>
            <w:vAlign w:val="center"/>
            <w:hideMark/>
          </w:tcPr>
          <w:p w14:paraId="3D7AF625"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234 602,959</w:t>
            </w:r>
          </w:p>
        </w:tc>
      </w:tr>
      <w:tr w:rsidR="00ED1D21" w:rsidRPr="00D00B34" w14:paraId="259DD709" w14:textId="77777777" w:rsidTr="000818BE">
        <w:trPr>
          <w:trHeight w:val="268"/>
        </w:trPr>
        <w:tc>
          <w:tcPr>
            <w:tcW w:w="4341" w:type="dxa"/>
            <w:vAlign w:val="center"/>
            <w:hideMark/>
          </w:tcPr>
          <w:p w14:paraId="42B1158B" w14:textId="77777777" w:rsidR="00ED1D21" w:rsidRPr="00D00B34" w:rsidRDefault="00ED1D21" w:rsidP="000F4E51">
            <w:pPr>
              <w:spacing w:after="0" w:line="240" w:lineRule="auto"/>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ICER, ₸/QALY</w:t>
            </w:r>
          </w:p>
        </w:tc>
        <w:tc>
          <w:tcPr>
            <w:tcW w:w="1545" w:type="dxa"/>
            <w:vAlign w:val="center"/>
            <w:hideMark/>
          </w:tcPr>
          <w:p w14:paraId="1E9458B4"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w:t>
            </w:r>
          </w:p>
        </w:tc>
        <w:tc>
          <w:tcPr>
            <w:tcW w:w="1481" w:type="dxa"/>
            <w:vAlign w:val="center"/>
            <w:hideMark/>
          </w:tcPr>
          <w:p w14:paraId="3C1BB7C0"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w:t>
            </w:r>
          </w:p>
        </w:tc>
        <w:tc>
          <w:tcPr>
            <w:tcW w:w="2131" w:type="dxa"/>
            <w:vAlign w:val="center"/>
            <w:hideMark/>
          </w:tcPr>
          <w:p w14:paraId="0E6509BC" w14:textId="77777777" w:rsidR="00ED1D21" w:rsidRDefault="00ED1D21" w:rsidP="000F4E51">
            <w:pPr>
              <w:spacing w:after="0" w:line="240" w:lineRule="auto"/>
              <w:jc w:val="center"/>
              <w:rPr>
                <w:rFonts w:ascii="Times New Roman" w:eastAsia="Times New Roman" w:hAnsi="Times New Roman" w:cs="Times New Roman"/>
                <w:color w:val="000000"/>
                <w:lang w:val="en-US" w:eastAsia="ru-RU"/>
              </w:rPr>
            </w:pPr>
            <w:r w:rsidRPr="00D00B34">
              <w:rPr>
                <w:rFonts w:ascii="Times New Roman" w:eastAsia="Times New Roman" w:hAnsi="Times New Roman" w:cs="Times New Roman"/>
                <w:color w:val="000000"/>
                <w:lang w:eastAsia="ru-RU"/>
              </w:rPr>
              <w:t>Доминирование</w:t>
            </w:r>
          </w:p>
          <w:p w14:paraId="553321A0" w14:textId="77777777" w:rsidR="00ED1D21" w:rsidRPr="00336123" w:rsidRDefault="00ED1D21" w:rsidP="000F4E5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w:t>
            </w:r>
            <w:r>
              <w:rPr>
                <w:rFonts w:ascii="Times New Roman" w:eastAsia="Times New Roman" w:hAnsi="Times New Roman" w:cs="Times New Roman"/>
                <w:color w:val="000000"/>
                <w:lang w:eastAsia="ru-RU"/>
              </w:rPr>
              <w:t>1 649558,484</w:t>
            </w:r>
          </w:p>
        </w:tc>
      </w:tr>
      <w:tr w:rsidR="00ED1D21" w:rsidRPr="00D00B34" w14:paraId="3D29048F" w14:textId="77777777" w:rsidTr="000818BE">
        <w:trPr>
          <w:trHeight w:val="285"/>
        </w:trPr>
        <w:tc>
          <w:tcPr>
            <w:tcW w:w="4341" w:type="dxa"/>
            <w:vAlign w:val="center"/>
            <w:hideMark/>
          </w:tcPr>
          <w:p w14:paraId="334F3AEE" w14:textId="77777777" w:rsidR="00ED1D21" w:rsidRPr="00D00B34" w:rsidRDefault="00ED1D21" w:rsidP="000F4E51">
            <w:pPr>
              <w:spacing w:after="0" w:line="240" w:lineRule="auto"/>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Чистая денежная выгода (NMB), ₸</w:t>
            </w:r>
          </w:p>
        </w:tc>
        <w:tc>
          <w:tcPr>
            <w:tcW w:w="1545" w:type="dxa"/>
            <w:vAlign w:val="center"/>
            <w:hideMark/>
          </w:tcPr>
          <w:p w14:paraId="01947AF5"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p>
        </w:tc>
        <w:tc>
          <w:tcPr>
            <w:tcW w:w="1481" w:type="dxa"/>
            <w:vAlign w:val="center"/>
            <w:hideMark/>
          </w:tcPr>
          <w:p w14:paraId="383DA8D9" w14:textId="77777777" w:rsidR="00ED1D21" w:rsidRPr="00D00B34" w:rsidRDefault="00ED1D21" w:rsidP="000F4E51">
            <w:pPr>
              <w:spacing w:after="0" w:line="240" w:lineRule="auto"/>
              <w:jc w:val="center"/>
              <w:rPr>
                <w:rFonts w:ascii="Times New Roman" w:eastAsia="Times New Roman" w:hAnsi="Times New Roman" w:cs="Times New Roman"/>
                <w:lang w:eastAsia="ru-RU"/>
              </w:rPr>
            </w:pPr>
          </w:p>
        </w:tc>
        <w:tc>
          <w:tcPr>
            <w:tcW w:w="2131" w:type="dxa"/>
            <w:vAlign w:val="center"/>
            <w:hideMark/>
          </w:tcPr>
          <w:p w14:paraId="30836E3E" w14:textId="77777777" w:rsidR="00ED1D21" w:rsidRPr="00D00B34" w:rsidRDefault="00ED1D21" w:rsidP="000F4E51">
            <w:pPr>
              <w:spacing w:after="0" w:line="240" w:lineRule="auto"/>
              <w:jc w:val="center"/>
              <w:rPr>
                <w:rFonts w:ascii="Times New Roman" w:eastAsia="Times New Roman" w:hAnsi="Times New Roman" w:cs="Times New Roman"/>
                <w:lang w:eastAsia="ru-RU"/>
              </w:rPr>
            </w:pPr>
          </w:p>
        </w:tc>
      </w:tr>
      <w:tr w:rsidR="00ED1D21" w:rsidRPr="00D00B34" w14:paraId="67BD9B53" w14:textId="77777777" w:rsidTr="000818BE">
        <w:trPr>
          <w:trHeight w:val="236"/>
        </w:trPr>
        <w:tc>
          <w:tcPr>
            <w:tcW w:w="4341" w:type="dxa"/>
            <w:vAlign w:val="center"/>
            <w:hideMark/>
          </w:tcPr>
          <w:p w14:paraId="69A0B917" w14:textId="77777777" w:rsidR="00ED1D21" w:rsidRPr="00D00B34" w:rsidRDefault="00ED1D21" w:rsidP="000F4E51">
            <w:pPr>
              <w:spacing w:after="0" w:line="240" w:lineRule="auto"/>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при WTP = 1×В</w:t>
            </w:r>
            <w:r>
              <w:rPr>
                <w:rFonts w:ascii="Times New Roman" w:eastAsia="Times New Roman" w:hAnsi="Times New Roman" w:cs="Times New Roman"/>
                <w:color w:val="000000"/>
                <w:lang w:eastAsia="ru-RU"/>
              </w:rPr>
              <w:t>В</w:t>
            </w:r>
            <w:r w:rsidRPr="00D00B34">
              <w:rPr>
                <w:rFonts w:ascii="Times New Roman" w:eastAsia="Times New Roman" w:hAnsi="Times New Roman" w:cs="Times New Roman"/>
                <w:color w:val="000000"/>
                <w:lang w:eastAsia="ru-RU"/>
              </w:rPr>
              <w:t>П</w:t>
            </w:r>
          </w:p>
        </w:tc>
        <w:tc>
          <w:tcPr>
            <w:tcW w:w="1545" w:type="dxa"/>
            <w:vAlign w:val="center"/>
            <w:hideMark/>
          </w:tcPr>
          <w:p w14:paraId="55E98AB6"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w:t>
            </w:r>
          </w:p>
        </w:tc>
        <w:tc>
          <w:tcPr>
            <w:tcW w:w="1481" w:type="dxa"/>
            <w:vAlign w:val="center"/>
            <w:hideMark/>
          </w:tcPr>
          <w:p w14:paraId="7B7B3C69"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w:t>
            </w:r>
          </w:p>
        </w:tc>
        <w:tc>
          <w:tcPr>
            <w:tcW w:w="2131" w:type="dxa"/>
            <w:vAlign w:val="center"/>
            <w:hideMark/>
          </w:tcPr>
          <w:p w14:paraId="41C96F3F"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+447963,905</w:t>
            </w:r>
          </w:p>
        </w:tc>
      </w:tr>
      <w:tr w:rsidR="00ED1D21" w:rsidRPr="00D00B34" w14:paraId="77A59F15" w14:textId="77777777" w:rsidTr="000818BE">
        <w:trPr>
          <w:trHeight w:val="409"/>
        </w:trPr>
        <w:tc>
          <w:tcPr>
            <w:tcW w:w="4341" w:type="dxa"/>
            <w:vAlign w:val="center"/>
            <w:hideMark/>
          </w:tcPr>
          <w:p w14:paraId="6FFCBE61" w14:textId="77777777" w:rsidR="00ED1D21" w:rsidRPr="00D00B34" w:rsidRDefault="00ED1D21" w:rsidP="000F4E51">
            <w:pPr>
              <w:spacing w:after="0" w:line="240" w:lineRule="auto"/>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при WTP = 3×В</w:t>
            </w:r>
            <w:r>
              <w:rPr>
                <w:rFonts w:ascii="Times New Roman" w:eastAsia="Times New Roman" w:hAnsi="Times New Roman" w:cs="Times New Roman"/>
                <w:color w:val="000000"/>
                <w:lang w:eastAsia="ru-RU"/>
              </w:rPr>
              <w:t>В</w:t>
            </w:r>
            <w:r w:rsidRPr="00D00B34">
              <w:rPr>
                <w:rFonts w:ascii="Times New Roman" w:eastAsia="Times New Roman" w:hAnsi="Times New Roman" w:cs="Times New Roman"/>
                <w:color w:val="000000"/>
                <w:lang w:eastAsia="ru-RU"/>
              </w:rPr>
              <w:t>П</w:t>
            </w:r>
          </w:p>
        </w:tc>
        <w:tc>
          <w:tcPr>
            <w:tcW w:w="1545" w:type="dxa"/>
            <w:vAlign w:val="center"/>
            <w:hideMark/>
          </w:tcPr>
          <w:p w14:paraId="4E207969"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w:t>
            </w:r>
          </w:p>
        </w:tc>
        <w:tc>
          <w:tcPr>
            <w:tcW w:w="1481" w:type="dxa"/>
            <w:vAlign w:val="center"/>
            <w:hideMark/>
          </w:tcPr>
          <w:p w14:paraId="4EDE99D2"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sidRPr="00D00B34">
              <w:rPr>
                <w:rFonts w:ascii="Times New Roman" w:eastAsia="Times New Roman" w:hAnsi="Times New Roman" w:cs="Times New Roman"/>
                <w:color w:val="000000"/>
                <w:lang w:eastAsia="ru-RU"/>
              </w:rPr>
              <w:t>—</w:t>
            </w:r>
          </w:p>
        </w:tc>
        <w:tc>
          <w:tcPr>
            <w:tcW w:w="2131" w:type="dxa"/>
            <w:vAlign w:val="center"/>
            <w:hideMark/>
          </w:tcPr>
          <w:p w14:paraId="4CBFDD9D"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+874685,797</w:t>
            </w:r>
          </w:p>
        </w:tc>
      </w:tr>
      <w:tr w:rsidR="00ED1D21" w:rsidRPr="00D00B34" w14:paraId="41D92F85" w14:textId="77777777" w:rsidTr="000818BE">
        <w:trPr>
          <w:trHeight w:val="409"/>
        </w:trPr>
        <w:tc>
          <w:tcPr>
            <w:tcW w:w="9498" w:type="dxa"/>
            <w:gridSpan w:val="4"/>
            <w:vAlign w:val="center"/>
          </w:tcPr>
          <w:p w14:paraId="27D4DAAC" w14:textId="77777777" w:rsidR="00ED1D21" w:rsidRPr="00802466" w:rsidRDefault="00ED1D21" w:rsidP="000F4E51">
            <w:pPr>
              <w:spacing w:after="0" w:line="240" w:lineRule="auto"/>
              <w:rPr>
                <w:rFonts w:ascii="Times New Roman" w:eastAsia="Times New Roman" w:hAnsi="Times New Roman" w:cs="Times New Roman"/>
                <w:color w:val="000000"/>
                <w:lang w:eastAsia="ru-RU"/>
              </w:rPr>
            </w:pPr>
            <w:r w:rsidRPr="00802466">
              <w:rPr>
                <w:rFonts w:ascii="Times New Roman" w:eastAsia="Times New Roman" w:hAnsi="Times New Roman" w:cs="Times New Roman"/>
                <w:color w:val="000000"/>
                <w:lang w:eastAsia="ru-RU"/>
              </w:rPr>
              <w:t>* ICER рассчит</w:t>
            </w:r>
            <w:r>
              <w:rPr>
                <w:rFonts w:ascii="Times New Roman" w:eastAsia="Times New Roman" w:hAnsi="Times New Roman" w:cs="Times New Roman"/>
                <w:color w:val="000000"/>
                <w:lang w:eastAsia="ru-RU"/>
              </w:rPr>
              <w:t>ан</w:t>
            </w:r>
            <w:r w:rsidRPr="00802466">
              <w:rPr>
                <w:rFonts w:ascii="Times New Roman" w:eastAsia="Times New Roman" w:hAnsi="Times New Roman" w:cs="Times New Roman"/>
                <w:color w:val="000000"/>
                <w:lang w:eastAsia="ru-RU"/>
              </w:rPr>
              <w:t xml:space="preserve"> как отношение разницы затрат к разнице полезности:</w:t>
            </w:r>
          </w:p>
          <w:p w14:paraId="2BD5BDA5" w14:textId="77777777" w:rsidR="00ED1D21" w:rsidRPr="00D00B34" w:rsidRDefault="00ED1D21" w:rsidP="000F4E51">
            <w:pPr>
              <w:spacing w:after="0" w:line="240" w:lineRule="auto"/>
              <w:jc w:val="center"/>
              <w:rPr>
                <w:rFonts w:ascii="Times New Roman" w:eastAsia="Times New Roman" w:hAnsi="Times New Roman" w:cs="Times New Roman"/>
                <w:color w:val="000000"/>
                <w:lang w:eastAsia="ru-RU"/>
              </w:rPr>
            </w:pPr>
            <w:r w:rsidRPr="00802466">
              <w:rPr>
                <w:rFonts w:ascii="Times New Roman" w:eastAsia="Times New Roman" w:hAnsi="Times New Roman" w:cs="Times New Roman"/>
                <w:color w:val="000000"/>
                <w:lang w:eastAsia="ru-RU"/>
              </w:rPr>
              <w:t>ICER = ΔЗатраты / ΔQALY = −</w:t>
            </w:r>
            <w:r>
              <w:rPr>
                <w:rFonts w:ascii="Times New Roman" w:eastAsia="Times New Roman" w:hAnsi="Times New Roman" w:cs="Times New Roman"/>
                <w:color w:val="000000"/>
                <w:lang w:eastAsia="ru-RU"/>
              </w:rPr>
              <w:t>234 602,96</w:t>
            </w:r>
            <w:r w:rsidRPr="00802466">
              <w:rPr>
                <w:rFonts w:ascii="Times New Roman" w:eastAsia="Times New Roman" w:hAnsi="Times New Roman" w:cs="Times New Roman"/>
                <w:color w:val="000000"/>
                <w:lang w:eastAsia="ru-RU"/>
              </w:rPr>
              <w:t xml:space="preserve"> / 0,1</w:t>
            </w:r>
            <w:r>
              <w:rPr>
                <w:rFonts w:ascii="Times New Roman" w:eastAsia="Times New Roman" w:hAnsi="Times New Roman" w:cs="Times New Roman"/>
                <w:color w:val="000000"/>
                <w:lang w:eastAsia="ru-RU"/>
              </w:rPr>
              <w:t>42</w:t>
            </w:r>
            <w:r w:rsidRPr="00802466">
              <w:rPr>
                <w:rFonts w:ascii="Times New Roman" w:eastAsia="Times New Roman" w:hAnsi="Times New Roman" w:cs="Times New Roman"/>
                <w:color w:val="000000"/>
                <w:lang w:eastAsia="ru-RU"/>
              </w:rPr>
              <w:t xml:space="preserve"> = −</w:t>
            </w:r>
            <w:r>
              <w:rPr>
                <w:rFonts w:ascii="Times New Roman" w:eastAsia="Times New Roman" w:hAnsi="Times New Roman" w:cs="Times New Roman"/>
                <w:color w:val="000000"/>
                <w:lang w:eastAsia="ru-RU"/>
              </w:rPr>
              <w:t xml:space="preserve">1 649558,484 тенге за </w:t>
            </w:r>
            <w:r w:rsidRPr="00802466">
              <w:rPr>
                <w:rFonts w:ascii="Times New Roman" w:eastAsia="Times New Roman" w:hAnsi="Times New Roman" w:cs="Times New Roman"/>
                <w:color w:val="000000"/>
                <w:lang w:eastAsia="ru-RU"/>
              </w:rPr>
              <w:t>QALY</w:t>
            </w:r>
          </w:p>
        </w:tc>
      </w:tr>
      <w:tr w:rsidR="00ED1D21" w:rsidRPr="00D00B34" w14:paraId="71EE7DBD" w14:textId="77777777" w:rsidTr="000818BE">
        <w:trPr>
          <w:trHeight w:val="409"/>
        </w:trPr>
        <w:tc>
          <w:tcPr>
            <w:tcW w:w="9498" w:type="dxa"/>
            <w:gridSpan w:val="4"/>
            <w:vAlign w:val="center"/>
          </w:tcPr>
          <w:p w14:paraId="4400CD38" w14:textId="77777777" w:rsidR="00ED1D21" w:rsidRPr="00D00B34" w:rsidRDefault="00ED1D21" w:rsidP="000F4E51">
            <w:pPr>
              <w:spacing w:after="0" w:line="240" w:lineRule="auto"/>
              <w:jc w:val="both"/>
              <w:rPr>
                <w:rFonts w:ascii="Times New Roman" w:eastAsia="Times New Roman" w:hAnsi="Times New Roman" w:cs="Times New Roman"/>
                <w:color w:val="000000"/>
                <w:sz w:val="20"/>
                <w:szCs w:val="20"/>
                <w:lang w:eastAsia="ru-RU"/>
              </w:rPr>
            </w:pPr>
            <w:r w:rsidRPr="00D00B34">
              <w:rPr>
                <w:rFonts w:ascii="Times New Roman" w:eastAsia="Times New Roman" w:hAnsi="Times New Roman" w:cs="Times New Roman"/>
                <w:color w:val="000000"/>
                <w:sz w:val="20"/>
                <w:szCs w:val="20"/>
                <w:lang w:eastAsia="ru-RU"/>
              </w:rPr>
              <w:t>QALY — годы жизни с поправкой на качество (годы жизни с поправкой на качество)</w:t>
            </w:r>
            <w:r>
              <w:rPr>
                <w:rFonts w:ascii="Times New Roman" w:eastAsia="Times New Roman" w:hAnsi="Times New Roman" w:cs="Times New Roman"/>
                <w:color w:val="000000"/>
                <w:sz w:val="20"/>
                <w:szCs w:val="20"/>
                <w:lang w:eastAsia="ru-RU"/>
              </w:rPr>
              <w:t xml:space="preserve">; </w:t>
            </w:r>
            <w:r w:rsidRPr="00D00B34">
              <w:rPr>
                <w:rFonts w:ascii="Times New Roman" w:eastAsia="Times New Roman" w:hAnsi="Times New Roman" w:cs="Times New Roman"/>
                <w:color w:val="000000"/>
                <w:sz w:val="20"/>
                <w:szCs w:val="20"/>
                <w:lang w:eastAsia="ru-RU"/>
              </w:rPr>
              <w:t>ICER — инкрементальный коэффициент «затраты–эффективность». Отрицательное значение ICER указывает на доминирование стратегии МГУ (большая эффективность при меньших затратах).</w:t>
            </w:r>
          </w:p>
          <w:p w14:paraId="6DCDB741" w14:textId="77777777" w:rsidR="00ED1D21" w:rsidRPr="00D00B34" w:rsidRDefault="00ED1D21" w:rsidP="000F4E51">
            <w:pPr>
              <w:spacing w:after="0" w:line="240" w:lineRule="auto"/>
              <w:rPr>
                <w:rFonts w:ascii="Times New Roman" w:eastAsia="Times New Roman" w:hAnsi="Times New Roman" w:cs="Times New Roman"/>
                <w:color w:val="000000"/>
                <w:sz w:val="20"/>
                <w:szCs w:val="20"/>
                <w:lang w:eastAsia="ru-RU"/>
              </w:rPr>
            </w:pPr>
            <w:r w:rsidRPr="00D00B34">
              <w:rPr>
                <w:rFonts w:ascii="Times New Roman" w:eastAsia="Times New Roman" w:hAnsi="Times New Roman" w:cs="Times New Roman"/>
                <w:color w:val="000000"/>
                <w:sz w:val="20"/>
                <w:szCs w:val="20"/>
                <w:lang w:eastAsia="ru-RU"/>
              </w:rPr>
              <w:t>WTP — порог экономичности; В</w:t>
            </w:r>
            <w:r>
              <w:rPr>
                <w:rFonts w:ascii="Times New Roman" w:eastAsia="Times New Roman" w:hAnsi="Times New Roman" w:cs="Times New Roman"/>
                <w:color w:val="000000"/>
                <w:sz w:val="20"/>
                <w:szCs w:val="20"/>
                <w:lang w:eastAsia="ru-RU"/>
              </w:rPr>
              <w:t>В</w:t>
            </w:r>
            <w:r w:rsidRPr="00D00B34">
              <w:rPr>
                <w:rFonts w:ascii="Times New Roman" w:eastAsia="Times New Roman" w:hAnsi="Times New Roman" w:cs="Times New Roman"/>
                <w:color w:val="000000"/>
                <w:sz w:val="20"/>
                <w:szCs w:val="20"/>
                <w:lang w:eastAsia="ru-RU"/>
              </w:rPr>
              <w:t>П — валовой региональный продукт на душу населения.</w:t>
            </w:r>
          </w:p>
          <w:p w14:paraId="07FC379F" w14:textId="77777777" w:rsidR="00ED1D21" w:rsidRPr="00D00B34" w:rsidRDefault="00ED1D21" w:rsidP="000F4E51">
            <w:pPr>
              <w:spacing w:after="0" w:line="240" w:lineRule="auto"/>
              <w:rPr>
                <w:rFonts w:ascii="Times New Roman" w:eastAsia="Times New Roman" w:hAnsi="Times New Roman" w:cs="Times New Roman"/>
                <w:b/>
                <w:bCs/>
                <w:color w:val="000000"/>
                <w:sz w:val="20"/>
                <w:szCs w:val="20"/>
                <w:lang w:eastAsia="ru-RU"/>
              </w:rPr>
            </w:pPr>
            <w:r w:rsidRPr="00D00B34">
              <w:rPr>
                <w:rFonts w:ascii="Times New Roman" w:eastAsia="Times New Roman" w:hAnsi="Times New Roman" w:cs="Times New Roman"/>
                <w:color w:val="000000"/>
                <w:sz w:val="20"/>
                <w:szCs w:val="20"/>
                <w:lang w:eastAsia="ru-RU"/>
              </w:rPr>
              <w:t>Все затраты и эффекты дисконтированы по ставке 4% в год.</w:t>
            </w:r>
          </w:p>
        </w:tc>
      </w:tr>
    </w:tbl>
    <w:p w14:paraId="655AB797" w14:textId="77777777" w:rsidR="00ED1D21" w:rsidRDefault="00ED1D21" w:rsidP="000F4E51">
      <w:pPr>
        <w:spacing w:after="0" w:line="240" w:lineRule="auto"/>
        <w:ind w:right="-1135" w:firstLine="567"/>
        <w:jc w:val="both"/>
        <w:rPr>
          <w:rFonts w:ascii="Times New Roman" w:hAnsi="Times New Roman" w:cs="Times New Roman"/>
          <w:sz w:val="28"/>
          <w:szCs w:val="28"/>
        </w:rPr>
      </w:pPr>
    </w:p>
    <w:p w14:paraId="6442067A" w14:textId="77777777" w:rsidR="00ED1D21" w:rsidRPr="00170AE1" w:rsidRDefault="00ED1D21" w:rsidP="000818BE">
      <w:pPr>
        <w:spacing w:after="0" w:line="240" w:lineRule="auto"/>
        <w:ind w:firstLine="567"/>
        <w:jc w:val="both"/>
        <w:rPr>
          <w:rFonts w:ascii="Times New Roman" w:hAnsi="Times New Roman" w:cs="Times New Roman"/>
          <w:sz w:val="28"/>
          <w:szCs w:val="28"/>
        </w:rPr>
      </w:pPr>
      <w:r w:rsidRPr="00791B02">
        <w:rPr>
          <w:rFonts w:ascii="Times New Roman" w:hAnsi="Times New Roman" w:cs="Times New Roman"/>
          <w:sz w:val="28"/>
          <w:szCs w:val="28"/>
        </w:rPr>
        <w:t xml:space="preserve">Результаты показывают, что </w:t>
      </w:r>
      <w:r>
        <w:rPr>
          <w:rFonts w:ascii="Times New Roman" w:hAnsi="Times New Roman" w:cs="Times New Roman"/>
          <w:sz w:val="28"/>
          <w:szCs w:val="28"/>
        </w:rPr>
        <w:t>с</w:t>
      </w:r>
      <w:r w:rsidRPr="005B6644">
        <w:rPr>
          <w:rFonts w:ascii="Times New Roman" w:hAnsi="Times New Roman" w:cs="Times New Roman"/>
          <w:sz w:val="28"/>
          <w:szCs w:val="28"/>
        </w:rPr>
        <w:t xml:space="preserve">тратегия MSU обеспечивает больший </w:t>
      </w:r>
      <w:r w:rsidRPr="00170AE1">
        <w:rPr>
          <w:rFonts w:ascii="Times New Roman" w:hAnsi="Times New Roman" w:cs="Times New Roman"/>
          <w:sz w:val="28"/>
          <w:szCs w:val="28"/>
        </w:rPr>
        <w:t>выигрыш в качестве жизни при меньших суммарных затратах по сравнению со стандартным лечением, что делает её доминирующей. Положительные значения чистой денежной выгоды при порогах готовности платить 1× и 3× В</w:t>
      </w:r>
      <w:r>
        <w:rPr>
          <w:rFonts w:ascii="Times New Roman" w:hAnsi="Times New Roman" w:cs="Times New Roman"/>
          <w:sz w:val="28"/>
          <w:szCs w:val="28"/>
        </w:rPr>
        <w:t>В</w:t>
      </w:r>
      <w:r w:rsidRPr="00170AE1">
        <w:rPr>
          <w:rFonts w:ascii="Times New Roman" w:hAnsi="Times New Roman" w:cs="Times New Roman"/>
          <w:sz w:val="28"/>
          <w:szCs w:val="28"/>
        </w:rPr>
        <w:t>П подтверждают экономическую целесообразность внедрения MSU.</w:t>
      </w:r>
    </w:p>
    <w:p w14:paraId="53FF625E" w14:textId="77777777" w:rsidR="00ED1D21" w:rsidRPr="00170AE1" w:rsidRDefault="00ED1D21" w:rsidP="000818BE">
      <w:pPr>
        <w:spacing w:after="0" w:line="240" w:lineRule="auto"/>
        <w:ind w:firstLine="567"/>
        <w:jc w:val="both"/>
        <w:rPr>
          <w:rFonts w:ascii="Times New Roman" w:hAnsi="Times New Roman" w:cs="Times New Roman"/>
          <w:sz w:val="28"/>
          <w:szCs w:val="28"/>
        </w:rPr>
      </w:pPr>
      <w:r w:rsidRPr="00170AE1">
        <w:rPr>
          <w:rFonts w:ascii="Times New Roman" w:hAnsi="Times New Roman" w:cs="Times New Roman"/>
          <w:i/>
          <w:iCs/>
          <w:sz w:val="28"/>
          <w:szCs w:val="28"/>
        </w:rPr>
        <w:t xml:space="preserve">Вероятностный анализ чувствительности: </w:t>
      </w:r>
      <w:r w:rsidRPr="00170AE1">
        <w:rPr>
          <w:rFonts w:ascii="Times New Roman" w:hAnsi="Times New Roman" w:cs="Times New Roman"/>
          <w:sz w:val="28"/>
          <w:szCs w:val="28"/>
        </w:rPr>
        <w:t xml:space="preserve">Результаты вероятностного анализа чувствительности были представлены на плоскости экономической эффективности с отображением двух порогов готовности платить: 1× и 3× валового регионального продукта на душу населения (1 500 200 и 4 500 600 тенге за QALY соответственно). Каждая точка на графике отражает отдельный </w:t>
      </w:r>
      <w:r w:rsidRPr="00170AE1">
        <w:rPr>
          <w:rFonts w:ascii="Times New Roman" w:hAnsi="Times New Roman" w:cs="Times New Roman"/>
          <w:sz w:val="28"/>
          <w:szCs w:val="28"/>
        </w:rPr>
        <w:lastRenderedPageBreak/>
        <w:t>прогон модели при случайной выборке параметров из заданных распределений вероятностей. Большинство реализаций PSA располагается в юго-восточном квадранте плоскости экономической эффективности, что соответствует увеличению эффективности при одновременном снижении затрат для стратегии MSU по сравнению со стандартным лечением. Практически все точки находятся ниже линии порога готовности платить, установленного на уровне 1×В</w:t>
      </w:r>
      <w:r>
        <w:rPr>
          <w:rFonts w:ascii="Times New Roman" w:hAnsi="Times New Roman" w:cs="Times New Roman"/>
          <w:sz w:val="28"/>
          <w:szCs w:val="28"/>
        </w:rPr>
        <w:t>В</w:t>
      </w:r>
      <w:r w:rsidRPr="00170AE1">
        <w:rPr>
          <w:rFonts w:ascii="Times New Roman" w:hAnsi="Times New Roman" w:cs="Times New Roman"/>
          <w:sz w:val="28"/>
          <w:szCs w:val="28"/>
        </w:rPr>
        <w:t>П, и полностью ниже линии 3×В</w:t>
      </w:r>
      <w:r>
        <w:rPr>
          <w:rFonts w:ascii="Times New Roman" w:hAnsi="Times New Roman" w:cs="Times New Roman"/>
          <w:sz w:val="28"/>
          <w:szCs w:val="28"/>
        </w:rPr>
        <w:t>В</w:t>
      </w:r>
      <w:r w:rsidRPr="00170AE1">
        <w:rPr>
          <w:rFonts w:ascii="Times New Roman" w:hAnsi="Times New Roman" w:cs="Times New Roman"/>
          <w:sz w:val="28"/>
          <w:szCs w:val="28"/>
        </w:rPr>
        <w:t>П. Это свидетельствует о высокой вероятности того, что стратегия MSU является экономически эффективной и даже доминирующей по сравнению со стандартным лечением при обоих порогах готовности платить. Таким образом, результаты PSA подтверждают устойчивость выводов базового сценария и экономическую целесообразность внедрения MSU.</w:t>
      </w:r>
    </w:p>
    <w:p w14:paraId="076D8725" w14:textId="77777777" w:rsidR="00ED1D21" w:rsidRPr="00170AE1" w:rsidRDefault="00ED1D21" w:rsidP="000818BE">
      <w:pPr>
        <w:spacing w:after="0" w:line="240" w:lineRule="auto"/>
        <w:ind w:firstLine="567"/>
        <w:jc w:val="both"/>
        <w:rPr>
          <w:rFonts w:ascii="Times New Roman" w:hAnsi="Times New Roman" w:cs="Times New Roman"/>
          <w:i/>
          <w:iCs/>
          <w:color w:val="EE0000"/>
          <w:sz w:val="28"/>
          <w:szCs w:val="28"/>
        </w:rPr>
      </w:pPr>
    </w:p>
    <w:p w14:paraId="0FE64580" w14:textId="77777777" w:rsidR="00ED1D21" w:rsidRDefault="00ED1D21" w:rsidP="000818BE">
      <w:pPr>
        <w:spacing w:after="0" w:line="240" w:lineRule="auto"/>
        <w:ind w:right="-113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B29F635" wp14:editId="33511129">
            <wp:extent cx="6067425" cy="4436745"/>
            <wp:effectExtent l="0" t="0" r="9525" b="1905"/>
            <wp:docPr id="120790096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900966" name="Рисунок 1207900966"/>
                    <pic:cNvPicPr/>
                  </pic:nvPicPr>
                  <pic:blipFill>
                    <a:blip r:embed="rId25">
                      <a:extLst>
                        <a:ext uri="{28A0092B-C50C-407E-A947-70E740481C1C}">
                          <a14:useLocalDpi xmlns:a14="http://schemas.microsoft.com/office/drawing/2010/main" val="0"/>
                        </a:ext>
                      </a:extLst>
                    </a:blip>
                    <a:stretch>
                      <a:fillRect/>
                    </a:stretch>
                  </pic:blipFill>
                  <pic:spPr>
                    <a:xfrm>
                      <a:off x="0" y="0"/>
                      <a:ext cx="6067425" cy="4436745"/>
                    </a:xfrm>
                    <a:prstGeom prst="rect">
                      <a:avLst/>
                    </a:prstGeom>
                  </pic:spPr>
                </pic:pic>
              </a:graphicData>
            </a:graphic>
          </wp:inline>
        </w:drawing>
      </w:r>
    </w:p>
    <w:p w14:paraId="1004F5AD" w14:textId="2F5DC90B" w:rsidR="00ED1D21" w:rsidRDefault="00ED1D21" w:rsidP="000818BE">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391BEB">
        <w:rPr>
          <w:rFonts w:ascii="Times New Roman" w:hAnsi="Times New Roman" w:cs="Times New Roman"/>
          <w:sz w:val="28"/>
          <w:szCs w:val="28"/>
        </w:rPr>
        <w:t>7</w:t>
      </w:r>
      <w:r w:rsidR="000818B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70AE1">
        <w:rPr>
          <w:rFonts w:ascii="Times New Roman" w:hAnsi="Times New Roman" w:cs="Times New Roman"/>
          <w:sz w:val="28"/>
          <w:szCs w:val="28"/>
        </w:rPr>
        <w:t>Вероятностный анализ чувствительности экономической эффективности</w:t>
      </w:r>
    </w:p>
    <w:p w14:paraId="45D8FE7F" w14:textId="77777777" w:rsidR="000818BE" w:rsidRDefault="000818BE" w:rsidP="000818BE">
      <w:pPr>
        <w:spacing w:after="0" w:line="240" w:lineRule="auto"/>
        <w:ind w:firstLine="567"/>
        <w:jc w:val="both"/>
        <w:rPr>
          <w:rFonts w:ascii="Times New Roman" w:hAnsi="Times New Roman" w:cs="Times New Roman"/>
          <w:sz w:val="28"/>
          <w:szCs w:val="28"/>
        </w:rPr>
      </w:pPr>
    </w:p>
    <w:p w14:paraId="3D86C93A" w14:textId="6C8A82E4" w:rsidR="00ED1D21" w:rsidRDefault="00ED1D21" w:rsidP="00533899">
      <w:pPr>
        <w:spacing w:after="0" w:line="240" w:lineRule="auto"/>
        <w:ind w:firstLine="567"/>
        <w:jc w:val="both"/>
        <w:rPr>
          <w:rFonts w:ascii="Times New Roman" w:hAnsi="Times New Roman" w:cs="Times New Roman"/>
          <w:sz w:val="28"/>
          <w:szCs w:val="28"/>
        </w:rPr>
      </w:pPr>
      <w:r w:rsidRPr="00EE5004">
        <w:rPr>
          <w:rFonts w:ascii="Times New Roman" w:hAnsi="Times New Roman" w:cs="Times New Roman"/>
          <w:sz w:val="28"/>
          <w:szCs w:val="28"/>
        </w:rPr>
        <w:t>Таким образом, наш анализ показал, что внедрение MSU при остром ишемическом инсульте обеспечивает устойчивые клинические преимущества и является экономически доминирующей стратегией по сравнению со стандартным лечением, обеспечивая прирост эффективности (+0,142 QALY) при одновременном снижении суммарных затрат (−234,6 тыс. тенге на пациента), что подтверждено результатами вероятностного анализа чувствительности.</w:t>
      </w:r>
    </w:p>
    <w:p w14:paraId="76E291C8" w14:textId="77777777" w:rsidR="00ED1D21" w:rsidRDefault="00ED1D21" w:rsidP="000818BE">
      <w:pPr>
        <w:spacing w:after="0" w:line="240" w:lineRule="auto"/>
        <w:ind w:firstLine="567"/>
        <w:jc w:val="both"/>
        <w:rPr>
          <w:rFonts w:ascii="Times New Roman" w:hAnsi="Times New Roman" w:cs="Times New Roman"/>
          <w:sz w:val="28"/>
          <w:szCs w:val="28"/>
        </w:rPr>
      </w:pPr>
      <w:r w:rsidRPr="00302F5D">
        <w:rPr>
          <w:rFonts w:ascii="Times New Roman" w:hAnsi="Times New Roman" w:cs="Times New Roman"/>
          <w:b/>
          <w:bCs/>
          <w:sz w:val="28"/>
          <w:szCs w:val="28"/>
        </w:rPr>
        <w:lastRenderedPageBreak/>
        <w:t>Организационная модель внедрения Mobile Stroke Unit (MSU)</w:t>
      </w:r>
    </w:p>
    <w:p w14:paraId="6CFF8C15" w14:textId="77777777" w:rsidR="00ED1D21" w:rsidRDefault="00ED1D21" w:rsidP="000818BE">
      <w:pPr>
        <w:spacing w:after="0" w:line="240" w:lineRule="auto"/>
        <w:ind w:firstLine="567"/>
        <w:jc w:val="both"/>
        <w:rPr>
          <w:rFonts w:ascii="Times New Roman" w:hAnsi="Times New Roman" w:cs="Times New Roman"/>
          <w:sz w:val="28"/>
          <w:szCs w:val="28"/>
        </w:rPr>
      </w:pPr>
      <w:r w:rsidRPr="00302F5D">
        <w:rPr>
          <w:rFonts w:ascii="Times New Roman" w:hAnsi="Times New Roman" w:cs="Times New Roman"/>
          <w:sz w:val="28"/>
          <w:szCs w:val="28"/>
        </w:rPr>
        <w:t>Внедрение Mobile Stroke Unit (MSU) предполагает формирование специализированной инсультной бригады и интеграцию догоспитального и стационарного этапов оказания помощи пациентам с подозрением на острый ишемический инсульт. Ключевым координирующим центром модели выступает стационар 7 ГКБ, на базе которого организуется централизованная диспетчерская служба, взаимодействующая со службой скорой медицинской помощи (СМП) г. Алматы.</w:t>
      </w:r>
    </w:p>
    <w:p w14:paraId="22ADE729" w14:textId="77777777" w:rsidR="00ED1D21" w:rsidRPr="00302F5D" w:rsidRDefault="00ED1D21" w:rsidP="000818BE">
      <w:pPr>
        <w:spacing w:after="0" w:line="240" w:lineRule="auto"/>
        <w:ind w:firstLine="567"/>
        <w:jc w:val="both"/>
        <w:rPr>
          <w:rFonts w:ascii="Times New Roman" w:hAnsi="Times New Roman" w:cs="Times New Roman"/>
          <w:sz w:val="28"/>
          <w:szCs w:val="28"/>
        </w:rPr>
      </w:pPr>
      <w:r w:rsidRPr="00302F5D">
        <w:rPr>
          <w:rFonts w:ascii="Times New Roman" w:hAnsi="Times New Roman" w:cs="Times New Roman"/>
          <w:i/>
          <w:iCs/>
          <w:sz w:val="28"/>
          <w:szCs w:val="28"/>
        </w:rPr>
        <w:t>Логика маршрутизации пациента</w:t>
      </w:r>
      <w:r>
        <w:rPr>
          <w:rFonts w:ascii="Times New Roman" w:hAnsi="Times New Roman" w:cs="Times New Roman"/>
          <w:i/>
          <w:iCs/>
          <w:sz w:val="28"/>
          <w:szCs w:val="28"/>
        </w:rPr>
        <w:t xml:space="preserve">: </w:t>
      </w:r>
      <w:r w:rsidRPr="00302F5D">
        <w:rPr>
          <w:rFonts w:ascii="Times New Roman" w:hAnsi="Times New Roman" w:cs="Times New Roman"/>
          <w:sz w:val="28"/>
          <w:szCs w:val="28"/>
        </w:rPr>
        <w:t>При поступлении экстренного вызова в СМП с подозрением на инсульт проводится первичный инсультный скрининг. В случае соответствия критериям инсультного вызова информация передаётся в диспетчерскую службу 7 ГКБ. Диспетчер стационара, оценивая клинические и логистические параметры (время доезда, доступность MSU, зона покрытия), принимает решение о направлении мобильной инсультной бригады на место вызова либо о ведении пациента по стандартному маршруту.</w:t>
      </w:r>
    </w:p>
    <w:p w14:paraId="0489C82B" w14:textId="77777777" w:rsidR="00ED1D21" w:rsidRPr="00302F5D" w:rsidRDefault="00ED1D21" w:rsidP="000818BE">
      <w:pPr>
        <w:spacing w:after="0" w:line="240" w:lineRule="auto"/>
        <w:ind w:firstLine="567"/>
        <w:jc w:val="both"/>
        <w:rPr>
          <w:rFonts w:ascii="Times New Roman" w:hAnsi="Times New Roman" w:cs="Times New Roman"/>
          <w:sz w:val="28"/>
          <w:szCs w:val="28"/>
        </w:rPr>
      </w:pPr>
      <w:r w:rsidRPr="00302F5D">
        <w:rPr>
          <w:rFonts w:ascii="Times New Roman" w:hAnsi="Times New Roman" w:cs="Times New Roman"/>
          <w:sz w:val="28"/>
          <w:szCs w:val="28"/>
        </w:rPr>
        <w:t>При направлении MSU ключевые диагностические и лечебные мероприятия переносятся на догоспитальный этап, что позволяет существенно сократить время до начала специализированного лечения.</w:t>
      </w:r>
    </w:p>
    <w:p w14:paraId="34D0DCE8" w14:textId="77777777" w:rsidR="00ED1D21" w:rsidRPr="00302F5D" w:rsidRDefault="00ED1D21" w:rsidP="000818BE">
      <w:pPr>
        <w:spacing w:after="0" w:line="240" w:lineRule="auto"/>
        <w:ind w:firstLine="567"/>
        <w:jc w:val="both"/>
        <w:rPr>
          <w:rFonts w:ascii="Times New Roman" w:hAnsi="Times New Roman" w:cs="Times New Roman"/>
          <w:sz w:val="28"/>
          <w:szCs w:val="28"/>
        </w:rPr>
      </w:pPr>
      <w:r w:rsidRPr="00302F5D">
        <w:rPr>
          <w:rFonts w:ascii="Times New Roman" w:hAnsi="Times New Roman" w:cs="Times New Roman"/>
          <w:i/>
          <w:iCs/>
          <w:sz w:val="28"/>
          <w:szCs w:val="28"/>
        </w:rPr>
        <w:t>Состав и функции инсультной бригады MSU</w:t>
      </w:r>
      <w:r>
        <w:rPr>
          <w:rFonts w:ascii="Times New Roman" w:hAnsi="Times New Roman" w:cs="Times New Roman"/>
          <w:i/>
          <w:iCs/>
          <w:sz w:val="28"/>
          <w:szCs w:val="28"/>
        </w:rPr>
        <w:t xml:space="preserve">: </w:t>
      </w:r>
      <w:r w:rsidRPr="00302F5D">
        <w:rPr>
          <w:rFonts w:ascii="Times New Roman" w:hAnsi="Times New Roman" w:cs="Times New Roman"/>
          <w:sz w:val="28"/>
          <w:szCs w:val="28"/>
        </w:rPr>
        <w:t>В состав мобильной инсультной бригады входят:</w:t>
      </w:r>
    </w:p>
    <w:p w14:paraId="4BB78E77" w14:textId="77777777" w:rsidR="00ED1D21" w:rsidRPr="00302F5D" w:rsidRDefault="00ED1D21" w:rsidP="000818BE">
      <w:pPr>
        <w:numPr>
          <w:ilvl w:val="0"/>
          <w:numId w:val="7"/>
        </w:numPr>
        <w:spacing w:after="0" w:line="240" w:lineRule="auto"/>
        <w:ind w:left="0" w:firstLine="567"/>
        <w:jc w:val="both"/>
        <w:rPr>
          <w:rFonts w:ascii="Times New Roman" w:hAnsi="Times New Roman" w:cs="Times New Roman"/>
          <w:sz w:val="28"/>
          <w:szCs w:val="28"/>
        </w:rPr>
      </w:pPr>
      <w:r w:rsidRPr="00302F5D">
        <w:rPr>
          <w:rFonts w:ascii="Times New Roman" w:hAnsi="Times New Roman" w:cs="Times New Roman"/>
          <w:sz w:val="28"/>
          <w:szCs w:val="28"/>
        </w:rPr>
        <w:t>врач-невролог или сосудистый невролог;</w:t>
      </w:r>
    </w:p>
    <w:p w14:paraId="5BE1516E" w14:textId="77777777" w:rsidR="00ED1D21" w:rsidRPr="00302F5D" w:rsidRDefault="00ED1D21" w:rsidP="000818BE">
      <w:pPr>
        <w:numPr>
          <w:ilvl w:val="0"/>
          <w:numId w:val="7"/>
        </w:numPr>
        <w:spacing w:after="0" w:line="240" w:lineRule="auto"/>
        <w:ind w:left="0" w:firstLine="567"/>
        <w:jc w:val="both"/>
        <w:rPr>
          <w:rFonts w:ascii="Times New Roman" w:hAnsi="Times New Roman" w:cs="Times New Roman"/>
          <w:sz w:val="28"/>
          <w:szCs w:val="28"/>
        </w:rPr>
      </w:pPr>
      <w:r w:rsidRPr="00302F5D">
        <w:rPr>
          <w:rFonts w:ascii="Times New Roman" w:hAnsi="Times New Roman" w:cs="Times New Roman"/>
          <w:sz w:val="28"/>
          <w:szCs w:val="28"/>
        </w:rPr>
        <w:t>фельдшер СМП или медицинский работник расширенной практики;</w:t>
      </w:r>
    </w:p>
    <w:p w14:paraId="6DFDDFDF" w14:textId="77777777" w:rsidR="00ED1D21" w:rsidRPr="00302F5D" w:rsidRDefault="00ED1D21" w:rsidP="000818BE">
      <w:pPr>
        <w:numPr>
          <w:ilvl w:val="0"/>
          <w:numId w:val="7"/>
        </w:numPr>
        <w:spacing w:after="0" w:line="240" w:lineRule="auto"/>
        <w:ind w:left="0" w:firstLine="567"/>
        <w:jc w:val="both"/>
        <w:rPr>
          <w:rFonts w:ascii="Times New Roman" w:hAnsi="Times New Roman" w:cs="Times New Roman"/>
          <w:sz w:val="28"/>
          <w:szCs w:val="28"/>
        </w:rPr>
      </w:pPr>
      <w:r w:rsidRPr="00302F5D">
        <w:rPr>
          <w:rFonts w:ascii="Times New Roman" w:hAnsi="Times New Roman" w:cs="Times New Roman"/>
          <w:sz w:val="28"/>
          <w:szCs w:val="28"/>
        </w:rPr>
        <w:t>КТ-техник;</w:t>
      </w:r>
    </w:p>
    <w:p w14:paraId="3F8251F7" w14:textId="77777777" w:rsidR="00ED1D21" w:rsidRPr="00302F5D" w:rsidRDefault="00ED1D21" w:rsidP="000818BE">
      <w:pPr>
        <w:numPr>
          <w:ilvl w:val="0"/>
          <w:numId w:val="7"/>
        </w:numPr>
        <w:spacing w:after="0" w:line="240" w:lineRule="auto"/>
        <w:ind w:left="0" w:firstLine="567"/>
        <w:jc w:val="both"/>
        <w:rPr>
          <w:rFonts w:ascii="Times New Roman" w:hAnsi="Times New Roman" w:cs="Times New Roman"/>
          <w:sz w:val="28"/>
          <w:szCs w:val="28"/>
        </w:rPr>
      </w:pPr>
      <w:r w:rsidRPr="00302F5D">
        <w:rPr>
          <w:rFonts w:ascii="Times New Roman" w:hAnsi="Times New Roman" w:cs="Times New Roman"/>
          <w:sz w:val="28"/>
          <w:szCs w:val="28"/>
        </w:rPr>
        <w:t>медицинская сестра;</w:t>
      </w:r>
    </w:p>
    <w:p w14:paraId="058F5690" w14:textId="77777777" w:rsidR="00ED1D21" w:rsidRPr="00302F5D" w:rsidRDefault="00ED1D21" w:rsidP="000818BE">
      <w:pPr>
        <w:numPr>
          <w:ilvl w:val="0"/>
          <w:numId w:val="7"/>
        </w:numPr>
        <w:spacing w:after="0" w:line="240" w:lineRule="auto"/>
        <w:ind w:left="0" w:firstLine="567"/>
        <w:jc w:val="both"/>
        <w:rPr>
          <w:rFonts w:ascii="Times New Roman" w:hAnsi="Times New Roman" w:cs="Times New Roman"/>
          <w:sz w:val="28"/>
          <w:szCs w:val="28"/>
        </w:rPr>
      </w:pPr>
      <w:r w:rsidRPr="00302F5D">
        <w:rPr>
          <w:rFonts w:ascii="Times New Roman" w:hAnsi="Times New Roman" w:cs="Times New Roman"/>
          <w:sz w:val="28"/>
          <w:szCs w:val="28"/>
        </w:rPr>
        <w:t>диспетчер стационара 7 ГКБ;</w:t>
      </w:r>
    </w:p>
    <w:p w14:paraId="66F88004" w14:textId="77777777" w:rsidR="00ED1D21" w:rsidRPr="00302F5D" w:rsidRDefault="00ED1D21" w:rsidP="000818BE">
      <w:pPr>
        <w:numPr>
          <w:ilvl w:val="0"/>
          <w:numId w:val="7"/>
        </w:numPr>
        <w:spacing w:after="0" w:line="240" w:lineRule="auto"/>
        <w:ind w:left="0" w:firstLine="567"/>
        <w:jc w:val="both"/>
        <w:rPr>
          <w:rFonts w:ascii="Times New Roman" w:hAnsi="Times New Roman" w:cs="Times New Roman"/>
          <w:sz w:val="28"/>
          <w:szCs w:val="28"/>
        </w:rPr>
      </w:pPr>
      <w:r w:rsidRPr="00302F5D">
        <w:rPr>
          <w:rFonts w:ascii="Times New Roman" w:hAnsi="Times New Roman" w:cs="Times New Roman"/>
          <w:sz w:val="28"/>
          <w:szCs w:val="28"/>
        </w:rPr>
        <w:t>врач, осуществляющий дистанционное консультирование с использованием телемедицинских технологий.</w:t>
      </w:r>
    </w:p>
    <w:p w14:paraId="66541203" w14:textId="77777777" w:rsidR="00ED1D21" w:rsidRPr="00302F5D" w:rsidRDefault="00ED1D21" w:rsidP="000818BE">
      <w:pPr>
        <w:spacing w:after="0" w:line="240" w:lineRule="auto"/>
        <w:ind w:firstLine="567"/>
        <w:jc w:val="both"/>
        <w:rPr>
          <w:rFonts w:ascii="Times New Roman" w:hAnsi="Times New Roman" w:cs="Times New Roman"/>
          <w:sz w:val="28"/>
          <w:szCs w:val="28"/>
        </w:rPr>
      </w:pPr>
      <w:r w:rsidRPr="00302F5D">
        <w:rPr>
          <w:rFonts w:ascii="Times New Roman" w:hAnsi="Times New Roman" w:cs="Times New Roman"/>
          <w:sz w:val="28"/>
          <w:szCs w:val="28"/>
        </w:rPr>
        <w:t>Мультидисциплинарный состав бригады обеспечивает проведение клинической оценки, нейровизуализации (КТ головного мозга), интерпретацию результатов исследований и принятие решений о реперфузионной терапии непосредственно на догоспитальном этапе.</w:t>
      </w:r>
    </w:p>
    <w:p w14:paraId="4243E0E5" w14:textId="77777777" w:rsidR="00ED1D21" w:rsidRPr="00302F5D" w:rsidRDefault="00ED1D21" w:rsidP="000818BE">
      <w:pPr>
        <w:spacing w:after="0" w:line="240" w:lineRule="auto"/>
        <w:ind w:firstLine="567"/>
        <w:jc w:val="both"/>
        <w:rPr>
          <w:rFonts w:ascii="Times New Roman" w:hAnsi="Times New Roman" w:cs="Times New Roman"/>
          <w:sz w:val="28"/>
          <w:szCs w:val="28"/>
        </w:rPr>
      </w:pPr>
      <w:r w:rsidRPr="00302F5D">
        <w:rPr>
          <w:rFonts w:ascii="Times New Roman" w:hAnsi="Times New Roman" w:cs="Times New Roman"/>
          <w:sz w:val="28"/>
          <w:szCs w:val="28"/>
        </w:rPr>
        <w:t>Ключевые этапы оказания помощи</w:t>
      </w:r>
    </w:p>
    <w:p w14:paraId="411788EF" w14:textId="77777777" w:rsidR="00ED1D21" w:rsidRPr="00302F5D" w:rsidRDefault="00ED1D21" w:rsidP="000818BE">
      <w:pPr>
        <w:numPr>
          <w:ilvl w:val="0"/>
          <w:numId w:val="8"/>
        </w:numPr>
        <w:spacing w:after="0" w:line="240" w:lineRule="auto"/>
        <w:ind w:left="0" w:firstLine="567"/>
        <w:jc w:val="both"/>
        <w:rPr>
          <w:rFonts w:ascii="Times New Roman" w:hAnsi="Times New Roman" w:cs="Times New Roman"/>
          <w:sz w:val="28"/>
          <w:szCs w:val="28"/>
        </w:rPr>
      </w:pPr>
      <w:r w:rsidRPr="00302F5D">
        <w:rPr>
          <w:rFonts w:ascii="Times New Roman" w:hAnsi="Times New Roman" w:cs="Times New Roman"/>
          <w:sz w:val="28"/>
          <w:szCs w:val="28"/>
        </w:rPr>
        <w:t>Экстренный вызов в СМП и первичный инсультный скрининг.</w:t>
      </w:r>
    </w:p>
    <w:p w14:paraId="3EED0733" w14:textId="77777777" w:rsidR="00ED1D21" w:rsidRPr="00302F5D" w:rsidRDefault="00ED1D21" w:rsidP="000818BE">
      <w:pPr>
        <w:numPr>
          <w:ilvl w:val="0"/>
          <w:numId w:val="8"/>
        </w:numPr>
        <w:spacing w:after="0" w:line="240" w:lineRule="auto"/>
        <w:ind w:left="0" w:firstLine="567"/>
        <w:jc w:val="both"/>
        <w:rPr>
          <w:rFonts w:ascii="Times New Roman" w:hAnsi="Times New Roman" w:cs="Times New Roman"/>
          <w:sz w:val="28"/>
          <w:szCs w:val="28"/>
        </w:rPr>
      </w:pPr>
      <w:r w:rsidRPr="00302F5D">
        <w:rPr>
          <w:rFonts w:ascii="Times New Roman" w:hAnsi="Times New Roman" w:cs="Times New Roman"/>
          <w:sz w:val="28"/>
          <w:szCs w:val="28"/>
        </w:rPr>
        <w:t>Передача информации в диспетчерскую службу 7 ГКБ.</w:t>
      </w:r>
    </w:p>
    <w:p w14:paraId="263A0938" w14:textId="77777777" w:rsidR="00ED1D21" w:rsidRPr="00302F5D" w:rsidRDefault="00ED1D21" w:rsidP="000818BE">
      <w:pPr>
        <w:numPr>
          <w:ilvl w:val="0"/>
          <w:numId w:val="8"/>
        </w:numPr>
        <w:spacing w:after="0" w:line="240" w:lineRule="auto"/>
        <w:ind w:left="0" w:firstLine="567"/>
        <w:jc w:val="both"/>
        <w:rPr>
          <w:rFonts w:ascii="Times New Roman" w:hAnsi="Times New Roman" w:cs="Times New Roman"/>
          <w:sz w:val="28"/>
          <w:szCs w:val="28"/>
        </w:rPr>
      </w:pPr>
      <w:r w:rsidRPr="00302F5D">
        <w:rPr>
          <w:rFonts w:ascii="Times New Roman" w:hAnsi="Times New Roman" w:cs="Times New Roman"/>
          <w:sz w:val="28"/>
          <w:szCs w:val="28"/>
        </w:rPr>
        <w:t>Принятие решения о направлении MSU.</w:t>
      </w:r>
    </w:p>
    <w:p w14:paraId="1B806D15" w14:textId="77777777" w:rsidR="00ED1D21" w:rsidRPr="00302F5D" w:rsidRDefault="00ED1D21" w:rsidP="000818BE">
      <w:pPr>
        <w:numPr>
          <w:ilvl w:val="0"/>
          <w:numId w:val="8"/>
        </w:numPr>
        <w:spacing w:after="0" w:line="240" w:lineRule="auto"/>
        <w:ind w:left="0" w:firstLine="567"/>
        <w:jc w:val="both"/>
        <w:rPr>
          <w:rFonts w:ascii="Times New Roman" w:hAnsi="Times New Roman" w:cs="Times New Roman"/>
          <w:sz w:val="28"/>
          <w:szCs w:val="28"/>
        </w:rPr>
      </w:pPr>
      <w:r w:rsidRPr="00302F5D">
        <w:rPr>
          <w:rFonts w:ascii="Times New Roman" w:hAnsi="Times New Roman" w:cs="Times New Roman"/>
          <w:sz w:val="28"/>
          <w:szCs w:val="28"/>
        </w:rPr>
        <w:t>Выезд MSU к пациенту и проведение диагностики на месте.</w:t>
      </w:r>
    </w:p>
    <w:p w14:paraId="28E579E6" w14:textId="77777777" w:rsidR="00ED1D21" w:rsidRPr="00302F5D" w:rsidRDefault="00ED1D21" w:rsidP="000818BE">
      <w:pPr>
        <w:numPr>
          <w:ilvl w:val="0"/>
          <w:numId w:val="8"/>
        </w:numPr>
        <w:spacing w:after="0" w:line="240" w:lineRule="auto"/>
        <w:ind w:left="0" w:firstLine="567"/>
        <w:jc w:val="both"/>
        <w:rPr>
          <w:rFonts w:ascii="Times New Roman" w:hAnsi="Times New Roman" w:cs="Times New Roman"/>
          <w:sz w:val="28"/>
          <w:szCs w:val="28"/>
        </w:rPr>
      </w:pPr>
      <w:r w:rsidRPr="00302F5D">
        <w:rPr>
          <w:rFonts w:ascii="Times New Roman" w:hAnsi="Times New Roman" w:cs="Times New Roman"/>
          <w:sz w:val="28"/>
          <w:szCs w:val="28"/>
        </w:rPr>
        <w:t>Начало специализированного лечения (включая тромболитическую терапию при наличии показаний).</w:t>
      </w:r>
    </w:p>
    <w:p w14:paraId="06823A09" w14:textId="77777777" w:rsidR="00ED1D21" w:rsidRPr="00092115" w:rsidRDefault="00ED1D21" w:rsidP="000818BE">
      <w:pPr>
        <w:numPr>
          <w:ilvl w:val="0"/>
          <w:numId w:val="8"/>
        </w:numPr>
        <w:spacing w:after="0" w:line="240" w:lineRule="auto"/>
        <w:ind w:left="0" w:firstLine="567"/>
        <w:jc w:val="both"/>
        <w:rPr>
          <w:rFonts w:ascii="Times New Roman" w:hAnsi="Times New Roman" w:cs="Times New Roman"/>
          <w:sz w:val="28"/>
          <w:szCs w:val="28"/>
        </w:rPr>
      </w:pPr>
      <w:r w:rsidRPr="00302F5D">
        <w:rPr>
          <w:rFonts w:ascii="Times New Roman" w:hAnsi="Times New Roman" w:cs="Times New Roman"/>
          <w:sz w:val="28"/>
          <w:szCs w:val="28"/>
        </w:rPr>
        <w:t xml:space="preserve">Маршрутизация пациента в профильный стационар с </w:t>
      </w:r>
      <w:r w:rsidRPr="00092115">
        <w:rPr>
          <w:rFonts w:ascii="Times New Roman" w:hAnsi="Times New Roman" w:cs="Times New Roman"/>
          <w:sz w:val="28"/>
          <w:szCs w:val="28"/>
        </w:rPr>
        <w:t>предварительным уведомлением приёмного отделения.</w:t>
      </w:r>
    </w:p>
    <w:p w14:paraId="4CF917B4" w14:textId="770EDC92" w:rsidR="00ED1D21" w:rsidRDefault="00ED1D21" w:rsidP="000818BE">
      <w:pPr>
        <w:spacing w:after="0" w:line="240" w:lineRule="auto"/>
        <w:ind w:firstLine="567"/>
        <w:jc w:val="both"/>
        <w:rPr>
          <w:rFonts w:ascii="Times New Roman" w:hAnsi="Times New Roman" w:cs="Times New Roman"/>
          <w:sz w:val="28"/>
          <w:szCs w:val="28"/>
        </w:rPr>
      </w:pPr>
      <w:r w:rsidRPr="000818BE">
        <w:rPr>
          <w:rFonts w:ascii="Times New Roman" w:hAnsi="Times New Roman" w:cs="Times New Roman"/>
          <w:sz w:val="28"/>
          <w:szCs w:val="28"/>
        </w:rPr>
        <w:t xml:space="preserve">На рисунке </w:t>
      </w:r>
      <w:r w:rsidR="000818BE" w:rsidRPr="000818BE">
        <w:rPr>
          <w:rFonts w:ascii="Times New Roman" w:hAnsi="Times New Roman" w:cs="Times New Roman"/>
          <w:sz w:val="28"/>
          <w:szCs w:val="28"/>
        </w:rPr>
        <w:t>8</w:t>
      </w:r>
      <w:r w:rsidRPr="000818BE">
        <w:rPr>
          <w:rFonts w:ascii="Times New Roman" w:hAnsi="Times New Roman" w:cs="Times New Roman"/>
          <w:sz w:val="28"/>
          <w:szCs w:val="28"/>
        </w:rPr>
        <w:t xml:space="preserve"> представлена</w:t>
      </w:r>
      <w:r w:rsidRPr="00302F5D">
        <w:rPr>
          <w:rFonts w:ascii="Times New Roman" w:hAnsi="Times New Roman" w:cs="Times New Roman"/>
          <w:sz w:val="28"/>
          <w:szCs w:val="28"/>
        </w:rPr>
        <w:t xml:space="preserve"> упрощённая блок-схема маршрутизации пациентов с подозрением на острый инсульт в условиях внедрения MSU. Алгоритм демонстрирует два возможных маршрута — с использованием MSU и стандартной бригады СМП — которые завершаются госпитализацией </w:t>
      </w:r>
      <w:r w:rsidRPr="00302F5D">
        <w:rPr>
          <w:rFonts w:ascii="Times New Roman" w:hAnsi="Times New Roman" w:cs="Times New Roman"/>
          <w:sz w:val="28"/>
          <w:szCs w:val="28"/>
        </w:rPr>
        <w:lastRenderedPageBreak/>
        <w:t>пациента для продолжения специализированного лечения. Схема отражает интеграцию догоспитального и стационарного этапов и подчёркивает ключевую роль MSU в сокращении времени до начала терапии.</w:t>
      </w:r>
    </w:p>
    <w:p w14:paraId="1030BFD5" w14:textId="77777777" w:rsidR="00533899" w:rsidRPr="00302F5D" w:rsidRDefault="00533899" w:rsidP="000818BE">
      <w:pPr>
        <w:spacing w:after="0" w:line="240" w:lineRule="auto"/>
        <w:ind w:firstLine="567"/>
        <w:jc w:val="both"/>
        <w:rPr>
          <w:rFonts w:ascii="Times New Roman" w:hAnsi="Times New Roman" w:cs="Times New Roman"/>
          <w:sz w:val="28"/>
          <w:szCs w:val="28"/>
        </w:rPr>
      </w:pPr>
    </w:p>
    <w:p w14:paraId="0B0F2338" w14:textId="3F3654FF" w:rsidR="00ED1D21" w:rsidRDefault="00533899" w:rsidP="00533899">
      <w:pPr>
        <w:spacing w:line="240" w:lineRule="auto"/>
        <w:ind w:right="-1135"/>
        <w:jc w:val="both"/>
        <w:rPr>
          <w:rFonts w:ascii="Times New Roman" w:hAnsi="Times New Roman" w:cs="Times New Roman"/>
          <w:sz w:val="28"/>
          <w:szCs w:val="28"/>
        </w:rPr>
      </w:pPr>
      <w:r w:rsidRPr="00C75EAF">
        <w:rPr>
          <w:noProof/>
          <w:lang w:eastAsia="ru-RU"/>
        </w:rPr>
        <w:drawing>
          <wp:inline distT="0" distB="0" distL="0" distR="0" wp14:anchorId="226786D7" wp14:editId="07A23F03">
            <wp:extent cx="6048375" cy="3505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48375" cy="3505200"/>
                    </a:xfrm>
                    <a:prstGeom prst="rect">
                      <a:avLst/>
                    </a:prstGeom>
                  </pic:spPr>
                </pic:pic>
              </a:graphicData>
            </a:graphic>
          </wp:inline>
        </w:drawing>
      </w:r>
    </w:p>
    <w:p w14:paraId="10B15FBD" w14:textId="7618DF2A" w:rsidR="00391BEB" w:rsidRDefault="000818BE" w:rsidP="00533899">
      <w:pPr>
        <w:spacing w:line="240" w:lineRule="auto"/>
        <w:ind w:firstLine="567"/>
        <w:jc w:val="center"/>
        <w:rPr>
          <w:rFonts w:ascii="Times New Roman" w:hAnsi="Times New Roman" w:cs="Times New Roman"/>
          <w:sz w:val="28"/>
          <w:szCs w:val="28"/>
        </w:rPr>
      </w:pPr>
      <w:r w:rsidRPr="000818BE">
        <w:rPr>
          <w:rFonts w:ascii="Times New Roman" w:hAnsi="Times New Roman" w:cs="Times New Roman"/>
          <w:sz w:val="28"/>
          <w:szCs w:val="28"/>
        </w:rPr>
        <w:t>Рисунок 8 -</w:t>
      </w:r>
      <w:r>
        <w:rPr>
          <w:rFonts w:ascii="Times New Roman" w:hAnsi="Times New Roman" w:cs="Times New Roman"/>
          <w:sz w:val="28"/>
          <w:szCs w:val="28"/>
        </w:rPr>
        <w:t xml:space="preserve"> </w:t>
      </w:r>
      <w:r w:rsidR="00391BEB">
        <w:rPr>
          <w:rFonts w:ascii="Times New Roman" w:hAnsi="Times New Roman" w:cs="Times New Roman"/>
          <w:sz w:val="28"/>
          <w:szCs w:val="28"/>
        </w:rPr>
        <w:t>Алгоритм маршрутизации при подозрении на инсульт</w:t>
      </w:r>
    </w:p>
    <w:p w14:paraId="5EC6D21D" w14:textId="77777777" w:rsidR="00ED1D21" w:rsidRDefault="00ED1D21" w:rsidP="000818BE">
      <w:pPr>
        <w:spacing w:after="0" w:line="240" w:lineRule="auto"/>
        <w:ind w:firstLine="567"/>
        <w:jc w:val="both"/>
        <w:rPr>
          <w:rFonts w:ascii="Times New Roman" w:hAnsi="Times New Roman" w:cs="Times New Roman"/>
          <w:sz w:val="28"/>
          <w:szCs w:val="28"/>
        </w:rPr>
      </w:pPr>
      <w:r w:rsidRPr="00302F5D">
        <w:rPr>
          <w:rFonts w:ascii="Times New Roman" w:hAnsi="Times New Roman" w:cs="Times New Roman"/>
          <w:sz w:val="28"/>
          <w:szCs w:val="28"/>
        </w:rPr>
        <w:t>Реализация данной организационной модели позволяет сократить время от появления симптомов до начала лечения, минимизировать задержки на этапах диагностики и транспортировки, а также увеличить долю пациентов, получающих своевременную реперфузионную терапию. Это создаёт предпосылки для улучшения функциональных исходов и снижения долгосрочных затрат на лечение и реабилитацию пациентов с инсультом.</w:t>
      </w:r>
    </w:p>
    <w:p w14:paraId="0C779A46" w14:textId="77777777" w:rsidR="00ED1D21" w:rsidRPr="006E77D4" w:rsidRDefault="00ED1D21" w:rsidP="000818BE">
      <w:pPr>
        <w:spacing w:after="0" w:line="240" w:lineRule="auto"/>
        <w:ind w:firstLine="567"/>
        <w:jc w:val="both"/>
        <w:rPr>
          <w:rFonts w:ascii="Times New Roman" w:hAnsi="Times New Roman" w:cs="Times New Roman"/>
          <w:sz w:val="28"/>
          <w:szCs w:val="28"/>
        </w:rPr>
      </w:pPr>
      <w:r w:rsidRPr="00EE4B3C">
        <w:rPr>
          <w:rFonts w:ascii="Times New Roman" w:hAnsi="Times New Roman" w:cs="Times New Roman"/>
          <w:i/>
          <w:iCs/>
          <w:sz w:val="28"/>
          <w:szCs w:val="28"/>
        </w:rPr>
        <w:t>Экономическая эффективность предлагаемой модели.</w:t>
      </w:r>
      <w:r w:rsidRPr="006E77D4">
        <w:t xml:space="preserve"> </w:t>
      </w:r>
      <w:r w:rsidRPr="006E77D4">
        <w:rPr>
          <w:rFonts w:ascii="Times New Roman" w:hAnsi="Times New Roman" w:cs="Times New Roman"/>
          <w:sz w:val="28"/>
          <w:szCs w:val="28"/>
        </w:rPr>
        <w:t>В настоящем разделе представлены результаты анализа чистой приведённой стоимости (Net Present Value, NPV), отражающие динамику денежных потоков и финансовую эффективность проекта внедрения мобильной инсультной бригады (MSU) на расчётном горизонте. В таблице представлены расчёты денежных потоков и чистой приведённой стоимости (NPV) проекта внедрения мобильной инсультной бригады на горизонте 8 лет (нулевой год и 7 лет эксплуатации) с использованием ставки дисконтирования 4% в год.</w:t>
      </w:r>
    </w:p>
    <w:p w14:paraId="63662CF2" w14:textId="5D3D84D5" w:rsidR="00ED1D21" w:rsidRPr="006E77D4" w:rsidRDefault="00ED1D21" w:rsidP="000818BE">
      <w:pPr>
        <w:spacing w:after="0" w:line="240" w:lineRule="auto"/>
        <w:ind w:firstLine="567"/>
        <w:jc w:val="both"/>
        <w:rPr>
          <w:rFonts w:ascii="Times New Roman" w:hAnsi="Times New Roman" w:cs="Times New Roman"/>
          <w:sz w:val="28"/>
          <w:szCs w:val="28"/>
        </w:rPr>
      </w:pPr>
      <w:r w:rsidRPr="006E77D4">
        <w:rPr>
          <w:rFonts w:ascii="Times New Roman" w:hAnsi="Times New Roman" w:cs="Times New Roman"/>
          <w:sz w:val="28"/>
          <w:szCs w:val="28"/>
        </w:rPr>
        <w:t>В начальный момент времени (t = 0) учтены капитальные инвестиции на приобретение оборудованной машины MSU в размере 630 734 845 тенге, отражённые как отрицательный денежный поток</w:t>
      </w:r>
      <w:r>
        <w:rPr>
          <w:rFonts w:ascii="Times New Roman" w:hAnsi="Times New Roman" w:cs="Times New Roman"/>
          <w:sz w:val="28"/>
          <w:szCs w:val="28"/>
        </w:rPr>
        <w:t xml:space="preserve"> [</w:t>
      </w:r>
      <w:r w:rsidR="001B60E6">
        <w:rPr>
          <w:rFonts w:ascii="Times New Roman" w:hAnsi="Times New Roman" w:cs="Times New Roman"/>
          <w:sz w:val="28"/>
          <w:szCs w:val="28"/>
        </w:rPr>
        <w:t>123</w:t>
      </w:r>
      <w:r>
        <w:rPr>
          <w:rFonts w:ascii="Times New Roman" w:hAnsi="Times New Roman" w:cs="Times New Roman"/>
          <w:sz w:val="28"/>
          <w:szCs w:val="28"/>
        </w:rPr>
        <w:t>,1</w:t>
      </w:r>
      <w:r w:rsidR="001B60E6">
        <w:rPr>
          <w:rFonts w:ascii="Times New Roman" w:hAnsi="Times New Roman" w:cs="Times New Roman"/>
          <w:sz w:val="28"/>
          <w:szCs w:val="28"/>
        </w:rPr>
        <w:t>73,174</w:t>
      </w:r>
      <w:r>
        <w:rPr>
          <w:rFonts w:ascii="Times New Roman" w:hAnsi="Times New Roman" w:cs="Times New Roman"/>
          <w:sz w:val="28"/>
          <w:szCs w:val="28"/>
        </w:rPr>
        <w:t>]</w:t>
      </w:r>
      <w:r w:rsidRPr="006E77D4">
        <w:rPr>
          <w:rFonts w:ascii="Times New Roman" w:hAnsi="Times New Roman" w:cs="Times New Roman"/>
          <w:sz w:val="28"/>
          <w:szCs w:val="28"/>
        </w:rPr>
        <w:t>.</w:t>
      </w:r>
      <w:r>
        <w:rPr>
          <w:rFonts w:ascii="Times New Roman" w:hAnsi="Times New Roman" w:cs="Times New Roman"/>
          <w:sz w:val="28"/>
          <w:szCs w:val="28"/>
        </w:rPr>
        <w:t xml:space="preserve"> </w:t>
      </w:r>
      <w:r w:rsidRPr="006E77D4">
        <w:rPr>
          <w:rFonts w:ascii="Times New Roman" w:hAnsi="Times New Roman" w:cs="Times New Roman"/>
          <w:sz w:val="28"/>
          <w:szCs w:val="28"/>
        </w:rPr>
        <w:t>В течение эксплуатационного периода ежегодно формируется положительный денежный поток за счёт доходов (экономического эффекта) проекта в размере 262 018 350 тенге в год, рассчитанного исходя из обслуживания 350 пациентов с инсультом.</w:t>
      </w:r>
      <w:r>
        <w:rPr>
          <w:rFonts w:ascii="Times New Roman" w:hAnsi="Times New Roman" w:cs="Times New Roman"/>
          <w:sz w:val="28"/>
          <w:szCs w:val="28"/>
        </w:rPr>
        <w:t xml:space="preserve"> </w:t>
      </w:r>
      <w:r w:rsidRPr="006E77D4">
        <w:rPr>
          <w:rFonts w:ascii="Times New Roman" w:hAnsi="Times New Roman" w:cs="Times New Roman"/>
          <w:sz w:val="28"/>
          <w:szCs w:val="28"/>
        </w:rPr>
        <w:t xml:space="preserve">Расходная часть проекта включает фонд оплаты труда персонала MSU, расходы </w:t>
      </w:r>
      <w:r w:rsidRPr="006E77D4">
        <w:rPr>
          <w:rFonts w:ascii="Times New Roman" w:hAnsi="Times New Roman" w:cs="Times New Roman"/>
          <w:sz w:val="28"/>
          <w:szCs w:val="28"/>
        </w:rPr>
        <w:lastRenderedPageBreak/>
        <w:t>на материалы и разовые затраты на обучение персонала в первый год реализации проекта. В результате роста эксплуатационных затрат чистая прибыль проекта постепенно снижается:</w:t>
      </w:r>
      <w:r>
        <w:rPr>
          <w:rFonts w:ascii="Times New Roman" w:hAnsi="Times New Roman" w:cs="Times New Roman"/>
          <w:sz w:val="28"/>
          <w:szCs w:val="28"/>
        </w:rPr>
        <w:t xml:space="preserve"> </w:t>
      </w:r>
      <w:r w:rsidRPr="006E77D4">
        <w:rPr>
          <w:rFonts w:ascii="Times New Roman" w:hAnsi="Times New Roman" w:cs="Times New Roman"/>
          <w:sz w:val="28"/>
          <w:szCs w:val="28"/>
        </w:rPr>
        <w:t>на пятом году эксплуатации она составляет 46 491 664 тенге, а на шестом году — 30 055 065 тенге</w:t>
      </w:r>
      <w:r>
        <w:rPr>
          <w:rFonts w:ascii="Times New Roman" w:hAnsi="Times New Roman" w:cs="Times New Roman"/>
          <w:sz w:val="28"/>
          <w:szCs w:val="28"/>
        </w:rPr>
        <w:t xml:space="preserve"> (таблица </w:t>
      </w:r>
      <w:r w:rsidR="006E48A7">
        <w:rPr>
          <w:rFonts w:ascii="Times New Roman" w:hAnsi="Times New Roman" w:cs="Times New Roman"/>
          <w:sz w:val="28"/>
          <w:szCs w:val="28"/>
        </w:rPr>
        <w:t>24</w:t>
      </w:r>
      <w:r>
        <w:rPr>
          <w:rFonts w:ascii="Times New Roman" w:hAnsi="Times New Roman" w:cs="Times New Roman"/>
          <w:sz w:val="28"/>
          <w:szCs w:val="28"/>
        </w:rPr>
        <w:t>)</w:t>
      </w:r>
      <w:r w:rsidRPr="006E77D4">
        <w:rPr>
          <w:rFonts w:ascii="Times New Roman" w:hAnsi="Times New Roman" w:cs="Times New Roman"/>
          <w:sz w:val="28"/>
          <w:szCs w:val="28"/>
        </w:rPr>
        <w:t>.</w:t>
      </w:r>
    </w:p>
    <w:p w14:paraId="61D71E9F" w14:textId="77777777" w:rsidR="00ED1D21" w:rsidRDefault="00ED1D21" w:rsidP="000818BE">
      <w:pPr>
        <w:spacing w:after="0" w:line="240" w:lineRule="auto"/>
        <w:ind w:firstLine="567"/>
        <w:jc w:val="both"/>
        <w:rPr>
          <w:rFonts w:ascii="Times New Roman" w:hAnsi="Times New Roman" w:cs="Times New Roman"/>
          <w:sz w:val="28"/>
          <w:szCs w:val="28"/>
        </w:rPr>
      </w:pPr>
      <w:r w:rsidRPr="006E77D4">
        <w:rPr>
          <w:rFonts w:ascii="Times New Roman" w:hAnsi="Times New Roman" w:cs="Times New Roman"/>
          <w:sz w:val="28"/>
          <w:szCs w:val="28"/>
        </w:rPr>
        <w:t>Все годовые денежные потоки дисконтируются по ставке 4%, что позволяет определить их приведённую стоимость. На завершающем этапе расчёта в модель включена ликвидационная стоимость оборудования в размере 706 423 026 тенге, приведённая к текущей стоимости.</w:t>
      </w:r>
      <w:r>
        <w:rPr>
          <w:rFonts w:ascii="Times New Roman" w:hAnsi="Times New Roman" w:cs="Times New Roman"/>
          <w:sz w:val="28"/>
          <w:szCs w:val="28"/>
        </w:rPr>
        <w:t xml:space="preserve"> </w:t>
      </w:r>
      <w:r w:rsidRPr="006E77D4">
        <w:rPr>
          <w:rFonts w:ascii="Times New Roman" w:hAnsi="Times New Roman" w:cs="Times New Roman"/>
          <w:sz w:val="28"/>
          <w:szCs w:val="28"/>
        </w:rPr>
        <w:t>Суммарная чистая приведённая стоимость проекта по итогам расчётного горизонта составила 289 908 572 тенге, что свидетельствует о финансовой устойчивости и инвестиционной целесообразности проекта внедрения мобильной инсультной бригады.</w:t>
      </w:r>
    </w:p>
    <w:p w14:paraId="14BEAA62" w14:textId="77777777" w:rsidR="00ED1D21" w:rsidRPr="00AE6E5A" w:rsidRDefault="00ED1D21" w:rsidP="000818BE">
      <w:pPr>
        <w:spacing w:after="0" w:line="240" w:lineRule="auto"/>
        <w:ind w:firstLine="567"/>
        <w:jc w:val="both"/>
        <w:rPr>
          <w:rFonts w:ascii="Times New Roman" w:hAnsi="Times New Roman" w:cs="Times New Roman"/>
          <w:sz w:val="28"/>
          <w:szCs w:val="28"/>
        </w:rPr>
      </w:pPr>
      <w:r w:rsidRPr="00AE6E5A">
        <w:rPr>
          <w:rFonts w:ascii="Times New Roman" w:hAnsi="Times New Roman" w:cs="Times New Roman"/>
          <w:sz w:val="28"/>
          <w:szCs w:val="28"/>
        </w:rPr>
        <w:t>Однофакторный анализ чувствительности (DSA) был выполнен для оценки устойчивости результатов анализа чистой приведённой стоимости (NPV) к изменению ключевых входных параметров модели. В рамках анализа каждый параметр поочерёдно варьировался в пределах заданного диапазона (как правило, ±20% от базового значения), при фиксированных значениях всех остальных параметров.</w:t>
      </w:r>
    </w:p>
    <w:p w14:paraId="719B254D" w14:textId="4EBABA06" w:rsidR="00ED1D21" w:rsidRPr="00092115" w:rsidRDefault="00ED1D21" w:rsidP="000818BE">
      <w:pPr>
        <w:spacing w:after="0" w:line="240" w:lineRule="auto"/>
        <w:ind w:firstLine="567"/>
        <w:jc w:val="both"/>
        <w:rPr>
          <w:rFonts w:ascii="Times New Roman" w:hAnsi="Times New Roman" w:cs="Times New Roman"/>
          <w:sz w:val="28"/>
          <w:szCs w:val="28"/>
        </w:rPr>
      </w:pPr>
      <w:r w:rsidRPr="00AE6E5A">
        <w:rPr>
          <w:rFonts w:ascii="Times New Roman" w:hAnsi="Times New Roman" w:cs="Times New Roman"/>
          <w:sz w:val="28"/>
          <w:szCs w:val="28"/>
        </w:rPr>
        <w:t xml:space="preserve">Результаты DSA показали, что наибольшее влияние на значение NPV оказывает </w:t>
      </w:r>
      <w:r w:rsidRPr="00092115">
        <w:rPr>
          <w:rFonts w:ascii="Times New Roman" w:hAnsi="Times New Roman" w:cs="Times New Roman"/>
          <w:sz w:val="28"/>
          <w:szCs w:val="28"/>
        </w:rPr>
        <w:t>годовой доход (экономический эффект) проекта. При снижении данного показателя на 20% значение NPV уменьшалось до ≈15,2 млн тенге (NPV_низк.), тогда как при увеличении дохода на 20% NPV возрастало до ≈564,6 млн тенге (NPV_выс.). Это свидетельствует о высокой чувствительности финансовых результатов проекта к объёму достигаемого экономического эффекта</w:t>
      </w:r>
      <w:r w:rsidR="006E48A7">
        <w:rPr>
          <w:rFonts w:ascii="Times New Roman" w:hAnsi="Times New Roman" w:cs="Times New Roman"/>
          <w:sz w:val="28"/>
          <w:szCs w:val="28"/>
        </w:rPr>
        <w:t>, таблица 25</w:t>
      </w:r>
      <w:r w:rsidRPr="00092115">
        <w:rPr>
          <w:rFonts w:ascii="Times New Roman" w:hAnsi="Times New Roman" w:cs="Times New Roman"/>
          <w:sz w:val="28"/>
          <w:szCs w:val="28"/>
        </w:rPr>
        <w:t>.</w:t>
      </w:r>
    </w:p>
    <w:p w14:paraId="67F2E18C" w14:textId="77777777" w:rsidR="00ED1D21" w:rsidRPr="00092115" w:rsidRDefault="00ED1D21" w:rsidP="000818BE">
      <w:pPr>
        <w:spacing w:after="0" w:line="240" w:lineRule="auto"/>
        <w:ind w:firstLine="567"/>
        <w:jc w:val="both"/>
        <w:rPr>
          <w:rFonts w:ascii="Times New Roman" w:hAnsi="Times New Roman" w:cs="Times New Roman"/>
          <w:sz w:val="28"/>
          <w:szCs w:val="28"/>
        </w:rPr>
      </w:pPr>
      <w:r w:rsidRPr="00092115">
        <w:rPr>
          <w:rFonts w:ascii="Times New Roman" w:hAnsi="Times New Roman" w:cs="Times New Roman"/>
          <w:sz w:val="28"/>
          <w:szCs w:val="28"/>
        </w:rPr>
        <w:t>Капитальные затраты (CAPEX) также оказывали существенное влияние на результаты: при увеличении CAPEX на 20% значение NPV снижалось до ≈163,8 млн тенге, а при уменьшении CAPEX на 20% возрастало до ≈416,1 млн тенге. Аналогичное по величине влияние наблюдалось и для расходов на материалы: при их увеличении на 20% NPV снижалось до ≈168,1 млн тенге, тогда как при снижении на 20% увеличивалось до ≈411,8 млн тенге.</w:t>
      </w:r>
    </w:p>
    <w:p w14:paraId="6BC3AB52" w14:textId="77777777" w:rsidR="00ED1D21" w:rsidRPr="00092115" w:rsidRDefault="00ED1D21" w:rsidP="000818BE">
      <w:pPr>
        <w:spacing w:after="0" w:line="240" w:lineRule="auto"/>
        <w:ind w:firstLine="567"/>
        <w:jc w:val="both"/>
        <w:rPr>
          <w:rFonts w:ascii="Times New Roman" w:hAnsi="Times New Roman" w:cs="Times New Roman"/>
          <w:sz w:val="28"/>
          <w:szCs w:val="28"/>
        </w:rPr>
      </w:pPr>
      <w:r w:rsidRPr="00092115">
        <w:rPr>
          <w:rFonts w:ascii="Times New Roman" w:hAnsi="Times New Roman" w:cs="Times New Roman"/>
          <w:sz w:val="28"/>
          <w:szCs w:val="28"/>
        </w:rPr>
        <w:t>Изменения фонда оплаты труда и ликвидационной стоимости оборудования оказывали умеренное влияние на результаты анализа. Так, варьирование фонда оплаты труда на ±20% приводило к изменению NPV в диапазоне от ≈214,0 млн до ≈365,8 млн тенге, а изменение ликвидационной стоимости — от ≈182,5 млн до ≈397,3 млн тенге. Влияние ставки дисконтирования (в диапазоне 3–5%) было менее выраженным по сравнению с операционными и инвестиционными параметрами.</w:t>
      </w:r>
    </w:p>
    <w:p w14:paraId="4C906578" w14:textId="77777777" w:rsidR="00ED1D21" w:rsidRPr="00092115" w:rsidRDefault="00ED1D21" w:rsidP="000818BE">
      <w:pPr>
        <w:spacing w:after="0" w:line="240" w:lineRule="auto"/>
        <w:ind w:firstLine="567"/>
        <w:jc w:val="both"/>
        <w:rPr>
          <w:rFonts w:ascii="Times New Roman" w:hAnsi="Times New Roman" w:cs="Times New Roman"/>
          <w:sz w:val="28"/>
          <w:szCs w:val="28"/>
        </w:rPr>
      </w:pPr>
      <w:r w:rsidRPr="00092115">
        <w:rPr>
          <w:rFonts w:ascii="Times New Roman" w:hAnsi="Times New Roman" w:cs="Times New Roman"/>
          <w:sz w:val="28"/>
          <w:szCs w:val="28"/>
        </w:rPr>
        <w:t>Разовые затраты на обучение персонала практически не влияли на значение NPV: изменение данного параметра на ±20% приводило лишь к незначительным колебаниям итогового показателя (менее 1 млн тенге).</w:t>
      </w:r>
    </w:p>
    <w:p w14:paraId="5A919006" w14:textId="77777777" w:rsidR="00ED1D21" w:rsidRPr="00092115" w:rsidRDefault="00ED1D21" w:rsidP="000818BE">
      <w:pPr>
        <w:spacing w:after="0" w:line="240" w:lineRule="auto"/>
        <w:ind w:firstLine="567"/>
        <w:jc w:val="both"/>
        <w:rPr>
          <w:rFonts w:ascii="Times New Roman" w:hAnsi="Times New Roman" w:cs="Times New Roman"/>
          <w:sz w:val="28"/>
          <w:szCs w:val="28"/>
        </w:rPr>
      </w:pPr>
      <w:r w:rsidRPr="00092115">
        <w:rPr>
          <w:rFonts w:ascii="Times New Roman" w:hAnsi="Times New Roman" w:cs="Times New Roman"/>
          <w:sz w:val="28"/>
          <w:szCs w:val="28"/>
        </w:rPr>
        <w:t xml:space="preserve">Показатель «размах влияния» в рамках DSA отражает разницу между значениями NPV при неблагоприятном и благоприятном значениях параметра (NPV_выс. − NPV_низк.) и используется для ранжирования параметров по </w:t>
      </w:r>
      <w:r w:rsidRPr="00092115">
        <w:rPr>
          <w:rFonts w:ascii="Times New Roman" w:hAnsi="Times New Roman" w:cs="Times New Roman"/>
          <w:sz w:val="28"/>
          <w:szCs w:val="28"/>
        </w:rPr>
        <w:lastRenderedPageBreak/>
        <w:t>степени их влияния на экономический результат проекта. Чем больше размах, тем выше чувствительность NPV к изменению соответствующего параметра.</w:t>
      </w:r>
    </w:p>
    <w:p w14:paraId="1D4F1172" w14:textId="77777777" w:rsidR="00ED1D21" w:rsidRPr="00092115" w:rsidRDefault="00ED1D21" w:rsidP="000818BE">
      <w:pPr>
        <w:spacing w:after="0" w:line="240" w:lineRule="auto"/>
        <w:ind w:firstLine="567"/>
        <w:jc w:val="both"/>
        <w:rPr>
          <w:rFonts w:ascii="Times New Roman" w:hAnsi="Times New Roman" w:cs="Times New Roman"/>
          <w:sz w:val="28"/>
          <w:szCs w:val="28"/>
        </w:rPr>
      </w:pPr>
    </w:p>
    <w:p w14:paraId="7D5CFF07" w14:textId="77777777" w:rsidR="00ED1D21" w:rsidRPr="00AE6E5A" w:rsidRDefault="00ED1D21" w:rsidP="000F4E51">
      <w:pPr>
        <w:spacing w:line="240" w:lineRule="auto"/>
        <w:ind w:left="851" w:right="-1135" w:firstLine="567"/>
        <w:jc w:val="both"/>
        <w:rPr>
          <w:rFonts w:ascii="Times New Roman" w:hAnsi="Times New Roman" w:cs="Times New Roman"/>
          <w:i/>
          <w:iCs/>
          <w:sz w:val="28"/>
          <w:szCs w:val="28"/>
        </w:rPr>
        <w:sectPr w:rsidR="00ED1D21" w:rsidRPr="00AE6E5A" w:rsidSect="000818BE">
          <w:pgSz w:w="11906" w:h="16838"/>
          <w:pgMar w:top="1134" w:right="707" w:bottom="1134" w:left="1701" w:header="708" w:footer="708" w:gutter="0"/>
          <w:cols w:space="708"/>
          <w:docGrid w:linePitch="360"/>
        </w:sectPr>
      </w:pPr>
    </w:p>
    <w:p w14:paraId="73B0ADB8" w14:textId="0AD43682" w:rsidR="00ED1D21" w:rsidRDefault="00ED1D21" w:rsidP="000818BE">
      <w:pPr>
        <w:spacing w:after="0" w:line="240" w:lineRule="auto"/>
        <w:ind w:right="-31"/>
        <w:contextualSpacing/>
        <w:jc w:val="both"/>
        <w:rPr>
          <w:rFonts w:ascii="Times New Roman" w:hAnsi="Times New Roman" w:cs="Times New Roman"/>
          <w:sz w:val="28"/>
          <w:szCs w:val="28"/>
        </w:rPr>
      </w:pPr>
      <w:r w:rsidRPr="006E77D4">
        <w:rPr>
          <w:rFonts w:ascii="Times New Roman" w:hAnsi="Times New Roman" w:cs="Times New Roman"/>
          <w:sz w:val="28"/>
          <w:szCs w:val="28"/>
        </w:rPr>
        <w:lastRenderedPageBreak/>
        <w:t xml:space="preserve">Таблица </w:t>
      </w:r>
      <w:r w:rsidR="006E48A7">
        <w:rPr>
          <w:rFonts w:ascii="Times New Roman" w:hAnsi="Times New Roman" w:cs="Times New Roman"/>
          <w:sz w:val="28"/>
          <w:szCs w:val="28"/>
        </w:rPr>
        <w:t>24</w:t>
      </w:r>
      <w:r w:rsidR="000818B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E77D4">
        <w:rPr>
          <w:rFonts w:ascii="Times New Roman" w:hAnsi="Times New Roman" w:cs="Times New Roman"/>
          <w:sz w:val="28"/>
          <w:szCs w:val="28"/>
        </w:rPr>
        <w:t>Расчёт денежных потоков и чистой приведённой стоимости (NPV) проекта внедрения мобильной инсультной бригады (MSU)</w:t>
      </w:r>
    </w:p>
    <w:p w14:paraId="0A3BCDAE" w14:textId="77777777" w:rsidR="000818BE" w:rsidRPr="006E77D4" w:rsidRDefault="000818BE" w:rsidP="000818BE">
      <w:pPr>
        <w:spacing w:after="0" w:line="240" w:lineRule="auto"/>
        <w:ind w:right="-31"/>
        <w:contextualSpacing/>
        <w:jc w:val="both"/>
        <w:rPr>
          <w:rFonts w:ascii="Times New Roman" w:hAnsi="Times New Roman" w:cs="Times New Roman"/>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701"/>
        <w:gridCol w:w="1892"/>
        <w:gridCol w:w="1444"/>
        <w:gridCol w:w="1283"/>
        <w:gridCol w:w="1945"/>
        <w:gridCol w:w="1657"/>
        <w:gridCol w:w="1418"/>
        <w:gridCol w:w="2268"/>
      </w:tblGrid>
      <w:tr w:rsidR="00ED1D21" w:rsidRPr="006E77D4" w14:paraId="5F482FCF" w14:textId="77777777" w:rsidTr="000818BE">
        <w:trPr>
          <w:trHeight w:val="1500"/>
        </w:trPr>
        <w:tc>
          <w:tcPr>
            <w:tcW w:w="988" w:type="dxa"/>
            <w:vAlign w:val="center"/>
            <w:hideMark/>
          </w:tcPr>
          <w:p w14:paraId="5C05678D"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t</w:t>
            </w:r>
          </w:p>
        </w:tc>
        <w:tc>
          <w:tcPr>
            <w:tcW w:w="1701" w:type="dxa"/>
            <w:vAlign w:val="center"/>
            <w:hideMark/>
          </w:tcPr>
          <w:p w14:paraId="566261DD"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Доходы, ₸</w:t>
            </w:r>
          </w:p>
        </w:tc>
        <w:tc>
          <w:tcPr>
            <w:tcW w:w="1892" w:type="dxa"/>
            <w:vAlign w:val="center"/>
            <w:hideMark/>
          </w:tcPr>
          <w:p w14:paraId="17514CBB"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Зарплата, ₸</w:t>
            </w:r>
          </w:p>
        </w:tc>
        <w:tc>
          <w:tcPr>
            <w:tcW w:w="1444" w:type="dxa"/>
            <w:vAlign w:val="center"/>
            <w:hideMark/>
          </w:tcPr>
          <w:p w14:paraId="24F95590"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Материалы, ₸</w:t>
            </w:r>
          </w:p>
        </w:tc>
        <w:tc>
          <w:tcPr>
            <w:tcW w:w="1283" w:type="dxa"/>
            <w:vAlign w:val="center"/>
            <w:hideMark/>
          </w:tcPr>
          <w:p w14:paraId="0C542E90"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Обучение, ₸</w:t>
            </w:r>
          </w:p>
        </w:tc>
        <w:tc>
          <w:tcPr>
            <w:tcW w:w="1945" w:type="dxa"/>
            <w:vAlign w:val="center"/>
            <w:hideMark/>
          </w:tcPr>
          <w:p w14:paraId="148AF519"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Ликвидационная стоимость, ₸</w:t>
            </w:r>
          </w:p>
        </w:tc>
        <w:tc>
          <w:tcPr>
            <w:tcW w:w="1657" w:type="dxa"/>
            <w:vAlign w:val="center"/>
            <w:hideMark/>
          </w:tcPr>
          <w:p w14:paraId="31E98F0F"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Денежный поток (CF), ₸</w:t>
            </w:r>
          </w:p>
        </w:tc>
        <w:tc>
          <w:tcPr>
            <w:tcW w:w="1418" w:type="dxa"/>
            <w:vAlign w:val="center"/>
            <w:hideMark/>
          </w:tcPr>
          <w:p w14:paraId="6821F728"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Дисконт-фактор (4%)</w:t>
            </w:r>
          </w:p>
        </w:tc>
        <w:tc>
          <w:tcPr>
            <w:tcW w:w="2268" w:type="dxa"/>
            <w:vAlign w:val="center"/>
            <w:hideMark/>
          </w:tcPr>
          <w:p w14:paraId="7A13A905"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Приведённая стоимость (PV), ₸</w:t>
            </w:r>
          </w:p>
        </w:tc>
      </w:tr>
      <w:tr w:rsidR="00ED1D21" w:rsidRPr="006E77D4" w14:paraId="41392FD6" w14:textId="77777777" w:rsidTr="000818BE">
        <w:trPr>
          <w:trHeight w:val="600"/>
        </w:trPr>
        <w:tc>
          <w:tcPr>
            <w:tcW w:w="988" w:type="dxa"/>
            <w:vAlign w:val="center"/>
            <w:hideMark/>
          </w:tcPr>
          <w:p w14:paraId="6F5EEFF0"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0(t=0)</w:t>
            </w:r>
          </w:p>
        </w:tc>
        <w:tc>
          <w:tcPr>
            <w:tcW w:w="1701" w:type="dxa"/>
            <w:vAlign w:val="center"/>
            <w:hideMark/>
          </w:tcPr>
          <w:p w14:paraId="2827BEED"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892" w:type="dxa"/>
            <w:vAlign w:val="center"/>
            <w:hideMark/>
          </w:tcPr>
          <w:p w14:paraId="17D463F1"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444" w:type="dxa"/>
            <w:vAlign w:val="center"/>
            <w:hideMark/>
          </w:tcPr>
          <w:p w14:paraId="4A0ABFDC"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283" w:type="dxa"/>
            <w:vAlign w:val="center"/>
            <w:hideMark/>
          </w:tcPr>
          <w:p w14:paraId="196F3450"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945" w:type="dxa"/>
            <w:vAlign w:val="center"/>
            <w:hideMark/>
          </w:tcPr>
          <w:p w14:paraId="5A36AF49"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657" w:type="dxa"/>
            <w:vAlign w:val="center"/>
            <w:hideMark/>
          </w:tcPr>
          <w:p w14:paraId="7EEF75A2"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−630 734 845</w:t>
            </w:r>
          </w:p>
        </w:tc>
        <w:tc>
          <w:tcPr>
            <w:tcW w:w="1418" w:type="dxa"/>
            <w:vAlign w:val="center"/>
            <w:hideMark/>
          </w:tcPr>
          <w:p w14:paraId="4380BA31"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1</w:t>
            </w:r>
          </w:p>
        </w:tc>
        <w:tc>
          <w:tcPr>
            <w:tcW w:w="2268" w:type="dxa"/>
            <w:vAlign w:val="center"/>
            <w:hideMark/>
          </w:tcPr>
          <w:p w14:paraId="3C73CAD5"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−630 734 845</w:t>
            </w:r>
          </w:p>
        </w:tc>
      </w:tr>
      <w:tr w:rsidR="00ED1D21" w:rsidRPr="006E77D4" w14:paraId="4A9F8483" w14:textId="77777777" w:rsidTr="000818BE">
        <w:trPr>
          <w:trHeight w:val="300"/>
        </w:trPr>
        <w:tc>
          <w:tcPr>
            <w:tcW w:w="988" w:type="dxa"/>
            <w:vAlign w:val="center"/>
            <w:hideMark/>
          </w:tcPr>
          <w:p w14:paraId="49ECF225"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1</w:t>
            </w:r>
          </w:p>
        </w:tc>
        <w:tc>
          <w:tcPr>
            <w:tcW w:w="1701" w:type="dxa"/>
            <w:vAlign w:val="center"/>
            <w:hideMark/>
          </w:tcPr>
          <w:p w14:paraId="22124145"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262 018 350</w:t>
            </w:r>
          </w:p>
        </w:tc>
        <w:tc>
          <w:tcPr>
            <w:tcW w:w="1892" w:type="dxa"/>
            <w:vAlign w:val="center"/>
            <w:hideMark/>
          </w:tcPr>
          <w:p w14:paraId="315EC703"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64 921 506</w:t>
            </w:r>
          </w:p>
        </w:tc>
        <w:tc>
          <w:tcPr>
            <w:tcW w:w="1444" w:type="dxa"/>
            <w:vAlign w:val="center"/>
            <w:hideMark/>
          </w:tcPr>
          <w:p w14:paraId="1C059ADB"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87 047 968</w:t>
            </w:r>
          </w:p>
        </w:tc>
        <w:tc>
          <w:tcPr>
            <w:tcW w:w="1283" w:type="dxa"/>
            <w:vAlign w:val="center"/>
            <w:hideMark/>
          </w:tcPr>
          <w:p w14:paraId="1E127217"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846 000</w:t>
            </w:r>
          </w:p>
        </w:tc>
        <w:tc>
          <w:tcPr>
            <w:tcW w:w="1945" w:type="dxa"/>
            <w:vAlign w:val="center"/>
            <w:hideMark/>
          </w:tcPr>
          <w:p w14:paraId="44AFAE7A"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657" w:type="dxa"/>
            <w:vAlign w:val="center"/>
            <w:hideMark/>
          </w:tcPr>
          <w:p w14:paraId="22C55B29"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109 202 876</w:t>
            </w:r>
          </w:p>
        </w:tc>
        <w:tc>
          <w:tcPr>
            <w:tcW w:w="1418" w:type="dxa"/>
            <w:vAlign w:val="center"/>
            <w:hideMark/>
          </w:tcPr>
          <w:p w14:paraId="0846E966"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0,9615</w:t>
            </w:r>
          </w:p>
        </w:tc>
        <w:tc>
          <w:tcPr>
            <w:tcW w:w="2268" w:type="dxa"/>
            <w:vAlign w:val="center"/>
            <w:hideMark/>
          </w:tcPr>
          <w:p w14:paraId="237495B2"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105 002 765</w:t>
            </w:r>
          </w:p>
        </w:tc>
      </w:tr>
      <w:tr w:rsidR="00ED1D21" w:rsidRPr="006E77D4" w14:paraId="1038BF08" w14:textId="77777777" w:rsidTr="000818BE">
        <w:trPr>
          <w:trHeight w:val="300"/>
        </w:trPr>
        <w:tc>
          <w:tcPr>
            <w:tcW w:w="988" w:type="dxa"/>
            <w:vAlign w:val="center"/>
            <w:hideMark/>
          </w:tcPr>
          <w:p w14:paraId="64AB6DEE"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2</w:t>
            </w:r>
          </w:p>
        </w:tc>
        <w:tc>
          <w:tcPr>
            <w:tcW w:w="1701" w:type="dxa"/>
            <w:vAlign w:val="center"/>
            <w:hideMark/>
          </w:tcPr>
          <w:p w14:paraId="1FA52339"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262 018 350</w:t>
            </w:r>
          </w:p>
        </w:tc>
        <w:tc>
          <w:tcPr>
            <w:tcW w:w="1892" w:type="dxa"/>
            <w:vAlign w:val="center"/>
            <w:hideMark/>
          </w:tcPr>
          <w:p w14:paraId="1D44FA6E"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71 413 657</w:t>
            </w:r>
          </w:p>
        </w:tc>
        <w:tc>
          <w:tcPr>
            <w:tcW w:w="1444" w:type="dxa"/>
            <w:vAlign w:val="center"/>
            <w:hideMark/>
          </w:tcPr>
          <w:p w14:paraId="7A4814B1"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97 493 724</w:t>
            </w:r>
          </w:p>
        </w:tc>
        <w:tc>
          <w:tcPr>
            <w:tcW w:w="1283" w:type="dxa"/>
            <w:vAlign w:val="center"/>
            <w:hideMark/>
          </w:tcPr>
          <w:p w14:paraId="3A4EB620"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945" w:type="dxa"/>
            <w:vAlign w:val="center"/>
            <w:hideMark/>
          </w:tcPr>
          <w:p w14:paraId="78ADABC9"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657" w:type="dxa"/>
            <w:vAlign w:val="center"/>
            <w:hideMark/>
          </w:tcPr>
          <w:p w14:paraId="39A426C5"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93 110 969</w:t>
            </w:r>
          </w:p>
        </w:tc>
        <w:tc>
          <w:tcPr>
            <w:tcW w:w="1418" w:type="dxa"/>
            <w:vAlign w:val="center"/>
            <w:hideMark/>
          </w:tcPr>
          <w:p w14:paraId="69702B01"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0,9246</w:t>
            </w:r>
          </w:p>
        </w:tc>
        <w:tc>
          <w:tcPr>
            <w:tcW w:w="2268" w:type="dxa"/>
            <w:vAlign w:val="center"/>
            <w:hideMark/>
          </w:tcPr>
          <w:p w14:paraId="0F2EC498"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86 086 325</w:t>
            </w:r>
          </w:p>
        </w:tc>
      </w:tr>
      <w:tr w:rsidR="00ED1D21" w:rsidRPr="006E77D4" w14:paraId="76351FD8" w14:textId="77777777" w:rsidTr="000818BE">
        <w:trPr>
          <w:trHeight w:val="300"/>
        </w:trPr>
        <w:tc>
          <w:tcPr>
            <w:tcW w:w="988" w:type="dxa"/>
            <w:vAlign w:val="center"/>
            <w:hideMark/>
          </w:tcPr>
          <w:p w14:paraId="6C055824"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3</w:t>
            </w:r>
          </w:p>
        </w:tc>
        <w:tc>
          <w:tcPr>
            <w:tcW w:w="1701" w:type="dxa"/>
            <w:vAlign w:val="center"/>
            <w:hideMark/>
          </w:tcPr>
          <w:p w14:paraId="24134CCC"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262 018 350</w:t>
            </w:r>
          </w:p>
        </w:tc>
        <w:tc>
          <w:tcPr>
            <w:tcW w:w="1892" w:type="dxa"/>
            <w:vAlign w:val="center"/>
            <w:hideMark/>
          </w:tcPr>
          <w:p w14:paraId="1376015C"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71 413 657</w:t>
            </w:r>
          </w:p>
        </w:tc>
        <w:tc>
          <w:tcPr>
            <w:tcW w:w="1444" w:type="dxa"/>
            <w:vAlign w:val="center"/>
            <w:hideMark/>
          </w:tcPr>
          <w:p w14:paraId="311ED255"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109 192 971</w:t>
            </w:r>
          </w:p>
        </w:tc>
        <w:tc>
          <w:tcPr>
            <w:tcW w:w="1283" w:type="dxa"/>
            <w:vAlign w:val="center"/>
            <w:hideMark/>
          </w:tcPr>
          <w:p w14:paraId="0677CB4B"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945" w:type="dxa"/>
            <w:vAlign w:val="center"/>
            <w:hideMark/>
          </w:tcPr>
          <w:p w14:paraId="3CBEA981"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657" w:type="dxa"/>
            <w:vAlign w:val="center"/>
            <w:hideMark/>
          </w:tcPr>
          <w:p w14:paraId="7979889C"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81 411 722</w:t>
            </w:r>
          </w:p>
        </w:tc>
        <w:tc>
          <w:tcPr>
            <w:tcW w:w="1418" w:type="dxa"/>
            <w:vAlign w:val="center"/>
            <w:hideMark/>
          </w:tcPr>
          <w:p w14:paraId="467AC534"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0,889</w:t>
            </w:r>
          </w:p>
        </w:tc>
        <w:tc>
          <w:tcPr>
            <w:tcW w:w="2268" w:type="dxa"/>
            <w:vAlign w:val="center"/>
            <w:hideMark/>
          </w:tcPr>
          <w:p w14:paraId="6EEC3188"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72 374 724</w:t>
            </w:r>
          </w:p>
        </w:tc>
      </w:tr>
      <w:tr w:rsidR="00ED1D21" w:rsidRPr="006E77D4" w14:paraId="04F22A49" w14:textId="77777777" w:rsidTr="000818BE">
        <w:trPr>
          <w:trHeight w:val="300"/>
        </w:trPr>
        <w:tc>
          <w:tcPr>
            <w:tcW w:w="988" w:type="dxa"/>
            <w:vAlign w:val="center"/>
            <w:hideMark/>
          </w:tcPr>
          <w:p w14:paraId="6F13A1F8"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4</w:t>
            </w:r>
          </w:p>
        </w:tc>
        <w:tc>
          <w:tcPr>
            <w:tcW w:w="1701" w:type="dxa"/>
            <w:vAlign w:val="center"/>
            <w:hideMark/>
          </w:tcPr>
          <w:p w14:paraId="5F3994B6"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262 018 350</w:t>
            </w:r>
          </w:p>
        </w:tc>
        <w:tc>
          <w:tcPr>
            <w:tcW w:w="1892" w:type="dxa"/>
            <w:vAlign w:val="center"/>
            <w:hideMark/>
          </w:tcPr>
          <w:p w14:paraId="3F0B006E"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71 413 657</w:t>
            </w:r>
          </w:p>
        </w:tc>
        <w:tc>
          <w:tcPr>
            <w:tcW w:w="1444" w:type="dxa"/>
            <w:vAlign w:val="center"/>
            <w:hideMark/>
          </w:tcPr>
          <w:p w14:paraId="241C4E89"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122 296 128</w:t>
            </w:r>
          </w:p>
        </w:tc>
        <w:tc>
          <w:tcPr>
            <w:tcW w:w="1283" w:type="dxa"/>
            <w:vAlign w:val="center"/>
            <w:hideMark/>
          </w:tcPr>
          <w:p w14:paraId="6CFD97B0"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945" w:type="dxa"/>
            <w:vAlign w:val="center"/>
            <w:hideMark/>
          </w:tcPr>
          <w:p w14:paraId="57B1246F"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657" w:type="dxa"/>
            <w:vAlign w:val="center"/>
            <w:hideMark/>
          </w:tcPr>
          <w:p w14:paraId="41CFACF0"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68 308 565</w:t>
            </w:r>
          </w:p>
        </w:tc>
        <w:tc>
          <w:tcPr>
            <w:tcW w:w="1418" w:type="dxa"/>
            <w:vAlign w:val="center"/>
            <w:hideMark/>
          </w:tcPr>
          <w:p w14:paraId="572A3B44"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0,8548</w:t>
            </w:r>
          </w:p>
        </w:tc>
        <w:tc>
          <w:tcPr>
            <w:tcW w:w="2268" w:type="dxa"/>
            <w:vAlign w:val="center"/>
            <w:hideMark/>
          </w:tcPr>
          <w:p w14:paraId="0A3095DE"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58 390 448</w:t>
            </w:r>
          </w:p>
        </w:tc>
      </w:tr>
      <w:tr w:rsidR="00ED1D21" w:rsidRPr="006E77D4" w14:paraId="65592B4D" w14:textId="77777777" w:rsidTr="000818BE">
        <w:trPr>
          <w:trHeight w:val="300"/>
        </w:trPr>
        <w:tc>
          <w:tcPr>
            <w:tcW w:w="988" w:type="dxa"/>
            <w:vAlign w:val="center"/>
            <w:hideMark/>
          </w:tcPr>
          <w:p w14:paraId="594CF4AE"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5</w:t>
            </w:r>
          </w:p>
        </w:tc>
        <w:tc>
          <w:tcPr>
            <w:tcW w:w="1701" w:type="dxa"/>
            <w:vAlign w:val="center"/>
            <w:hideMark/>
          </w:tcPr>
          <w:p w14:paraId="78539FF5"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262 018 350</w:t>
            </w:r>
          </w:p>
        </w:tc>
        <w:tc>
          <w:tcPr>
            <w:tcW w:w="1892" w:type="dxa"/>
            <w:vAlign w:val="center"/>
            <w:hideMark/>
          </w:tcPr>
          <w:p w14:paraId="3B2C77A9"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78 555 023</w:t>
            </w:r>
          </w:p>
        </w:tc>
        <w:tc>
          <w:tcPr>
            <w:tcW w:w="1444" w:type="dxa"/>
            <w:vAlign w:val="center"/>
            <w:hideMark/>
          </w:tcPr>
          <w:p w14:paraId="33F75966"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136 971 663</w:t>
            </w:r>
          </w:p>
        </w:tc>
        <w:tc>
          <w:tcPr>
            <w:tcW w:w="1283" w:type="dxa"/>
            <w:vAlign w:val="center"/>
            <w:hideMark/>
          </w:tcPr>
          <w:p w14:paraId="332D7114"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945" w:type="dxa"/>
            <w:vAlign w:val="center"/>
            <w:hideMark/>
          </w:tcPr>
          <w:p w14:paraId="7157C9A1"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657" w:type="dxa"/>
            <w:vAlign w:val="center"/>
            <w:hideMark/>
          </w:tcPr>
          <w:p w14:paraId="4FDF1CA0"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46 491 664</w:t>
            </w:r>
          </w:p>
        </w:tc>
        <w:tc>
          <w:tcPr>
            <w:tcW w:w="1418" w:type="dxa"/>
            <w:vAlign w:val="center"/>
            <w:hideMark/>
          </w:tcPr>
          <w:p w14:paraId="3D59F8C5"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0,8219</w:t>
            </w:r>
          </w:p>
        </w:tc>
        <w:tc>
          <w:tcPr>
            <w:tcW w:w="2268" w:type="dxa"/>
            <w:vAlign w:val="center"/>
            <w:hideMark/>
          </w:tcPr>
          <w:p w14:paraId="3FA984D1"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38 212 759</w:t>
            </w:r>
          </w:p>
        </w:tc>
      </w:tr>
      <w:tr w:rsidR="00ED1D21" w:rsidRPr="006E77D4" w14:paraId="149BE92D" w14:textId="77777777" w:rsidTr="000818BE">
        <w:trPr>
          <w:trHeight w:val="300"/>
        </w:trPr>
        <w:tc>
          <w:tcPr>
            <w:tcW w:w="988" w:type="dxa"/>
            <w:vAlign w:val="center"/>
            <w:hideMark/>
          </w:tcPr>
          <w:p w14:paraId="28DF1FF6"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6</w:t>
            </w:r>
          </w:p>
        </w:tc>
        <w:tc>
          <w:tcPr>
            <w:tcW w:w="1701" w:type="dxa"/>
            <w:vAlign w:val="center"/>
            <w:hideMark/>
          </w:tcPr>
          <w:p w14:paraId="12D9E4EE"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262 018 350</w:t>
            </w:r>
          </w:p>
        </w:tc>
        <w:tc>
          <w:tcPr>
            <w:tcW w:w="1892" w:type="dxa"/>
            <w:vAlign w:val="center"/>
            <w:hideMark/>
          </w:tcPr>
          <w:p w14:paraId="4C3039A7"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78 555 023</w:t>
            </w:r>
          </w:p>
        </w:tc>
        <w:tc>
          <w:tcPr>
            <w:tcW w:w="1444" w:type="dxa"/>
            <w:vAlign w:val="center"/>
            <w:hideMark/>
          </w:tcPr>
          <w:p w14:paraId="7120A889"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153 408 262</w:t>
            </w:r>
          </w:p>
        </w:tc>
        <w:tc>
          <w:tcPr>
            <w:tcW w:w="1283" w:type="dxa"/>
            <w:vAlign w:val="center"/>
            <w:hideMark/>
          </w:tcPr>
          <w:p w14:paraId="0CEE8D0E"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945" w:type="dxa"/>
            <w:vAlign w:val="center"/>
            <w:hideMark/>
          </w:tcPr>
          <w:p w14:paraId="36A5FA2C"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657" w:type="dxa"/>
            <w:vAlign w:val="center"/>
            <w:hideMark/>
          </w:tcPr>
          <w:p w14:paraId="187B4AA5"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30 055 065</w:t>
            </w:r>
          </w:p>
        </w:tc>
        <w:tc>
          <w:tcPr>
            <w:tcW w:w="1418" w:type="dxa"/>
            <w:vAlign w:val="center"/>
            <w:hideMark/>
          </w:tcPr>
          <w:p w14:paraId="4CEB5B8E"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0,7903</w:t>
            </w:r>
          </w:p>
        </w:tc>
        <w:tc>
          <w:tcPr>
            <w:tcW w:w="2268" w:type="dxa"/>
            <w:vAlign w:val="center"/>
            <w:hideMark/>
          </w:tcPr>
          <w:p w14:paraId="7C243897"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23 752 954</w:t>
            </w:r>
          </w:p>
        </w:tc>
      </w:tr>
      <w:tr w:rsidR="00ED1D21" w:rsidRPr="006E77D4" w14:paraId="205B6631" w14:textId="77777777" w:rsidTr="000818BE">
        <w:trPr>
          <w:trHeight w:val="300"/>
        </w:trPr>
        <w:tc>
          <w:tcPr>
            <w:tcW w:w="988" w:type="dxa"/>
            <w:vAlign w:val="center"/>
            <w:hideMark/>
          </w:tcPr>
          <w:p w14:paraId="3C4D219D"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7</w:t>
            </w:r>
          </w:p>
        </w:tc>
        <w:tc>
          <w:tcPr>
            <w:tcW w:w="1701" w:type="dxa"/>
            <w:vAlign w:val="center"/>
            <w:hideMark/>
          </w:tcPr>
          <w:p w14:paraId="760F5BB3"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892" w:type="dxa"/>
            <w:vAlign w:val="center"/>
            <w:hideMark/>
          </w:tcPr>
          <w:p w14:paraId="463DCFCC"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444" w:type="dxa"/>
            <w:vAlign w:val="center"/>
            <w:hideMark/>
          </w:tcPr>
          <w:p w14:paraId="4C59A2FE"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283" w:type="dxa"/>
            <w:vAlign w:val="center"/>
            <w:hideMark/>
          </w:tcPr>
          <w:p w14:paraId="25CEDAF8"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w:t>
            </w:r>
          </w:p>
        </w:tc>
        <w:tc>
          <w:tcPr>
            <w:tcW w:w="1945" w:type="dxa"/>
            <w:vAlign w:val="center"/>
            <w:hideMark/>
          </w:tcPr>
          <w:p w14:paraId="0BB316C4"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706 423 026</w:t>
            </w:r>
          </w:p>
        </w:tc>
        <w:tc>
          <w:tcPr>
            <w:tcW w:w="1657" w:type="dxa"/>
            <w:vAlign w:val="center"/>
            <w:hideMark/>
          </w:tcPr>
          <w:p w14:paraId="707D194B"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706 423 026</w:t>
            </w:r>
          </w:p>
        </w:tc>
        <w:tc>
          <w:tcPr>
            <w:tcW w:w="1418" w:type="dxa"/>
            <w:vAlign w:val="center"/>
            <w:hideMark/>
          </w:tcPr>
          <w:p w14:paraId="0A404604"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0,7599</w:t>
            </w:r>
          </w:p>
        </w:tc>
        <w:tc>
          <w:tcPr>
            <w:tcW w:w="2268" w:type="dxa"/>
            <w:vAlign w:val="center"/>
            <w:hideMark/>
          </w:tcPr>
          <w:p w14:paraId="5ECAACFE"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536 267 177</w:t>
            </w:r>
          </w:p>
        </w:tc>
      </w:tr>
      <w:tr w:rsidR="00ED1D21" w:rsidRPr="006E77D4" w14:paraId="68F03284" w14:textId="77777777" w:rsidTr="000818BE">
        <w:trPr>
          <w:trHeight w:val="300"/>
        </w:trPr>
        <w:tc>
          <w:tcPr>
            <w:tcW w:w="988" w:type="dxa"/>
            <w:vAlign w:val="center"/>
          </w:tcPr>
          <w:p w14:paraId="6D6C1813"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p>
        </w:tc>
        <w:tc>
          <w:tcPr>
            <w:tcW w:w="13608" w:type="dxa"/>
            <w:gridSpan w:val="8"/>
            <w:vAlign w:val="center"/>
          </w:tcPr>
          <w:p w14:paraId="66E48C88" w14:textId="77777777" w:rsidR="00ED1D21" w:rsidRPr="006E77D4" w:rsidRDefault="00ED1D21" w:rsidP="000F4E51">
            <w:pPr>
              <w:spacing w:after="0" w:line="240" w:lineRule="auto"/>
              <w:jc w:val="center"/>
              <w:rPr>
                <w:rFonts w:ascii="Times New Roman" w:eastAsia="Times New Roman" w:hAnsi="Times New Roman" w:cs="Times New Roman"/>
                <w:color w:val="000000"/>
                <w:sz w:val="24"/>
                <w:szCs w:val="24"/>
              </w:rPr>
            </w:pPr>
            <w:r w:rsidRPr="006E77D4">
              <w:rPr>
                <w:rFonts w:ascii="Times New Roman" w:eastAsia="Times New Roman" w:hAnsi="Times New Roman" w:cs="Times New Roman"/>
                <w:color w:val="000000"/>
                <w:sz w:val="24"/>
                <w:szCs w:val="24"/>
              </w:rPr>
              <w:t>Суммарная чистая приведённая стоимость (NPV): 289 908 572 тенге</w:t>
            </w:r>
          </w:p>
        </w:tc>
      </w:tr>
    </w:tbl>
    <w:p w14:paraId="61CEEE7B" w14:textId="77777777" w:rsidR="00ED1D21" w:rsidRDefault="00ED1D21" w:rsidP="000F4E51">
      <w:pPr>
        <w:spacing w:line="240" w:lineRule="auto"/>
        <w:ind w:left="851" w:right="-1135" w:firstLine="567"/>
        <w:jc w:val="both"/>
        <w:rPr>
          <w:rFonts w:ascii="Times New Roman" w:hAnsi="Times New Roman" w:cs="Times New Roman"/>
          <w:i/>
          <w:iCs/>
          <w:sz w:val="28"/>
          <w:szCs w:val="28"/>
        </w:rPr>
        <w:sectPr w:rsidR="00ED1D21" w:rsidSect="000818BE">
          <w:pgSz w:w="16838" w:h="11906" w:orient="landscape"/>
          <w:pgMar w:top="850" w:right="678" w:bottom="1701" w:left="1701" w:header="708" w:footer="708" w:gutter="0"/>
          <w:cols w:space="708"/>
          <w:docGrid w:linePitch="360"/>
        </w:sectPr>
      </w:pPr>
    </w:p>
    <w:p w14:paraId="5A9FE08A" w14:textId="7DF46080" w:rsidR="00ED1D21" w:rsidRPr="00AE6E5A" w:rsidRDefault="00ED1D21" w:rsidP="000F4E51">
      <w:pPr>
        <w:spacing w:after="0" w:line="240" w:lineRule="auto"/>
        <w:ind w:firstLine="567"/>
        <w:jc w:val="both"/>
        <w:rPr>
          <w:rFonts w:ascii="Times New Roman" w:eastAsia="Times New Roman" w:hAnsi="Times New Roman" w:cs="Times New Roman"/>
          <w:color w:val="000000"/>
          <w:sz w:val="28"/>
          <w:szCs w:val="28"/>
        </w:rPr>
      </w:pPr>
      <w:r w:rsidRPr="00AE6E5A">
        <w:rPr>
          <w:rFonts w:ascii="Times New Roman" w:eastAsia="Times New Roman" w:hAnsi="Times New Roman" w:cs="Times New Roman"/>
          <w:color w:val="000000"/>
          <w:sz w:val="28"/>
          <w:szCs w:val="28"/>
        </w:rPr>
        <w:lastRenderedPageBreak/>
        <w:t>Таблица</w:t>
      </w:r>
      <w:r>
        <w:rPr>
          <w:rFonts w:ascii="Times New Roman" w:eastAsia="Times New Roman" w:hAnsi="Times New Roman" w:cs="Times New Roman"/>
          <w:color w:val="000000"/>
          <w:sz w:val="28"/>
          <w:szCs w:val="28"/>
        </w:rPr>
        <w:t xml:space="preserve"> </w:t>
      </w:r>
      <w:r w:rsidR="006E48A7">
        <w:rPr>
          <w:rFonts w:ascii="Times New Roman" w:eastAsia="Times New Roman" w:hAnsi="Times New Roman" w:cs="Times New Roman"/>
          <w:color w:val="000000"/>
          <w:sz w:val="28"/>
          <w:szCs w:val="28"/>
        </w:rPr>
        <w:t>25</w:t>
      </w:r>
      <w:r w:rsidR="000818BE">
        <w:rPr>
          <w:rFonts w:ascii="Times New Roman" w:eastAsia="Times New Roman" w:hAnsi="Times New Roman" w:cs="Times New Roman"/>
          <w:color w:val="000000"/>
          <w:sz w:val="28"/>
          <w:szCs w:val="28"/>
        </w:rPr>
        <w:t xml:space="preserve"> -</w:t>
      </w:r>
      <w:r w:rsidRPr="00AE6E5A">
        <w:rPr>
          <w:rFonts w:ascii="Times New Roman" w:eastAsia="Times New Roman" w:hAnsi="Times New Roman" w:cs="Times New Roman"/>
          <w:color w:val="000000"/>
          <w:sz w:val="28"/>
          <w:szCs w:val="28"/>
        </w:rPr>
        <w:t xml:space="preserve"> Однофакторный анализ чувствительности NPV (DSA)</w:t>
      </w:r>
    </w:p>
    <w:p w14:paraId="4275F1A3" w14:textId="77777777" w:rsidR="00ED1D21" w:rsidRPr="00AE6E5A" w:rsidRDefault="00ED1D21" w:rsidP="000F4E51">
      <w:pPr>
        <w:spacing w:after="0" w:line="240" w:lineRule="auto"/>
        <w:ind w:right="-1135" w:firstLine="567"/>
        <w:jc w:val="both"/>
        <w:rPr>
          <w:rFonts w:ascii="Times New Roman" w:hAnsi="Times New Roman" w:cs="Times New Roman"/>
          <w:i/>
          <w:iCs/>
          <w:sz w:val="28"/>
          <w:szCs w:val="28"/>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1193"/>
        <w:gridCol w:w="1776"/>
        <w:gridCol w:w="1638"/>
        <w:gridCol w:w="2180"/>
      </w:tblGrid>
      <w:tr w:rsidR="00ED1D21" w:rsidRPr="00E65B6F" w14:paraId="6BA2D38F" w14:textId="77777777" w:rsidTr="000818BE">
        <w:trPr>
          <w:trHeight w:val="339"/>
        </w:trPr>
        <w:tc>
          <w:tcPr>
            <w:tcW w:w="2610" w:type="dxa"/>
            <w:vAlign w:val="center"/>
            <w:hideMark/>
          </w:tcPr>
          <w:p w14:paraId="41C3DC72"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Параметр</w:t>
            </w:r>
          </w:p>
        </w:tc>
        <w:tc>
          <w:tcPr>
            <w:tcW w:w="934" w:type="dxa"/>
            <w:vAlign w:val="center"/>
            <w:hideMark/>
          </w:tcPr>
          <w:p w14:paraId="11ECE047"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Диапазон</w:t>
            </w:r>
          </w:p>
        </w:tc>
        <w:tc>
          <w:tcPr>
            <w:tcW w:w="1843" w:type="dxa"/>
            <w:vAlign w:val="center"/>
            <w:hideMark/>
          </w:tcPr>
          <w:p w14:paraId="4764B59F"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NPV (низк.), ₸</w:t>
            </w:r>
          </w:p>
        </w:tc>
        <w:tc>
          <w:tcPr>
            <w:tcW w:w="1701" w:type="dxa"/>
            <w:vAlign w:val="center"/>
            <w:hideMark/>
          </w:tcPr>
          <w:p w14:paraId="7D986694"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NPV (выс.), ₸</w:t>
            </w:r>
          </w:p>
        </w:tc>
        <w:tc>
          <w:tcPr>
            <w:tcW w:w="2268" w:type="dxa"/>
            <w:vAlign w:val="center"/>
            <w:hideMark/>
          </w:tcPr>
          <w:p w14:paraId="5AA44974"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Размах влияния, ₸</w:t>
            </w:r>
          </w:p>
        </w:tc>
      </w:tr>
      <w:tr w:rsidR="00ED1D21" w:rsidRPr="00E65B6F" w14:paraId="7B46A5CC" w14:textId="77777777" w:rsidTr="000818BE">
        <w:trPr>
          <w:trHeight w:val="661"/>
        </w:trPr>
        <w:tc>
          <w:tcPr>
            <w:tcW w:w="2610" w:type="dxa"/>
            <w:vAlign w:val="center"/>
            <w:hideMark/>
          </w:tcPr>
          <w:p w14:paraId="609B0EC8" w14:textId="77777777" w:rsidR="00ED1D21" w:rsidRPr="00F030B7" w:rsidRDefault="00ED1D21" w:rsidP="000F4E51">
            <w:pPr>
              <w:spacing w:after="0" w:line="240" w:lineRule="auto"/>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Доходы/экономия (годовые)</w:t>
            </w:r>
          </w:p>
        </w:tc>
        <w:tc>
          <w:tcPr>
            <w:tcW w:w="934" w:type="dxa"/>
            <w:vAlign w:val="center"/>
            <w:hideMark/>
          </w:tcPr>
          <w:p w14:paraId="3792F5FC"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±20%</w:t>
            </w:r>
          </w:p>
        </w:tc>
        <w:tc>
          <w:tcPr>
            <w:tcW w:w="1843" w:type="dxa"/>
            <w:vAlign w:val="center"/>
            <w:hideMark/>
          </w:tcPr>
          <w:p w14:paraId="1BF38A88"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15 201 360</w:t>
            </w:r>
          </w:p>
        </w:tc>
        <w:tc>
          <w:tcPr>
            <w:tcW w:w="1701" w:type="dxa"/>
            <w:vAlign w:val="center"/>
            <w:hideMark/>
          </w:tcPr>
          <w:p w14:paraId="69164FE8"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564 615 784</w:t>
            </w:r>
          </w:p>
        </w:tc>
        <w:tc>
          <w:tcPr>
            <w:tcW w:w="2268" w:type="dxa"/>
            <w:vAlign w:val="center"/>
            <w:hideMark/>
          </w:tcPr>
          <w:p w14:paraId="18046295"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549 414 424</w:t>
            </w:r>
          </w:p>
        </w:tc>
      </w:tr>
      <w:tr w:rsidR="00ED1D21" w:rsidRPr="00E65B6F" w14:paraId="68E64B8D" w14:textId="77777777" w:rsidTr="000818BE">
        <w:trPr>
          <w:trHeight w:val="327"/>
        </w:trPr>
        <w:tc>
          <w:tcPr>
            <w:tcW w:w="2610" w:type="dxa"/>
            <w:vAlign w:val="center"/>
            <w:hideMark/>
          </w:tcPr>
          <w:p w14:paraId="605381BD" w14:textId="77777777" w:rsidR="00ED1D21" w:rsidRPr="00F030B7" w:rsidRDefault="00ED1D21" w:rsidP="000F4E51">
            <w:pPr>
              <w:spacing w:after="0" w:line="240" w:lineRule="auto"/>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CAPEX (инвестиции)</w:t>
            </w:r>
          </w:p>
        </w:tc>
        <w:tc>
          <w:tcPr>
            <w:tcW w:w="934" w:type="dxa"/>
            <w:vAlign w:val="center"/>
            <w:hideMark/>
          </w:tcPr>
          <w:p w14:paraId="7EA50899"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±20%</w:t>
            </w:r>
          </w:p>
        </w:tc>
        <w:tc>
          <w:tcPr>
            <w:tcW w:w="1843" w:type="dxa"/>
            <w:vAlign w:val="center"/>
            <w:hideMark/>
          </w:tcPr>
          <w:p w14:paraId="1C47C6BA"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416 055 458</w:t>
            </w:r>
          </w:p>
        </w:tc>
        <w:tc>
          <w:tcPr>
            <w:tcW w:w="1701" w:type="dxa"/>
            <w:vAlign w:val="center"/>
            <w:hideMark/>
          </w:tcPr>
          <w:p w14:paraId="089F8BD7"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163 761 564</w:t>
            </w:r>
          </w:p>
        </w:tc>
        <w:tc>
          <w:tcPr>
            <w:tcW w:w="2268" w:type="dxa"/>
            <w:vAlign w:val="center"/>
            <w:hideMark/>
          </w:tcPr>
          <w:p w14:paraId="6BC46868"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252 293 894</w:t>
            </w:r>
          </w:p>
        </w:tc>
      </w:tr>
      <w:tr w:rsidR="00ED1D21" w:rsidRPr="00E65B6F" w14:paraId="3D1092D7" w14:textId="77777777" w:rsidTr="000818BE">
        <w:trPr>
          <w:trHeight w:val="449"/>
        </w:trPr>
        <w:tc>
          <w:tcPr>
            <w:tcW w:w="2610" w:type="dxa"/>
            <w:vAlign w:val="center"/>
            <w:hideMark/>
          </w:tcPr>
          <w:p w14:paraId="65ED3E1B" w14:textId="77777777" w:rsidR="00ED1D21" w:rsidRPr="00F030B7" w:rsidRDefault="00ED1D21" w:rsidP="000F4E51">
            <w:pPr>
              <w:spacing w:after="0" w:line="240" w:lineRule="auto"/>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Расходные материалы (все годы)</w:t>
            </w:r>
          </w:p>
        </w:tc>
        <w:tc>
          <w:tcPr>
            <w:tcW w:w="934" w:type="dxa"/>
            <w:vAlign w:val="center"/>
            <w:hideMark/>
          </w:tcPr>
          <w:p w14:paraId="59748280"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±20%</w:t>
            </w:r>
          </w:p>
        </w:tc>
        <w:tc>
          <w:tcPr>
            <w:tcW w:w="1843" w:type="dxa"/>
            <w:vAlign w:val="center"/>
            <w:hideMark/>
          </w:tcPr>
          <w:p w14:paraId="65BF4988"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411 762 817</w:t>
            </w:r>
          </w:p>
        </w:tc>
        <w:tc>
          <w:tcPr>
            <w:tcW w:w="1701" w:type="dxa"/>
            <w:vAlign w:val="center"/>
            <w:hideMark/>
          </w:tcPr>
          <w:p w14:paraId="7674C8DC"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168 054 326</w:t>
            </w:r>
          </w:p>
        </w:tc>
        <w:tc>
          <w:tcPr>
            <w:tcW w:w="2268" w:type="dxa"/>
            <w:vAlign w:val="center"/>
            <w:hideMark/>
          </w:tcPr>
          <w:p w14:paraId="794A93AF"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243 708 491</w:t>
            </w:r>
          </w:p>
        </w:tc>
      </w:tr>
      <w:tr w:rsidR="00ED1D21" w:rsidRPr="00E65B6F" w14:paraId="1BCA11DD" w14:textId="77777777" w:rsidTr="000818BE">
        <w:trPr>
          <w:trHeight w:val="704"/>
        </w:trPr>
        <w:tc>
          <w:tcPr>
            <w:tcW w:w="2610" w:type="dxa"/>
            <w:vAlign w:val="center"/>
            <w:hideMark/>
          </w:tcPr>
          <w:p w14:paraId="3FDE1C18" w14:textId="77777777" w:rsidR="00ED1D21" w:rsidRPr="00F030B7" w:rsidRDefault="00ED1D21" w:rsidP="000F4E51">
            <w:pPr>
              <w:spacing w:after="0" w:line="240" w:lineRule="auto"/>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Ликвидационная стоимость</w:t>
            </w:r>
          </w:p>
        </w:tc>
        <w:tc>
          <w:tcPr>
            <w:tcW w:w="934" w:type="dxa"/>
            <w:vAlign w:val="center"/>
            <w:hideMark/>
          </w:tcPr>
          <w:p w14:paraId="46E8A454"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±20%</w:t>
            </w:r>
          </w:p>
        </w:tc>
        <w:tc>
          <w:tcPr>
            <w:tcW w:w="1843" w:type="dxa"/>
            <w:vAlign w:val="center"/>
            <w:hideMark/>
          </w:tcPr>
          <w:p w14:paraId="65F4FBA9"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182 543 936</w:t>
            </w:r>
          </w:p>
        </w:tc>
        <w:tc>
          <w:tcPr>
            <w:tcW w:w="1701" w:type="dxa"/>
            <w:vAlign w:val="center"/>
            <w:hideMark/>
          </w:tcPr>
          <w:p w14:paraId="026777BC"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397 273 311</w:t>
            </w:r>
          </w:p>
        </w:tc>
        <w:tc>
          <w:tcPr>
            <w:tcW w:w="2268" w:type="dxa"/>
            <w:vAlign w:val="center"/>
            <w:hideMark/>
          </w:tcPr>
          <w:p w14:paraId="56692C01"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214 729 375</w:t>
            </w:r>
          </w:p>
        </w:tc>
      </w:tr>
      <w:tr w:rsidR="00ED1D21" w:rsidRPr="00E65B6F" w14:paraId="3B8CF21C" w14:textId="77777777" w:rsidTr="000818BE">
        <w:trPr>
          <w:trHeight w:val="559"/>
        </w:trPr>
        <w:tc>
          <w:tcPr>
            <w:tcW w:w="2610" w:type="dxa"/>
            <w:vAlign w:val="center"/>
            <w:hideMark/>
          </w:tcPr>
          <w:p w14:paraId="321BFA31" w14:textId="77777777" w:rsidR="00ED1D21" w:rsidRPr="00F030B7" w:rsidRDefault="00ED1D21" w:rsidP="000F4E51">
            <w:pPr>
              <w:spacing w:after="0" w:line="240" w:lineRule="auto"/>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Фонд оплаты труда (все годы)</w:t>
            </w:r>
          </w:p>
        </w:tc>
        <w:tc>
          <w:tcPr>
            <w:tcW w:w="934" w:type="dxa"/>
            <w:vAlign w:val="center"/>
            <w:hideMark/>
          </w:tcPr>
          <w:p w14:paraId="7659F866"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±20%</w:t>
            </w:r>
          </w:p>
        </w:tc>
        <w:tc>
          <w:tcPr>
            <w:tcW w:w="1843" w:type="dxa"/>
            <w:vAlign w:val="center"/>
            <w:hideMark/>
          </w:tcPr>
          <w:p w14:paraId="749B4FA5"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365 834 791</w:t>
            </w:r>
          </w:p>
        </w:tc>
        <w:tc>
          <w:tcPr>
            <w:tcW w:w="1701" w:type="dxa"/>
            <w:vAlign w:val="center"/>
            <w:hideMark/>
          </w:tcPr>
          <w:p w14:paraId="054B710B"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213 982 322</w:t>
            </w:r>
          </w:p>
        </w:tc>
        <w:tc>
          <w:tcPr>
            <w:tcW w:w="2268" w:type="dxa"/>
            <w:vAlign w:val="center"/>
            <w:hideMark/>
          </w:tcPr>
          <w:p w14:paraId="3A3C6F77"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151 852 469</w:t>
            </w:r>
          </w:p>
        </w:tc>
      </w:tr>
      <w:tr w:rsidR="00ED1D21" w:rsidRPr="00E65B6F" w14:paraId="1162BAEC" w14:textId="77777777" w:rsidTr="000818BE">
        <w:trPr>
          <w:trHeight w:val="553"/>
        </w:trPr>
        <w:tc>
          <w:tcPr>
            <w:tcW w:w="2610" w:type="dxa"/>
            <w:vAlign w:val="center"/>
            <w:hideMark/>
          </w:tcPr>
          <w:p w14:paraId="2930F9C2" w14:textId="77777777" w:rsidR="00ED1D21" w:rsidRPr="00F030B7" w:rsidRDefault="00ED1D21" w:rsidP="000F4E51">
            <w:pPr>
              <w:spacing w:after="0" w:line="240" w:lineRule="auto"/>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Ставка дисконтирования</w:t>
            </w:r>
          </w:p>
        </w:tc>
        <w:tc>
          <w:tcPr>
            <w:tcW w:w="934" w:type="dxa"/>
            <w:vAlign w:val="center"/>
            <w:hideMark/>
          </w:tcPr>
          <w:p w14:paraId="56EA5C4B"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3%–5%</w:t>
            </w:r>
          </w:p>
        </w:tc>
        <w:tc>
          <w:tcPr>
            <w:tcW w:w="1843" w:type="dxa"/>
            <w:vAlign w:val="center"/>
            <w:hideMark/>
          </w:tcPr>
          <w:p w14:paraId="77E39AC2"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337 909 225</w:t>
            </w:r>
          </w:p>
        </w:tc>
        <w:tc>
          <w:tcPr>
            <w:tcW w:w="1701" w:type="dxa"/>
            <w:vAlign w:val="center"/>
            <w:hideMark/>
          </w:tcPr>
          <w:p w14:paraId="71B50BCB"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245 143 059</w:t>
            </w:r>
          </w:p>
        </w:tc>
        <w:tc>
          <w:tcPr>
            <w:tcW w:w="2268" w:type="dxa"/>
            <w:vAlign w:val="center"/>
            <w:hideMark/>
          </w:tcPr>
          <w:p w14:paraId="49926CBF"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92 766 166</w:t>
            </w:r>
          </w:p>
        </w:tc>
      </w:tr>
      <w:tr w:rsidR="00ED1D21" w:rsidRPr="00E65B6F" w14:paraId="7B00E6A5" w14:textId="77777777" w:rsidTr="000818BE">
        <w:trPr>
          <w:trHeight w:val="601"/>
        </w:trPr>
        <w:tc>
          <w:tcPr>
            <w:tcW w:w="2610" w:type="dxa"/>
            <w:vAlign w:val="center"/>
            <w:hideMark/>
          </w:tcPr>
          <w:p w14:paraId="13A9B9EB" w14:textId="77777777" w:rsidR="00ED1D21" w:rsidRPr="00F030B7" w:rsidRDefault="00ED1D21" w:rsidP="000F4E51">
            <w:pPr>
              <w:spacing w:after="0" w:line="240" w:lineRule="auto"/>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Обучение персонала (разово)</w:t>
            </w:r>
          </w:p>
        </w:tc>
        <w:tc>
          <w:tcPr>
            <w:tcW w:w="934" w:type="dxa"/>
            <w:vAlign w:val="center"/>
            <w:hideMark/>
          </w:tcPr>
          <w:p w14:paraId="714E191A"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±20%</w:t>
            </w:r>
          </w:p>
        </w:tc>
        <w:tc>
          <w:tcPr>
            <w:tcW w:w="1843" w:type="dxa"/>
            <w:vAlign w:val="center"/>
            <w:hideMark/>
          </w:tcPr>
          <w:p w14:paraId="5C25E524"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290 071 338</w:t>
            </w:r>
          </w:p>
        </w:tc>
        <w:tc>
          <w:tcPr>
            <w:tcW w:w="1701" w:type="dxa"/>
            <w:vAlign w:val="center"/>
            <w:hideMark/>
          </w:tcPr>
          <w:p w14:paraId="34D48918"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289 745 953</w:t>
            </w:r>
          </w:p>
        </w:tc>
        <w:tc>
          <w:tcPr>
            <w:tcW w:w="2268" w:type="dxa"/>
            <w:vAlign w:val="center"/>
            <w:hideMark/>
          </w:tcPr>
          <w:p w14:paraId="589C3097" w14:textId="77777777" w:rsidR="00ED1D21" w:rsidRPr="00F030B7" w:rsidRDefault="00ED1D21" w:rsidP="000F4E51">
            <w:pPr>
              <w:spacing w:after="0" w:line="240" w:lineRule="auto"/>
              <w:jc w:val="center"/>
              <w:rPr>
                <w:rFonts w:ascii="Times New Roman" w:eastAsia="Times New Roman" w:hAnsi="Times New Roman" w:cs="Times New Roman"/>
                <w:color w:val="000000"/>
                <w:sz w:val="24"/>
                <w:szCs w:val="24"/>
              </w:rPr>
            </w:pPr>
            <w:r w:rsidRPr="00F030B7">
              <w:rPr>
                <w:rFonts w:ascii="Times New Roman" w:eastAsia="Times New Roman" w:hAnsi="Times New Roman" w:cs="Times New Roman"/>
                <w:color w:val="000000"/>
                <w:sz w:val="24"/>
                <w:szCs w:val="24"/>
              </w:rPr>
              <w:t>325 385</w:t>
            </w:r>
          </w:p>
        </w:tc>
      </w:tr>
    </w:tbl>
    <w:p w14:paraId="6C9D4751" w14:textId="77777777" w:rsidR="00ED1D21" w:rsidRDefault="00ED1D21" w:rsidP="000F4E51">
      <w:pPr>
        <w:spacing w:after="0" w:line="240" w:lineRule="auto"/>
        <w:ind w:right="-1135" w:firstLine="567"/>
        <w:jc w:val="both"/>
        <w:rPr>
          <w:rFonts w:ascii="Times New Roman" w:hAnsi="Times New Roman" w:cs="Times New Roman"/>
          <w:i/>
          <w:iCs/>
          <w:sz w:val="28"/>
          <w:szCs w:val="28"/>
          <w:lang w:val="en-US"/>
        </w:rPr>
      </w:pPr>
    </w:p>
    <w:p w14:paraId="68C5E689" w14:textId="77777777" w:rsidR="00ED1D21" w:rsidRPr="000818BE" w:rsidRDefault="00ED1D21" w:rsidP="000818BE">
      <w:pPr>
        <w:spacing w:after="0" w:line="240" w:lineRule="auto"/>
        <w:ind w:firstLine="567"/>
        <w:jc w:val="both"/>
        <w:rPr>
          <w:rFonts w:ascii="Times New Roman" w:hAnsi="Times New Roman" w:cs="Times New Roman"/>
          <w:sz w:val="28"/>
          <w:szCs w:val="28"/>
        </w:rPr>
      </w:pPr>
      <w:r w:rsidRPr="000818BE">
        <w:rPr>
          <w:rFonts w:ascii="Times New Roman" w:hAnsi="Times New Roman" w:cs="Times New Roman"/>
          <w:sz w:val="28"/>
          <w:szCs w:val="28"/>
        </w:rPr>
        <w:t>Положительное значение NPV указывает на то, что проект MSU обеспечивает превышение дисконтированных выгод над первоначальными и текущими затратами, оставаясь экономически оправданным даже с учётом роста эксплуатационных расходов на поздних этапах реализации. Во всех рассмотренных сценариях значение NPV оставалось положительным, что указывает на высокую устойчивость финансовой целесообразности проекта внедрения мобильной инсультной бригады (MSU) даже при неблагоприятных изменениях ключевых входных параметров.</w:t>
      </w:r>
    </w:p>
    <w:p w14:paraId="5C8C4A1C" w14:textId="6DBF24AB" w:rsidR="008067FE" w:rsidRPr="000818BE" w:rsidRDefault="00F030B7" w:rsidP="000818BE">
      <w:pPr>
        <w:spacing w:after="0" w:line="240" w:lineRule="auto"/>
        <w:ind w:firstLine="567"/>
        <w:jc w:val="both"/>
        <w:rPr>
          <w:rFonts w:ascii="Times New Roman" w:hAnsi="Times New Roman" w:cs="Times New Roman"/>
          <w:sz w:val="28"/>
          <w:szCs w:val="28"/>
        </w:rPr>
      </w:pPr>
      <w:r w:rsidRPr="000818BE">
        <w:rPr>
          <w:rFonts w:ascii="Times New Roman" w:hAnsi="Times New Roman" w:cs="Times New Roman"/>
          <w:sz w:val="28"/>
          <w:szCs w:val="28"/>
        </w:rPr>
        <w:t xml:space="preserve">Таким образом, </w:t>
      </w:r>
      <w:r w:rsidR="008067FE" w:rsidRPr="000818BE">
        <w:rPr>
          <w:rFonts w:ascii="Times New Roman" w:hAnsi="Times New Roman" w:cs="Times New Roman"/>
          <w:sz w:val="28"/>
          <w:szCs w:val="28"/>
        </w:rPr>
        <w:t>Марковское моделирование на 25-летнем горизонте показало, что внедрение мобильной инсультной бригады (MSU) при остром ишемическом инсульте обеспечивает устойчивое улучшение функциональных исходов и прирост эффективности по сравнению со стандартным лечением (ΔQALY = +0,142) при одновременном снижении суммарных дисконтированных затрат (−234,6 тыс. тенге на пациента), что свидетельствует о доминировании стратегии MSU. Финансовая оценка проекта подтвердила его инвестиционную целесообразность (NPV = 289,9 млн тенге) и устойчивость результатов к изменению ключевых параметров. К сильным сторонам исследования относятся использование долгосрочного марковского моделирования, одновременная оценка клинической и экономической эффективности, а также адаптация модели к региональным условиям системы здравоохранения г. Алматы.</w:t>
      </w:r>
    </w:p>
    <w:p w14:paraId="3FB9B2CB" w14:textId="77777777" w:rsidR="00CA6EB4" w:rsidRPr="000818BE" w:rsidRDefault="00CA6EB4" w:rsidP="000818BE">
      <w:pPr>
        <w:spacing w:after="0" w:line="240" w:lineRule="auto"/>
        <w:ind w:firstLine="567"/>
        <w:jc w:val="both"/>
        <w:rPr>
          <w:rFonts w:ascii="Times New Roman" w:hAnsi="Times New Roman" w:cs="Times New Roman"/>
          <w:sz w:val="28"/>
          <w:szCs w:val="28"/>
        </w:rPr>
      </w:pPr>
      <w:r w:rsidRPr="000818BE">
        <w:rPr>
          <w:rFonts w:ascii="Times New Roman" w:hAnsi="Times New Roman" w:cs="Times New Roman"/>
          <w:sz w:val="28"/>
          <w:szCs w:val="28"/>
        </w:rPr>
        <w:t xml:space="preserve">Результаты исследования по главе были обсуждены с участием заинтересованных сторон, включая менеджеров здравоохранения, нейрохирургов и представителей скорой медицинской помощи, с акцентом на клинико-экономические эффекты, организационную реализуемость и вопросы маршрутизации пациентов. По итогам обсуждения предложенная организационная модель с координацией на базе 7-й городской клинической </w:t>
      </w:r>
      <w:r w:rsidRPr="000818BE">
        <w:rPr>
          <w:rFonts w:ascii="Times New Roman" w:hAnsi="Times New Roman" w:cs="Times New Roman"/>
          <w:sz w:val="28"/>
          <w:szCs w:val="28"/>
        </w:rPr>
        <w:lastRenderedPageBreak/>
        <w:t>больницы рекомендована для дальнейшего рассмотрения в вышестоящих инстанциях системы здравоохранения.</w:t>
      </w:r>
    </w:p>
    <w:p w14:paraId="0D03E9BE" w14:textId="09FCBBB5" w:rsidR="008067FE" w:rsidRPr="000818BE" w:rsidRDefault="008067FE" w:rsidP="000818BE">
      <w:pPr>
        <w:spacing w:after="0" w:line="240" w:lineRule="auto"/>
        <w:ind w:firstLine="567"/>
        <w:jc w:val="both"/>
        <w:rPr>
          <w:rFonts w:ascii="Times New Roman" w:hAnsi="Times New Roman" w:cs="Times New Roman"/>
          <w:sz w:val="28"/>
          <w:szCs w:val="28"/>
        </w:rPr>
      </w:pPr>
      <w:r w:rsidRPr="000818BE">
        <w:rPr>
          <w:rFonts w:ascii="Times New Roman" w:hAnsi="Times New Roman" w:cs="Times New Roman"/>
          <w:sz w:val="28"/>
          <w:szCs w:val="28"/>
        </w:rPr>
        <w:t>В то же время к ограничениям исследования относятся модельный характер анализа, необходимость использования допущений относительно долгосрочных переходов между функциональными состояниями и ограниченность локальных данных по отдельным параметрам, что требует дальнейшей валидации результатов в рамках пилотного проекта и реальной клинической практики.</w:t>
      </w:r>
    </w:p>
    <w:p w14:paraId="01D54130" w14:textId="6A2AE222" w:rsidR="0062402E" w:rsidRPr="000818BE" w:rsidRDefault="00AD0853" w:rsidP="000818BE">
      <w:pPr>
        <w:spacing w:after="0" w:line="240" w:lineRule="auto"/>
        <w:ind w:firstLine="567"/>
        <w:contextualSpacing/>
        <w:jc w:val="both"/>
        <w:rPr>
          <w:rFonts w:ascii="Times New Roman" w:hAnsi="Times New Roman" w:cs="Times New Roman"/>
          <w:sz w:val="28"/>
          <w:szCs w:val="28"/>
        </w:rPr>
        <w:sectPr w:rsidR="0062402E" w:rsidRPr="000818BE" w:rsidSect="000818BE">
          <w:pgSz w:w="11906" w:h="16838"/>
          <w:pgMar w:top="1134" w:right="707" w:bottom="1134" w:left="1701" w:header="708" w:footer="708" w:gutter="0"/>
          <w:cols w:space="708"/>
          <w:docGrid w:linePitch="360"/>
        </w:sectPr>
      </w:pPr>
      <w:r w:rsidRPr="000818BE">
        <w:rPr>
          <w:rFonts w:ascii="Times New Roman" w:hAnsi="Times New Roman" w:cs="Times New Roman"/>
          <w:sz w:val="28"/>
          <w:szCs w:val="28"/>
        </w:rPr>
        <w:t>.</w:t>
      </w:r>
    </w:p>
    <w:p w14:paraId="065555E4" w14:textId="77777777" w:rsidR="005D5BEE" w:rsidRPr="000818BE" w:rsidRDefault="005D5BEE" w:rsidP="000818BE">
      <w:pPr>
        <w:tabs>
          <w:tab w:val="left" w:pos="993"/>
        </w:tabs>
        <w:spacing w:after="0" w:line="240" w:lineRule="auto"/>
        <w:ind w:firstLine="567"/>
        <w:contextualSpacing/>
        <w:jc w:val="center"/>
        <w:rPr>
          <w:rFonts w:ascii="Times New Roman" w:hAnsi="Times New Roman" w:cs="Times New Roman"/>
          <w:b/>
          <w:bCs/>
          <w:sz w:val="28"/>
          <w:szCs w:val="28"/>
        </w:rPr>
      </w:pPr>
      <w:r w:rsidRPr="000818BE">
        <w:rPr>
          <w:rFonts w:ascii="Times New Roman" w:hAnsi="Times New Roman" w:cs="Times New Roman"/>
          <w:b/>
          <w:bCs/>
          <w:sz w:val="28"/>
          <w:szCs w:val="28"/>
        </w:rPr>
        <w:lastRenderedPageBreak/>
        <w:t>ЗАКЛЮЧЕНИЕ</w:t>
      </w:r>
    </w:p>
    <w:p w14:paraId="12CCCF7E" w14:textId="77777777" w:rsidR="005D5BEE" w:rsidRPr="000818BE" w:rsidRDefault="005D5BEE" w:rsidP="000818BE">
      <w:pPr>
        <w:tabs>
          <w:tab w:val="left" w:pos="993"/>
        </w:tabs>
        <w:spacing w:after="0" w:line="240" w:lineRule="auto"/>
        <w:ind w:firstLine="567"/>
        <w:contextualSpacing/>
        <w:jc w:val="center"/>
        <w:rPr>
          <w:rFonts w:ascii="Times New Roman" w:hAnsi="Times New Roman" w:cs="Times New Roman"/>
          <w:b/>
          <w:bCs/>
          <w:sz w:val="28"/>
          <w:szCs w:val="28"/>
        </w:rPr>
      </w:pPr>
    </w:p>
    <w:p w14:paraId="5640C913" w14:textId="6D876E39" w:rsidR="005D5BEE" w:rsidRPr="000818BE" w:rsidRDefault="004D4630"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t>БСК</w:t>
      </w:r>
      <w:r w:rsidR="005D5BEE" w:rsidRPr="000818BE">
        <w:rPr>
          <w:rFonts w:ascii="Times New Roman" w:hAnsi="Times New Roman" w:cs="Times New Roman"/>
          <w:sz w:val="28"/>
          <w:szCs w:val="28"/>
        </w:rPr>
        <w:t>, в том числе инсульт, остаются ведущей причиной смертности и инвалидизации, сопровождаясь ростом заболеваемости, включая лиц молодого возраста, и значительными экономическими потерями.</w:t>
      </w:r>
    </w:p>
    <w:p w14:paraId="1417DC2A" w14:textId="332293F7" w:rsidR="00A612B4" w:rsidRPr="000818BE" w:rsidRDefault="00A612B4"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t>В 2012–2024 гг. в г. Алматы заболеваемость БСК и цереброваскулярными заболеваниями (ЦВЗ) сохранялась на стабильно высоком уровне и характеризовалась выраженной вариабельностью. Заболеваемость БСК колебалась от минимальных значений в 2015 г. (2982,8 на 100 000 населения) до повторного роста к 2024 г. (3950,6 на 100 000), тогда как по ЦВЗ после резкого подъёма в 2012–2014 гг. показатели стабилизировались на высоком уровне в 2020–2024 гг. (425–460 на 100 000). Это указывает на устойчивое эпидемиологическое бремя БСК и инсульта, несмотря на отдельные периоды улучшения.</w:t>
      </w:r>
    </w:p>
    <w:p w14:paraId="7265E63C" w14:textId="77777777" w:rsidR="00A612B4" w:rsidRPr="000818BE" w:rsidRDefault="00A612B4"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t>Смертность от БСК и инсульта в целом демонстрировала тенденцию к снижению, однако оставалась нестабильной. После выраженного сокращения смертности от БСК в 2012–2015 гг. (с 345,6 до 139,5 на 100 000 населения) был зафиксирован резкий рост в 2020–2021 гг. с пиком 284,9 на 100 000, за которым последовало снижение до 170,1 в 2024 г. Аналогичная динамика отмечалась и для смертности от инсульта. Эти колебания отражают уязвимость достигнутых успехов к внешним системным шокам, прежде всего пандемии COVID-19, и указывают на ограниченную устойчивость системы здравоохранения.</w:t>
      </w:r>
    </w:p>
    <w:p w14:paraId="4A3E87BA" w14:textId="77777777" w:rsidR="00A612B4" w:rsidRPr="000818BE" w:rsidRDefault="00A612B4"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t>Предотвратимая смертность от БСК в 2014–2024 гг. не имела устойчивого линейного тренда (СПИ +0,9% в год; 95% ДИ включает 0) и характеризовалась резкими колебаниями: снижение до минимума в 2019 г. (29,17 на 100 000 населения) сменилось экстремальным ростом в 2021 г. (261,11) и повторным повышением в 2024 г. (130,55). В абсолютном выражении за период предотвратимая смертность от БСК увеличилась на 10,17 на 100 000 населения, при этом рост был полностью обусловлен мужским населением (+39,00), тогда как среди женщин отмечалось снижение (–9,95). В относительном выражении предотвратимая смертность возросла на 8% в общей популяции и на 22% среди мужчин, что подчёркивает сохраняющееся гендерное неравенство.</w:t>
      </w:r>
    </w:p>
    <w:p w14:paraId="5BE9D531" w14:textId="77777777" w:rsidR="00A612B4" w:rsidRPr="000818BE" w:rsidRDefault="00A612B4"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t>Анализ причин смерти показал, что неблагоприятная динамика была обусловлена преимущественно ишемической болезнью сердца. Абсолютное увеличение предотвратимой смертности от ИБС составило +41,06 на 100 000 населения (+70,64 у мужчин и +20,49 у женщин), при относительном росте на 115%. Напротив, смертность от ЦВЗ демонстрировала устойчивое абсолютное и относительное снижение (–30,24 на 100 000 и –48% в целом), что указывает на улучшение ведения инсульта при сохраняющихся проблемах первичной профилактики ИБС.</w:t>
      </w:r>
    </w:p>
    <w:p w14:paraId="34A4A4D9" w14:textId="1734D9C1" w:rsidR="00A612B4" w:rsidRPr="000818BE" w:rsidRDefault="00A612B4"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t xml:space="preserve">Общие экономические потери варьировали от минимума в 2019 г. (193,15 млн долл. США) до максимума в 2021 г. (1 728,77 млн долл. США по сценарию VSL = 4,8), при этом во все годы основная доля ущерба приходилась на мужчин (в 2021 г. — более чем в 2,5 раза выше, чем у женщин). Анализ </w:t>
      </w:r>
      <w:r w:rsidRPr="000818BE">
        <w:rPr>
          <w:rFonts w:ascii="Times New Roman" w:hAnsi="Times New Roman" w:cs="Times New Roman"/>
          <w:sz w:val="28"/>
          <w:szCs w:val="28"/>
        </w:rPr>
        <w:lastRenderedPageBreak/>
        <w:t>госпитализированных случаев ОНМК в 2012–2024 гг. выявил рост числа госпитализаций, увеличение среднего возраста пациентов и сокращение средней продолжительности пребывания в стационаре; при этом снижение летальности и рост доли выздоровлений свидетельствуют о прогрессе стационарной медицинской помощи. В совокупности полученные результаты показывают, что улучшение исходов лечения не сопровождалось сопоставимым снижением заболеваемости и экономического бремени, что обосновывает необходимость усиления первичной профилактики, ранней диагностики и повышения устойчивости системы здравоохранения к внешним системным шокам и кризисным ситуациям.</w:t>
      </w:r>
    </w:p>
    <w:p w14:paraId="7C4C9E39" w14:textId="61928BBD" w:rsidR="004319A5" w:rsidRPr="000818BE" w:rsidRDefault="004319A5"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t xml:space="preserve">В ответ на выявленные эпидемиологические и организационные вызовы одним из ключевых направлений совершенствования оказания медицинской помощи пациентам с </w:t>
      </w:r>
      <w:r w:rsidR="008E020B" w:rsidRPr="000818BE">
        <w:rPr>
          <w:rFonts w:ascii="Times New Roman" w:hAnsi="Times New Roman" w:cs="Times New Roman"/>
          <w:sz w:val="28"/>
          <w:szCs w:val="28"/>
        </w:rPr>
        <w:t>ОНМК</w:t>
      </w:r>
      <w:r w:rsidRPr="000818BE">
        <w:rPr>
          <w:rFonts w:ascii="Times New Roman" w:hAnsi="Times New Roman" w:cs="Times New Roman"/>
          <w:sz w:val="28"/>
          <w:szCs w:val="28"/>
        </w:rPr>
        <w:t xml:space="preserve"> стало внедрение стандартизированного алгоритма ведения пациентов с ОНМК. Разработанный в 2021 году в рамках докторского исследования алгоритм был внедрён на базе ГКБ №7 г. Алматы (приложение В).</w:t>
      </w:r>
    </w:p>
    <w:p w14:paraId="30891E2B" w14:textId="50B14934" w:rsidR="004319A5" w:rsidRPr="000818BE" w:rsidRDefault="004319A5"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t>В отличие от ранее применявшихся подходов, основанных преимущественно на жёстком временном критерии отбора пациентов, предложенный алгоритм включает возможность проведения КТ-перфузии в расширенном временном окне до 24 часов от начала симптомов, что позволяет выявлять пациентов с сохранной ишемической пенумброй и расширяет доступ к реперфузионной терапии, включая механическую тромбэктомию.</w:t>
      </w:r>
      <w:r w:rsidR="00441F53" w:rsidRPr="000818BE">
        <w:rPr>
          <w:rFonts w:ascii="Times New Roman" w:hAnsi="Times New Roman" w:cs="Times New Roman"/>
          <w:sz w:val="28"/>
          <w:szCs w:val="28"/>
        </w:rPr>
        <w:t xml:space="preserve"> </w:t>
      </w:r>
      <w:r w:rsidRPr="000818BE">
        <w:rPr>
          <w:rFonts w:ascii="Times New Roman" w:hAnsi="Times New Roman" w:cs="Times New Roman"/>
          <w:sz w:val="28"/>
          <w:szCs w:val="28"/>
        </w:rPr>
        <w:t>Кроме того, алгоритм предусматривает стандартизацию маршрутизации пациентов, раннюю активацию «инсультного кода», параллельное выполнение диагностических и лечебных мероприятий, а также усиление междисциплинарного взаимодействия между службами скорой медицинской помощи, приёмного отделения, нейровизуализации и специализированных стационарных подразделений.</w:t>
      </w:r>
    </w:p>
    <w:p w14:paraId="175718A9" w14:textId="77777777" w:rsidR="004319A5" w:rsidRPr="000818BE" w:rsidRDefault="004319A5"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t>Практическая реализация алгоритма позволила оптимизировать временные показатели оказания помощи, повысить согласованность действий медицинского персонала и расширить возможности отбора пациентов для специализированного лечения. В совокупности данные изменения могут рассматриваться как один из факторов, способствовавших улучшению исходов лечения, включая снижение летальности, отмеченное в анализируемом периоде.</w:t>
      </w:r>
    </w:p>
    <w:p w14:paraId="07BC3A9C" w14:textId="285A0AB8" w:rsidR="00AF06FB" w:rsidRPr="000818BE" w:rsidRDefault="00AF06FB"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t>Результаты интервью с медицинскими специалистами и пациентами позволили комплексно оценить готовность системы оказания помощи при ОНМК в г. Алматы. Наибольший средний стаж работы отмечен у специалистов скорой медицинской помощи (в среднем 17,5 года) и нейрохирургов (16,2 года), что свидетельствует о значительном клиническом опыте данных групп. В то же время более низкий стаж у врачей-реабилитологов (9,8 года) отражает относительно молодую и менее устойчиво подготовленную кадровую группу, особенно в сегменте постинсультного ухода.</w:t>
      </w:r>
    </w:p>
    <w:p w14:paraId="5B2129BE" w14:textId="77777777" w:rsidR="00AF06FB" w:rsidRPr="000818BE" w:rsidRDefault="00AF06FB"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lastRenderedPageBreak/>
        <w:t>По уровню готовности к ведению острого инсульта наиболее подготовленными оказались реаниматологи и нейрохирурги, которые регулярно проходят обучение, обеспечены необходимым оборудованием и персоналом и активно участвуют в регистрах качества (реаниматологи n=30, нейрохирурги n=23). Неврологи в целом демонстрировали хороший уровень подготовки, однако чаще указывали на дефицит кадров и ресурсов (n≈11–13), что во многом связано с амбулаторным характером их работы. Наиболее уязвимыми звеньями системы оставались службы скорой медицинской помощи (n=10) и реабилитации (n=20–22), где обучение проводилось нерегулярно, фиксировались ограничения по ресурсам и низкая вовлечённость в регистры и мониторинг качества, что указывает на системные пробелы на догоспитальном этапе и в организации постинсультного восстановления.</w:t>
      </w:r>
    </w:p>
    <w:p w14:paraId="224B4B45" w14:textId="77777777" w:rsidR="00AF06FB" w:rsidRPr="000818BE" w:rsidRDefault="00AF06FB"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t>Оценки специалистов относительно общественной осведомлённости были во многом единообразными: большинство врачей отмечали низкий уровень распознавания симптомов инсульта населением и недостаточную эффективность существующих информационных кампаний. Эти выводы подтверждены интервью с пациентами: только 22 из 61 респондента знали симптомы инсульта до его наступления, тогда как 39 не обладали соответствующими знаниями. Большинство пациентов были старше 60 лет (40 из 61), и для 49 инсульт был первым эпизодом. Несмотря на то что многие сообщали о сравнительно быстром прибытии скорой помощи (10–20 минут; n=42), значимая доля сталкивалась с задержками более 30 минут (n=6), нераспознаванием инсульта сотрудниками СМП (n=4) и отказами в госпитализации (n=3). На стационарном этапе сохранялись проблемы с разъяснением диагноза и плана лечения (недостаток информации n≈10–12) и ограниченной доступностью ранней реабилитации (реабилитацию в стационаре прошли 18 пациентов, тогда как у 30–35 она отсутствовала или была отложена).</w:t>
      </w:r>
    </w:p>
    <w:p w14:paraId="3D936976" w14:textId="77777777" w:rsidR="00AF06FB" w:rsidRPr="000818BE" w:rsidRDefault="00AF06FB"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t>Отдельно выявлен значительный потенциал цифровых решений при низкой информированности о них: 36 из 61 пациента не слышали о телереабилитации, при этом почти все имели доступ к цифровым устройствам и интернету (n=60). Многие выражали готовность использовать дистанционные форматы, однако отмечали барьеры, связанные с цифровой грамотностью, качеством связи и потребностью в личном контакте с медицинскими работниками. В совокупности полученные данные подчёркивают необходимость системных мер, включающих регулярное целевое обучение сотрудников СМП и реабилитации, стандартизацию маршрутизации и коммуникации с пациентами, расширение доступности реабилитационных услуг, масштабирование информационных кампаний по типу FAST с акцентом на семьи и пожилых, а также поэтапное внедрение телереабилитации с простыми и адаптированными для пациентов интерфейсами.</w:t>
      </w:r>
    </w:p>
    <w:p w14:paraId="035CA2BE" w14:textId="77777777" w:rsidR="00441F53" w:rsidRPr="000818BE" w:rsidRDefault="00441F53"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t xml:space="preserve">Марковское моделирование на 25-летнем горизонте показало, что внедрение мобильной инсультной бригады (MSU) при остром ишемическом инсульте обеспечивает устойчивое улучшение функциональных исходов и снижение смертности по сравнению со стандартным лечением; данное </w:t>
      </w:r>
      <w:r w:rsidRPr="000818BE">
        <w:rPr>
          <w:rFonts w:ascii="Times New Roman" w:hAnsi="Times New Roman" w:cs="Times New Roman"/>
          <w:sz w:val="28"/>
          <w:szCs w:val="28"/>
        </w:rPr>
        <w:lastRenderedPageBreak/>
        <w:t>преимущество сохраняется на всём горизонте моделирования, несмотря на его постепенное уменьшение.</w:t>
      </w:r>
    </w:p>
    <w:p w14:paraId="13DC00A8" w14:textId="77777777" w:rsidR="00441F53" w:rsidRPr="000818BE" w:rsidRDefault="00441F53"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t>Стратегия MSU обеспечивает прирост качества и продолжительности жизни (ΔQALY = +0,142; 5,195 против 5,053), при сохранении преимущества на протяжении всего периода. Несмотря на более высокие начальные затраты, в долгосрочной перспективе достигается снижение суммарных расходов (3 706 936 против 3 941 539 тенге), что соответствует экономии −234,6 тыс. тенге на пациента.</w:t>
      </w:r>
    </w:p>
    <w:p w14:paraId="7F4166D7" w14:textId="51B4F8C6" w:rsidR="002A7CAB" w:rsidRPr="000818BE" w:rsidRDefault="00441F53"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t>Отрицательное значение ICER и положительные значения чистой денежной выгоды подтверждают клинико-экономическую целесообразность MSU, а результаты анализа чувствительности — устойчивость полученных выводов. Финансовая оценка также показала положительную чистую приведённую стоимость проекта (NPV = 289,9 млн тенге).</w:t>
      </w:r>
      <w:r w:rsidR="00CA6EB4" w:rsidRPr="000818BE">
        <w:rPr>
          <w:rFonts w:ascii="Times New Roman" w:hAnsi="Times New Roman" w:cs="Times New Roman"/>
          <w:sz w:val="28"/>
          <w:szCs w:val="28"/>
        </w:rPr>
        <w:t xml:space="preserve"> Результаты исследования были обсуждены с участием заинтересованных сторон; предложенная модель с координацией на базе 7-й городской клинической больницы рекомендована для рассмотрения в вышестоящих инстанциях здравоохранения.</w:t>
      </w:r>
    </w:p>
    <w:p w14:paraId="4FF59E36" w14:textId="2F062285" w:rsidR="00CA6EB4" w:rsidRPr="000818BE" w:rsidRDefault="00CA6EB4" w:rsidP="000818BE">
      <w:pPr>
        <w:tabs>
          <w:tab w:val="left" w:pos="993"/>
        </w:tabs>
        <w:spacing w:after="0" w:line="240" w:lineRule="auto"/>
        <w:ind w:firstLine="567"/>
        <w:contextualSpacing/>
        <w:jc w:val="both"/>
        <w:rPr>
          <w:rFonts w:ascii="Times New Roman" w:hAnsi="Times New Roman" w:cs="Times New Roman"/>
          <w:sz w:val="28"/>
          <w:szCs w:val="28"/>
        </w:rPr>
      </w:pPr>
      <w:r w:rsidRPr="000818BE">
        <w:rPr>
          <w:rFonts w:ascii="Times New Roman" w:hAnsi="Times New Roman" w:cs="Times New Roman"/>
          <w:sz w:val="28"/>
          <w:szCs w:val="28"/>
        </w:rPr>
        <w:t>В целом полученные результаты подтверждают актуальность совершенствования системы оказания помощи при инсульте в г. Алматы и обосновывают целесообразность внедрения комплексных организационных решений, направленных на повышение доступности, своевременности и эффективности медицинской помощи, включая развитие догоспитального этапа и инновационных моделей</w:t>
      </w:r>
    </w:p>
    <w:p w14:paraId="2AB79E90" w14:textId="77777777" w:rsidR="00CA6EB4" w:rsidRPr="000818BE" w:rsidRDefault="00CA6EB4" w:rsidP="000818BE">
      <w:pPr>
        <w:tabs>
          <w:tab w:val="left" w:pos="993"/>
        </w:tabs>
        <w:spacing w:after="0" w:line="240" w:lineRule="auto"/>
        <w:ind w:firstLine="567"/>
        <w:contextualSpacing/>
        <w:jc w:val="both"/>
        <w:rPr>
          <w:rFonts w:ascii="Times New Roman" w:hAnsi="Times New Roman" w:cs="Times New Roman"/>
          <w:sz w:val="28"/>
          <w:szCs w:val="28"/>
        </w:rPr>
      </w:pPr>
    </w:p>
    <w:p w14:paraId="5B594A34" w14:textId="08E9F3A4" w:rsidR="00690A71" w:rsidRPr="000818BE" w:rsidRDefault="00690A71" w:rsidP="000818BE">
      <w:pPr>
        <w:tabs>
          <w:tab w:val="left" w:pos="993"/>
        </w:tabs>
        <w:spacing w:after="0" w:line="240" w:lineRule="auto"/>
        <w:ind w:firstLine="567"/>
        <w:contextualSpacing/>
        <w:rPr>
          <w:rFonts w:ascii="Times New Roman" w:hAnsi="Times New Roman" w:cs="Times New Roman"/>
          <w:b/>
          <w:bCs/>
          <w:sz w:val="28"/>
          <w:szCs w:val="28"/>
        </w:rPr>
      </w:pPr>
      <w:r w:rsidRPr="000818BE">
        <w:rPr>
          <w:rFonts w:ascii="Times New Roman" w:hAnsi="Times New Roman" w:cs="Times New Roman"/>
          <w:b/>
          <w:bCs/>
          <w:sz w:val="28"/>
          <w:szCs w:val="28"/>
        </w:rPr>
        <w:t>Выводы:</w:t>
      </w:r>
    </w:p>
    <w:p w14:paraId="61837350" w14:textId="77777777" w:rsidR="00705EBF" w:rsidRPr="000818BE" w:rsidRDefault="00705EBF" w:rsidP="000818BE">
      <w:pPr>
        <w:pStyle w:val="a4"/>
        <w:numPr>
          <w:ilvl w:val="0"/>
          <w:numId w:val="9"/>
        </w:numPr>
        <w:tabs>
          <w:tab w:val="left" w:pos="993"/>
        </w:tabs>
        <w:spacing w:before="0" w:beforeAutospacing="0" w:after="0" w:afterAutospacing="0"/>
        <w:ind w:left="0" w:firstLine="567"/>
        <w:contextualSpacing/>
        <w:jc w:val="both"/>
        <w:rPr>
          <w:sz w:val="28"/>
          <w:szCs w:val="28"/>
        </w:rPr>
      </w:pPr>
      <w:r w:rsidRPr="000818BE">
        <w:rPr>
          <w:sz w:val="28"/>
          <w:szCs w:val="28"/>
        </w:rPr>
        <w:t>В 2012–2024 гг. заболеваемость БСК и ЦВЗ в г. Алматы сохранялась на высоком уровне при общей тенденции к снижению смертности, характеризующейся выраженной нестабильностью и резким ростом в 2020–2021 гг., что свидетельствует об уязвимости достигнутых результатов к внешним системным шокам. Предотвратимая смертность от БСК в 2014–2024 гг. также отличалась выраженной вариабельностью и отсутствием устойчивого тренда, при сохраняющемся гендерном неравенстве и неблагоприятной динамике, обусловленной ростом смертности от ИБС на фоне снижения смертности от ЦВЗ.</w:t>
      </w:r>
    </w:p>
    <w:p w14:paraId="22CA5187" w14:textId="011245D9" w:rsidR="00A326D8" w:rsidRPr="000818BE" w:rsidRDefault="00690A71" w:rsidP="000818BE">
      <w:pPr>
        <w:pStyle w:val="a4"/>
        <w:numPr>
          <w:ilvl w:val="0"/>
          <w:numId w:val="9"/>
        </w:numPr>
        <w:tabs>
          <w:tab w:val="left" w:pos="993"/>
        </w:tabs>
        <w:spacing w:before="0" w:beforeAutospacing="0" w:after="0" w:afterAutospacing="0"/>
        <w:ind w:left="0" w:firstLine="567"/>
        <w:contextualSpacing/>
        <w:jc w:val="both"/>
        <w:rPr>
          <w:sz w:val="28"/>
          <w:szCs w:val="28"/>
        </w:rPr>
      </w:pPr>
      <w:r w:rsidRPr="000818BE">
        <w:rPr>
          <w:sz w:val="28"/>
          <w:szCs w:val="28"/>
        </w:rPr>
        <w:t xml:space="preserve">Экономическая оценка выявила значительные и нестабильные экономические потери от предотвратимой смертности (максимум — 1 728,77 млн долл. США в 2021 году; минимум — 193,15 млн долл. США в 2019 году), при этом основная доля ущерба приходилась на мужчин. Одновременно анализ госпитализированных случаев ОНМК показал рост числа госпитализаций, сокращение длительности пребывания в стационаре до 8,6–8,7 дней и существенное улучшение исходов лечения (снижение летальности до ~1% в 2023–2024 гг.), что </w:t>
      </w:r>
      <w:r w:rsidR="00A326D8" w:rsidRPr="000818BE">
        <w:rPr>
          <w:sz w:val="28"/>
          <w:szCs w:val="28"/>
        </w:rPr>
        <w:t xml:space="preserve">свидетельствует о прогрессе стационарной помощи при сохраняющейся необходимости усиления профилактики. Данные изменения </w:t>
      </w:r>
      <w:r w:rsidR="00A326D8" w:rsidRPr="000818BE">
        <w:rPr>
          <w:sz w:val="28"/>
          <w:szCs w:val="28"/>
        </w:rPr>
        <w:lastRenderedPageBreak/>
        <w:t>могут быть частично обусловлены внедрением стандартизированного алгоритма ведения пациентов с ОНМК.</w:t>
      </w:r>
    </w:p>
    <w:p w14:paraId="29A377E7" w14:textId="46A66FAD" w:rsidR="00F12D31" w:rsidRPr="000818BE" w:rsidRDefault="00F12D31" w:rsidP="000818BE">
      <w:pPr>
        <w:pStyle w:val="a4"/>
        <w:numPr>
          <w:ilvl w:val="0"/>
          <w:numId w:val="9"/>
        </w:numPr>
        <w:tabs>
          <w:tab w:val="left" w:pos="993"/>
        </w:tabs>
        <w:spacing w:before="0" w:beforeAutospacing="0" w:after="0" w:afterAutospacing="0"/>
        <w:ind w:left="0" w:firstLine="567"/>
        <w:contextualSpacing/>
        <w:jc w:val="both"/>
        <w:rPr>
          <w:sz w:val="28"/>
          <w:szCs w:val="28"/>
        </w:rPr>
      </w:pPr>
      <w:r w:rsidRPr="000818BE">
        <w:rPr>
          <w:sz w:val="28"/>
          <w:szCs w:val="28"/>
        </w:rPr>
        <w:t>Результаты интервью с медицинскими специалистами показали неоднородный уровень готовности к оказанию помощи пациентам с ОНМК. При высокой профессиональной подготовке врачей-реаниматологов и нейрохирургов выявлены организационные и ресурсные ограничения на догоспитальном этапе и в системе реабилитации, включая недостаточную регулярность обучения сотрудников СМП, дефицит кадров и ограниченную вовлечённость в системы мониторинга качества. Это указывает на наличие структурных дисбалансов в организации инсультной помощи.</w:t>
      </w:r>
    </w:p>
    <w:p w14:paraId="16FF02A0" w14:textId="77777777" w:rsidR="00962A2A" w:rsidRPr="000818BE" w:rsidRDefault="00F12D31" w:rsidP="000818BE">
      <w:pPr>
        <w:pStyle w:val="a6"/>
        <w:numPr>
          <w:ilvl w:val="0"/>
          <w:numId w:val="9"/>
        </w:numPr>
        <w:tabs>
          <w:tab w:val="left" w:pos="993"/>
        </w:tabs>
        <w:ind w:left="0" w:firstLine="567"/>
        <w:jc w:val="both"/>
        <w:rPr>
          <w:sz w:val="28"/>
          <w:szCs w:val="28"/>
        </w:rPr>
      </w:pPr>
      <w:r w:rsidRPr="000818BE">
        <w:rPr>
          <w:sz w:val="28"/>
          <w:szCs w:val="28"/>
        </w:rPr>
        <w:t>Интервью с пациентами подтвердили наличие значимых поведенческих и организационных барьеров, включая низкий уровень осведомлённости населения о симптомах инсульта, несвоевременное обращение за медицинской помощью, задержки на этапе экстренной маршрутизации и отдельные случаи ограниченной доступности ранней реабилитации. Указанные факторы снижают эффективность раннего лечения и свидетельствуют о необходимости усиления межэтапной координации и информационно-просветительских мероприятий.</w:t>
      </w:r>
    </w:p>
    <w:p w14:paraId="62323AFB" w14:textId="4E80247B" w:rsidR="00CB313E" w:rsidRPr="000818BE" w:rsidRDefault="00962A2A" w:rsidP="000818BE">
      <w:pPr>
        <w:pStyle w:val="a6"/>
        <w:numPr>
          <w:ilvl w:val="0"/>
          <w:numId w:val="9"/>
        </w:numPr>
        <w:tabs>
          <w:tab w:val="left" w:pos="993"/>
        </w:tabs>
        <w:ind w:left="0" w:firstLine="567"/>
        <w:jc w:val="both"/>
        <w:rPr>
          <w:sz w:val="28"/>
          <w:szCs w:val="28"/>
        </w:rPr>
      </w:pPr>
      <w:r w:rsidRPr="000818BE">
        <w:rPr>
          <w:sz w:val="28"/>
          <w:szCs w:val="28"/>
        </w:rPr>
        <w:t>Проведённый клинико-экономический и финансовый анализ показал, что внедрение мобильной инсультной бригады (MSU) при остром ишемическом инсульте обеспечивает устойчивые клинические преимущества по сравнению со стандартным лечением, выражающиеся в увеличении доли функционально независимых пациентов и приросте эффективности (ΔQALY = +0,142) при одновременном снижении суммарных дисконтированных затрат. Финансовая модель продемонстрировала положительную чистую приведённую стоимость проекта и устойчивость результатов к изменению ключевых параметров, что подтверждает клинико-экономическую и инвестиционную целесообразность внедрения MSU.</w:t>
      </w:r>
    </w:p>
    <w:p w14:paraId="54FE3F22" w14:textId="77777777" w:rsidR="000818BE" w:rsidRDefault="000818BE" w:rsidP="000818BE">
      <w:pPr>
        <w:tabs>
          <w:tab w:val="left" w:pos="993"/>
        </w:tabs>
        <w:spacing w:after="0" w:line="240" w:lineRule="auto"/>
        <w:ind w:firstLine="567"/>
        <w:contextualSpacing/>
        <w:jc w:val="both"/>
        <w:rPr>
          <w:rFonts w:ascii="Times New Roman" w:hAnsi="Times New Roman" w:cs="Times New Roman"/>
          <w:b/>
          <w:bCs/>
          <w:sz w:val="28"/>
          <w:szCs w:val="28"/>
        </w:rPr>
      </w:pPr>
    </w:p>
    <w:p w14:paraId="245FE6BF" w14:textId="58B28DFE" w:rsidR="00A66578" w:rsidRPr="000818BE" w:rsidRDefault="00A66578" w:rsidP="000818BE">
      <w:pPr>
        <w:tabs>
          <w:tab w:val="left" w:pos="993"/>
        </w:tabs>
        <w:spacing w:after="0" w:line="240" w:lineRule="auto"/>
        <w:ind w:firstLine="567"/>
        <w:contextualSpacing/>
        <w:jc w:val="both"/>
        <w:rPr>
          <w:rFonts w:ascii="Times New Roman" w:hAnsi="Times New Roman" w:cs="Times New Roman"/>
          <w:b/>
          <w:bCs/>
          <w:sz w:val="28"/>
          <w:szCs w:val="28"/>
        </w:rPr>
      </w:pPr>
      <w:r w:rsidRPr="000818BE">
        <w:rPr>
          <w:rFonts w:ascii="Times New Roman" w:hAnsi="Times New Roman" w:cs="Times New Roman"/>
          <w:b/>
          <w:bCs/>
          <w:sz w:val="28"/>
          <w:szCs w:val="28"/>
        </w:rPr>
        <w:t>Практические рекомендации:</w:t>
      </w:r>
    </w:p>
    <w:p w14:paraId="1E064A9C" w14:textId="23981DF9" w:rsidR="00786F65" w:rsidRPr="000818BE" w:rsidRDefault="00786F65" w:rsidP="000818BE">
      <w:pPr>
        <w:pStyle w:val="a6"/>
        <w:numPr>
          <w:ilvl w:val="0"/>
          <w:numId w:val="10"/>
        </w:numPr>
        <w:tabs>
          <w:tab w:val="left" w:pos="993"/>
        </w:tabs>
        <w:ind w:left="0" w:firstLine="567"/>
        <w:jc w:val="both"/>
        <w:rPr>
          <w:sz w:val="28"/>
          <w:szCs w:val="28"/>
        </w:rPr>
      </w:pPr>
      <w:r w:rsidRPr="000818BE">
        <w:rPr>
          <w:sz w:val="28"/>
          <w:szCs w:val="28"/>
        </w:rPr>
        <w:t>Усилить первичную и вторичную профилактику БСК и инсульта с приоритетом для мужского населения и пациентов с высоким риском (артериальная гипертензия, ИБС, сахарный диабет), включая регулярный скрининг, контроль артериального давления и липидного профиля, а также расширение программ диспансерного наблюдения.</w:t>
      </w:r>
    </w:p>
    <w:p w14:paraId="7268F911" w14:textId="05675F54" w:rsidR="00786F65" w:rsidRPr="000818BE" w:rsidRDefault="00786F65" w:rsidP="000818BE">
      <w:pPr>
        <w:pStyle w:val="a6"/>
        <w:numPr>
          <w:ilvl w:val="0"/>
          <w:numId w:val="10"/>
        </w:numPr>
        <w:tabs>
          <w:tab w:val="left" w:pos="993"/>
        </w:tabs>
        <w:ind w:left="0" w:firstLine="567"/>
        <w:jc w:val="both"/>
        <w:rPr>
          <w:sz w:val="28"/>
          <w:szCs w:val="28"/>
        </w:rPr>
      </w:pPr>
      <w:r w:rsidRPr="000818BE">
        <w:rPr>
          <w:sz w:val="28"/>
          <w:szCs w:val="28"/>
        </w:rPr>
        <w:t>Разработать и масштабировать устойчивые информационно-просветительские кампании по распознаванию симптомов инсульта на основе принципа FAST, ориентированные на пожилых людей, семьи пациентов и лиц, осуществляющих уход, с использованием телевидения, социальных сетей, ПМСП и печатных материалов.</w:t>
      </w:r>
    </w:p>
    <w:p w14:paraId="4027FC6F" w14:textId="4BB38FDD" w:rsidR="00786F65" w:rsidRPr="000818BE" w:rsidRDefault="00786F65" w:rsidP="000818BE">
      <w:pPr>
        <w:pStyle w:val="a6"/>
        <w:numPr>
          <w:ilvl w:val="0"/>
          <w:numId w:val="10"/>
        </w:numPr>
        <w:tabs>
          <w:tab w:val="left" w:pos="993"/>
        </w:tabs>
        <w:ind w:left="0" w:firstLine="567"/>
        <w:jc w:val="both"/>
        <w:rPr>
          <w:sz w:val="28"/>
          <w:szCs w:val="28"/>
        </w:rPr>
      </w:pPr>
      <w:r w:rsidRPr="000818BE">
        <w:rPr>
          <w:sz w:val="28"/>
          <w:szCs w:val="28"/>
        </w:rPr>
        <w:t xml:space="preserve">Укрепить догоспитальный этап оказания помощи при инсульте, предусматривая регулярное обязательное обучение сотрудников скорой медицинской помощи по инсультным протоколам, стандартизацию сортировки и маршрутизации пациентов с подозрением на инсульт, а также сокращение </w:t>
      </w:r>
      <w:r w:rsidRPr="000818BE">
        <w:rPr>
          <w:sz w:val="28"/>
          <w:szCs w:val="28"/>
        </w:rPr>
        <w:lastRenderedPageBreak/>
        <w:t>времени прибытия бригад и минимизацию необоснованных отказов в госпитализации.</w:t>
      </w:r>
    </w:p>
    <w:p w14:paraId="026CAD13" w14:textId="61B70625" w:rsidR="00786F65" w:rsidRPr="000818BE" w:rsidRDefault="00786F65" w:rsidP="000818BE">
      <w:pPr>
        <w:pStyle w:val="a6"/>
        <w:numPr>
          <w:ilvl w:val="0"/>
          <w:numId w:val="10"/>
        </w:numPr>
        <w:tabs>
          <w:tab w:val="left" w:pos="993"/>
        </w:tabs>
        <w:ind w:left="0" w:firstLine="567"/>
        <w:jc w:val="both"/>
        <w:rPr>
          <w:sz w:val="28"/>
          <w:szCs w:val="28"/>
        </w:rPr>
      </w:pPr>
      <w:r w:rsidRPr="000818BE">
        <w:rPr>
          <w:sz w:val="28"/>
          <w:szCs w:val="28"/>
        </w:rPr>
        <w:t>Интегрировать телемедицинские и цифровые решения в постинсультный уход, включая телереабилитацию и дистанционное консультирование, с акцентом на простоту интерфейсов, обучение пациентов и поддержку лиц, осуществляющих уход, с учётом высокой доступности цифровых устройств среди пациентов.</w:t>
      </w:r>
    </w:p>
    <w:p w14:paraId="1E385918" w14:textId="78FE1B5F" w:rsidR="00786F65" w:rsidRPr="000818BE" w:rsidRDefault="00786F65" w:rsidP="000818BE">
      <w:pPr>
        <w:pStyle w:val="a6"/>
        <w:numPr>
          <w:ilvl w:val="0"/>
          <w:numId w:val="10"/>
        </w:numPr>
        <w:tabs>
          <w:tab w:val="left" w:pos="993"/>
        </w:tabs>
        <w:ind w:left="0" w:firstLine="567"/>
        <w:jc w:val="both"/>
        <w:rPr>
          <w:sz w:val="28"/>
          <w:szCs w:val="28"/>
        </w:rPr>
      </w:pPr>
      <w:r w:rsidRPr="000818BE">
        <w:rPr>
          <w:sz w:val="28"/>
          <w:szCs w:val="28"/>
        </w:rPr>
        <w:t>Обеспечить междисциплинарную и межсекторную координацию между стационарами, скорой медицинской помощью, ПМСП и органами общественного здравоохранения для повышения устойчивости системы инсультной помощи к внешним шокам и кризисным ситуациям.</w:t>
      </w:r>
    </w:p>
    <w:p w14:paraId="7EA52932" w14:textId="77777777" w:rsidR="002A7CAB" w:rsidRPr="00786F65" w:rsidRDefault="002A7CAB" w:rsidP="000F4E51">
      <w:pPr>
        <w:spacing w:line="240" w:lineRule="auto"/>
        <w:ind w:left="567" w:right="-1135" w:firstLine="567"/>
        <w:jc w:val="center"/>
        <w:rPr>
          <w:rFonts w:ascii="Times New Roman" w:hAnsi="Times New Roman" w:cs="Times New Roman"/>
          <w:sz w:val="28"/>
          <w:szCs w:val="28"/>
        </w:rPr>
      </w:pPr>
    </w:p>
    <w:p w14:paraId="7FE986A6"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37083401"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1F4DD346"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00A03BD6"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43373ABD"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1A7A301C"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53574390"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64CF7302"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4159125A"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3C312064"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7BD9300D"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69A2FA74"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0151EF5E"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29188F26"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1C362E87"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07BEEC34"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5F15E754"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273771EA"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7A9F0189"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1A2CDC06"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1A95D057" w14:textId="77777777" w:rsidR="000818BE" w:rsidRDefault="000818BE" w:rsidP="000F4E51">
      <w:pPr>
        <w:spacing w:line="240" w:lineRule="auto"/>
        <w:ind w:left="567" w:right="-1135" w:firstLine="567"/>
        <w:rPr>
          <w:rFonts w:ascii="Times New Roman" w:hAnsi="Times New Roman" w:cs="Times New Roman"/>
          <w:b/>
          <w:bCs/>
          <w:sz w:val="28"/>
          <w:szCs w:val="28"/>
        </w:rPr>
      </w:pPr>
    </w:p>
    <w:p w14:paraId="486FC2A7" w14:textId="1A00011F" w:rsidR="00786F65" w:rsidRPr="00786F65" w:rsidRDefault="000818BE" w:rsidP="00533899">
      <w:pPr>
        <w:spacing w:line="240" w:lineRule="auto"/>
        <w:ind w:right="-1135" w:firstLine="567"/>
        <w:jc w:val="center"/>
        <w:rPr>
          <w:rFonts w:ascii="Times New Roman" w:hAnsi="Times New Roman" w:cs="Times New Roman"/>
          <w:b/>
          <w:bCs/>
          <w:sz w:val="28"/>
          <w:szCs w:val="28"/>
        </w:rPr>
      </w:pPr>
      <w:r>
        <w:rPr>
          <w:rFonts w:ascii="Times New Roman" w:hAnsi="Times New Roman" w:cs="Times New Roman"/>
          <w:b/>
          <w:bCs/>
          <w:sz w:val="28"/>
          <w:szCs w:val="28"/>
        </w:rPr>
        <w:lastRenderedPageBreak/>
        <w:t>СПИСОК ИСПОЛЬЗ</w:t>
      </w:r>
      <w:r w:rsidR="00724DD5">
        <w:rPr>
          <w:rFonts w:ascii="Times New Roman" w:hAnsi="Times New Roman" w:cs="Times New Roman"/>
          <w:b/>
          <w:bCs/>
          <w:sz w:val="28"/>
          <w:szCs w:val="28"/>
        </w:rPr>
        <w:t>ОВАНН</w:t>
      </w:r>
      <w:r>
        <w:rPr>
          <w:rFonts w:ascii="Times New Roman" w:hAnsi="Times New Roman" w:cs="Times New Roman"/>
          <w:b/>
          <w:bCs/>
          <w:sz w:val="28"/>
          <w:szCs w:val="28"/>
        </w:rPr>
        <w:t>ЫХ ИСТОЧНИКОВ</w:t>
      </w:r>
    </w:p>
    <w:p w14:paraId="3151B774" w14:textId="77777777" w:rsidR="00ED2A55" w:rsidRPr="00D47DAC" w:rsidRDefault="00ED2A55" w:rsidP="000818BE">
      <w:pPr>
        <w:pStyle w:val="af0"/>
        <w:widowControl w:val="0"/>
        <w:numPr>
          <w:ilvl w:val="0"/>
          <w:numId w:val="2"/>
        </w:numPr>
        <w:tabs>
          <w:tab w:val="left" w:pos="284"/>
          <w:tab w:val="left" w:pos="1276"/>
        </w:tabs>
        <w:spacing w:after="0"/>
        <w:ind w:left="0" w:firstLine="567"/>
        <w:jc w:val="both"/>
        <w:rPr>
          <w:rFonts w:ascii="Times New Roman" w:hAnsi="Times New Roman" w:cs="Times New Roman"/>
          <w:sz w:val="28"/>
          <w:szCs w:val="28"/>
          <w:lang w:val="en-US"/>
        </w:rPr>
      </w:pPr>
      <w:r w:rsidRPr="00D47DAC">
        <w:rPr>
          <w:rFonts w:ascii="Times New Roman" w:hAnsi="Times New Roman" w:cs="Times New Roman"/>
          <w:sz w:val="28"/>
          <w:szCs w:val="28"/>
          <w:lang w:val="en-US"/>
        </w:rPr>
        <w:t>Sacco RL, Kasner SE, Broderick JP, Caplan LR, Connors JJ, Culebras A, Elkind MS, George MG, Hamdan AD, Higashida RT, Hoh BL, Janis LS, Kase CS, Kleindorfer DO, Lee JM, Moseley ME, Peterson ED, Turan TN, Valderrama AL, Vinters HV; American Heart Association Stroke Council, Council on Cardiovascular Surgery and Anesthesia; Council on Cardiovascular Radiology and Intervention; Council on Cardiovascular and Stroke Nursing; Council on Epidemiology and Prevention; Council on Peripheral Vascular Disease; Council on Nutrition, Physical Activity and Metabolism. An updated definition of stroke for the 21st century: a statement for healthcare professionals from the American Heart Association/American Stroke Association. Stroke. 2013 Jul;44(7):2064-89. doi: 10.1161/STR.0b013e318296aeca. Epub 2013 May 7. Erratum in: Stroke. 2019 Aug;50(8):e239. doi: 10.1161/STR.0000000000000205. </w:t>
      </w:r>
    </w:p>
    <w:p w14:paraId="26F7A406" w14:textId="77777777" w:rsidR="00ED2A55" w:rsidRPr="00D47DAC" w:rsidRDefault="00ED2A55" w:rsidP="000818BE">
      <w:pPr>
        <w:pStyle w:val="af0"/>
        <w:numPr>
          <w:ilvl w:val="0"/>
          <w:numId w:val="2"/>
        </w:numPr>
        <w:tabs>
          <w:tab w:val="left" w:pos="284"/>
          <w:tab w:val="left" w:pos="1276"/>
        </w:tabs>
        <w:spacing w:after="0"/>
        <w:ind w:left="0" w:firstLine="567"/>
        <w:jc w:val="both"/>
        <w:rPr>
          <w:rFonts w:ascii="Times New Roman" w:eastAsia="Times New Roman" w:hAnsi="Times New Roman" w:cs="Times New Roman"/>
          <w:sz w:val="28"/>
          <w:szCs w:val="28"/>
          <w:lang w:val="en-US"/>
        </w:rPr>
      </w:pPr>
      <w:r w:rsidRPr="00D47DAC">
        <w:rPr>
          <w:rFonts w:ascii="Times New Roman" w:hAnsi="Times New Roman" w:cs="Times New Roman"/>
          <w:sz w:val="28"/>
          <w:szCs w:val="28"/>
          <w:lang w:val="en-US"/>
        </w:rPr>
        <w:t>Hilkens NA, Casolla B, Leung TW, de Leeuw FE. Stroke. Lancet. 2024 Jun 29;403(10446):2820-2836. doi: 10.1016/S0140-6736(24)00642-1.</w:t>
      </w:r>
    </w:p>
    <w:p w14:paraId="055C4D94" w14:textId="77777777" w:rsidR="00ED2A55" w:rsidRPr="00D47DAC" w:rsidRDefault="00ED2A55" w:rsidP="000818BE">
      <w:pPr>
        <w:pStyle w:val="af0"/>
        <w:numPr>
          <w:ilvl w:val="0"/>
          <w:numId w:val="2"/>
        </w:numPr>
        <w:tabs>
          <w:tab w:val="left" w:pos="284"/>
          <w:tab w:val="left" w:pos="1276"/>
        </w:tabs>
        <w:spacing w:after="0"/>
        <w:ind w:left="0" w:firstLine="567"/>
        <w:jc w:val="both"/>
        <w:rPr>
          <w:rFonts w:ascii="Times New Roman" w:eastAsia="Times New Roman" w:hAnsi="Times New Roman" w:cs="Times New Roman"/>
          <w:sz w:val="28"/>
          <w:szCs w:val="28"/>
          <w:lang w:val="en-US"/>
        </w:rPr>
      </w:pPr>
      <w:r w:rsidRPr="00D47DAC">
        <w:rPr>
          <w:rFonts w:ascii="Times New Roman" w:hAnsi="Times New Roman" w:cs="Times New Roman"/>
          <w:sz w:val="28"/>
          <w:szCs w:val="28"/>
          <w:lang w:val="en-US"/>
        </w:rPr>
        <w:t>Murphy SJ, Werring DJ. Stroke: causes and clinical features. Medicine (Abingdon). 2020 Sep;48(9):561-566. doi: 10.1016/j.mpmed.2020.06.002. Epub 2020 Aug 6.</w:t>
      </w:r>
    </w:p>
    <w:p w14:paraId="4118E09C"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 xml:space="preserve">Donnan GA, Fisher M, Macleod M, Davis SM (May 2008). </w:t>
      </w:r>
      <w:r w:rsidRPr="00D47DAC">
        <w:rPr>
          <w:rStyle w:val="cf01"/>
          <w:rFonts w:ascii="Times New Roman" w:hAnsi="Times New Roman" w:cs="Times New Roman"/>
          <w:sz w:val="28"/>
          <w:szCs w:val="28"/>
        </w:rPr>
        <w:t>"Stroke". Lancet. 371 (9624): 1612–23. </w:t>
      </w:r>
      <w:hyperlink r:id="rId27" w:history="1">
        <w:r w:rsidRPr="00D47DAC">
          <w:rPr>
            <w:rStyle w:val="cf11"/>
            <w:rFonts w:ascii="Times New Roman" w:hAnsi="Times New Roman" w:cs="Times New Roman"/>
            <w:color w:val="0000FF"/>
            <w:sz w:val="28"/>
            <w:szCs w:val="28"/>
            <w:u w:val="single"/>
          </w:rPr>
          <w:t>doi</w:t>
        </w:r>
      </w:hyperlink>
      <w:r w:rsidRPr="00D47DAC">
        <w:rPr>
          <w:rStyle w:val="cf01"/>
          <w:rFonts w:ascii="Times New Roman" w:hAnsi="Times New Roman" w:cs="Times New Roman"/>
          <w:sz w:val="28"/>
          <w:szCs w:val="28"/>
        </w:rPr>
        <w:t>:</w:t>
      </w:r>
      <w:hyperlink r:id="rId28" w:history="1">
        <w:r w:rsidRPr="00D47DAC">
          <w:rPr>
            <w:rStyle w:val="cf11"/>
            <w:rFonts w:ascii="Times New Roman" w:hAnsi="Times New Roman" w:cs="Times New Roman"/>
            <w:color w:val="0000FF"/>
            <w:sz w:val="28"/>
            <w:szCs w:val="28"/>
            <w:u w:val="single"/>
          </w:rPr>
          <w:t>10.1016/S0140-6736(08)60694-7</w:t>
        </w:r>
      </w:hyperlink>
    </w:p>
    <w:p w14:paraId="726DA333"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 xml:space="preserve">Feigin VL, Brainin M, Norrving B, Martins SO, Pandian J, Lindsay P, F Grupper M, Rautalin I. World Stroke Organization: Global Stroke Fact Sheet 2025. </w:t>
      </w:r>
      <w:r w:rsidRPr="00D47DAC">
        <w:rPr>
          <w:rStyle w:val="cf01"/>
          <w:rFonts w:ascii="Times New Roman" w:hAnsi="Times New Roman" w:cs="Times New Roman"/>
          <w:sz w:val="28"/>
          <w:szCs w:val="28"/>
        </w:rPr>
        <w:t>Int J Stroke. 2025 Feb;20(2):132-144. doi: 10.1177/17474930241308142</w:t>
      </w:r>
    </w:p>
    <w:p w14:paraId="731AD642"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 xml:space="preserve">Yahya T, Jilani MH, Khan SU, Mszar R, Hassan SZ, Blaha MJ, Blankstein R, Virani SS, Johansen MC, Vahidy F, Cainzos-Achirica M, Nasir K. Stroke in young adults: Current trends, opportunities for prevention and pathways forward. </w:t>
      </w:r>
      <w:r w:rsidRPr="00D47DAC">
        <w:rPr>
          <w:rStyle w:val="cf01"/>
          <w:rFonts w:ascii="Times New Roman" w:hAnsi="Times New Roman" w:cs="Times New Roman"/>
          <w:sz w:val="28"/>
          <w:szCs w:val="28"/>
        </w:rPr>
        <w:t>Am J Prev Cardiol. 2020 Sep 9;3:100085. doi: 10.1016/j.ajpc.2020.100085.</w:t>
      </w:r>
    </w:p>
    <w:p w14:paraId="679A9032"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 xml:space="preserve">Sultan S, Elkind MS. The growing problem of stroke among young adults. </w:t>
      </w:r>
      <w:r w:rsidRPr="00D47DAC">
        <w:rPr>
          <w:rStyle w:val="cf11"/>
          <w:rFonts w:ascii="Times New Roman" w:hAnsi="Times New Roman" w:cs="Times New Roman"/>
          <w:sz w:val="28"/>
          <w:szCs w:val="28"/>
        </w:rPr>
        <w:t>Curr Cardiol Rep. 2013 Dec;15(12):421. doi: 10.1007/s11886-013-0421-z. </w:t>
      </w:r>
    </w:p>
    <w:p w14:paraId="2F9AAF7F" w14:textId="77777777" w:rsidR="00ED2A55" w:rsidRPr="00D47DAC" w:rsidRDefault="00ED2A55" w:rsidP="000818BE">
      <w:pPr>
        <w:numPr>
          <w:ilvl w:val="0"/>
          <w:numId w:val="2"/>
        </w:numPr>
        <w:tabs>
          <w:tab w:val="left" w:pos="1276"/>
        </w:tabs>
        <w:spacing w:before="100" w:beforeAutospacing="1" w:after="100" w:afterAutospacing="1" w:line="240" w:lineRule="auto"/>
        <w:ind w:left="0" w:firstLine="567"/>
        <w:jc w:val="both"/>
        <w:rPr>
          <w:rFonts w:ascii="Times New Roman" w:hAnsi="Times New Roman" w:cs="Times New Roman"/>
          <w:sz w:val="28"/>
          <w:szCs w:val="28"/>
        </w:rPr>
      </w:pPr>
      <w:r w:rsidRPr="00043DCA">
        <w:rPr>
          <w:rFonts w:ascii="Times New Roman" w:hAnsi="Times New Roman" w:cs="Times New Roman"/>
          <w:color w:val="191919"/>
          <w:sz w:val="28"/>
          <w:szCs w:val="28"/>
          <w:lang w:val="en-US"/>
        </w:rPr>
        <w:t xml:space="preserve">Stein M., Hamann G.F., Misselwitz B., Uhl E., Kolodziej M., Reinges M.H.T. In-Hospital Mortality and Complication Rates in Surgically and Conservatively Treated Patients with Spontaneous Intracerebral Hemorrhage in Central Europe: A Population-Based Study. </w:t>
      </w:r>
      <w:r w:rsidRPr="00D47DAC">
        <w:rPr>
          <w:rFonts w:ascii="Times New Roman" w:hAnsi="Times New Roman" w:cs="Times New Roman"/>
          <w:color w:val="191919"/>
          <w:sz w:val="28"/>
          <w:szCs w:val="28"/>
        </w:rPr>
        <w:t>World Neurosurg. 2016 Apr;88:306-310. doi: 10.1016/j.wneu.2015.11.075.</w:t>
      </w:r>
    </w:p>
    <w:p w14:paraId="5C4B731A" w14:textId="77777777" w:rsidR="00ED2A55" w:rsidRPr="00D47DAC" w:rsidRDefault="00ED2A55" w:rsidP="000818BE">
      <w:pPr>
        <w:pStyle w:val="af0"/>
        <w:numPr>
          <w:ilvl w:val="0"/>
          <w:numId w:val="2"/>
        </w:numPr>
        <w:tabs>
          <w:tab w:val="left" w:pos="284"/>
          <w:tab w:val="left" w:pos="1276"/>
        </w:tabs>
        <w:spacing w:after="0"/>
        <w:ind w:left="0" w:firstLine="567"/>
        <w:jc w:val="both"/>
        <w:rPr>
          <w:rFonts w:ascii="Times New Roman" w:eastAsia="Times New Roman" w:hAnsi="Times New Roman" w:cs="Times New Roman"/>
          <w:sz w:val="28"/>
          <w:szCs w:val="28"/>
          <w:lang w:val="en-US"/>
        </w:rPr>
      </w:pPr>
      <w:r w:rsidRPr="00D47DAC">
        <w:rPr>
          <w:rFonts w:ascii="Times New Roman" w:eastAsia="Times New Roman" w:hAnsi="Times New Roman" w:cs="Times New Roman"/>
          <w:sz w:val="28"/>
          <w:szCs w:val="28"/>
          <w:lang w:val="en-US"/>
        </w:rPr>
        <w:t>Ekker MS, Verhoeven JI, Vaartjes I, Jolink WMT, Klijn CJM, de Leeuw FE. Association of stroke among adults aged 18 to 49 years with long-term mortality. JAMA. 2019;321:2113–2123. doi: 10.1001/jama.2019.6560</w:t>
      </w:r>
    </w:p>
    <w:p w14:paraId="558B8FB9"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 xml:space="preserve">RTI International. Projections of cardiovascular disease prevalence and costs: 2015–2035. Technical report (report prepared for the American Heart Association). RTI International; November 2016. </w:t>
      </w:r>
      <w:r w:rsidRPr="00D47DAC">
        <w:rPr>
          <w:rStyle w:val="cf01"/>
          <w:rFonts w:ascii="Times New Roman" w:hAnsi="Times New Roman" w:cs="Times New Roman"/>
          <w:sz w:val="28"/>
          <w:szCs w:val="28"/>
        </w:rPr>
        <w:t>RTI project No. 021480.003.001.001</w:t>
      </w:r>
    </w:p>
    <w:p w14:paraId="66159FE5" w14:textId="77777777" w:rsidR="00ED2A55" w:rsidRPr="00D47DAC" w:rsidRDefault="00ED2A55" w:rsidP="000818BE">
      <w:pPr>
        <w:pStyle w:val="pf0"/>
        <w:numPr>
          <w:ilvl w:val="0"/>
          <w:numId w:val="2"/>
        </w:numPr>
        <w:tabs>
          <w:tab w:val="left" w:pos="1276"/>
        </w:tabs>
        <w:ind w:left="0" w:firstLine="567"/>
        <w:jc w:val="both"/>
        <w:rPr>
          <w:sz w:val="28"/>
          <w:szCs w:val="28"/>
        </w:rPr>
      </w:pPr>
      <w:r w:rsidRPr="00D56C04">
        <w:rPr>
          <w:rStyle w:val="cf01"/>
          <w:rFonts w:ascii="Times New Roman" w:hAnsi="Times New Roman" w:cs="Times New Roman"/>
          <w:sz w:val="28"/>
          <w:szCs w:val="28"/>
          <w:lang w:val="en-US"/>
        </w:rPr>
        <w:t xml:space="preserve">Soto-Cámara R, González-Bernal J, Aguilar-Parra JM, Trigueros R, López-Liria R, González-Santos J. Factors related to prehospital time in caring for patients with stroke. </w:t>
      </w:r>
      <w:r w:rsidRPr="00D47DAC">
        <w:rPr>
          <w:rStyle w:val="cf01"/>
          <w:rFonts w:ascii="Times New Roman" w:hAnsi="Times New Roman" w:cs="Times New Roman"/>
          <w:sz w:val="28"/>
          <w:szCs w:val="28"/>
        </w:rPr>
        <w:t xml:space="preserve">Emergencias. 2021;33:454-463. </w:t>
      </w:r>
      <w:hyperlink r:id="rId29" w:history="1">
        <w:r w:rsidRPr="00D47DAC">
          <w:rPr>
            <w:rStyle w:val="cf11"/>
            <w:rFonts w:ascii="Times New Roman" w:hAnsi="Times New Roman" w:cs="Times New Roman"/>
            <w:color w:val="0000FF"/>
            <w:sz w:val="28"/>
            <w:szCs w:val="28"/>
            <w:u w:val="single"/>
          </w:rPr>
          <w:t>https://revistaemergencias.org/wp-content/uploads/2023/09/Emergencias-2021_33_6_454-463-463_eng.pdf</w:t>
        </w:r>
      </w:hyperlink>
    </w:p>
    <w:p w14:paraId="66A3FF69" w14:textId="77777777" w:rsidR="00ED2A55" w:rsidRPr="00D47DAC" w:rsidRDefault="00ED2A55" w:rsidP="000818BE">
      <w:pPr>
        <w:numPr>
          <w:ilvl w:val="0"/>
          <w:numId w:val="2"/>
        </w:numPr>
        <w:tabs>
          <w:tab w:val="left" w:pos="1276"/>
        </w:tabs>
        <w:spacing w:before="100" w:beforeAutospacing="1" w:after="100" w:afterAutospacing="1" w:line="240" w:lineRule="auto"/>
        <w:ind w:left="0" w:firstLine="567"/>
        <w:jc w:val="both"/>
        <w:rPr>
          <w:rFonts w:ascii="Times New Roman" w:hAnsi="Times New Roman" w:cs="Times New Roman"/>
          <w:sz w:val="28"/>
          <w:szCs w:val="28"/>
        </w:rPr>
      </w:pPr>
      <w:r w:rsidRPr="00D56C04">
        <w:rPr>
          <w:rFonts w:ascii="Times New Roman" w:hAnsi="Times New Roman" w:cs="Times New Roman"/>
          <w:sz w:val="28"/>
          <w:szCs w:val="28"/>
          <w:lang w:val="en-US"/>
        </w:rPr>
        <w:t xml:space="preserve">Jinxiao Dai,Xugang Xi,Ting Wang,Hangcheng Li,Wanzeng Kong,Zhong Lü,EEG signal biometric extraction to predict stroke severity, Biomedical Signal Processing and Control, 110, (108037), (2025). </w:t>
      </w:r>
      <w:hyperlink r:id="rId30" w:history="1">
        <w:r w:rsidRPr="00D47DAC">
          <w:rPr>
            <w:rStyle w:val="a3"/>
            <w:rFonts w:ascii="Times New Roman" w:hAnsi="Times New Roman" w:cs="Times New Roman"/>
            <w:sz w:val="28"/>
            <w:szCs w:val="28"/>
          </w:rPr>
          <w:t>https://doi.org/10.1016/j.bspc.2025.108037</w:t>
        </w:r>
      </w:hyperlink>
    </w:p>
    <w:p w14:paraId="3C8A5C93" w14:textId="77777777" w:rsidR="00ED2A55" w:rsidRPr="00043DCA" w:rsidRDefault="00ED2A55" w:rsidP="000818BE">
      <w:pPr>
        <w:numPr>
          <w:ilvl w:val="0"/>
          <w:numId w:val="2"/>
        </w:numPr>
        <w:tabs>
          <w:tab w:val="left" w:pos="1276"/>
        </w:tabs>
        <w:spacing w:before="100" w:beforeAutospacing="1" w:after="100" w:afterAutospacing="1" w:line="240" w:lineRule="auto"/>
        <w:ind w:left="0" w:firstLine="567"/>
        <w:jc w:val="both"/>
        <w:rPr>
          <w:rFonts w:ascii="Times New Roman" w:hAnsi="Times New Roman" w:cs="Times New Roman"/>
          <w:sz w:val="28"/>
          <w:szCs w:val="28"/>
          <w:lang w:val="en-US"/>
        </w:rPr>
      </w:pPr>
      <w:r w:rsidRPr="00043DCA">
        <w:rPr>
          <w:rFonts w:ascii="Times New Roman" w:hAnsi="Times New Roman" w:cs="Times New Roman"/>
          <w:sz w:val="28"/>
          <w:szCs w:val="28"/>
          <w:lang w:val="en-US"/>
        </w:rPr>
        <w:t>Navi BB, Audebert HJ, Alexandrov AW, Cadilhac DA, Grotta JC; PRESTO (Prehospital Stroke Treatment Organization) Writing Group. Mobile Stroke Units: Evidence, Gaps, and Next Steps. Stroke. 2022;53(6):2103-2113. doi:10.1161/STROKEAHA.121.037376</w:t>
      </w:r>
    </w:p>
    <w:p w14:paraId="230E4FCB" w14:textId="77777777" w:rsidR="00ED2A55" w:rsidRPr="00D47DAC" w:rsidRDefault="00ED2A55" w:rsidP="000818BE">
      <w:pPr>
        <w:pStyle w:val="af0"/>
        <w:numPr>
          <w:ilvl w:val="0"/>
          <w:numId w:val="2"/>
        </w:numPr>
        <w:tabs>
          <w:tab w:val="left" w:pos="284"/>
          <w:tab w:val="left" w:pos="1276"/>
        </w:tabs>
        <w:spacing w:after="0"/>
        <w:ind w:left="0" w:firstLine="567"/>
        <w:jc w:val="both"/>
        <w:rPr>
          <w:rFonts w:ascii="Times New Roman" w:eastAsia="Times New Roman" w:hAnsi="Times New Roman" w:cs="Times New Roman"/>
          <w:sz w:val="28"/>
          <w:szCs w:val="28"/>
          <w:lang w:val="en-US"/>
        </w:rPr>
      </w:pPr>
      <w:r w:rsidRPr="00D47DAC">
        <w:rPr>
          <w:rFonts w:ascii="Times New Roman" w:hAnsi="Times New Roman" w:cs="Times New Roman"/>
          <w:sz w:val="28"/>
          <w:szCs w:val="28"/>
          <w:lang w:val="en-US"/>
        </w:rPr>
        <w:t xml:space="preserve">Zhakhina, G., Zhalmagambetov, B., Gusmanov, A. et al. Incidence and mortality rates of strokes in Kazakhstan in 2014–2019. Sci Rep 12, 16041 (2022). </w:t>
      </w:r>
      <w:hyperlink r:id="rId31" w:history="1">
        <w:r w:rsidRPr="00D47DAC">
          <w:rPr>
            <w:rStyle w:val="a3"/>
            <w:rFonts w:ascii="Times New Roman" w:hAnsi="Times New Roman" w:cs="Times New Roman"/>
            <w:sz w:val="28"/>
            <w:szCs w:val="28"/>
            <w:lang w:val="en-US"/>
          </w:rPr>
          <w:t>https://doi.org/10.1038/s41598-022-20302-8</w:t>
        </w:r>
      </w:hyperlink>
    </w:p>
    <w:p w14:paraId="7717D0CC" w14:textId="77777777" w:rsidR="00ED2A55" w:rsidRPr="00D47DAC" w:rsidRDefault="00ED2A55" w:rsidP="000818BE">
      <w:pPr>
        <w:pStyle w:val="pf0"/>
        <w:numPr>
          <w:ilvl w:val="0"/>
          <w:numId w:val="2"/>
        </w:numPr>
        <w:tabs>
          <w:tab w:val="left" w:pos="1276"/>
        </w:tabs>
        <w:ind w:left="0" w:firstLine="567"/>
        <w:jc w:val="both"/>
        <w:rPr>
          <w:sz w:val="28"/>
          <w:szCs w:val="28"/>
        </w:rPr>
      </w:pPr>
      <w:r w:rsidRPr="00D47DAC">
        <w:rPr>
          <w:rStyle w:val="cf01"/>
          <w:rFonts w:ascii="Times New Roman" w:hAnsi="Times New Roman" w:cs="Times New Roman"/>
          <w:sz w:val="28"/>
          <w:szCs w:val="28"/>
        </w:rPr>
        <w:t>Кайратова Г.К., Куанышкалиева А.С., Рахметова В.С., Каскабаева А.Ш., Хисметова З.А., Смаилова Д.С. Эпидемиология инсульта в Республике Казахстан // Наука и Здравоохранение. 2022. 5(Т.24). С. 105-112. doi 10.34689/SH.2022.24.5.014</w:t>
      </w:r>
    </w:p>
    <w:p w14:paraId="67B208D5" w14:textId="77777777" w:rsidR="00ED2A55" w:rsidRPr="002B29EC" w:rsidRDefault="00ED2A55" w:rsidP="000818BE">
      <w:pPr>
        <w:pStyle w:val="pf0"/>
        <w:numPr>
          <w:ilvl w:val="0"/>
          <w:numId w:val="2"/>
        </w:numPr>
        <w:tabs>
          <w:tab w:val="left" w:pos="1276"/>
        </w:tabs>
        <w:ind w:left="0" w:firstLine="567"/>
        <w:jc w:val="both"/>
        <w:rPr>
          <w:sz w:val="28"/>
          <w:szCs w:val="28"/>
          <w:lang w:val="en-US"/>
        </w:rPr>
      </w:pPr>
      <w:r w:rsidRPr="00043DCA">
        <w:rPr>
          <w:rStyle w:val="cf01"/>
          <w:rFonts w:ascii="Times New Roman" w:hAnsi="Times New Roman" w:cs="Times New Roman"/>
          <w:sz w:val="28"/>
          <w:szCs w:val="28"/>
          <w:lang w:val="en-US"/>
        </w:rPr>
        <w:t>Makhanbetkhan S, Turdaliyeva B, Sarshayev M, et al. Improving Acute Ischemic Stroke Care in Kazakhstan: Cross-Sectional Survey. </w:t>
      </w:r>
      <w:r w:rsidRPr="002B29EC">
        <w:rPr>
          <w:rStyle w:val="cf11"/>
          <w:rFonts w:ascii="Times New Roman" w:hAnsi="Times New Roman" w:cs="Times New Roman"/>
          <w:sz w:val="28"/>
          <w:szCs w:val="28"/>
          <w:lang w:val="en-US"/>
        </w:rPr>
        <w:t>J Clin Med. 2025;14(7):2336. Published 2025 Mar 28. doi:10.3390/jcm14072336</w:t>
      </w:r>
    </w:p>
    <w:p w14:paraId="3409D4C8" w14:textId="77777777" w:rsidR="00ED2A55" w:rsidRPr="00317136" w:rsidRDefault="00ED2A55" w:rsidP="000818BE">
      <w:pPr>
        <w:pStyle w:val="af0"/>
        <w:numPr>
          <w:ilvl w:val="0"/>
          <w:numId w:val="2"/>
        </w:numPr>
        <w:tabs>
          <w:tab w:val="left" w:pos="284"/>
          <w:tab w:val="left" w:pos="1276"/>
        </w:tabs>
        <w:spacing w:after="0"/>
        <w:ind w:left="0" w:firstLine="567"/>
        <w:jc w:val="both"/>
        <w:rPr>
          <w:rFonts w:ascii="Times New Roman" w:eastAsia="Times New Roman" w:hAnsi="Times New Roman" w:cs="Times New Roman"/>
          <w:sz w:val="28"/>
          <w:szCs w:val="28"/>
        </w:rPr>
      </w:pPr>
      <w:r w:rsidRPr="00D47DAC">
        <w:rPr>
          <w:rFonts w:ascii="Times New Roman" w:eastAsia="Times New Roman" w:hAnsi="Times New Roman" w:cs="Times New Roman"/>
          <w:sz w:val="28"/>
          <w:szCs w:val="28"/>
          <w:lang w:val="en-US"/>
        </w:rPr>
        <w:t xml:space="preserve">World Health Organization. Cardiovascular diseases (CVDs). WHO. Published July 31, 2025. Accessed January 29, 2026. </w:t>
      </w:r>
      <w:hyperlink r:id="rId32" w:tgtFrame="_new" w:history="1">
        <w:r w:rsidRPr="00D47DAC">
          <w:rPr>
            <w:rStyle w:val="a3"/>
            <w:rFonts w:ascii="Times New Roman" w:eastAsia="Times New Roman" w:hAnsi="Times New Roman" w:cs="Times New Roman"/>
            <w:sz w:val="28"/>
            <w:szCs w:val="28"/>
            <w:lang w:val="en-US"/>
          </w:rPr>
          <w:t>https</w:t>
        </w:r>
        <w:r w:rsidRPr="00317136">
          <w:rPr>
            <w:rStyle w:val="a3"/>
            <w:rFonts w:ascii="Times New Roman" w:eastAsia="Times New Roman" w:hAnsi="Times New Roman" w:cs="Times New Roman"/>
            <w:sz w:val="28"/>
            <w:szCs w:val="28"/>
          </w:rPr>
          <w:t>://</w:t>
        </w:r>
        <w:r w:rsidRPr="00D47DAC">
          <w:rPr>
            <w:rStyle w:val="a3"/>
            <w:rFonts w:ascii="Times New Roman" w:eastAsia="Times New Roman" w:hAnsi="Times New Roman" w:cs="Times New Roman"/>
            <w:sz w:val="28"/>
            <w:szCs w:val="28"/>
            <w:lang w:val="en-US"/>
          </w:rPr>
          <w:t>www</w:t>
        </w:r>
        <w:r w:rsidRPr="00317136">
          <w:rPr>
            <w:rStyle w:val="a3"/>
            <w:rFonts w:ascii="Times New Roman" w:eastAsia="Times New Roman" w:hAnsi="Times New Roman" w:cs="Times New Roman"/>
            <w:sz w:val="28"/>
            <w:szCs w:val="28"/>
          </w:rPr>
          <w:t>.</w:t>
        </w:r>
        <w:r w:rsidRPr="00D47DAC">
          <w:rPr>
            <w:rStyle w:val="a3"/>
            <w:rFonts w:ascii="Times New Roman" w:eastAsia="Times New Roman" w:hAnsi="Times New Roman" w:cs="Times New Roman"/>
            <w:sz w:val="28"/>
            <w:szCs w:val="28"/>
            <w:lang w:val="en-US"/>
          </w:rPr>
          <w:t>who</w:t>
        </w:r>
        <w:r w:rsidRPr="00317136">
          <w:rPr>
            <w:rStyle w:val="a3"/>
            <w:rFonts w:ascii="Times New Roman" w:eastAsia="Times New Roman" w:hAnsi="Times New Roman" w:cs="Times New Roman"/>
            <w:sz w:val="28"/>
            <w:szCs w:val="28"/>
          </w:rPr>
          <w:t>.</w:t>
        </w:r>
        <w:r w:rsidRPr="00D47DAC">
          <w:rPr>
            <w:rStyle w:val="a3"/>
            <w:rFonts w:ascii="Times New Roman" w:eastAsia="Times New Roman" w:hAnsi="Times New Roman" w:cs="Times New Roman"/>
            <w:sz w:val="28"/>
            <w:szCs w:val="28"/>
            <w:lang w:val="en-US"/>
          </w:rPr>
          <w:t>int</w:t>
        </w:r>
        <w:r w:rsidRPr="00317136">
          <w:rPr>
            <w:rStyle w:val="a3"/>
            <w:rFonts w:ascii="Times New Roman" w:eastAsia="Times New Roman" w:hAnsi="Times New Roman" w:cs="Times New Roman"/>
            <w:sz w:val="28"/>
            <w:szCs w:val="28"/>
          </w:rPr>
          <w:t>/</w:t>
        </w:r>
        <w:r w:rsidRPr="00D47DAC">
          <w:rPr>
            <w:rStyle w:val="a3"/>
            <w:rFonts w:ascii="Times New Roman" w:eastAsia="Times New Roman" w:hAnsi="Times New Roman" w:cs="Times New Roman"/>
            <w:sz w:val="28"/>
            <w:szCs w:val="28"/>
            <w:lang w:val="en-US"/>
          </w:rPr>
          <w:t>news</w:t>
        </w:r>
        <w:r w:rsidRPr="00317136">
          <w:rPr>
            <w:rStyle w:val="a3"/>
            <w:rFonts w:ascii="Times New Roman" w:eastAsia="Times New Roman" w:hAnsi="Times New Roman" w:cs="Times New Roman"/>
            <w:sz w:val="28"/>
            <w:szCs w:val="28"/>
          </w:rPr>
          <w:t>-</w:t>
        </w:r>
        <w:r w:rsidRPr="00D47DAC">
          <w:rPr>
            <w:rStyle w:val="a3"/>
            <w:rFonts w:ascii="Times New Roman" w:eastAsia="Times New Roman" w:hAnsi="Times New Roman" w:cs="Times New Roman"/>
            <w:sz w:val="28"/>
            <w:szCs w:val="28"/>
            <w:lang w:val="en-US"/>
          </w:rPr>
          <w:t>room</w:t>
        </w:r>
        <w:r w:rsidRPr="00317136">
          <w:rPr>
            <w:rStyle w:val="a3"/>
            <w:rFonts w:ascii="Times New Roman" w:eastAsia="Times New Roman" w:hAnsi="Times New Roman" w:cs="Times New Roman"/>
            <w:sz w:val="28"/>
            <w:szCs w:val="28"/>
          </w:rPr>
          <w:t>/</w:t>
        </w:r>
        <w:r w:rsidRPr="00D47DAC">
          <w:rPr>
            <w:rStyle w:val="a3"/>
            <w:rFonts w:ascii="Times New Roman" w:eastAsia="Times New Roman" w:hAnsi="Times New Roman" w:cs="Times New Roman"/>
            <w:sz w:val="28"/>
            <w:szCs w:val="28"/>
            <w:lang w:val="en-US"/>
          </w:rPr>
          <w:t>fact</w:t>
        </w:r>
        <w:r w:rsidRPr="00317136">
          <w:rPr>
            <w:rStyle w:val="a3"/>
            <w:rFonts w:ascii="Times New Roman" w:eastAsia="Times New Roman" w:hAnsi="Times New Roman" w:cs="Times New Roman"/>
            <w:sz w:val="28"/>
            <w:szCs w:val="28"/>
          </w:rPr>
          <w:t>-</w:t>
        </w:r>
        <w:r w:rsidRPr="00D47DAC">
          <w:rPr>
            <w:rStyle w:val="a3"/>
            <w:rFonts w:ascii="Times New Roman" w:eastAsia="Times New Roman" w:hAnsi="Times New Roman" w:cs="Times New Roman"/>
            <w:sz w:val="28"/>
            <w:szCs w:val="28"/>
            <w:lang w:val="en-US"/>
          </w:rPr>
          <w:t>sheets</w:t>
        </w:r>
        <w:r w:rsidRPr="00317136">
          <w:rPr>
            <w:rStyle w:val="a3"/>
            <w:rFonts w:ascii="Times New Roman" w:eastAsia="Times New Roman" w:hAnsi="Times New Roman" w:cs="Times New Roman"/>
            <w:sz w:val="28"/>
            <w:szCs w:val="28"/>
          </w:rPr>
          <w:t>/</w:t>
        </w:r>
        <w:r w:rsidRPr="00D47DAC">
          <w:rPr>
            <w:rStyle w:val="a3"/>
            <w:rFonts w:ascii="Times New Roman" w:eastAsia="Times New Roman" w:hAnsi="Times New Roman" w:cs="Times New Roman"/>
            <w:sz w:val="28"/>
            <w:szCs w:val="28"/>
            <w:lang w:val="en-US"/>
          </w:rPr>
          <w:t>detail</w:t>
        </w:r>
        <w:r w:rsidRPr="00317136">
          <w:rPr>
            <w:rStyle w:val="a3"/>
            <w:rFonts w:ascii="Times New Roman" w:eastAsia="Times New Roman" w:hAnsi="Times New Roman" w:cs="Times New Roman"/>
            <w:sz w:val="28"/>
            <w:szCs w:val="28"/>
          </w:rPr>
          <w:t>/</w:t>
        </w:r>
        <w:r w:rsidRPr="00D47DAC">
          <w:rPr>
            <w:rStyle w:val="a3"/>
            <w:rFonts w:ascii="Times New Roman" w:eastAsia="Times New Roman" w:hAnsi="Times New Roman" w:cs="Times New Roman"/>
            <w:sz w:val="28"/>
            <w:szCs w:val="28"/>
            <w:lang w:val="en-US"/>
          </w:rPr>
          <w:t>cardiovascular</w:t>
        </w:r>
        <w:r w:rsidRPr="00317136">
          <w:rPr>
            <w:rStyle w:val="a3"/>
            <w:rFonts w:ascii="Times New Roman" w:eastAsia="Times New Roman" w:hAnsi="Times New Roman" w:cs="Times New Roman"/>
            <w:sz w:val="28"/>
            <w:szCs w:val="28"/>
          </w:rPr>
          <w:t>-</w:t>
        </w:r>
        <w:r w:rsidRPr="00D47DAC">
          <w:rPr>
            <w:rStyle w:val="a3"/>
            <w:rFonts w:ascii="Times New Roman" w:eastAsia="Times New Roman" w:hAnsi="Times New Roman" w:cs="Times New Roman"/>
            <w:sz w:val="28"/>
            <w:szCs w:val="28"/>
            <w:lang w:val="en-US"/>
          </w:rPr>
          <w:t>diseases</w:t>
        </w:r>
        <w:r w:rsidRPr="00317136">
          <w:rPr>
            <w:rStyle w:val="a3"/>
            <w:rFonts w:ascii="Times New Roman" w:eastAsia="Times New Roman" w:hAnsi="Times New Roman" w:cs="Times New Roman"/>
            <w:sz w:val="28"/>
            <w:szCs w:val="28"/>
          </w:rPr>
          <w:t>-(</w:t>
        </w:r>
        <w:r w:rsidRPr="00D47DAC">
          <w:rPr>
            <w:rStyle w:val="a3"/>
            <w:rFonts w:ascii="Times New Roman" w:eastAsia="Times New Roman" w:hAnsi="Times New Roman" w:cs="Times New Roman"/>
            <w:sz w:val="28"/>
            <w:szCs w:val="28"/>
            <w:lang w:val="en-US"/>
          </w:rPr>
          <w:t>cvds</w:t>
        </w:r>
        <w:r w:rsidRPr="00317136">
          <w:rPr>
            <w:rStyle w:val="a3"/>
            <w:rFonts w:ascii="Times New Roman" w:eastAsia="Times New Roman" w:hAnsi="Times New Roman" w:cs="Times New Roman"/>
            <w:sz w:val="28"/>
            <w:szCs w:val="28"/>
          </w:rPr>
          <w:t>)</w:t>
        </w:r>
      </w:hyperlink>
    </w:p>
    <w:p w14:paraId="7834CABA" w14:textId="77777777" w:rsidR="00ED2A55" w:rsidRPr="00D47DAC" w:rsidRDefault="00ED2A55" w:rsidP="000818BE">
      <w:pPr>
        <w:pStyle w:val="af0"/>
        <w:numPr>
          <w:ilvl w:val="0"/>
          <w:numId w:val="2"/>
        </w:numPr>
        <w:tabs>
          <w:tab w:val="left" w:pos="284"/>
          <w:tab w:val="left" w:pos="1276"/>
        </w:tabs>
        <w:spacing w:after="0"/>
        <w:ind w:left="0" w:firstLine="567"/>
        <w:jc w:val="both"/>
        <w:rPr>
          <w:rFonts w:ascii="Times New Roman" w:eastAsia="Times New Roman" w:hAnsi="Times New Roman" w:cs="Times New Roman"/>
          <w:sz w:val="28"/>
          <w:szCs w:val="28"/>
          <w:lang w:val="en-US"/>
        </w:rPr>
      </w:pPr>
      <w:r w:rsidRPr="00D47DAC">
        <w:rPr>
          <w:rFonts w:ascii="Times New Roman" w:eastAsia="Times New Roman" w:hAnsi="Times New Roman" w:cs="Times New Roman"/>
          <w:sz w:val="28"/>
          <w:szCs w:val="28"/>
          <w:lang w:val="en-US"/>
        </w:rPr>
        <w:t xml:space="preserve">Lui F, Khan Suheb MZ, Patti L. Ischemic Stroke. [Updated 2025 Feb 21]. In: StatPearls [Internet]. Treasure Island (FL): StatPearls Publishing; 2025 Jan-. Available from: </w:t>
      </w:r>
      <w:hyperlink r:id="rId33" w:history="1">
        <w:r w:rsidRPr="00D47DAC">
          <w:rPr>
            <w:rStyle w:val="a3"/>
            <w:rFonts w:ascii="Times New Roman" w:eastAsia="Times New Roman" w:hAnsi="Times New Roman" w:cs="Times New Roman"/>
            <w:sz w:val="28"/>
            <w:szCs w:val="28"/>
            <w:lang w:val="en-US"/>
          </w:rPr>
          <w:t>https://www.ncbi.nlm.nih.gov/books/NBK499997/</w:t>
        </w:r>
      </w:hyperlink>
    </w:p>
    <w:p w14:paraId="1C524C1D" w14:textId="77777777" w:rsidR="00ED2A55" w:rsidRPr="00D47DAC" w:rsidRDefault="00ED2A55" w:rsidP="000818BE">
      <w:pPr>
        <w:pStyle w:val="af0"/>
        <w:numPr>
          <w:ilvl w:val="0"/>
          <w:numId w:val="2"/>
        </w:numPr>
        <w:tabs>
          <w:tab w:val="left" w:pos="284"/>
          <w:tab w:val="left" w:pos="1276"/>
        </w:tabs>
        <w:spacing w:after="0"/>
        <w:ind w:left="0" w:firstLine="567"/>
        <w:jc w:val="both"/>
        <w:rPr>
          <w:rFonts w:ascii="Times New Roman" w:eastAsia="Times New Roman" w:hAnsi="Times New Roman" w:cs="Times New Roman"/>
          <w:sz w:val="28"/>
          <w:szCs w:val="28"/>
          <w:lang w:val="en-US"/>
        </w:rPr>
      </w:pPr>
      <w:r w:rsidRPr="00D47DAC">
        <w:rPr>
          <w:rFonts w:ascii="Times New Roman" w:eastAsia="Times New Roman" w:hAnsi="Times New Roman" w:cs="Times New Roman"/>
          <w:sz w:val="28"/>
          <w:szCs w:val="28"/>
          <w:lang w:val="en-US"/>
        </w:rPr>
        <w:t xml:space="preserve">Heran M, Shamy M, Lindsay P, et al.; Acute Stroke Management Scientific Writing Group. Canadian Stroke Best Practice Recommendations: Acute Stroke Management. 7th ed, Update 2022. Canadian Stroke Best Practices; 2022. Accessed January 29, 2026. </w:t>
      </w:r>
      <w:hyperlink r:id="rId34" w:tgtFrame="_new" w:history="1">
        <w:r w:rsidRPr="00D47DAC">
          <w:rPr>
            <w:rStyle w:val="a3"/>
            <w:rFonts w:ascii="Times New Roman" w:eastAsia="Times New Roman" w:hAnsi="Times New Roman" w:cs="Times New Roman"/>
            <w:sz w:val="28"/>
            <w:szCs w:val="28"/>
            <w:lang w:val="en-US"/>
          </w:rPr>
          <w:t>https://www.strokebestpractices.ca/-/media/1-stroke-best-practices/acute-stroke-management/csbpr7-acute-stroke-management-module-final-eng-2022.pdf</w:t>
        </w:r>
      </w:hyperlink>
    </w:p>
    <w:p w14:paraId="1C3EC8D5" w14:textId="77777777" w:rsidR="00ED2A55" w:rsidRPr="00D47DAC" w:rsidRDefault="00ED2A55" w:rsidP="000818BE">
      <w:pPr>
        <w:pStyle w:val="af0"/>
        <w:numPr>
          <w:ilvl w:val="0"/>
          <w:numId w:val="2"/>
        </w:numPr>
        <w:tabs>
          <w:tab w:val="left" w:pos="284"/>
          <w:tab w:val="left" w:pos="1276"/>
        </w:tabs>
        <w:spacing w:after="0"/>
        <w:ind w:left="0" w:firstLine="567"/>
        <w:jc w:val="both"/>
        <w:rPr>
          <w:rFonts w:ascii="Times New Roman" w:eastAsia="Times New Roman" w:hAnsi="Times New Roman" w:cs="Times New Roman"/>
          <w:sz w:val="28"/>
          <w:szCs w:val="28"/>
          <w:lang w:val="en-US"/>
        </w:rPr>
      </w:pPr>
      <w:r w:rsidRPr="00D47DAC">
        <w:rPr>
          <w:rFonts w:ascii="Times New Roman" w:eastAsia="Times New Roman" w:hAnsi="Times New Roman" w:cs="Times New Roman"/>
          <w:sz w:val="28"/>
          <w:szCs w:val="28"/>
          <w:lang w:val="en-US"/>
        </w:rPr>
        <w:t>Powers WJ, Rabinstein AA, Ackerson T, Adeoye OM, Bambakidis NC, Becker K, Biller J, et al.; American Heart Association/American Stroke Association Stroke Council. Guidelines for the Early Management of Patients With Acute Ischemic Stroke: 2019 Update to the 2018 Guidelines for the Early Management of Acute Ischemic Stroke: A Guideline for Healthcare Professionals From the American Heart Association/American Stroke Association. Stroke. 2019;50(12). doi:10.1161/STR.0000000000000211</w:t>
      </w:r>
    </w:p>
    <w:p w14:paraId="2FAB541E" w14:textId="77777777" w:rsidR="00ED2A55" w:rsidRPr="00D47DAC" w:rsidRDefault="00ED2A55" w:rsidP="000818BE">
      <w:pPr>
        <w:pStyle w:val="af0"/>
        <w:numPr>
          <w:ilvl w:val="0"/>
          <w:numId w:val="2"/>
        </w:numPr>
        <w:tabs>
          <w:tab w:val="left" w:pos="284"/>
          <w:tab w:val="left" w:pos="1276"/>
        </w:tabs>
        <w:spacing w:after="0"/>
        <w:ind w:left="0" w:firstLine="567"/>
        <w:jc w:val="both"/>
        <w:rPr>
          <w:rFonts w:ascii="Times New Roman" w:eastAsia="Times New Roman" w:hAnsi="Times New Roman" w:cs="Times New Roman"/>
          <w:sz w:val="28"/>
          <w:szCs w:val="28"/>
          <w:lang w:val="en-US"/>
        </w:rPr>
      </w:pPr>
      <w:r w:rsidRPr="00D47DAC">
        <w:rPr>
          <w:rFonts w:ascii="Times New Roman" w:eastAsia="Times New Roman" w:hAnsi="Times New Roman" w:cs="Times New Roman"/>
          <w:sz w:val="28"/>
          <w:szCs w:val="28"/>
          <w:lang w:val="en-US"/>
        </w:rPr>
        <w:t>Ye Z, Gilchrist S, Omeaku N, Shantharam S, Ritchey M, Coleman King SM, Sperling L, Holl JL. Acute stroke care coordination in the United States: Variation in state laws for Emergency Medical Services and hospitals. J Stroke Cerebrovasc Dis. 2025 Feb;34(2):108174. doi: 10.1016/j.jstrokecerebrovasdis.2024.108174. Epub 2024 Dec 5.</w:t>
      </w:r>
    </w:p>
    <w:p w14:paraId="5AC6DA57"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lastRenderedPageBreak/>
        <w:t xml:space="preserve">Global Burden of Disease Study and Institute for Health Metrics and Evaluation. </w:t>
      </w:r>
      <w:r w:rsidRPr="00D47DAC">
        <w:rPr>
          <w:sz w:val="28"/>
          <w:szCs w:val="28"/>
        </w:rPr>
        <w:t>University of Washington. Accessed July 1, 2024. </w:t>
      </w:r>
      <w:hyperlink r:id="rId35" w:history="1">
        <w:r w:rsidRPr="00D47DAC">
          <w:rPr>
            <w:color w:val="0000FF"/>
            <w:sz w:val="28"/>
            <w:szCs w:val="28"/>
            <w:u w:val="single"/>
          </w:rPr>
          <w:t>http://ghdx.healthdata.org/</w:t>
        </w:r>
      </w:hyperlink>
    </w:p>
    <w:p w14:paraId="19B31479" w14:textId="77777777" w:rsidR="00ED2A55" w:rsidRPr="00D47DAC" w:rsidRDefault="00ED2A55" w:rsidP="000818BE">
      <w:pPr>
        <w:pStyle w:val="af0"/>
        <w:numPr>
          <w:ilvl w:val="0"/>
          <w:numId w:val="2"/>
        </w:numPr>
        <w:tabs>
          <w:tab w:val="left" w:pos="284"/>
          <w:tab w:val="left" w:pos="1276"/>
        </w:tabs>
        <w:spacing w:after="0"/>
        <w:ind w:left="0" w:firstLine="567"/>
        <w:jc w:val="both"/>
        <w:rPr>
          <w:rFonts w:ascii="Times New Roman" w:eastAsia="Times New Roman" w:hAnsi="Times New Roman" w:cs="Times New Roman"/>
          <w:sz w:val="28"/>
          <w:szCs w:val="28"/>
          <w:lang w:val="en-US"/>
        </w:rPr>
      </w:pPr>
      <w:r w:rsidRPr="00D47DAC">
        <w:rPr>
          <w:rFonts w:ascii="Times New Roman" w:eastAsia="Times New Roman" w:hAnsi="Times New Roman" w:cs="Times New Roman"/>
          <w:sz w:val="28"/>
          <w:szCs w:val="28"/>
          <w:lang w:val="en-US"/>
        </w:rPr>
        <w:t xml:space="preserve">Australian Institute of Health and Welfare. Heart, stroke and vascular disease: Australian facts. Web report. Last updated October 22, 2025. Accessed January 29, 2026. </w:t>
      </w:r>
      <w:hyperlink r:id="rId36" w:tgtFrame="_new" w:history="1">
        <w:r w:rsidRPr="00D47DAC">
          <w:rPr>
            <w:rStyle w:val="a3"/>
            <w:rFonts w:ascii="Times New Roman" w:eastAsia="Times New Roman" w:hAnsi="Times New Roman" w:cs="Times New Roman"/>
            <w:sz w:val="28"/>
            <w:szCs w:val="28"/>
            <w:lang w:val="en-US"/>
          </w:rPr>
          <w:t>https://www.aihw.gov.au/reports/heart-stroke-vascular-diseases/hsvd-facts/contents/summary</w:t>
        </w:r>
      </w:hyperlink>
    </w:p>
    <w:p w14:paraId="062529C5" w14:textId="77777777" w:rsidR="00ED2A55" w:rsidRPr="00D47DAC" w:rsidRDefault="00ED2A55" w:rsidP="000818BE">
      <w:pPr>
        <w:numPr>
          <w:ilvl w:val="0"/>
          <w:numId w:val="2"/>
        </w:numPr>
        <w:tabs>
          <w:tab w:val="left" w:pos="1276"/>
        </w:tabs>
        <w:spacing w:before="100" w:beforeAutospacing="1" w:after="100" w:afterAutospacing="1" w:line="240" w:lineRule="auto"/>
        <w:ind w:left="0" w:firstLine="567"/>
        <w:jc w:val="both"/>
        <w:rPr>
          <w:rFonts w:ascii="Times New Roman" w:hAnsi="Times New Roman" w:cs="Times New Roman"/>
          <w:sz w:val="28"/>
          <w:szCs w:val="28"/>
        </w:rPr>
      </w:pPr>
      <w:r w:rsidRPr="00043DCA">
        <w:rPr>
          <w:rFonts w:ascii="Times New Roman" w:hAnsi="Times New Roman" w:cs="Times New Roman"/>
          <w:sz w:val="28"/>
          <w:szCs w:val="28"/>
          <w:lang w:val="en-US"/>
        </w:rPr>
        <w:t xml:space="preserve">National Center for Health Statistics. Multiple Cause of Death 2018–2023 on CDC WONDER Database. </w:t>
      </w:r>
      <w:r w:rsidRPr="00D47DAC">
        <w:rPr>
          <w:rFonts w:ascii="Times New Roman" w:hAnsi="Times New Roman" w:cs="Times New Roman"/>
          <w:sz w:val="28"/>
          <w:szCs w:val="28"/>
        </w:rPr>
        <w:t>Accessed February 1, 2025. </w:t>
      </w:r>
      <w:hyperlink r:id="rId37" w:history="1">
        <w:r w:rsidRPr="00D47DAC">
          <w:rPr>
            <w:rFonts w:ascii="Times New Roman" w:hAnsi="Times New Roman" w:cs="Times New Roman"/>
            <w:color w:val="0000FF"/>
            <w:sz w:val="28"/>
            <w:szCs w:val="28"/>
            <w:u w:val="single"/>
          </w:rPr>
          <w:t>https://wonder.cdc.gov/mcd.html</w:t>
        </w:r>
      </w:hyperlink>
    </w:p>
    <w:p w14:paraId="5AC02CCD" w14:textId="77777777" w:rsidR="00ED2A55" w:rsidRPr="002B29EC" w:rsidRDefault="00ED2A55" w:rsidP="000818BE">
      <w:pPr>
        <w:numPr>
          <w:ilvl w:val="0"/>
          <w:numId w:val="2"/>
        </w:numPr>
        <w:tabs>
          <w:tab w:val="left" w:pos="1276"/>
        </w:tabs>
        <w:spacing w:before="100" w:beforeAutospacing="1" w:after="100" w:afterAutospacing="1" w:line="240" w:lineRule="auto"/>
        <w:ind w:left="0" w:firstLine="567"/>
        <w:jc w:val="both"/>
        <w:rPr>
          <w:rFonts w:ascii="Times New Roman" w:hAnsi="Times New Roman" w:cs="Times New Roman"/>
          <w:sz w:val="28"/>
          <w:szCs w:val="28"/>
          <w:lang w:val="en-US"/>
        </w:rPr>
      </w:pPr>
      <w:r w:rsidRPr="00043DCA">
        <w:rPr>
          <w:rFonts w:ascii="Times New Roman" w:hAnsi="Times New Roman" w:cs="Times New Roman"/>
          <w:sz w:val="28"/>
          <w:szCs w:val="28"/>
          <w:lang w:val="en-US"/>
        </w:rPr>
        <w:t>Tsao CW, Aday AW, Almarzooq ZI, et al. Heart disease and stroke statistics—2023 update: a report from the American Heart Association. </w:t>
      </w:r>
      <w:r w:rsidRPr="002B29EC">
        <w:rPr>
          <w:rFonts w:ascii="Times New Roman" w:hAnsi="Times New Roman" w:cs="Times New Roman"/>
          <w:sz w:val="28"/>
          <w:szCs w:val="28"/>
          <w:lang w:val="en-US"/>
        </w:rPr>
        <w:t>Circulation. 2023;147:e93–e621.</w:t>
      </w:r>
    </w:p>
    <w:p w14:paraId="1983A432" w14:textId="77777777" w:rsidR="00ED2A55" w:rsidRPr="00D47DAC" w:rsidRDefault="00ED2A55" w:rsidP="000818BE">
      <w:pPr>
        <w:numPr>
          <w:ilvl w:val="0"/>
          <w:numId w:val="2"/>
        </w:numPr>
        <w:tabs>
          <w:tab w:val="left" w:pos="1276"/>
        </w:tabs>
        <w:spacing w:before="100" w:beforeAutospacing="1" w:after="100" w:afterAutospacing="1" w:line="240" w:lineRule="auto"/>
        <w:ind w:left="0" w:firstLine="567"/>
        <w:jc w:val="both"/>
        <w:rPr>
          <w:rFonts w:ascii="Times New Roman" w:hAnsi="Times New Roman" w:cs="Times New Roman"/>
          <w:sz w:val="28"/>
          <w:szCs w:val="28"/>
        </w:rPr>
      </w:pPr>
      <w:r w:rsidRPr="00043DCA">
        <w:rPr>
          <w:rFonts w:ascii="Times New Roman" w:hAnsi="Times New Roman" w:cs="Times New Roman"/>
          <w:sz w:val="28"/>
          <w:szCs w:val="28"/>
          <w:lang w:val="en-US"/>
        </w:rPr>
        <w:t xml:space="preserve">Martin SS, Aday AW, Almarzooq ZI, et al.; American Heart Association Council on Epidemiology and Prevention Statistics Committee; Stroke Statistics Subcommittee. 2024 heart disease and stroke statistics: a report of US and global data from the American Heart Association. </w:t>
      </w:r>
      <w:r w:rsidRPr="00D47DAC">
        <w:rPr>
          <w:rFonts w:ascii="Times New Roman" w:hAnsi="Times New Roman" w:cs="Times New Roman"/>
          <w:sz w:val="28"/>
          <w:szCs w:val="28"/>
        </w:rPr>
        <w:t>Circulation 2024;149:e347–913.</w:t>
      </w:r>
    </w:p>
    <w:p w14:paraId="6A3EBEF8"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Scott CA, Li L, Rothwell PM. Diverging temporal trends in stroke incidence in younger vs older people: a systematic review and meta-analysis. </w:t>
      </w:r>
      <w:r w:rsidRPr="002B29EC">
        <w:rPr>
          <w:sz w:val="28"/>
          <w:szCs w:val="28"/>
          <w:lang w:val="en-US"/>
        </w:rPr>
        <w:t xml:space="preserve">JAMA Neurol. </w:t>
      </w:r>
      <w:r w:rsidRPr="00D47DAC">
        <w:rPr>
          <w:sz w:val="28"/>
          <w:szCs w:val="28"/>
        </w:rPr>
        <w:t>2022;79:1036–1048. doi: 10.1001/jamaneurol.2022.1520 </w:t>
      </w:r>
    </w:p>
    <w:p w14:paraId="043121C4"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Leppert MH, Ho PM, Burke J, Madsen TE, Kleindorfer D, Sillau S, Daugherty S, Bradley CJ, Poisson SN. Young women had more strokes than young men in a large, United States claims sample. </w:t>
      </w:r>
      <w:r w:rsidRPr="00D47DAC">
        <w:rPr>
          <w:sz w:val="28"/>
          <w:szCs w:val="28"/>
        </w:rPr>
        <w:t>Stroke. 2020;51:3352–3355. doi: 10.1161/STROKEAHA.120.030803</w:t>
      </w:r>
    </w:p>
    <w:p w14:paraId="6BE8FE5E"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Perera KS, de Sa Boasquevisque D, Rao-Melacini P, Taylor A, Cheng A, Hankey GJ, Lee S, Fabregas JM, Ameriso SF, Field TS, et al; Young ESUS Investigators. Evaluating rates of recurrent ischemic stroke among young adults with embolic stroke of undetermined source: the Young ESUS longitudinal cohort study. </w:t>
      </w:r>
      <w:r w:rsidRPr="00D47DAC">
        <w:rPr>
          <w:sz w:val="28"/>
          <w:szCs w:val="28"/>
        </w:rPr>
        <w:t>JAMA Neurol. 2022;79:450–458. doi: 10.1001/jamaneurol.2022.0048</w:t>
      </w:r>
    </w:p>
    <w:p w14:paraId="647355C1"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 xml:space="preserve">Dubosh NM, Edlow JA, Goto T, Camargo CA, Jr., Hasegawa K. Missed Serious Neurologic Conditions in Emergency Department Patients Discharged With Nonspecific Diagnoses of Headache or Back Pain. </w:t>
      </w:r>
      <w:r w:rsidRPr="00D47DAC">
        <w:rPr>
          <w:rStyle w:val="cf11"/>
          <w:rFonts w:ascii="Times New Roman" w:hAnsi="Times New Roman" w:cs="Times New Roman"/>
          <w:sz w:val="28"/>
          <w:szCs w:val="28"/>
        </w:rPr>
        <w:t>Ann Emerg Med. Oct 2019;74(4):549-561. doi:10.1016/j.annemergmed.2019.01.020</w:t>
      </w:r>
    </w:p>
    <w:p w14:paraId="37ADC5D3"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 xml:space="preserve">Kaufman BG, Shah S, Hellkamp AS, Lytle BL, Fonarow GC, Schwamm LH, Lesén E, Hedberg J, Tank A, Fita E, Bhalla N, Atreja N, Bettger JP. Disease Burden Following Non-Cardioembolic Minor Ischemic Stroke or High-Risk TIA: A GWTG-Stroke Study. </w:t>
      </w:r>
      <w:r w:rsidRPr="00D47DAC">
        <w:rPr>
          <w:sz w:val="28"/>
          <w:szCs w:val="28"/>
        </w:rPr>
        <w:t>J Stroke Cerebrovasc Dis. 2020 Dec;29(12):105399. doi: 10.1016/j.jstrokecerebrovasdis.2020.105399.</w:t>
      </w:r>
    </w:p>
    <w:p w14:paraId="208AFB08"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lang w:val="en-US" w:eastAsia="en-US"/>
        </w:rPr>
      </w:pPr>
      <w:r w:rsidRPr="00043DCA">
        <w:rPr>
          <w:sz w:val="28"/>
          <w:szCs w:val="28"/>
          <w:lang w:val="en-US"/>
        </w:rPr>
        <w:t>Pines AR, Hagline J, Demaerschalk BM. Changes in Medicare physician reimbursement for stroke procedures from 2000 to 2019. </w:t>
      </w:r>
      <w:r w:rsidRPr="002B29EC">
        <w:rPr>
          <w:sz w:val="28"/>
          <w:szCs w:val="28"/>
          <w:lang w:val="en-US"/>
        </w:rPr>
        <w:t>Neurosurg Open. 2021;2:okab003. doi: 10.1093/neuopn/okab003 </w:t>
      </w:r>
    </w:p>
    <w:p w14:paraId="0ECD3169"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lang w:val="en-US"/>
        </w:rPr>
        <w:t xml:space="preserve">Ma J, Tian Z, Chai P, Wan Q, Zhai T, Guo F, Li Y. Estimating the economic burden of stroke in China: a cost-of-illness study. </w:t>
      </w:r>
      <w:r w:rsidRPr="00D47DAC">
        <w:rPr>
          <w:sz w:val="28"/>
          <w:szCs w:val="28"/>
        </w:rPr>
        <w:t>BMJ Open. 2024 Mar 13;14(3):e080634. doi: 10.1136/bmjopen-2023-080634.</w:t>
      </w:r>
    </w:p>
    <w:p w14:paraId="70ED31E7"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lastRenderedPageBreak/>
        <w:t xml:space="preserve">Mohammed M, Zainal H, Ong SC, Tangiisuran B, Aziz FA, Sha'aban A, Abubakar U, Sidek NN, Looi I, Aziz ZA. Direct medical cost of first-ever acute ischemic stroke in malaysia: a retrospective cohort study. </w:t>
      </w:r>
      <w:r w:rsidRPr="00D47DAC">
        <w:rPr>
          <w:rStyle w:val="cf01"/>
          <w:rFonts w:ascii="Times New Roman" w:hAnsi="Times New Roman" w:cs="Times New Roman"/>
          <w:sz w:val="28"/>
          <w:szCs w:val="28"/>
        </w:rPr>
        <w:t>Sci Rep. 2025 Jul 2;15(1):22571. doi: 10.1038/s41598-025-07026-1. </w:t>
      </w:r>
    </w:p>
    <w:p w14:paraId="56A063ED" w14:textId="77777777" w:rsidR="00ED2A55" w:rsidRPr="00043DCA" w:rsidRDefault="00ED2A55" w:rsidP="000818BE">
      <w:pPr>
        <w:pStyle w:val="pf0"/>
        <w:numPr>
          <w:ilvl w:val="0"/>
          <w:numId w:val="2"/>
        </w:numPr>
        <w:tabs>
          <w:tab w:val="left" w:pos="1276"/>
        </w:tabs>
        <w:ind w:left="0" w:firstLine="567"/>
        <w:jc w:val="both"/>
        <w:rPr>
          <w:sz w:val="28"/>
          <w:szCs w:val="28"/>
          <w:lang w:val="en-US"/>
        </w:rPr>
      </w:pPr>
      <w:r w:rsidRPr="00043DCA">
        <w:rPr>
          <w:rStyle w:val="cf01"/>
          <w:rFonts w:ascii="Times New Roman" w:hAnsi="Times New Roman" w:cs="Times New Roman"/>
          <w:sz w:val="28"/>
          <w:szCs w:val="28"/>
          <w:lang w:val="en-US"/>
        </w:rPr>
        <w:t>Ng CS, Toh MP, Ng J, Ko Y. Direct medical cost of stroke in Singapore. Int J Stroke. 2015 Oct;10 Suppl A100:75-82. doi: 10.1111/ijs.12576. Epub 2015 Jul 14.</w:t>
      </w:r>
    </w:p>
    <w:p w14:paraId="6226626C"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 xml:space="preserve">Kaur P, Kwatra G, Kaur R, Pandian JD. Cost of stroke in low and middle income countries: a systematic review. </w:t>
      </w:r>
      <w:r w:rsidRPr="00D47DAC">
        <w:rPr>
          <w:rStyle w:val="cf01"/>
          <w:rFonts w:ascii="Times New Roman" w:hAnsi="Times New Roman" w:cs="Times New Roman"/>
          <w:sz w:val="28"/>
          <w:szCs w:val="28"/>
        </w:rPr>
        <w:t>Int J Stroke. 2014 Aug;9(6):678-82. doi: 10.1111/ijs.12322. Epub 2014 Jul 7. </w:t>
      </w:r>
    </w:p>
    <w:p w14:paraId="759AB594"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 xml:space="preserve">Strilciuc S, Grad DA, Radu C, Chira D, Stan A, Ungureanu M, Gheorghe A, Muresanu FD. The economic burden of stroke: a systematic review of cost of illness studies. </w:t>
      </w:r>
      <w:r w:rsidRPr="00D47DAC">
        <w:rPr>
          <w:rStyle w:val="cf11"/>
          <w:rFonts w:ascii="Times New Roman" w:hAnsi="Times New Roman" w:cs="Times New Roman"/>
          <w:sz w:val="28"/>
          <w:szCs w:val="28"/>
        </w:rPr>
        <w:t>J Med Life. 2021 Sep-Oct;14(5):606-619. doi: 10.25122/jml-2021-0361.</w:t>
      </w:r>
    </w:p>
    <w:p w14:paraId="4B34E1A1"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Boehme, A.K.; Esenwa, C.; Elkind, M.S. Stroke risk factors, genetics, and prevention. </w:t>
      </w:r>
      <w:r w:rsidRPr="00D47DAC">
        <w:rPr>
          <w:rStyle w:val="cf11"/>
          <w:rFonts w:ascii="Times New Roman" w:hAnsi="Times New Roman" w:cs="Times New Roman"/>
          <w:sz w:val="28"/>
          <w:szCs w:val="28"/>
        </w:rPr>
        <w:t>Circ. Res. 2017, 120, 472–495.</w:t>
      </w:r>
    </w:p>
    <w:p w14:paraId="46C0C8DC"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Ruiz-Ares, G.; Martínez-Sánchez, P.; Fuentes, B. Enfermedades cerebrovasculares. </w:t>
      </w:r>
      <w:r w:rsidRPr="00D47DAC">
        <w:rPr>
          <w:rStyle w:val="cf11"/>
          <w:rFonts w:ascii="Times New Roman" w:hAnsi="Times New Roman" w:cs="Times New Roman"/>
          <w:sz w:val="28"/>
          <w:szCs w:val="28"/>
        </w:rPr>
        <w:t>Medicine 2015, 11, 4221–4229.</w:t>
      </w:r>
    </w:p>
    <w:p w14:paraId="6CE684EC" w14:textId="77777777" w:rsidR="00ED2A55" w:rsidRPr="002B29EC" w:rsidRDefault="00ED2A55" w:rsidP="000818BE">
      <w:pPr>
        <w:pStyle w:val="pf0"/>
        <w:numPr>
          <w:ilvl w:val="0"/>
          <w:numId w:val="2"/>
        </w:numPr>
        <w:tabs>
          <w:tab w:val="left" w:pos="1276"/>
        </w:tabs>
        <w:ind w:left="0" w:firstLine="567"/>
        <w:jc w:val="both"/>
        <w:rPr>
          <w:sz w:val="28"/>
          <w:szCs w:val="28"/>
          <w:lang w:val="en-US"/>
        </w:rPr>
      </w:pPr>
      <w:r w:rsidRPr="00043DCA">
        <w:rPr>
          <w:rStyle w:val="cf01"/>
          <w:rFonts w:ascii="Times New Roman" w:hAnsi="Times New Roman" w:cs="Times New Roman"/>
          <w:sz w:val="28"/>
          <w:szCs w:val="28"/>
          <w:lang w:val="en-US"/>
        </w:rPr>
        <w:t>Kissela, B.M.; Khoury, J.C.; Alwell, K.; Moomaw, C.J.; Woo, D.; Adeoye, O.; Flaherty, M.L.; Khatri, P.; Ferioli, S.; De Los Rios La Rosa, F.; et al. Age at stroke: Temporal trends in stroke incidence in a large, biracial population. </w:t>
      </w:r>
      <w:r w:rsidRPr="002B29EC">
        <w:rPr>
          <w:rStyle w:val="cf11"/>
          <w:rFonts w:ascii="Times New Roman" w:hAnsi="Times New Roman" w:cs="Times New Roman"/>
          <w:sz w:val="28"/>
          <w:szCs w:val="28"/>
          <w:lang w:val="en-US"/>
        </w:rPr>
        <w:t xml:space="preserve">Neurology 2012, 79, 1781–1787. </w:t>
      </w:r>
    </w:p>
    <w:p w14:paraId="62864C3E"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Béjot, Y.; Delpont, B.; Giroud, M. Rising stroke incidence in young adults: More epidemiological evidence, more questions to be answered. </w:t>
      </w:r>
      <w:r w:rsidRPr="00D47DAC">
        <w:rPr>
          <w:rStyle w:val="cf11"/>
          <w:rFonts w:ascii="Times New Roman" w:hAnsi="Times New Roman" w:cs="Times New Roman"/>
          <w:sz w:val="28"/>
          <w:szCs w:val="28"/>
        </w:rPr>
        <w:t xml:space="preserve">J. Am. Heart Assoc. 2016, 5, e003661. </w:t>
      </w:r>
    </w:p>
    <w:p w14:paraId="5527BFC3"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Yao, X.Y.; Lin, Y.; Geng, J.L.; Sun, Y.M.; Chen, Y.; Shi, G.W.; Xu, Q.; Li, Y.S. Age- and gender-specific prevalence of risk factors in patients with first-ever ischemic stroke in China. </w:t>
      </w:r>
      <w:r w:rsidRPr="00D47DAC">
        <w:rPr>
          <w:rStyle w:val="cf11"/>
          <w:rFonts w:ascii="Times New Roman" w:hAnsi="Times New Roman" w:cs="Times New Roman"/>
          <w:sz w:val="28"/>
          <w:szCs w:val="28"/>
        </w:rPr>
        <w:t xml:space="preserve">Stroke Res. Treat. 2012, 2012, 136398. </w:t>
      </w:r>
    </w:p>
    <w:p w14:paraId="70F4827D"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Aigner, A.; Grittner, U.; Rolfs, A.; Norrving, B.; Siegerink, B.; Busch, M.A. Contribution of established stroke risk factors to the burden of stroke in young adults. </w:t>
      </w:r>
      <w:r w:rsidRPr="00D47DAC">
        <w:rPr>
          <w:rStyle w:val="cf11"/>
          <w:rFonts w:ascii="Times New Roman" w:hAnsi="Times New Roman" w:cs="Times New Roman"/>
          <w:sz w:val="28"/>
          <w:szCs w:val="28"/>
        </w:rPr>
        <w:t xml:space="preserve">Stroke 2017, 48, 1744–1751. </w:t>
      </w:r>
    </w:p>
    <w:p w14:paraId="6F3EEFC4"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Murakami, K.; Asayama, K.; Satoh, M.; Inoue, R.; Tsubota-Utsugi, M.; Hosaka, M. Risk factors for stroke among young-old and old-old community-dwelling adults in Japan: The Ohasama Study. </w:t>
      </w:r>
      <w:r w:rsidRPr="00D47DAC">
        <w:rPr>
          <w:rStyle w:val="cf11"/>
          <w:rFonts w:ascii="Times New Roman" w:hAnsi="Times New Roman" w:cs="Times New Roman"/>
          <w:sz w:val="28"/>
          <w:szCs w:val="28"/>
        </w:rPr>
        <w:t xml:space="preserve">J. Atheroscler. Thromb. 2017, 24, 290–300. </w:t>
      </w:r>
    </w:p>
    <w:p w14:paraId="5C8123DE"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Xia, X.; Yue, W.; Chao, B.; Li, M.; Cao, L.; Wang, L.; Shen, Y.; Li, X. Prevalence and risk factors of stroke in the elderly in Northern China: Data from the National Stroke Screening Survey. </w:t>
      </w:r>
      <w:r w:rsidRPr="00D47DAC">
        <w:rPr>
          <w:rStyle w:val="cf11"/>
          <w:rFonts w:ascii="Times New Roman" w:hAnsi="Times New Roman" w:cs="Times New Roman"/>
          <w:sz w:val="28"/>
          <w:szCs w:val="28"/>
        </w:rPr>
        <w:t xml:space="preserve">J. Neurol. 2019, 266, 1449–1458. </w:t>
      </w:r>
    </w:p>
    <w:p w14:paraId="6149EA9E"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lang w:val="en-US"/>
        </w:rPr>
        <w:t>Guo J, Lv J, Guo Y, Bian Z, Zheng B, Wu M, Yang L, Chen Y, Su J, Zhang J, et al; China Kadoorie Biobank Collaborative Group. Association between blood pressure categories and cardiovascular disease mortality in China. </w:t>
      </w:r>
      <w:r w:rsidRPr="00D47DAC">
        <w:rPr>
          <w:sz w:val="28"/>
          <w:szCs w:val="28"/>
        </w:rPr>
        <w:t>PLoS One. 2021;16:e0255373. doi: 10.1371/journal.pone.0255373</w:t>
      </w:r>
    </w:p>
    <w:p w14:paraId="6BBA899C" w14:textId="77777777" w:rsidR="00ED2A55" w:rsidRPr="00317136"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lang w:val="en-US"/>
        </w:rPr>
      </w:pPr>
      <w:r w:rsidRPr="00D47DAC">
        <w:rPr>
          <w:sz w:val="28"/>
          <w:szCs w:val="28"/>
          <w:lang w:val="en-US"/>
        </w:rPr>
        <w:t xml:space="preserve">Zhong X-L, Dong Y, Xu W, Huang Y-Y, Wang H-F, Zhang T-S, Sun L, Tan L, Dong Q, Yu J-T. Role of blood pressure management in stroke prevention: a </w:t>
      </w:r>
      <w:r w:rsidRPr="00D47DAC">
        <w:rPr>
          <w:sz w:val="28"/>
          <w:szCs w:val="28"/>
          <w:lang w:val="en-US"/>
        </w:rPr>
        <w:lastRenderedPageBreak/>
        <w:t>systematic review and network meta-analysis of 93 randomized controlled trials. </w:t>
      </w:r>
      <w:r w:rsidRPr="00317136">
        <w:rPr>
          <w:sz w:val="28"/>
          <w:szCs w:val="28"/>
          <w:lang w:val="en-US"/>
        </w:rPr>
        <w:t>J Stroke. 2021;23:1–11. doi: 10.5853/jos.2020.02698</w:t>
      </w:r>
    </w:p>
    <w:p w14:paraId="6E3E1A2F" w14:textId="77777777" w:rsidR="00ED2A55" w:rsidRPr="00317136"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lang w:val="en-US"/>
        </w:rPr>
      </w:pPr>
      <w:r w:rsidRPr="00D47DAC">
        <w:rPr>
          <w:sz w:val="28"/>
          <w:szCs w:val="28"/>
          <w:lang w:val="en-US"/>
        </w:rPr>
        <w:t>Malhotra K, Ahmed N, Filippatou A, Katsanos AH, Goyal N, Tsioufis K, Manios E, Pikilidou M, Schellinger PD, Alexandrov AW, et al. Association of elevated blood pressure levels with outcomes in acute ischemic stroke patients treated with intravenous thrombolysis: a systematic review and meta-analysis. </w:t>
      </w:r>
      <w:r w:rsidRPr="00317136">
        <w:rPr>
          <w:sz w:val="28"/>
          <w:szCs w:val="28"/>
          <w:lang w:val="en-US"/>
        </w:rPr>
        <w:t>J Stroke. 2019;21:78–90. doi: 10.5853/jos.2018.02369</w:t>
      </w:r>
    </w:p>
    <w:p w14:paraId="5F7F684C"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Peters SA, Huxley RR, Woodward M. Diabetes as a risk factor for stroke in women compared with men: a systematic review and meta-analysis of 64 cohorts, including 775,385 individuals and 12,539 strokes. </w:t>
      </w:r>
      <w:r w:rsidRPr="00D47DAC">
        <w:rPr>
          <w:sz w:val="28"/>
          <w:szCs w:val="28"/>
        </w:rPr>
        <w:t>Lancet. 2014;383:1973–1980. doi: 10.1016/S0140-6736(14)60040-4 </w:t>
      </w:r>
    </w:p>
    <w:p w14:paraId="35D102C0"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Huang Y, Cai X, Mai W, Li M, Hu Y. Association between prediabetes and risk of cardiovascular disease and all cause mortality: systematic review and meta-analysis. </w:t>
      </w:r>
      <w:r w:rsidRPr="00D47DAC">
        <w:rPr>
          <w:sz w:val="28"/>
          <w:szCs w:val="28"/>
        </w:rPr>
        <w:t xml:space="preserve">BMJ. 2016;355:i5953. doi: 10.1136/bmj.i5953  </w:t>
      </w:r>
    </w:p>
    <w:p w14:paraId="2E63631B" w14:textId="77777777" w:rsidR="00ED2A55" w:rsidRPr="002B29E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lang w:val="en-US"/>
        </w:rPr>
      </w:pPr>
      <w:r w:rsidRPr="00D47DAC">
        <w:rPr>
          <w:sz w:val="28"/>
          <w:szCs w:val="28"/>
          <w:lang w:val="en-US"/>
        </w:rPr>
        <w:t xml:space="preserve"> </w:t>
      </w:r>
      <w:r w:rsidRPr="00043DCA">
        <w:rPr>
          <w:sz w:val="28"/>
          <w:szCs w:val="28"/>
          <w:lang w:val="en-US"/>
        </w:rPr>
        <w:t>McGuire DK, Shih WJ, Cosentino F, Charbonnel B, Cherney DZI, Dagogo-Jack S, Pratley R, Greenberg M, Wang S, Huyck S, et al. Association of SGLT2 inhibitors with cardiovascular and kidney outcomes in patients with type 2 diabetes: a meta-analysis. </w:t>
      </w:r>
      <w:r w:rsidRPr="002B29EC">
        <w:rPr>
          <w:sz w:val="28"/>
          <w:szCs w:val="28"/>
          <w:lang w:val="en-US"/>
        </w:rPr>
        <w:t>JAMA Cardiol. 2021;6:148–158. doi: 10.1001/jamacardio.2020.4511 </w:t>
      </w:r>
    </w:p>
    <w:p w14:paraId="35DDD71B"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1D6EE1">
        <w:rPr>
          <w:sz w:val="28"/>
          <w:szCs w:val="28"/>
          <w:lang w:val="en-US"/>
        </w:rPr>
        <w:t xml:space="preserve">Echouffo-Tcheugui JB, Xu H, Matsouaka RA, Xian Y, Schwamm LH, Smith EE, Bhatt DL, Hernandez AF, Heidenreich PA, Fonarow GC. </w:t>
      </w:r>
      <w:r w:rsidRPr="00D47DAC">
        <w:rPr>
          <w:sz w:val="28"/>
          <w:szCs w:val="28"/>
          <w:lang w:val="en-US"/>
        </w:rPr>
        <w:t>Diabetes and long-term outcomes of ischaemic stroke: findings from Get With The Guidelines-Stroke. </w:t>
      </w:r>
      <w:r w:rsidRPr="00D47DAC">
        <w:rPr>
          <w:sz w:val="28"/>
          <w:szCs w:val="28"/>
        </w:rPr>
        <w:t>Eur Heart J. 2018;39:2376–2386. doi: 10.1093/eurheartj/ehy036</w:t>
      </w:r>
    </w:p>
    <w:p w14:paraId="1A91E78D"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lang w:val="en-US"/>
        </w:rPr>
        <w:t xml:space="preserve"> </w:t>
      </w:r>
      <w:r w:rsidRPr="00043DCA">
        <w:rPr>
          <w:sz w:val="28"/>
          <w:szCs w:val="28"/>
          <w:lang w:val="en-US"/>
        </w:rPr>
        <w:t xml:space="preserve">Wang Y, Jiang G, Zhang J, Wang J, You W, Zhu J. Blood glucose level affects prognosis of patients who received intravenous thrombolysis after acute ischemic stroke? </w:t>
      </w:r>
      <w:r w:rsidRPr="00D47DAC">
        <w:rPr>
          <w:sz w:val="28"/>
          <w:szCs w:val="28"/>
        </w:rPr>
        <w:t>A meta-analysis. Front Endocrinol (Lausanne). 2023;14:1120779. doi: 10.3389/fendo.2023.1120779</w:t>
      </w:r>
    </w:p>
    <w:p w14:paraId="6A6CBD4C"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D47DAC">
        <w:rPr>
          <w:sz w:val="28"/>
          <w:szCs w:val="28"/>
        </w:rPr>
        <w:t xml:space="preserve">Ratajczak-Tretel B, Lambert AT, Al-Ani R, Arntzen K, Bakkejord GK, Bekkeseth HMO, Bjerkeli V, Eldoen G, Gulsvik AK, Halvorsen B, et al. </w:t>
      </w:r>
      <w:r w:rsidRPr="00043DCA">
        <w:rPr>
          <w:sz w:val="28"/>
          <w:szCs w:val="28"/>
          <w:lang w:val="en-US"/>
        </w:rPr>
        <w:t>Underlying causes of cryptogenic stroke and TIA in the Nordic Atrial Fibrillation and Stroke (NOR-FIB) study: the importance of comprehensive clinical evaluation. </w:t>
      </w:r>
      <w:r w:rsidRPr="002B29EC">
        <w:rPr>
          <w:sz w:val="28"/>
          <w:szCs w:val="28"/>
          <w:lang w:val="en-US"/>
        </w:rPr>
        <w:t xml:space="preserve">BMC Neurol. </w:t>
      </w:r>
      <w:r w:rsidRPr="00D47DAC">
        <w:rPr>
          <w:sz w:val="28"/>
          <w:szCs w:val="28"/>
        </w:rPr>
        <w:t>2023;23:115. doi: 10.1186/s12883-023-03155-0</w:t>
      </w:r>
    </w:p>
    <w:p w14:paraId="68A70BD6"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Bernstein RA, Kamel H, Granger CB, Piccini JP, Sethi PP, Katz JM, Vives CA, Ziegler PD, Franco NC, Schwamm LH; STROKE-AF Investigators. Effect of Long-term continuous cardiac monitoring vs usual care on detection of atrial fibrillation in patients with stroke attributed to large- or small-vessel disease: the STROKE-AF randomized clinical trial. </w:t>
      </w:r>
      <w:r w:rsidRPr="00D47DAC">
        <w:rPr>
          <w:sz w:val="28"/>
          <w:szCs w:val="28"/>
        </w:rPr>
        <w:t>JAMA. 2021;325:2169–2177. doi: 10.1001/jama.2021.6470 </w:t>
      </w:r>
    </w:p>
    <w:p w14:paraId="6B7DFAEA"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Schwamm LH, Kamel H, Granger CB, Piccini JP, Katz JM, Sethi PP, Sidorov EV, Kasner SE, Silverman SB, Merriam TT, et al; STROKE AF Investigators. Predictors of atrial fibrillation in patients with stroke attributed to large- or small-vessel disease: a prespecified secondary analysis of the STROKE AF randomized clinical trial. </w:t>
      </w:r>
      <w:r w:rsidRPr="00D47DAC">
        <w:rPr>
          <w:sz w:val="28"/>
          <w:szCs w:val="28"/>
        </w:rPr>
        <w:t xml:space="preserve">JAMA Neurol. 2023;80:99–103. doi: 10.1001/jamaneurol.2022.4038 </w:t>
      </w:r>
    </w:p>
    <w:p w14:paraId="5B0FCB9B" w14:textId="77777777" w:rsidR="00ED2A55" w:rsidRPr="002B29EC" w:rsidRDefault="00ED2A55" w:rsidP="000818BE">
      <w:pPr>
        <w:pStyle w:val="a6"/>
        <w:numPr>
          <w:ilvl w:val="0"/>
          <w:numId w:val="2"/>
        </w:numPr>
        <w:tabs>
          <w:tab w:val="left" w:pos="1276"/>
        </w:tabs>
        <w:spacing w:before="100" w:beforeAutospacing="1" w:after="100" w:afterAutospacing="1"/>
        <w:ind w:left="0" w:firstLine="567"/>
        <w:jc w:val="both"/>
        <w:rPr>
          <w:sz w:val="28"/>
          <w:szCs w:val="28"/>
          <w:lang w:val="en-US"/>
        </w:rPr>
      </w:pPr>
      <w:r w:rsidRPr="00043DCA">
        <w:rPr>
          <w:sz w:val="28"/>
          <w:szCs w:val="28"/>
          <w:lang w:val="en-US"/>
        </w:rPr>
        <w:lastRenderedPageBreak/>
        <w:t>Oyama K, Giugliano RP, Berg DD, Ruff CT, Jarolim P, Tang M, Murphy SA, Lanz HJ, Grosso MA, Antman EM, et al. Serial assessment of biomarkers and the risk of stroke or systemic embolism and bleeding in patients with atrial fibrillation in the ENGAGE AF-TIMI 48 trial. </w:t>
      </w:r>
      <w:r w:rsidRPr="002B29EC">
        <w:rPr>
          <w:sz w:val="28"/>
          <w:szCs w:val="28"/>
          <w:lang w:val="en-US"/>
        </w:rPr>
        <w:t>Eur Heart J. 2021;42:1698–1706. doi: 10.1093/eurheartj/ehab141</w:t>
      </w:r>
    </w:p>
    <w:p w14:paraId="0802E908"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Singleton MJ, Yuan Y, Dawood FZ, Howard G, Judd SE, Zakai NA, Howard VJ, Herrington DM, Soliman EZ, Cushman M. Multiple blood biomarkers and stroke risk in atrial fibrillation: the REGARDS study. </w:t>
      </w:r>
      <w:r w:rsidRPr="00D47DAC">
        <w:rPr>
          <w:sz w:val="28"/>
          <w:szCs w:val="28"/>
        </w:rPr>
        <w:t>J Am Heart Assoc. 2021;10:e020157. doi: 10.1161/JAHA.120.020157 </w:t>
      </w:r>
    </w:p>
    <w:p w14:paraId="72B284B6"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Mentel A, Quinn TJ, Cameron AC, Lees KR, Abdul-Rahim AH. The impact of atrial fibrillation type on the risks of thromboembolic recurrence, mortality and major haemorrhage in patients with previous stroke: a systematic review and meta-analysis of observational studies. </w:t>
      </w:r>
      <w:r w:rsidRPr="00D47DAC">
        <w:rPr>
          <w:sz w:val="28"/>
          <w:szCs w:val="28"/>
        </w:rPr>
        <w:t>Eur Stroke J. 2020;5:155–168. doi: 10.1177/2396987319896674 </w:t>
      </w:r>
    </w:p>
    <w:p w14:paraId="459A2BC9"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Lin MH, Kamel H, Singer DE, Wu YL, Lee M, Ovbiagele B. Perioperative/postoperative atrial fibrillation and risk of subsequent stroke and/or mortality. </w:t>
      </w:r>
      <w:r w:rsidRPr="00D47DAC">
        <w:rPr>
          <w:sz w:val="28"/>
          <w:szCs w:val="28"/>
        </w:rPr>
        <w:t>Stroke. 2019;50:1364–1371. doi: 10.1161/STROKEAHA.118.023921 </w:t>
      </w:r>
    </w:p>
    <w:p w14:paraId="468E86A0" w14:textId="77777777" w:rsidR="00ED2A55" w:rsidRPr="002B29EC" w:rsidRDefault="00ED2A55" w:rsidP="000818BE">
      <w:pPr>
        <w:pStyle w:val="a6"/>
        <w:numPr>
          <w:ilvl w:val="0"/>
          <w:numId w:val="2"/>
        </w:numPr>
        <w:tabs>
          <w:tab w:val="left" w:pos="1276"/>
        </w:tabs>
        <w:spacing w:before="100" w:beforeAutospacing="1" w:after="100" w:afterAutospacing="1"/>
        <w:ind w:left="0" w:firstLine="567"/>
        <w:jc w:val="both"/>
        <w:rPr>
          <w:sz w:val="28"/>
          <w:szCs w:val="28"/>
          <w:lang w:val="en-US"/>
        </w:rPr>
      </w:pPr>
      <w:r w:rsidRPr="00043DCA">
        <w:rPr>
          <w:sz w:val="28"/>
          <w:szCs w:val="28"/>
          <w:lang w:val="en-US"/>
        </w:rPr>
        <w:t>AlTurki A, Marafi M, Proietti R, Cardinale D, Blackwell R, Dorian P, Bessissow A, Vieira L, Greiss I, Essebag V, et al. Major adverse cardiovascular events associated with postoperative atrial fibrillation after noncardiac surgery: a systematic review and meta-analysis. </w:t>
      </w:r>
      <w:r w:rsidRPr="002B29EC">
        <w:rPr>
          <w:sz w:val="28"/>
          <w:szCs w:val="28"/>
          <w:lang w:val="en-US"/>
        </w:rPr>
        <w:t>Circ Arrhythm Electrophysiol. 2020;13:e007437. doi: 10.1161/CIRCEP.119.007437</w:t>
      </w:r>
    </w:p>
    <w:p w14:paraId="64CF8256"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lang w:val="en-US"/>
        </w:rPr>
        <w:t>Grymonprez M, Simoens C, Steurbaut S, De Backer TL, Lahousse L. Worldwide trends in oral anticoagulant use in patients with atrial fibrillation from 2010 to 2018: a systematic review and meta-analysis. </w:t>
      </w:r>
      <w:r w:rsidRPr="00D47DAC">
        <w:rPr>
          <w:sz w:val="28"/>
          <w:szCs w:val="28"/>
        </w:rPr>
        <w:t>Europace. 2022;24:887–898. doi: 10.1093/europace/euab303</w:t>
      </w:r>
    </w:p>
    <w:p w14:paraId="07C811C2" w14:textId="77777777" w:rsidR="00ED2A55" w:rsidRPr="00317136"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lang w:val="en-US"/>
        </w:rPr>
      </w:pPr>
      <w:r w:rsidRPr="00D47DAC">
        <w:rPr>
          <w:sz w:val="28"/>
          <w:szCs w:val="28"/>
          <w:lang w:val="en-US"/>
        </w:rPr>
        <w:t>Benz AP, Hohnloser SH, Eikelboom JW, Carnicelli AP, Giugliano RP, Granger CB, Harrington J, Hijazi Z, Morrow DA, Patel MR, et al. Outcomes of patients with atrial fibrillation and ischemic stroke while on oral anticoagulation. </w:t>
      </w:r>
      <w:r w:rsidRPr="00317136">
        <w:rPr>
          <w:sz w:val="28"/>
          <w:szCs w:val="28"/>
          <w:lang w:val="en-US"/>
        </w:rPr>
        <w:t>Eur Heart J. 2023;44:1807–1814. doi: 10.1093/eurheartj/ehad200</w:t>
      </w:r>
    </w:p>
    <w:p w14:paraId="215E0443"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Lyth J, Svennberg E, Bernfort L, Aronsson M, Frykman V, Al-Khalili F, Friberg L, Rosenqvist M, Engdahl J, Levin L. Cost-effectiveness of population screening for atrial fibrillation: the STROKESTOP study. </w:t>
      </w:r>
      <w:r w:rsidRPr="00D47DAC">
        <w:rPr>
          <w:sz w:val="28"/>
          <w:szCs w:val="28"/>
        </w:rPr>
        <w:t>Eur Heart J. 2023;44:196–204. doi: 10.1093/eurheartj/ehac547 </w:t>
      </w:r>
    </w:p>
    <w:p w14:paraId="2ED64E71"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Al-Kawaz M, Omran SS, Parikh NS, Elkind MSV, Soliman EZ, Kamel H. Comparative risks of ischemic stroke in atrial flutter versus atrial fibrillation. </w:t>
      </w:r>
      <w:r w:rsidRPr="00D47DAC">
        <w:rPr>
          <w:sz w:val="28"/>
          <w:szCs w:val="28"/>
        </w:rPr>
        <w:t>J Stroke Cerebrovasc Dis. 2018;27:839–844. doi: 10.1016/j.jstrokecerebrovasdis.2017.10.025 </w:t>
      </w:r>
    </w:p>
    <w:p w14:paraId="6E8BFF31" w14:textId="77777777" w:rsidR="00ED2A55" w:rsidRPr="002B29EC" w:rsidRDefault="00ED2A55" w:rsidP="000818BE">
      <w:pPr>
        <w:pStyle w:val="a6"/>
        <w:numPr>
          <w:ilvl w:val="0"/>
          <w:numId w:val="2"/>
        </w:numPr>
        <w:tabs>
          <w:tab w:val="left" w:pos="1276"/>
        </w:tabs>
        <w:spacing w:before="100" w:beforeAutospacing="1" w:after="100" w:afterAutospacing="1"/>
        <w:ind w:left="0" w:firstLine="567"/>
        <w:jc w:val="both"/>
        <w:rPr>
          <w:sz w:val="28"/>
          <w:szCs w:val="28"/>
          <w:lang w:val="en-US"/>
        </w:rPr>
      </w:pPr>
      <w:r w:rsidRPr="00043DCA">
        <w:rPr>
          <w:sz w:val="28"/>
          <w:szCs w:val="28"/>
          <w:lang w:val="en-US"/>
        </w:rPr>
        <w:t>Meng L, Tsiaousis G, He J, Tse G, Antoniadis AP, Korantzopoulos P, Letsas KP, Baranchuk A, Qi W, Zhang Z, et al. Excessive supraventricular ectopic activity and adverse cardiovascular outcomes: a systematic review and meta-analysis. </w:t>
      </w:r>
      <w:r w:rsidRPr="002B29EC">
        <w:rPr>
          <w:sz w:val="28"/>
          <w:szCs w:val="28"/>
          <w:lang w:val="en-US"/>
        </w:rPr>
        <w:t xml:space="preserve">Curr Atheroscler Rep. 2020;22:14. doi: 10.1007/s11883-020-0832-4  </w:t>
      </w:r>
    </w:p>
    <w:p w14:paraId="0BC9F935"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 xml:space="preserve">Sun L, Clarke R, Bennett D, Guo Y, Walters RG, Hill M, Parish S, Millwood IY, Bian Z, Chen Y, et al; China Kadoorie Biobank Collaborative Group. </w:t>
      </w:r>
      <w:r w:rsidRPr="00043DCA">
        <w:rPr>
          <w:sz w:val="28"/>
          <w:szCs w:val="28"/>
          <w:lang w:val="en-US"/>
        </w:rPr>
        <w:lastRenderedPageBreak/>
        <w:t>Causal associations of blood lipids with risk of ischemic stroke and intracerebral hemorrhage in Chinese adults. </w:t>
      </w:r>
      <w:r w:rsidRPr="00D47DAC">
        <w:rPr>
          <w:sz w:val="28"/>
          <w:szCs w:val="28"/>
        </w:rPr>
        <w:t>Nat Med. 2019;25:569–574. doi: 10.1038/s41591-019-0366-x</w:t>
      </w:r>
    </w:p>
    <w:p w14:paraId="5E6A2A36"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lang w:val="en-US"/>
        </w:rPr>
        <w:t>Amarenco P, Kim JS, Labreuche J, Charles H, Abtan J, Bejot Y, Cabrejo L, Cha JK, Ducrocq G, Giroud M, et al; Treat Stroke to Target Investigators. A comparison of two LDL cholesterol targets after ischemic stroke. </w:t>
      </w:r>
      <w:r w:rsidRPr="00D47DAC">
        <w:rPr>
          <w:sz w:val="28"/>
          <w:szCs w:val="28"/>
        </w:rPr>
        <w:t>N Engl J Med. 2020;382:9–19. doi: 10.1056/nejmoa1910355</w:t>
      </w:r>
    </w:p>
    <w:p w14:paraId="29E25028"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lang w:val="en-US"/>
        </w:rPr>
        <w:t>Lee H, Park JB, Hwang IC, Yoon YE, Park HE, Choi SY, Kim YJ, Cho GY, Han K, Kim HK. Association of four lipid components with mortality, myocardial infarction, and stroke in statin-naive young adults: a nationwide cohort study. </w:t>
      </w:r>
      <w:r w:rsidRPr="00D47DAC">
        <w:rPr>
          <w:sz w:val="28"/>
          <w:szCs w:val="28"/>
        </w:rPr>
        <w:t>Eur J Prev Cardiol. 2020;27:870–881. doi: 10.1177/2047487319898571</w:t>
      </w:r>
    </w:p>
    <w:p w14:paraId="6A29CFA4" w14:textId="77777777" w:rsidR="00ED2A55" w:rsidRPr="002B29E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lang w:val="en-US"/>
        </w:rPr>
      </w:pPr>
      <w:r w:rsidRPr="00D47DAC">
        <w:rPr>
          <w:sz w:val="28"/>
          <w:szCs w:val="28"/>
          <w:lang w:val="en-US"/>
        </w:rPr>
        <w:t xml:space="preserve"> </w:t>
      </w:r>
      <w:r w:rsidRPr="00043DCA">
        <w:rPr>
          <w:sz w:val="28"/>
          <w:szCs w:val="28"/>
          <w:lang w:val="en-US"/>
        </w:rPr>
        <w:t>Yang XH, Zhang BL, Cheng Y, Fu SK, Jin HM. Association of remnant cholesterol with risk of cardiovascular disease events, stroke, and mortality: a systemic review and meta-analysis. </w:t>
      </w:r>
      <w:r w:rsidRPr="002B29EC">
        <w:rPr>
          <w:sz w:val="28"/>
          <w:szCs w:val="28"/>
          <w:lang w:val="en-US"/>
        </w:rPr>
        <w:t>Atherosclerosis. 2023;371:21–31. doi: 10.1016/j.atherosclerosis.2023.03.012</w:t>
      </w:r>
    </w:p>
    <w:p w14:paraId="610FC0DC"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Hackshaw A, Morris JK, Boniface S, Tang JL, Milenkovic D. Low cigarette consumption and risk of coronary heart disease and stroke: meta-analysis of 141 cohort studies in 55 study reports. </w:t>
      </w:r>
      <w:r w:rsidRPr="00D47DAC">
        <w:rPr>
          <w:sz w:val="28"/>
          <w:szCs w:val="28"/>
        </w:rPr>
        <w:t>BMJ. 2018;360:j5855. doi: 10.1136/bmj.j5855 </w:t>
      </w:r>
    </w:p>
    <w:p w14:paraId="3466A28C"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Awad K, Mohammed M, Martin SS, Banach M. Association between electronic nicotine delivery systems use and risk of stroke: a meta-analysis of 1,024,401 participants. </w:t>
      </w:r>
      <w:r w:rsidRPr="00D47DAC">
        <w:rPr>
          <w:sz w:val="28"/>
          <w:szCs w:val="28"/>
        </w:rPr>
        <w:t>Arch Med Sci. 2023;19:1538–1540. doi: 10.5114/aoms/171473</w:t>
      </w:r>
    </w:p>
    <w:p w14:paraId="60769A8B"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lang w:val="en-US"/>
        </w:rPr>
        <w:t>Fischer F, Kraemer A. Meta-analysis of the association between second-hand smoke exposure and ischaemic heart diseases, COPD and stroke. </w:t>
      </w:r>
      <w:r w:rsidRPr="00D47DAC">
        <w:rPr>
          <w:sz w:val="28"/>
          <w:szCs w:val="28"/>
        </w:rPr>
        <w:t>BMC Public Health. 2015;15:1202. doi: 10.1186/s12889-015-2489-4</w:t>
      </w:r>
    </w:p>
    <w:p w14:paraId="41139D7D"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lang w:val="en-US"/>
        </w:rPr>
        <w:t>Hooker SP, Diaz KM, Blair SN, Colabianchi N, Hutto B, McDonnell MN, Vena JE, Howard VJ. Association of accelerometer-measured sedentary time and physical activity with risk of stroke among US adults. </w:t>
      </w:r>
      <w:r w:rsidRPr="00D47DAC">
        <w:rPr>
          <w:sz w:val="28"/>
          <w:szCs w:val="28"/>
        </w:rPr>
        <w:t>JAMA Netw Open. 2022;5:e2215385. doi: 10.1001/jamanetworkopen.2022.15385</w:t>
      </w:r>
    </w:p>
    <w:p w14:paraId="288D99D5"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lang w:val="en-US"/>
        </w:rPr>
        <w:t>Susts J, Reinholdsson M, Sunnerhagen KS, Abzhandadze T. Physical inactivity before stroke is associated with dependency in basic activities of daily living 3 months after stroke. </w:t>
      </w:r>
      <w:r w:rsidRPr="00D47DAC">
        <w:rPr>
          <w:sz w:val="28"/>
          <w:szCs w:val="28"/>
        </w:rPr>
        <w:t>Front Neurol. 2023;14:1094232. doi: 10.3389/fneur.2023.1094232</w:t>
      </w:r>
    </w:p>
    <w:p w14:paraId="5B53368D"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lang w:val="en-US"/>
        </w:rPr>
        <w:t>Buvarp D, Viktorisson A, Axelsson F, Lehto E, Lindgren L, Lundstrom E, Sunnerhagen KS. Physical activity trajectories and functional recovery after acute stroke among adults in Sweden. </w:t>
      </w:r>
      <w:r w:rsidRPr="00D47DAC">
        <w:rPr>
          <w:sz w:val="28"/>
          <w:szCs w:val="28"/>
        </w:rPr>
        <w:t>JAMA Netw Open. 2023;6:e2310919. doi: 10.1001/jamanetworkopen.2023.10919</w:t>
      </w:r>
    </w:p>
    <w:p w14:paraId="2260A594" w14:textId="77777777" w:rsidR="00ED2A55" w:rsidRPr="00317136"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lang w:val="en-US"/>
        </w:rPr>
      </w:pPr>
      <w:r w:rsidRPr="00D47DAC">
        <w:rPr>
          <w:sz w:val="28"/>
          <w:szCs w:val="28"/>
          <w:lang w:val="en-US"/>
        </w:rPr>
        <w:t>Kelly DM, Rothwell PM. Proteinuria as an independent predictor of stroke: systematic review and meta-analysis. </w:t>
      </w:r>
      <w:r w:rsidRPr="00317136">
        <w:rPr>
          <w:sz w:val="28"/>
          <w:szCs w:val="28"/>
          <w:lang w:val="en-US"/>
        </w:rPr>
        <w:t>Int J Stroke. 2020;15:29–38. doi: 10.1177/1747493019895206</w:t>
      </w:r>
    </w:p>
    <w:p w14:paraId="70BCD6E2" w14:textId="77777777" w:rsidR="00ED2A55" w:rsidRPr="00317136"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lang w:val="en-US"/>
        </w:rPr>
      </w:pPr>
      <w:r w:rsidRPr="00D47DAC">
        <w:rPr>
          <w:sz w:val="28"/>
          <w:szCs w:val="28"/>
          <w:lang w:val="en-US"/>
        </w:rPr>
        <w:t xml:space="preserve">Bisaccia G, Ricci F, Khanji MY, Sorella A, Melchiorre E, Iannetti G, Galanti K, Mantini C, Pizzi AD, Tana C, et al. Cardiovascular morbidity and mortality </w:t>
      </w:r>
      <w:r w:rsidRPr="00D47DAC">
        <w:rPr>
          <w:sz w:val="28"/>
          <w:szCs w:val="28"/>
          <w:lang w:val="en-US"/>
        </w:rPr>
        <w:lastRenderedPageBreak/>
        <w:t>related to non-alcoholic fatty liver disease: a systematic review and meta-analysis. </w:t>
      </w:r>
      <w:r w:rsidRPr="00317136">
        <w:rPr>
          <w:sz w:val="28"/>
          <w:szCs w:val="28"/>
          <w:lang w:val="en-US"/>
        </w:rPr>
        <w:t>Curr Probl Cardiol. 2023;48:101643. doi: 10.1016/j.cpcardiol.2023.101643</w:t>
      </w:r>
    </w:p>
    <w:p w14:paraId="178C9E2E"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lang w:val="en-US"/>
        </w:rPr>
        <w:t>Swartz RH, Cayley ML, Foley N, Ladhani NNN, Leffert L, Bushnell C, McClure JA, Lindsay MP. The incidence of pregnancy-related stroke: a systematic review and meta-analysis. </w:t>
      </w:r>
      <w:r w:rsidRPr="00D47DAC">
        <w:rPr>
          <w:sz w:val="28"/>
          <w:szCs w:val="28"/>
        </w:rPr>
        <w:t>Int J Stroke. 2017;12:687–697. doi: 10.1177/1747493017723271</w:t>
      </w:r>
    </w:p>
    <w:p w14:paraId="089D0AC7"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Kisanuki K, Muraki I, Yamagishi K, Kokubo Y, Saito I, Yatsuya H, Sawada N, Iso H, Tsugane S; JPHC Study Group. Weight change during middle age and risk of stroke and coronary heart disease: the Japan Public Health Center-based Prospective Study. </w:t>
      </w:r>
      <w:r w:rsidRPr="00D47DAC">
        <w:rPr>
          <w:sz w:val="28"/>
          <w:szCs w:val="28"/>
        </w:rPr>
        <w:t>Atherosclerosis. 2021;322:67–73. doi: 10.1016/j.atherosclerosis.2021.02.017</w:t>
      </w:r>
    </w:p>
    <w:p w14:paraId="0BB33363"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Song Y, Dong Q, Chang Z, Song C, Cui K, Wu S, Gao G, Fu R, Gao Y, Dou K. The impact of sleep quality and its change on the long-term risk of stroke in middle-aged and elderly people: findings from the English Longitudinal Study of Ageing. </w:t>
      </w:r>
      <w:r w:rsidRPr="00D47DAC">
        <w:rPr>
          <w:sz w:val="28"/>
          <w:szCs w:val="28"/>
        </w:rPr>
        <w:t>Sleep Med. 2023;107:281–288. doi: 10.1016/j.sleep.2023.04.032</w:t>
      </w:r>
    </w:p>
    <w:p w14:paraId="74C70E31"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lang w:val="en-US"/>
        </w:rPr>
        <w:t>Nanavati HD, Arevalo A, Memon AA, Lin C. Associations between posttraumatic stress and stroke: a systematic review and meta-analysis. </w:t>
      </w:r>
      <w:r w:rsidRPr="00D47DAC">
        <w:rPr>
          <w:sz w:val="28"/>
          <w:szCs w:val="28"/>
        </w:rPr>
        <w:t>J Trauma Stress. 2023;36:259–271. doi: 10.1002/jts.22925</w:t>
      </w:r>
    </w:p>
    <w:p w14:paraId="1378549B" w14:textId="77777777" w:rsidR="00ED2A55" w:rsidRPr="00C2629F"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lang w:val="en-US"/>
        </w:rPr>
      </w:pPr>
      <w:r w:rsidRPr="00D47DAC">
        <w:rPr>
          <w:sz w:val="28"/>
          <w:szCs w:val="28"/>
          <w:lang w:val="en-US"/>
        </w:rPr>
        <w:t>Broman J, Fandler-Hofler S, von Sarnowski B, Elmegiri M, Gattringer T, Holbe C, von der Linden J, Malinowski R, Martola J, Pinter D, et al. Long-term risk of recurrent vascular events and mortality in young stroke patients: insights from a multicenter study. </w:t>
      </w:r>
      <w:r w:rsidRPr="00317136">
        <w:rPr>
          <w:sz w:val="28"/>
          <w:szCs w:val="28"/>
          <w:lang w:val="en-US"/>
        </w:rPr>
        <w:t xml:space="preserve">Eur J Neurol. </w:t>
      </w:r>
      <w:r w:rsidRPr="00C2629F">
        <w:rPr>
          <w:sz w:val="28"/>
          <w:szCs w:val="28"/>
          <w:lang w:val="en-US"/>
        </w:rPr>
        <w:t>2023;30:2675–2683. doi: 10.1111/ene.15850</w:t>
      </w:r>
    </w:p>
    <w:p w14:paraId="0A5279E1" w14:textId="77777777" w:rsidR="00ED2A55" w:rsidRPr="00317136"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lang w:val="en-US"/>
        </w:rPr>
      </w:pPr>
      <w:r w:rsidRPr="00D47DAC">
        <w:rPr>
          <w:sz w:val="28"/>
          <w:szCs w:val="28"/>
          <w:lang w:val="en-US"/>
        </w:rPr>
        <w:t>Sato T, Sakai K, Nakada R, Shiraishi T, Tanabe M, Komatsu T, Sakuta K, Terasawa Y, Umehara T, Omoto S, et al. Employment status prior to ischemic stroke and weekly variation of stroke onset. </w:t>
      </w:r>
      <w:r w:rsidRPr="00317136">
        <w:rPr>
          <w:sz w:val="28"/>
          <w:szCs w:val="28"/>
          <w:lang w:val="en-US"/>
        </w:rPr>
        <w:t>J Stroke Cerebrovasc Dis. 2021;30:105873. doi: 10.1016/j.jstrokecerebrovasdis.2021.105873</w:t>
      </w:r>
    </w:p>
    <w:p w14:paraId="191A6FBA"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lang w:val="en-US"/>
        </w:rPr>
        <w:t>Sennfalt S, Pihlsgard M, Petersson J, Norrving B, Ullberg T. Long-term outcome after ischemic stroke in relation to comorbidity: an observational study from the Swedish Stroke Register (Riksstroke). </w:t>
      </w:r>
      <w:r w:rsidRPr="00D47DAC">
        <w:rPr>
          <w:sz w:val="28"/>
          <w:szCs w:val="28"/>
        </w:rPr>
        <w:t>Eur Stroke J. 2020;5:36–46. doi: 10.1177/2396987319883154</w:t>
      </w:r>
    </w:p>
    <w:p w14:paraId="263CF4E2" w14:textId="77777777" w:rsidR="00ED2A55" w:rsidRPr="00D47DAC" w:rsidRDefault="00ED2A55" w:rsidP="000818BE">
      <w:pPr>
        <w:pStyle w:val="pf0"/>
        <w:numPr>
          <w:ilvl w:val="0"/>
          <w:numId w:val="2"/>
        </w:numPr>
        <w:tabs>
          <w:tab w:val="left" w:pos="1276"/>
        </w:tabs>
        <w:ind w:left="0" w:firstLine="567"/>
        <w:jc w:val="both"/>
        <w:rPr>
          <w:sz w:val="28"/>
          <w:szCs w:val="28"/>
        </w:rPr>
      </w:pPr>
      <w:r w:rsidRPr="00D47DAC">
        <w:rPr>
          <w:rStyle w:val="cf01"/>
          <w:rFonts w:ascii="Times New Roman" w:hAnsi="Times New Roman" w:cs="Times New Roman"/>
          <w:sz w:val="28"/>
          <w:szCs w:val="28"/>
        </w:rPr>
        <w:t>Абдильманова Б.Р. Возраст, как фактор риска развития нарушений мозгового кровообращения. //Вестник Казахского Национального медицинского Университета. - Алматы, 2010. - №3 - С. 242-243.</w:t>
      </w:r>
    </w:p>
    <w:p w14:paraId="0B8B526E" w14:textId="77777777" w:rsidR="00ED2A55" w:rsidRPr="00D47DAC" w:rsidRDefault="00ED2A55" w:rsidP="000818BE">
      <w:pPr>
        <w:pStyle w:val="pf0"/>
        <w:numPr>
          <w:ilvl w:val="0"/>
          <w:numId w:val="2"/>
        </w:numPr>
        <w:tabs>
          <w:tab w:val="left" w:pos="1276"/>
        </w:tabs>
        <w:ind w:left="0" w:firstLine="567"/>
        <w:jc w:val="both"/>
        <w:rPr>
          <w:sz w:val="28"/>
          <w:szCs w:val="28"/>
        </w:rPr>
      </w:pPr>
      <w:r w:rsidRPr="00D47DAC">
        <w:rPr>
          <w:rStyle w:val="cf01"/>
          <w:rFonts w:ascii="Times New Roman" w:hAnsi="Times New Roman" w:cs="Times New Roman"/>
          <w:sz w:val="28"/>
          <w:szCs w:val="28"/>
        </w:rPr>
        <w:t>Абдильманова Б.Р. Возраст, как фактор риска развития нарушений мозгового кровообращения. //Вестник Казахского Национального медицинского Университета. - Алматы, 2010. - №3 - С. 242-243.</w:t>
      </w:r>
    </w:p>
    <w:p w14:paraId="7AE5EEA5"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rPr>
        <w:t xml:space="preserve"> </w:t>
      </w:r>
      <w:r w:rsidRPr="00043DCA">
        <w:rPr>
          <w:sz w:val="28"/>
          <w:szCs w:val="28"/>
          <w:lang w:val="en-US"/>
        </w:rPr>
        <w:t xml:space="preserve">Tan YK, Goh C, Leow AST, Tambyah PA, Ang A, Yap ES, Tu TM, Sharma VK, Yeo LLL, Chan BPL, Tan BYQ. COVID-19 and ischemic stroke: a systematic review and meta-summary of the literature. </w:t>
      </w:r>
      <w:r w:rsidRPr="00D47DAC">
        <w:rPr>
          <w:sz w:val="28"/>
          <w:szCs w:val="28"/>
        </w:rPr>
        <w:t>J Thromb Thrombolysis. 2020 Oct;50(3):587-595. doi: 10.1007/s11239-020-02228-y</w:t>
      </w:r>
    </w:p>
    <w:p w14:paraId="620121FB"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 xml:space="preserve">Luo W, Liu X, Bao K, Huang C. Ischemic stroke associated with COVID-19: a systematic review and meta-analysis. </w:t>
      </w:r>
      <w:r w:rsidRPr="00D47DAC">
        <w:rPr>
          <w:rStyle w:val="cf01"/>
          <w:rFonts w:ascii="Times New Roman" w:hAnsi="Times New Roman" w:cs="Times New Roman"/>
          <w:sz w:val="28"/>
          <w:szCs w:val="28"/>
        </w:rPr>
        <w:t>J Neurol. 2022 Apr;269(4):1731-1740. doi: 10.1007/s00415-021-10837-7. Epub 2021 Oct 15</w:t>
      </w:r>
    </w:p>
    <w:p w14:paraId="608185B4"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lastRenderedPageBreak/>
        <w:t xml:space="preserve">Nannoni S, de Groot R, Bell S, Markus HS. Stroke in COVID-19: A systematic review and meta-analysis. </w:t>
      </w:r>
      <w:r w:rsidRPr="00D47DAC">
        <w:rPr>
          <w:rStyle w:val="cf01"/>
          <w:rFonts w:ascii="Times New Roman" w:hAnsi="Times New Roman" w:cs="Times New Roman"/>
          <w:sz w:val="28"/>
          <w:szCs w:val="28"/>
        </w:rPr>
        <w:t>Int J Stroke. 2021 Feb;16(2):137-149. doi: 10.1177/1747493020972922. Epub 2020 Nov 11.</w:t>
      </w:r>
    </w:p>
    <w:p w14:paraId="63F33D54"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 xml:space="preserve">Shakil SS, Emmons-Bell S, Rutan C, Walchok J, Navi B, Sharma R, Sheth K, Roth GA, Elkind MSV. Stroke Among Patients Hospitalized With COVID-19: Results From the American Heart Association COVID-19 Cardiovascular Disease Registry. </w:t>
      </w:r>
      <w:r w:rsidRPr="00D47DAC">
        <w:rPr>
          <w:rStyle w:val="cf01"/>
          <w:rFonts w:ascii="Times New Roman" w:hAnsi="Times New Roman" w:cs="Times New Roman"/>
          <w:sz w:val="28"/>
          <w:szCs w:val="28"/>
        </w:rPr>
        <w:t>Stroke. 2022 Mar;53(3):800-807. doi: 10.1161/STROKEAHA.121.035270.</w:t>
      </w:r>
    </w:p>
    <w:p w14:paraId="0584B1C9" w14:textId="77777777" w:rsidR="00ED2A55" w:rsidRPr="00043DCA" w:rsidRDefault="0005389E" w:rsidP="000818BE">
      <w:pPr>
        <w:pStyle w:val="pf0"/>
        <w:numPr>
          <w:ilvl w:val="0"/>
          <w:numId w:val="2"/>
        </w:numPr>
        <w:tabs>
          <w:tab w:val="left" w:pos="1276"/>
        </w:tabs>
        <w:ind w:left="0" w:firstLine="567"/>
        <w:jc w:val="both"/>
        <w:rPr>
          <w:sz w:val="28"/>
          <w:szCs w:val="28"/>
          <w:lang w:val="en-US"/>
        </w:rPr>
      </w:pPr>
      <w:hyperlink r:id="rId38" w:anchor="R15-15" w:history="1">
        <w:r w:rsidR="00ED2A55" w:rsidRPr="00043DCA">
          <w:rPr>
            <w:rStyle w:val="cf11"/>
            <w:rFonts w:ascii="Times New Roman" w:hAnsi="Times New Roman" w:cs="Times New Roman"/>
            <w:color w:val="0000FF"/>
            <w:sz w:val="28"/>
            <w:szCs w:val="28"/>
            <w:u w:val="single"/>
            <w:lang w:val="en-US"/>
          </w:rPr>
          <w:t>2025 Heart Disease and Stroke Statistics: A Report of US and Global Data From the American Heart Association</w:t>
        </w:r>
      </w:hyperlink>
      <w:r w:rsidR="00ED2A55" w:rsidRPr="00043DCA">
        <w:rPr>
          <w:rStyle w:val="cf01"/>
          <w:rFonts w:ascii="Times New Roman" w:hAnsi="Times New Roman" w:cs="Times New Roman"/>
          <w:sz w:val="28"/>
          <w:szCs w:val="28"/>
          <w:lang w:val="en-US"/>
        </w:rPr>
        <w:t xml:space="preserve"> </w:t>
      </w:r>
    </w:p>
    <w:p w14:paraId="4EA51F92"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lang w:val="en-US"/>
        </w:rPr>
        <w:t>Strambo D, Marto JP, Ntaios G, Nguyen TN, Michel P; Global COVID-19 Stroke Registry. Effect of asymptomatic and symptomatic COVID-19 on acute ischemic stroke revascularization outcomes. </w:t>
      </w:r>
      <w:r w:rsidRPr="00D47DAC">
        <w:rPr>
          <w:sz w:val="28"/>
          <w:szCs w:val="28"/>
        </w:rPr>
        <w:t>Stroke. 2024;55:78–88. doi: 10.1161/STROKEAHA.123.043899</w:t>
      </w:r>
    </w:p>
    <w:p w14:paraId="2FB8FCAE" w14:textId="77777777" w:rsidR="00ED2A55" w:rsidRPr="002B29E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lang w:val="en-US"/>
        </w:rPr>
      </w:pPr>
      <w:r w:rsidRPr="00D47DAC">
        <w:rPr>
          <w:sz w:val="28"/>
          <w:szCs w:val="28"/>
          <w:lang w:val="en-US"/>
        </w:rPr>
        <w:t xml:space="preserve">Vidale S, Agostoni EC. Organizing Healthcare for Optimal Acute Ischemic Stroke Treatment. </w:t>
      </w:r>
      <w:r w:rsidRPr="00C2629F">
        <w:rPr>
          <w:sz w:val="28"/>
          <w:szCs w:val="28"/>
          <w:lang w:val="en-US"/>
        </w:rPr>
        <w:t xml:space="preserve">J Clin Neurol. </w:t>
      </w:r>
      <w:r w:rsidRPr="002B29EC">
        <w:rPr>
          <w:sz w:val="28"/>
          <w:szCs w:val="28"/>
          <w:lang w:val="en-US"/>
        </w:rPr>
        <w:t>2020 Apr;16(2):183-190. doi: 10.3988/jcn.2020.16.2.183</w:t>
      </w:r>
    </w:p>
    <w:p w14:paraId="66C2747A"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Ebinger M, Kunz A, Wendt M, Rozanski M, Winter B, Waldschmidt C, Weber J, Villringer K, Fiebach JB, Audebert HJ. Effects of golden hour thrombolysis: a Prehospital Acute Neurological Treatment and Optimization of Medical Care in Stroke (PHANTOM-S) substudy. </w:t>
      </w:r>
      <w:r w:rsidRPr="00D47DAC">
        <w:rPr>
          <w:sz w:val="28"/>
          <w:szCs w:val="28"/>
        </w:rPr>
        <w:t>JAMA Neurol. 2015;72:25–30. doi: 10.1001/jamaneurol.2014.3188</w:t>
      </w:r>
    </w:p>
    <w:p w14:paraId="4CFB6148"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Kummer BR, Lerario MP, Hunter MD, Wu X, Efraim ES, Salehi Omran S, Chen ML, Diaz IL, Sacchetti D, Lekic T, et al. Geographic analysis of mobile stroke unit treatment in a dense urban area: The New York City METRONOME Registry. </w:t>
      </w:r>
      <w:r w:rsidRPr="002B29EC">
        <w:rPr>
          <w:sz w:val="28"/>
          <w:szCs w:val="28"/>
          <w:lang w:val="en-US"/>
        </w:rPr>
        <w:t xml:space="preserve">J Am Heart Assoc. </w:t>
      </w:r>
      <w:r w:rsidRPr="00D47DAC">
        <w:rPr>
          <w:sz w:val="28"/>
          <w:szCs w:val="28"/>
        </w:rPr>
        <w:t>2019;8:e013529. doi: 10.1161/JAHA.119.013529</w:t>
      </w:r>
    </w:p>
    <w:p w14:paraId="62CFF5C0" w14:textId="77777777" w:rsidR="00ED2A55" w:rsidRPr="00C2629F"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lang w:val="en-US"/>
        </w:rPr>
      </w:pPr>
      <w:r w:rsidRPr="00D47DAC">
        <w:rPr>
          <w:sz w:val="28"/>
          <w:szCs w:val="28"/>
          <w:lang w:val="en-US"/>
        </w:rPr>
        <w:t>Helwig SA, Ragoschke-Schumm A, Schwindling L, Kettner M, Roumia S, Kulikovski J, Keller I, Manitz M, Martens D, Grün D, et al. Prehospital stroke management optimized by use of clinical scoring vs mobile stroke unit for triage of patients with stroke: a randomized clinical trial. </w:t>
      </w:r>
      <w:r w:rsidRPr="00317136">
        <w:rPr>
          <w:sz w:val="28"/>
          <w:szCs w:val="28"/>
          <w:lang w:val="en-US"/>
        </w:rPr>
        <w:t xml:space="preserve">JAMA Neurol. </w:t>
      </w:r>
      <w:r w:rsidRPr="00C2629F">
        <w:rPr>
          <w:sz w:val="28"/>
          <w:szCs w:val="28"/>
          <w:lang w:val="en-US"/>
        </w:rPr>
        <w:t>2019;76:1484–1492. doi: 10.1001/jamaneurol.2019.2829</w:t>
      </w:r>
    </w:p>
    <w:p w14:paraId="5F13A47C"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Gyrd-Hansen D, Olsen KR, Bollweg K, Kronborg C, Ebinger M, Audebert HJ. Cost-effectiveness estimate of prehospital thrombolysis: results of the PHANTOM-S study. </w:t>
      </w:r>
      <w:r w:rsidRPr="00D47DAC">
        <w:rPr>
          <w:sz w:val="28"/>
          <w:szCs w:val="28"/>
        </w:rPr>
        <w:t>Neurology. 2015;84:1090–1097. doi: 10.1212/WNL.0000000000001366</w:t>
      </w:r>
    </w:p>
    <w:p w14:paraId="0F9A0BCE"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Walter S, Kostopoulos P, Haass A, Keller I, Lesmeister M, Schlechtriemen T, Roth C, Papanagiotou P, Grunwald I, Schumacher H, et al. Diagnosis and treatment of patients with stroke in a mobile stroke unit versus in hospital: a randomised controlled trial. </w:t>
      </w:r>
      <w:r w:rsidRPr="002B29EC">
        <w:rPr>
          <w:sz w:val="28"/>
          <w:szCs w:val="28"/>
          <w:lang w:val="en-US"/>
        </w:rPr>
        <w:t xml:space="preserve">Lancet Neurol. </w:t>
      </w:r>
      <w:r w:rsidRPr="00D47DAC">
        <w:rPr>
          <w:sz w:val="28"/>
          <w:szCs w:val="28"/>
        </w:rPr>
        <w:t>2012;11:397–404. doi: 10.1016/S1474-4422(12)70057-1</w:t>
      </w:r>
    </w:p>
    <w:p w14:paraId="23C3A0C0" w14:textId="77777777" w:rsidR="00ED2A55" w:rsidRPr="00043DCA" w:rsidRDefault="00ED2A55" w:rsidP="000818BE">
      <w:pPr>
        <w:pStyle w:val="a6"/>
        <w:numPr>
          <w:ilvl w:val="0"/>
          <w:numId w:val="2"/>
        </w:numPr>
        <w:tabs>
          <w:tab w:val="left" w:pos="1276"/>
        </w:tabs>
        <w:spacing w:before="100" w:beforeAutospacing="1" w:after="100" w:afterAutospacing="1"/>
        <w:ind w:left="0" w:firstLine="567"/>
        <w:jc w:val="both"/>
        <w:rPr>
          <w:sz w:val="28"/>
          <w:szCs w:val="28"/>
          <w:lang w:val="en-US"/>
        </w:rPr>
      </w:pPr>
      <w:r w:rsidRPr="00043DCA">
        <w:rPr>
          <w:sz w:val="28"/>
          <w:szCs w:val="28"/>
          <w:lang w:val="en-US"/>
        </w:rPr>
        <w:t>Grotta JC, Yamal JM, Parker SA, Rajan SS, Gonzales NR, Jones WJ, Alexandrov AW, Navi BB, Nour M, Spokoyny I, et al. Prospective, multicenter, controlled trial of mobile stroke units. N Engl J Med. 2021;385:971–981. doi: 10.1056/NEJMoa2103879</w:t>
      </w:r>
    </w:p>
    <w:p w14:paraId="22FAA118"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lastRenderedPageBreak/>
        <w:t xml:space="preserve">Aderinto N, Olatunji G, Kokori E. Effectiveness of mobile stroke units in reducing time to thrombolysis in acute ischemic stroke: a scoping review. </w:t>
      </w:r>
      <w:r w:rsidRPr="00D47DAC">
        <w:rPr>
          <w:rStyle w:val="cf01"/>
          <w:rFonts w:ascii="Times New Roman" w:hAnsi="Times New Roman" w:cs="Times New Roman"/>
          <w:sz w:val="28"/>
          <w:szCs w:val="28"/>
        </w:rPr>
        <w:t>Int J Emerg Med. 2025 Jun 20;18(1):109. doi: 10.1186/s12245-025-00903-6.</w:t>
      </w:r>
    </w:p>
    <w:p w14:paraId="0402EA2B"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 xml:space="preserve">Fassbender, Klaus; Lesmeister, Martin; Merzou, Fatma. Prehospital stroke management and mobile stroke units. </w:t>
      </w:r>
      <w:r w:rsidRPr="00D47DAC">
        <w:rPr>
          <w:rStyle w:val="cf01"/>
          <w:rFonts w:ascii="Times New Roman" w:hAnsi="Times New Roman" w:cs="Times New Roman"/>
          <w:sz w:val="28"/>
          <w:szCs w:val="28"/>
        </w:rPr>
        <w:t>Current Opinion in Neurology 36(2):p 140-146, April 2023. | DOI: 10.1097/WCO.0000000000001150</w:t>
      </w:r>
    </w:p>
    <w:p w14:paraId="7EDE1BEE" w14:textId="77777777" w:rsidR="00ED2A55" w:rsidRPr="00C2629F"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lang w:val="en-US"/>
        </w:rPr>
      </w:pPr>
      <w:r w:rsidRPr="00D47DAC">
        <w:rPr>
          <w:sz w:val="28"/>
          <w:szCs w:val="28"/>
          <w:lang w:val="en-US"/>
        </w:rPr>
        <w:t>Cherian M, Mehta P, Varadharajan S, et al. Retrospective Review and Proof of Concept of Asia’s First Mobile Stroke Unit Experience in Kovai Medical Center and Hospital. </w:t>
      </w:r>
      <w:r w:rsidRPr="00C2629F">
        <w:rPr>
          <w:sz w:val="28"/>
          <w:szCs w:val="28"/>
          <w:lang w:val="en-US"/>
        </w:rPr>
        <w:t>Journal of Stroke Medicine. 2020;3(2):116-123. doi:</w:t>
      </w:r>
      <w:hyperlink r:id="rId39" w:history="1">
        <w:r w:rsidRPr="00C2629F">
          <w:rPr>
            <w:rStyle w:val="a3"/>
            <w:sz w:val="28"/>
            <w:szCs w:val="28"/>
            <w:lang w:val="en-US"/>
          </w:rPr>
          <w:t>10.1177/2516608520968418</w:t>
        </w:r>
      </w:hyperlink>
    </w:p>
    <w:p w14:paraId="29E26F06"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lang w:val="en-US"/>
        </w:rPr>
        <w:t xml:space="preserve">Opare-Addo PA, Tannor EK, Brennan E, Aikins M, Bediako SA, Herbert TL, Hutton-Mensah KA, Ofori E, Gyan KF, Gyabaah S, Acheamfour-Akowuah E, Sarfo FS. A scoping review of the utilization of mobile stroke units in low and lower middle-income countries: current evidence, implications and future direction. </w:t>
      </w:r>
      <w:r w:rsidRPr="00D47DAC">
        <w:rPr>
          <w:sz w:val="28"/>
          <w:szCs w:val="28"/>
        </w:rPr>
        <w:t>BMC Health Serv Res. 2025 May 22;25(1):742. doi: 10.1186/s12913-025-12920-5.</w:t>
      </w:r>
    </w:p>
    <w:p w14:paraId="6ECA12DE"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Madu CS, Ajibade VM. Acute Stroke Management and Nursing Intervention. </w:t>
      </w:r>
      <w:r w:rsidRPr="00D47DAC">
        <w:rPr>
          <w:sz w:val="28"/>
          <w:szCs w:val="28"/>
        </w:rPr>
        <w:t>Cureus. 2025;17(6):e86820. Published 2025 Jun 26. doi:10.7759/cureus.86820</w:t>
      </w:r>
    </w:p>
    <w:p w14:paraId="5942B8BF" w14:textId="77777777" w:rsidR="00ED2A55" w:rsidRPr="002B29EC" w:rsidRDefault="00ED2A55" w:rsidP="000818BE">
      <w:pPr>
        <w:pStyle w:val="a6"/>
        <w:numPr>
          <w:ilvl w:val="0"/>
          <w:numId w:val="2"/>
        </w:numPr>
        <w:tabs>
          <w:tab w:val="left" w:pos="1276"/>
        </w:tabs>
        <w:spacing w:before="100" w:beforeAutospacing="1" w:after="100" w:afterAutospacing="1"/>
        <w:ind w:left="0" w:firstLine="567"/>
        <w:jc w:val="both"/>
        <w:rPr>
          <w:sz w:val="28"/>
          <w:szCs w:val="28"/>
          <w:lang w:val="en-US"/>
        </w:rPr>
      </w:pPr>
      <w:r w:rsidRPr="00043DCA">
        <w:rPr>
          <w:sz w:val="28"/>
          <w:szCs w:val="28"/>
          <w:lang w:val="en-US"/>
        </w:rPr>
        <w:t>Clare CS. Role of the nurse in acute stroke care. </w:t>
      </w:r>
      <w:r w:rsidRPr="002B29EC">
        <w:rPr>
          <w:sz w:val="28"/>
          <w:szCs w:val="28"/>
          <w:lang w:val="en-US"/>
        </w:rPr>
        <w:t>Nurs Stand. 2020;35(4):75-82. doi:10.7748/ns.2020.e11482</w:t>
      </w:r>
    </w:p>
    <w:p w14:paraId="6FB65904"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Camicia M, Lutz B, Summers D, Klassman L, Vaughn S. Nursing's Role in Successful Stroke Care Transitions Across the Continuum: From Acute Care Into the Community. </w:t>
      </w:r>
      <w:r w:rsidRPr="00D47DAC">
        <w:rPr>
          <w:sz w:val="28"/>
          <w:szCs w:val="28"/>
        </w:rPr>
        <w:t>Stroke. 2021;52(12):e794-e805. doi:10.1161/STROKEAHA.121.033938</w:t>
      </w:r>
    </w:p>
    <w:p w14:paraId="4181E24B"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rPr>
        <w:t xml:space="preserve">Sanjuan E, Pancorbo O, Santana K, Miñarro O, Sala V, Muchada M, Boned S, Juega JM, Pagola J, García-Tornel Á, Requena M, Rodríguez-Villatoro N, Rodríguez-Luna D, Deck M, Ribo M, Molina CA, Meler P, Romero V, Dalmases G, Rodríguez-Samaniego MT, Calleja L, Gutierrez T, Peña L, Gallego JC, Lorenzo E, Gonzalez Y, Moreno R, Rubiera M. Management of acute stroke. </w:t>
      </w:r>
      <w:r w:rsidRPr="00D47DAC">
        <w:rPr>
          <w:sz w:val="28"/>
          <w:szCs w:val="28"/>
          <w:lang w:val="en-US"/>
        </w:rPr>
        <w:t xml:space="preserve">Specific nursing care and treatments in the stroke unit. Neurologia (Engl Ed). 2023 Jul-Aug;38(6):419-426. doi: 10.1016/j.nrleng.2020.07.026. </w:t>
      </w:r>
      <w:r w:rsidRPr="00D47DAC">
        <w:rPr>
          <w:sz w:val="28"/>
          <w:szCs w:val="28"/>
        </w:rPr>
        <w:t>Epub 2023 Apr 27.</w:t>
      </w:r>
    </w:p>
    <w:p w14:paraId="2ED32A31" w14:textId="77777777" w:rsidR="00ED2A55" w:rsidRPr="00D47DAC" w:rsidRDefault="00ED2A55" w:rsidP="000818BE">
      <w:pPr>
        <w:pStyle w:val="a6"/>
        <w:numPr>
          <w:ilvl w:val="0"/>
          <w:numId w:val="2"/>
        </w:numPr>
        <w:tabs>
          <w:tab w:val="left" w:pos="284"/>
          <w:tab w:val="left" w:pos="1276"/>
        </w:tabs>
        <w:spacing w:before="100" w:beforeAutospacing="1" w:afterAutospacing="1"/>
        <w:ind w:left="0" w:firstLine="567"/>
        <w:jc w:val="both"/>
        <w:rPr>
          <w:sz w:val="28"/>
          <w:szCs w:val="28"/>
        </w:rPr>
      </w:pPr>
      <w:r w:rsidRPr="00D47DAC">
        <w:rPr>
          <w:sz w:val="28"/>
          <w:szCs w:val="28"/>
          <w:lang w:val="en-US"/>
        </w:rPr>
        <w:t xml:space="preserve">Kairatova G.K., Kuanyshkalieva A.S., Rakhmetova V.S., Kaskabayeva </w:t>
      </w:r>
      <w:r w:rsidRPr="00D47DAC">
        <w:rPr>
          <w:sz w:val="28"/>
          <w:szCs w:val="28"/>
        </w:rPr>
        <w:t>А</w:t>
      </w:r>
      <w:r w:rsidRPr="00D47DAC">
        <w:rPr>
          <w:sz w:val="28"/>
          <w:szCs w:val="28"/>
          <w:lang w:val="en-US"/>
        </w:rPr>
        <w:t xml:space="preserve">.Sh., Khismetova Z.A., Smailova D.S., Epidemiology of stroke in the Republic of Kazakhstan // Nauka i Zdravookhranenie [Science &amp; Healthcare]. </w:t>
      </w:r>
      <w:r w:rsidRPr="00D47DAC">
        <w:rPr>
          <w:sz w:val="28"/>
          <w:szCs w:val="28"/>
        </w:rPr>
        <w:t>2022, (Vol.24) 5, pp. 105-112. doi 10.34689/SH.2022.24.5.014</w:t>
      </w:r>
    </w:p>
    <w:p w14:paraId="7606768F" w14:textId="77777777" w:rsidR="00ED2A55" w:rsidRPr="002B29EC" w:rsidRDefault="00ED2A55" w:rsidP="000818BE">
      <w:pPr>
        <w:pStyle w:val="a6"/>
        <w:numPr>
          <w:ilvl w:val="0"/>
          <w:numId w:val="2"/>
        </w:numPr>
        <w:tabs>
          <w:tab w:val="left" w:pos="1276"/>
        </w:tabs>
        <w:spacing w:before="100" w:beforeAutospacing="1" w:after="100" w:afterAutospacing="1"/>
        <w:ind w:left="0" w:firstLine="567"/>
        <w:jc w:val="both"/>
        <w:rPr>
          <w:sz w:val="28"/>
          <w:szCs w:val="28"/>
          <w:lang w:val="en-US"/>
        </w:rPr>
      </w:pPr>
      <w:r w:rsidRPr="00043DCA">
        <w:rPr>
          <w:sz w:val="28"/>
          <w:szCs w:val="28"/>
          <w:lang w:val="en-US"/>
        </w:rPr>
        <w:t>Urasheva Z, Khamidulla A, Gaisiyeva Z, et al. ANALYSIS OF RISK FACTORS FOR ISCHEMIC STROKE IN RURAL RESIDENTS OF THE AKTOBE REGION. </w:t>
      </w:r>
      <w:r w:rsidRPr="002B29EC">
        <w:rPr>
          <w:sz w:val="28"/>
          <w:szCs w:val="28"/>
          <w:lang w:val="en-US"/>
        </w:rPr>
        <w:t>Georgian Med News. 2024;(348):144-150.</w:t>
      </w:r>
    </w:p>
    <w:p w14:paraId="70FF4734"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Adenova G, Kausova G, Tazhiyeva A. Improving multidisciplinary hospital care for acute cerebral circulation disorders in Kazakhstan. </w:t>
      </w:r>
      <w:r w:rsidRPr="00D47DAC">
        <w:rPr>
          <w:sz w:val="28"/>
          <w:szCs w:val="28"/>
        </w:rPr>
        <w:t>Heliyon. 2023;9(8):e18435. Published 2023 Aug 1. doi:10.1016/j.heliyon.2023.e18435</w:t>
      </w:r>
    </w:p>
    <w:p w14:paraId="0C5B8E74"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sz w:val="28"/>
          <w:szCs w:val="28"/>
          <w:lang w:val="en-US"/>
        </w:rPr>
        <w:t xml:space="preserve">Kairatova GK, Khismetova ZA, Smailova DS, et al. Assessment of Skills of Caregivers Providing Care for Stroke Patients in East Kazakhstan </w:t>
      </w:r>
      <w:r w:rsidRPr="00043DCA">
        <w:rPr>
          <w:sz w:val="28"/>
          <w:szCs w:val="28"/>
          <w:lang w:val="en-US"/>
        </w:rPr>
        <w:lastRenderedPageBreak/>
        <w:t>Region. </w:t>
      </w:r>
      <w:r w:rsidRPr="002B29EC">
        <w:rPr>
          <w:sz w:val="28"/>
          <w:szCs w:val="28"/>
          <w:lang w:val="en-US"/>
        </w:rPr>
        <w:t xml:space="preserve">Healthcare (Basel). 2024;13(1):27. </w:t>
      </w:r>
      <w:r w:rsidRPr="00D47DAC">
        <w:rPr>
          <w:sz w:val="28"/>
          <w:szCs w:val="28"/>
        </w:rPr>
        <w:t>Published 2024 Dec 26. doi:10.3390/healthcare13010027</w:t>
      </w:r>
    </w:p>
    <w:p w14:paraId="2F74B5A8" w14:textId="77777777" w:rsidR="00ED2A55" w:rsidRPr="00D47DAC" w:rsidRDefault="0005389E" w:rsidP="000818BE">
      <w:pPr>
        <w:pStyle w:val="pf0"/>
        <w:numPr>
          <w:ilvl w:val="0"/>
          <w:numId w:val="2"/>
        </w:numPr>
        <w:tabs>
          <w:tab w:val="left" w:pos="1276"/>
        </w:tabs>
        <w:ind w:left="0" w:firstLine="567"/>
        <w:jc w:val="both"/>
        <w:rPr>
          <w:rStyle w:val="cf01"/>
          <w:rFonts w:ascii="Times New Roman" w:hAnsi="Times New Roman" w:cs="Times New Roman"/>
          <w:sz w:val="28"/>
          <w:szCs w:val="28"/>
        </w:rPr>
      </w:pPr>
      <w:hyperlink r:id="rId40" w:history="1">
        <w:r w:rsidR="00ED2A55" w:rsidRPr="00D47DAC">
          <w:rPr>
            <w:rStyle w:val="a3"/>
            <w:sz w:val="28"/>
            <w:szCs w:val="28"/>
          </w:rPr>
          <w:t>https://emcrk.kz/ru/informatsiya/insultnyj-tsentr</w:t>
        </w:r>
      </w:hyperlink>
    </w:p>
    <w:p w14:paraId="2B69CCBE" w14:textId="77777777" w:rsidR="00ED2A55" w:rsidRPr="00043DCA" w:rsidRDefault="00ED2A55" w:rsidP="000818BE">
      <w:pPr>
        <w:pStyle w:val="pf0"/>
        <w:numPr>
          <w:ilvl w:val="0"/>
          <w:numId w:val="2"/>
        </w:numPr>
        <w:tabs>
          <w:tab w:val="left" w:pos="1276"/>
        </w:tabs>
        <w:ind w:left="0" w:firstLine="567"/>
        <w:jc w:val="both"/>
        <w:rPr>
          <w:sz w:val="28"/>
          <w:szCs w:val="28"/>
          <w:lang w:val="en-US"/>
        </w:rPr>
      </w:pPr>
      <w:r w:rsidRPr="00043DCA">
        <w:rPr>
          <w:rStyle w:val="cf01"/>
          <w:rFonts w:ascii="Times New Roman" w:hAnsi="Times New Roman" w:cs="Times New Roman"/>
          <w:sz w:val="28"/>
          <w:szCs w:val="28"/>
          <w:lang w:val="en-US"/>
        </w:rPr>
        <w:t>OECD/Eurostat (2022), “Avoidable mortality: OECD/Eurostat lists of preventable and treatable causes of death”, OECD, Paris/Eurostat, Brussels, https://www.oecd.org/health/health-systems/Avoidablemortality-2019-Joint-OECD-Eurostat-List-preventable-treatable-causes-of-death.pdf.</w:t>
      </w:r>
    </w:p>
    <w:p w14:paraId="14E05F48"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 xml:space="preserve">Chang AY, Stevens GA, Cardoso DS, Cao B, Jamison DT. The economic value of reducing avoidable mortality. </w:t>
      </w:r>
      <w:r w:rsidRPr="00D47DAC">
        <w:rPr>
          <w:rStyle w:val="cf01"/>
          <w:rFonts w:ascii="Times New Roman" w:hAnsi="Times New Roman" w:cs="Times New Roman"/>
          <w:sz w:val="28"/>
          <w:szCs w:val="28"/>
        </w:rPr>
        <w:t>Nat Med 2024;30:3327–34</w:t>
      </w:r>
    </w:p>
    <w:p w14:paraId="7EB400DA"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 xml:space="preserve">Sweis NJ. Revisiting the value of a statistical life: An international approach during COVID-19. </w:t>
      </w:r>
      <w:r w:rsidRPr="00D47DAC">
        <w:rPr>
          <w:rStyle w:val="cf01"/>
          <w:rFonts w:ascii="Times New Roman" w:hAnsi="Times New Roman" w:cs="Times New Roman"/>
          <w:sz w:val="28"/>
          <w:szCs w:val="28"/>
        </w:rPr>
        <w:t>Risk Manage 2022;24:259–72.</w:t>
      </w:r>
    </w:p>
    <w:p w14:paraId="5A91B822" w14:textId="77777777" w:rsidR="00ED2A55" w:rsidRPr="00D47DAC" w:rsidRDefault="00ED2A55" w:rsidP="000818BE">
      <w:pPr>
        <w:pStyle w:val="a6"/>
        <w:numPr>
          <w:ilvl w:val="0"/>
          <w:numId w:val="2"/>
        </w:numPr>
        <w:tabs>
          <w:tab w:val="left" w:pos="360"/>
          <w:tab w:val="left" w:pos="1276"/>
        </w:tabs>
        <w:ind w:left="0" w:firstLine="567"/>
        <w:jc w:val="both"/>
        <w:rPr>
          <w:sz w:val="28"/>
          <w:szCs w:val="28"/>
          <w:lang w:val="en-US"/>
        </w:rPr>
      </w:pPr>
      <w:r w:rsidRPr="00D47DAC">
        <w:rPr>
          <w:sz w:val="28"/>
          <w:szCs w:val="28"/>
        </w:rPr>
        <w:t xml:space="preserve">Kunz A, Ebinger M, Geisler F, Rozanski M, Waldschmidt C, Weber JE, Wendt M, Winter B, Zieschang K, Fiebach JB, Villringer K, Erdur H, Scheitz JF, Tütüncü S, Bollweg K, Grittner U, Kaczmarek S, Endres M, Nolte CH, Audebert HJ. </w:t>
      </w:r>
      <w:r w:rsidRPr="00D47DAC">
        <w:rPr>
          <w:sz w:val="28"/>
          <w:szCs w:val="28"/>
          <w:lang w:val="en-US"/>
        </w:rPr>
        <w:t xml:space="preserve">Functional outcomes of pre-hospital thrombolysis in a mobile stroke treatment unit compared with conventional care: an observational registry study. Lancet Neurol. 2016 Sep;15(10):1035-43. doi: 10.1016/S1474-4422(16)30129-6.  </w:t>
      </w:r>
    </w:p>
    <w:p w14:paraId="2351E3D1" w14:textId="77777777" w:rsidR="00ED2A55" w:rsidRPr="00D47DAC" w:rsidRDefault="00ED2A55" w:rsidP="000818BE">
      <w:pPr>
        <w:pStyle w:val="a6"/>
        <w:numPr>
          <w:ilvl w:val="0"/>
          <w:numId w:val="2"/>
        </w:numPr>
        <w:tabs>
          <w:tab w:val="left" w:pos="360"/>
          <w:tab w:val="left" w:pos="1276"/>
        </w:tabs>
        <w:ind w:left="0" w:firstLine="567"/>
        <w:jc w:val="both"/>
        <w:rPr>
          <w:sz w:val="28"/>
          <w:szCs w:val="28"/>
          <w:lang w:val="en-US"/>
        </w:rPr>
      </w:pPr>
      <w:r w:rsidRPr="00D47DAC">
        <w:rPr>
          <w:sz w:val="28"/>
          <w:szCs w:val="28"/>
          <w:lang w:val="en-US"/>
        </w:rPr>
        <w:t xml:space="preserve">Leppert MH, Sillau S, Lindrooth RC, Poisson SN, Campbell JD, Simpson JR. Relationship between early follow-up and readmission within 30 and 90 days after ischemic stroke. Neurology. 2020 Mar 24;94(12):e1249-e1258. doi: 10.1212/WNL.0000000000009135. Epub 2020 Feb 20. </w:t>
      </w:r>
    </w:p>
    <w:p w14:paraId="179D9F3F" w14:textId="77777777" w:rsidR="00ED2A55" w:rsidRPr="00D47DAC" w:rsidRDefault="00ED2A55" w:rsidP="000818BE">
      <w:pPr>
        <w:pStyle w:val="a6"/>
        <w:numPr>
          <w:ilvl w:val="0"/>
          <w:numId w:val="2"/>
        </w:numPr>
        <w:tabs>
          <w:tab w:val="left" w:pos="360"/>
          <w:tab w:val="left" w:pos="1276"/>
        </w:tabs>
        <w:ind w:left="0" w:firstLine="567"/>
        <w:jc w:val="both"/>
        <w:rPr>
          <w:sz w:val="28"/>
          <w:szCs w:val="28"/>
          <w:lang w:val="en-US"/>
        </w:rPr>
      </w:pPr>
      <w:r w:rsidRPr="00D47DAC">
        <w:rPr>
          <w:sz w:val="28"/>
          <w:szCs w:val="28"/>
          <w:lang w:val="en-US"/>
        </w:rPr>
        <w:t xml:space="preserve">Ganesalingam J, Pizzo E, Morris S, Sunderland T, Ames D, Lobotesis K. Cost-Utility Analysis of Mechanical Thrombectomy Using Stent Retrievers in Acute Ischemic Stroke. Stroke. 2015 Sep;46(9):2591-8. doi: 10.1161/STROKEAHA.115.009396. Epub 2015 Aug 6. </w:t>
      </w:r>
    </w:p>
    <w:p w14:paraId="14F2F0F5" w14:textId="77777777" w:rsidR="00ED2A55" w:rsidRPr="00043DCA" w:rsidRDefault="0005389E" w:rsidP="000818BE">
      <w:pPr>
        <w:pStyle w:val="a6"/>
        <w:numPr>
          <w:ilvl w:val="0"/>
          <w:numId w:val="2"/>
        </w:numPr>
        <w:tabs>
          <w:tab w:val="left" w:pos="360"/>
          <w:tab w:val="left" w:pos="1276"/>
        </w:tabs>
        <w:ind w:left="0" w:firstLine="567"/>
        <w:jc w:val="both"/>
        <w:rPr>
          <w:sz w:val="28"/>
          <w:szCs w:val="28"/>
          <w:lang w:val="en-US"/>
        </w:rPr>
      </w:pPr>
      <w:hyperlink r:id="rId41" w:history="1">
        <w:r w:rsidR="00ED2A55" w:rsidRPr="00043DCA">
          <w:rPr>
            <w:rStyle w:val="a3"/>
            <w:sz w:val="28"/>
            <w:szCs w:val="28"/>
            <w:lang w:val="en-US"/>
          </w:rPr>
          <w:t>https://nrchd.kz/storage/documents/%D0%A3%D1%81%D0%BB%D1%83%D0%B3%D0%B8/%D0%9E%D1%86%D0%B5%D0%BD%D0%BA%D0%B0%20%D1%80%D0%B5%D0%BA%D0%BB%D0%B0%D0%BC%D0%BD%D1%8B%D1%85%20%D0%BC%D0%B0%D1%82%D0%B5%D1%80%D0%B8%D0%B0%D0%BB%D0%BE%D0%B2/%D0%9F%D1%80%D0%B5%D0%B9%D1%81%D0%BA%D1%83%D1%80%D0%B0%D0%BD%D1%82%20%2025%20%D0%B3%D0%BE%D0%B4.pdf</w:t>
        </w:r>
      </w:hyperlink>
    </w:p>
    <w:p w14:paraId="47129BE7" w14:textId="77777777" w:rsidR="00ED2A55" w:rsidRPr="00043DCA" w:rsidRDefault="0005389E" w:rsidP="000818BE">
      <w:pPr>
        <w:pStyle w:val="a6"/>
        <w:numPr>
          <w:ilvl w:val="0"/>
          <w:numId w:val="2"/>
        </w:numPr>
        <w:tabs>
          <w:tab w:val="left" w:pos="360"/>
          <w:tab w:val="left" w:pos="1276"/>
        </w:tabs>
        <w:ind w:left="0" w:firstLine="567"/>
        <w:jc w:val="both"/>
        <w:rPr>
          <w:sz w:val="28"/>
          <w:szCs w:val="28"/>
          <w:lang w:val="en-US"/>
        </w:rPr>
      </w:pPr>
      <w:hyperlink r:id="rId42" w:history="1">
        <w:r w:rsidR="00ED2A55" w:rsidRPr="00043DCA">
          <w:rPr>
            <w:color w:val="0000FF"/>
            <w:sz w:val="28"/>
            <w:szCs w:val="28"/>
            <w:u w:val="single"/>
            <w:lang w:val="en-US"/>
          </w:rPr>
          <w:t>https://taldau.stat.gov.kz/ru/NewIndex/GetIndex/702972?keyword=%D0%B2%D1%80%D0%B0%D1%87</w:t>
        </w:r>
      </w:hyperlink>
      <w:r w:rsidR="00ED2A55" w:rsidRPr="00043DCA">
        <w:rPr>
          <w:color w:val="0000FF"/>
          <w:sz w:val="28"/>
          <w:szCs w:val="28"/>
          <w:u w:val="single"/>
          <w:lang w:val="en-US"/>
        </w:rPr>
        <w:t xml:space="preserve"> </w:t>
      </w:r>
    </w:p>
    <w:p w14:paraId="2FF3CFE6" w14:textId="77777777" w:rsidR="00ED2A55" w:rsidRPr="00043DCA" w:rsidRDefault="0005389E" w:rsidP="000818BE">
      <w:pPr>
        <w:pStyle w:val="a6"/>
        <w:numPr>
          <w:ilvl w:val="0"/>
          <w:numId w:val="2"/>
        </w:numPr>
        <w:tabs>
          <w:tab w:val="left" w:pos="360"/>
          <w:tab w:val="left" w:pos="1276"/>
        </w:tabs>
        <w:ind w:left="0" w:firstLine="567"/>
        <w:jc w:val="both"/>
        <w:rPr>
          <w:sz w:val="28"/>
          <w:szCs w:val="28"/>
          <w:lang w:val="en-US"/>
        </w:rPr>
      </w:pPr>
      <w:hyperlink r:id="rId43" w:history="1">
        <w:r w:rsidR="00ED2A55" w:rsidRPr="00043DCA">
          <w:rPr>
            <w:rStyle w:val="a3"/>
            <w:sz w:val="28"/>
            <w:szCs w:val="28"/>
            <w:lang w:val="en-US"/>
          </w:rPr>
          <w:t>https://stat.gov.kz/ru/industries/economy/national-accounts/publications/347113/</w:t>
        </w:r>
      </w:hyperlink>
    </w:p>
    <w:p w14:paraId="377B825F" w14:textId="77777777" w:rsidR="00ED2A55" w:rsidRPr="00D47DAC" w:rsidRDefault="00ED2A55" w:rsidP="000818BE">
      <w:pPr>
        <w:pStyle w:val="a6"/>
        <w:numPr>
          <w:ilvl w:val="0"/>
          <w:numId w:val="2"/>
        </w:numPr>
        <w:tabs>
          <w:tab w:val="left" w:pos="360"/>
          <w:tab w:val="left" w:pos="1276"/>
        </w:tabs>
        <w:ind w:left="0" w:firstLine="567"/>
        <w:jc w:val="both"/>
        <w:rPr>
          <w:sz w:val="28"/>
          <w:szCs w:val="28"/>
          <w:lang w:val="en-US"/>
        </w:rPr>
      </w:pPr>
      <w:r w:rsidRPr="00D47DAC">
        <w:rPr>
          <w:sz w:val="28"/>
          <w:szCs w:val="28"/>
          <w:lang w:val="en-US"/>
        </w:rPr>
        <w:t>Lund UH, Stoinska-Schneider A, Larsen K, Bache KG, Robberstad B. Cost-Effectiveness of Mobile Stroke Unit Care in Norway. </w:t>
      </w:r>
      <w:r w:rsidRPr="00D47DAC">
        <w:rPr>
          <w:sz w:val="28"/>
          <w:szCs w:val="28"/>
        </w:rPr>
        <w:t>Stroke. 2022;53(10):3173-3181. doi:10.1161/STROKEAHA.121.037491</w:t>
      </w:r>
    </w:p>
    <w:p w14:paraId="18454BDC" w14:textId="77777777" w:rsidR="00ED2A55" w:rsidRPr="00D47DAC" w:rsidRDefault="00ED2A55" w:rsidP="000818BE">
      <w:pPr>
        <w:numPr>
          <w:ilvl w:val="0"/>
          <w:numId w:val="2"/>
        </w:numPr>
        <w:tabs>
          <w:tab w:val="left" w:pos="360"/>
          <w:tab w:val="left" w:pos="1276"/>
        </w:tabs>
        <w:spacing w:after="0" w:line="240" w:lineRule="auto"/>
        <w:ind w:left="0" w:firstLine="567"/>
        <w:jc w:val="both"/>
        <w:rPr>
          <w:rFonts w:ascii="Times New Roman" w:hAnsi="Times New Roman" w:cs="Times New Roman"/>
          <w:sz w:val="28"/>
          <w:szCs w:val="28"/>
        </w:rPr>
      </w:pPr>
      <w:r w:rsidRPr="00043DCA">
        <w:rPr>
          <w:rFonts w:ascii="Times New Roman" w:hAnsi="Times New Roman" w:cs="Times New Roman"/>
          <w:sz w:val="28"/>
          <w:szCs w:val="28"/>
          <w:lang w:val="en-US"/>
        </w:rPr>
        <w:t xml:space="preserve">Tsivgoulis G, Katsanos AH, Kadlecová P, Czlonkowska A, Kobayashi A, Brozman M, Švigelj V, Csiba L, Fekete K, Kõrv J, et al. Intravenous thrombolysis for ischemic stroke in the golden hour: propensity-matched analysis from the SITS-EAST registry. </w:t>
      </w:r>
      <w:r w:rsidRPr="002B29EC">
        <w:rPr>
          <w:rFonts w:ascii="Times New Roman" w:hAnsi="Times New Roman" w:cs="Times New Roman"/>
          <w:sz w:val="28"/>
          <w:szCs w:val="28"/>
          <w:lang w:val="en-US"/>
        </w:rPr>
        <w:t xml:space="preserve">J Neurol. </w:t>
      </w:r>
      <w:r w:rsidRPr="00D47DAC">
        <w:rPr>
          <w:rFonts w:ascii="Times New Roman" w:hAnsi="Times New Roman" w:cs="Times New Roman"/>
          <w:sz w:val="28"/>
          <w:szCs w:val="28"/>
        </w:rPr>
        <w:t>2017;264:912–920. doi: 10.1007/s00415-017-8461-8</w:t>
      </w:r>
    </w:p>
    <w:p w14:paraId="357BE621" w14:textId="77777777" w:rsidR="00ED2A55" w:rsidRPr="00D47DAC" w:rsidRDefault="00ED2A55" w:rsidP="000818BE">
      <w:pPr>
        <w:numPr>
          <w:ilvl w:val="0"/>
          <w:numId w:val="2"/>
        </w:numPr>
        <w:tabs>
          <w:tab w:val="left" w:pos="360"/>
          <w:tab w:val="left" w:pos="1276"/>
        </w:tabs>
        <w:spacing w:after="0" w:line="240" w:lineRule="auto"/>
        <w:ind w:left="0" w:firstLine="567"/>
        <w:jc w:val="both"/>
        <w:rPr>
          <w:rFonts w:ascii="Times New Roman" w:hAnsi="Times New Roman" w:cs="Times New Roman"/>
          <w:sz w:val="28"/>
          <w:szCs w:val="28"/>
        </w:rPr>
      </w:pPr>
      <w:r w:rsidRPr="00043DCA">
        <w:rPr>
          <w:rFonts w:ascii="Times New Roman" w:hAnsi="Times New Roman" w:cs="Times New Roman"/>
          <w:sz w:val="28"/>
          <w:szCs w:val="28"/>
          <w:lang w:val="en-US"/>
        </w:rPr>
        <w:lastRenderedPageBreak/>
        <w:t xml:space="preserve">Hacke W, Donnan G, Fieschi C, Kaste M, von Kummer R, Broderick JP, Brott T, Frankel M, Grotta JC, Haley EC, Jr, et al. ; ATLANTIS Trials Investigators; ECASS Trials Investigators; NINDS rt-PA Study Group Investigators. Association of outcome with early stroke treatment: pooled analysis of ATLANTIS, ECASS, and NINDS rt-PA stroke trials. </w:t>
      </w:r>
      <w:r w:rsidRPr="00D47DAC">
        <w:rPr>
          <w:rFonts w:ascii="Times New Roman" w:hAnsi="Times New Roman" w:cs="Times New Roman"/>
          <w:sz w:val="28"/>
          <w:szCs w:val="28"/>
        </w:rPr>
        <w:t>Lancet. 2004;363:768–774. doi: 10.1016/S0140-6736(04)15692-4 </w:t>
      </w:r>
    </w:p>
    <w:p w14:paraId="6D384418" w14:textId="77777777" w:rsidR="00ED2A55" w:rsidRPr="00D47DAC" w:rsidRDefault="00ED2A55" w:rsidP="000818BE">
      <w:pPr>
        <w:pStyle w:val="pf0"/>
        <w:numPr>
          <w:ilvl w:val="0"/>
          <w:numId w:val="2"/>
        </w:numPr>
        <w:tabs>
          <w:tab w:val="left" w:pos="360"/>
          <w:tab w:val="left" w:pos="1276"/>
        </w:tabs>
        <w:spacing w:after="0" w:afterAutospacing="0"/>
        <w:ind w:left="0" w:firstLine="567"/>
        <w:jc w:val="both"/>
        <w:rPr>
          <w:rStyle w:val="cf01"/>
          <w:rFonts w:ascii="Times New Roman" w:hAnsi="Times New Roman" w:cs="Times New Roman"/>
          <w:sz w:val="28"/>
          <w:szCs w:val="28"/>
        </w:rPr>
      </w:pPr>
      <w:r w:rsidRPr="00043DCA">
        <w:rPr>
          <w:rStyle w:val="cf01"/>
          <w:rFonts w:ascii="Times New Roman" w:eastAsiaTheme="majorEastAsia" w:hAnsi="Times New Roman" w:cs="Times New Roman"/>
          <w:sz w:val="28"/>
          <w:szCs w:val="28"/>
          <w:lang w:val="en-US"/>
        </w:rPr>
        <w:t xml:space="preserve">Kazibwe J, Gheorghe A, Wilson D, Ruiz F, Chalkidou K, Chi YL. The Use of Cost-Effectiveness Thresholds for Evaluating Health Interventions in Low- and Middle-Income Countries From 2015 to 2020: A Review. </w:t>
      </w:r>
      <w:r w:rsidRPr="00D47DAC">
        <w:rPr>
          <w:rStyle w:val="cf01"/>
          <w:rFonts w:ascii="Times New Roman" w:eastAsiaTheme="majorEastAsia" w:hAnsi="Times New Roman" w:cs="Times New Roman"/>
          <w:sz w:val="28"/>
          <w:szCs w:val="28"/>
        </w:rPr>
        <w:t>Value Health. 2022 Mar;25(3):385-389. doi: 10.1016/j.jval.2021.08.014. Epub 2021 Oct 29.</w:t>
      </w:r>
    </w:p>
    <w:p w14:paraId="22995132" w14:textId="77777777" w:rsidR="00ED2A55" w:rsidRPr="00043DCA" w:rsidRDefault="00ED2A55" w:rsidP="000818BE">
      <w:pPr>
        <w:pStyle w:val="pf0"/>
        <w:numPr>
          <w:ilvl w:val="0"/>
          <w:numId w:val="2"/>
        </w:numPr>
        <w:tabs>
          <w:tab w:val="left" w:pos="360"/>
          <w:tab w:val="left" w:pos="1276"/>
        </w:tabs>
        <w:spacing w:after="0" w:afterAutospacing="0"/>
        <w:ind w:left="0" w:firstLine="567"/>
        <w:jc w:val="both"/>
        <w:rPr>
          <w:sz w:val="28"/>
          <w:szCs w:val="28"/>
          <w:lang w:val="en-US"/>
        </w:rPr>
      </w:pPr>
      <w:r w:rsidRPr="00D47DAC">
        <w:rPr>
          <w:rFonts w:eastAsiaTheme="majorEastAsia"/>
          <w:sz w:val="28"/>
          <w:szCs w:val="28"/>
          <w:lang w:val="en-US"/>
        </w:rPr>
        <w:t xml:space="preserve">York Health Economics Consortium. Probabilistic / stochastic sensitivity analysis. Published October 2016. Updated October 2025. Accessed January 25, 2026. </w:t>
      </w:r>
      <w:hyperlink r:id="rId44" w:history="1">
        <w:r w:rsidRPr="00D47DAC">
          <w:rPr>
            <w:rStyle w:val="a3"/>
            <w:rFonts w:eastAsiaTheme="majorEastAsia"/>
            <w:sz w:val="28"/>
            <w:szCs w:val="28"/>
            <w:lang w:val="en-US"/>
          </w:rPr>
          <w:t>https://www.yhec.co.uk/glossary-term/probabilistic-stochastic-sensitivity-analysis/</w:t>
        </w:r>
      </w:hyperlink>
    </w:p>
    <w:p w14:paraId="6ECCA408" w14:textId="77777777" w:rsidR="00ED2A55" w:rsidRPr="00043DCA" w:rsidRDefault="0005389E" w:rsidP="000818BE">
      <w:pPr>
        <w:pStyle w:val="pf0"/>
        <w:numPr>
          <w:ilvl w:val="0"/>
          <w:numId w:val="2"/>
        </w:numPr>
        <w:tabs>
          <w:tab w:val="left" w:pos="360"/>
          <w:tab w:val="left" w:pos="1276"/>
        </w:tabs>
        <w:spacing w:after="0" w:afterAutospacing="0"/>
        <w:ind w:left="0" w:firstLine="567"/>
        <w:jc w:val="both"/>
        <w:rPr>
          <w:sz w:val="28"/>
          <w:szCs w:val="28"/>
          <w:lang w:val="en-US"/>
        </w:rPr>
      </w:pPr>
      <w:hyperlink r:id="rId45" w:history="1">
        <w:r w:rsidR="00ED2A55" w:rsidRPr="00043DCA">
          <w:rPr>
            <w:rStyle w:val="a3"/>
            <w:sz w:val="28"/>
            <w:szCs w:val="28"/>
            <w:lang w:val="en-US"/>
          </w:rPr>
          <w:t>https://ru.tradingeconomics.com/kazakhstan/inflation-cpi</w:t>
        </w:r>
      </w:hyperlink>
    </w:p>
    <w:p w14:paraId="3BBDC1F0"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212529"/>
          <w:sz w:val="28"/>
          <w:szCs w:val="28"/>
          <w:lang w:val="en-US"/>
        </w:rPr>
        <w:t xml:space="preserve">Kastey R., Faizullina K., Turganova M., Zhexenova A., Vaičiulis V., Akhtayeva N. Study of Hospitalized Cases Associated with Acute Cerebrovascular Accidents // Nauka i Zdravookhranenie [Science &amp; Healthcare]. </w:t>
      </w:r>
      <w:r w:rsidRPr="00D47DAC">
        <w:rPr>
          <w:color w:val="212529"/>
          <w:sz w:val="28"/>
          <w:szCs w:val="28"/>
        </w:rPr>
        <w:t>2025. Vol.27 (1), pp. 49-55. doi 10.34689/SH.2024.27.1.006</w:t>
      </w:r>
    </w:p>
    <w:p w14:paraId="79C5F7EA"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 xml:space="preserve">Kosherbayeva L, Akhtayeva N, Tolganbayeva K, Samambayeva A. Trends in avoidable mortality in Kazakhstan from 2015 to 2021. </w:t>
      </w:r>
      <w:r w:rsidRPr="00D47DAC">
        <w:rPr>
          <w:rStyle w:val="cf01"/>
          <w:rFonts w:ascii="Times New Roman" w:hAnsi="Times New Roman" w:cs="Times New Roman"/>
          <w:sz w:val="28"/>
          <w:szCs w:val="28"/>
        </w:rPr>
        <w:t>Int J Health Policy Manag 2024;13:7919.</w:t>
      </w:r>
    </w:p>
    <w:p w14:paraId="3AC4C325"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Health at a Glance 2023: OECD Indicators. Avoidable Mortality (Preventable and Treatable). Available from: </w:t>
      </w:r>
      <w:hyperlink r:id="rId46" w:anchor="indicator-d1e19019-8c081c29f9" w:history="1">
        <w:r w:rsidRPr="00043DCA">
          <w:rPr>
            <w:rStyle w:val="cf11"/>
            <w:rFonts w:ascii="Times New Roman" w:hAnsi="Times New Roman" w:cs="Times New Roman"/>
            <w:color w:val="0000FF"/>
            <w:sz w:val="28"/>
            <w:szCs w:val="28"/>
            <w:u w:val="single"/>
            <w:lang w:val="en-US"/>
          </w:rPr>
          <w:t>https://www.oecd-ilibrary.org/sites/7a7afb35-en/1/3/3/4/index.html?itemId=/content/publication/7a7afb35-en&amp;_csp_=6cf33e24 b6584414b81774026d82a571&amp;itemIGO=oecd&amp;itemContentType=book#indicator-d1e19019-8c081c29f9</w:t>
        </w:r>
      </w:hyperlink>
      <w:r w:rsidRPr="00043DCA">
        <w:rPr>
          <w:rStyle w:val="cf01"/>
          <w:rFonts w:ascii="Times New Roman" w:hAnsi="Times New Roman" w:cs="Times New Roman"/>
          <w:sz w:val="28"/>
          <w:szCs w:val="28"/>
          <w:lang w:val="en-US"/>
        </w:rPr>
        <w:t xml:space="preserve">. </w:t>
      </w:r>
      <w:r w:rsidRPr="00D47DAC">
        <w:rPr>
          <w:rStyle w:val="cf21"/>
          <w:rFonts w:ascii="Times New Roman" w:hAnsi="Times New Roman" w:cs="Times New Roman"/>
          <w:sz w:val="28"/>
          <w:szCs w:val="28"/>
        </w:rPr>
        <w:t>[Last accessed on 2024 Oct 23].</w:t>
      </w:r>
    </w:p>
    <w:p w14:paraId="297F3517"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 xml:space="preserve">OECD/European Union. Avoidable mortality (preventable and treatable). In: Health at a Glance: Europe 2022: State of Health in the EU Cycle. </w:t>
      </w:r>
      <w:r w:rsidRPr="00D47DAC">
        <w:rPr>
          <w:rStyle w:val="cf11"/>
          <w:rFonts w:ascii="Times New Roman" w:hAnsi="Times New Roman" w:cs="Times New Roman"/>
          <w:sz w:val="28"/>
          <w:szCs w:val="28"/>
        </w:rPr>
        <w:t>Paris: OECD Publishing; 2022.</w:t>
      </w:r>
    </w:p>
    <w:p w14:paraId="1024743F" w14:textId="77777777" w:rsidR="00ED2A55" w:rsidRPr="00043DCA" w:rsidRDefault="00ED2A55" w:rsidP="000818BE">
      <w:pPr>
        <w:pStyle w:val="pf0"/>
        <w:numPr>
          <w:ilvl w:val="0"/>
          <w:numId w:val="2"/>
        </w:numPr>
        <w:tabs>
          <w:tab w:val="left" w:pos="360"/>
          <w:tab w:val="left" w:pos="1276"/>
        </w:tabs>
        <w:spacing w:after="0" w:afterAutospacing="0"/>
        <w:ind w:left="0" w:firstLine="567"/>
        <w:jc w:val="both"/>
        <w:rPr>
          <w:sz w:val="28"/>
          <w:szCs w:val="28"/>
          <w:lang w:val="en-US"/>
        </w:rPr>
      </w:pPr>
      <w:r w:rsidRPr="00D47DAC">
        <w:rPr>
          <w:sz w:val="28"/>
          <w:szCs w:val="28"/>
          <w:lang w:val="en-US"/>
        </w:rPr>
        <w:t>Office for National Statistics (ONS), Released 18 June 2024, ONS Website, Statistical Bulletin, Avoidable mortality in England and Wales: 2021 and 2022 https://www.ons.gov.uk/peoplepopulationandcommunity/healthandsocialcare/causesofdeath/bulletins/avoidablemortalityinenglandandwales/2021and2022 [Last accessed on 2024 Dec 24].</w:t>
      </w:r>
    </w:p>
    <w:p w14:paraId="618C53E6"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 xml:space="preserve">Kiadaliri A. Avoidable deaths in Sweden, 1997–2018: Temporal trend and the contribution to the gender gap in life expectancy. </w:t>
      </w:r>
      <w:r w:rsidRPr="00D47DAC">
        <w:rPr>
          <w:rStyle w:val="cf01"/>
          <w:rFonts w:ascii="Times New Roman" w:hAnsi="Times New Roman" w:cs="Times New Roman"/>
          <w:sz w:val="28"/>
          <w:szCs w:val="28"/>
        </w:rPr>
        <w:t>BMC Public Health 2021;21:519.</w:t>
      </w:r>
    </w:p>
    <w:p w14:paraId="5F7B958A" w14:textId="77777777" w:rsidR="00ED2A55" w:rsidRPr="00043DCA" w:rsidRDefault="00ED2A55" w:rsidP="000818BE">
      <w:pPr>
        <w:pStyle w:val="pf0"/>
        <w:numPr>
          <w:ilvl w:val="0"/>
          <w:numId w:val="2"/>
        </w:numPr>
        <w:tabs>
          <w:tab w:val="left" w:pos="360"/>
          <w:tab w:val="left" w:pos="1276"/>
        </w:tabs>
        <w:spacing w:after="0" w:afterAutospacing="0"/>
        <w:ind w:left="0" w:firstLine="567"/>
        <w:jc w:val="both"/>
        <w:rPr>
          <w:sz w:val="28"/>
          <w:szCs w:val="28"/>
          <w:lang w:val="en-US"/>
        </w:rPr>
      </w:pPr>
      <w:r w:rsidRPr="00D47DAC">
        <w:rPr>
          <w:sz w:val="28"/>
          <w:szCs w:val="28"/>
          <w:lang w:val="en-US"/>
        </w:rPr>
        <w:t>Kosherbayeva L, Hailey D, Kurakbaev K, Tsoy A, Zhuzzhanov O, Donbay A, et al. Implementation of health technology assessment work in a hospital in Kazakhstan. Int J Technol Assess Health Care 2016;32:78–80</w:t>
      </w:r>
    </w:p>
    <w:p w14:paraId="2324BA0F"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lastRenderedPageBreak/>
        <w:t xml:space="preserve">Oortwijn W, Surgey G, Novakovic T, Baltussen R, Kosherbayeva L. The use of evidence-informed deliberative processes for health benefit package design in Kazakhstan. </w:t>
      </w:r>
      <w:r w:rsidRPr="00D47DAC">
        <w:rPr>
          <w:rStyle w:val="cf01"/>
          <w:rFonts w:ascii="Times New Roman" w:hAnsi="Times New Roman" w:cs="Times New Roman"/>
          <w:sz w:val="28"/>
          <w:szCs w:val="28"/>
        </w:rPr>
        <w:t>Int J Environ Res Public Health 2022;19:11412.</w:t>
      </w:r>
    </w:p>
    <w:p w14:paraId="53028CA4"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Primeminister News. Results of the Year: Improving the Quality of Healthcare and Building New Medical Institutions; 2023. Available from: </w:t>
      </w:r>
      <w:hyperlink r:id="rId47" w:history="1">
        <w:r w:rsidRPr="00043DCA">
          <w:rPr>
            <w:rStyle w:val="cf11"/>
            <w:rFonts w:ascii="Times New Roman" w:hAnsi="Times New Roman" w:cs="Times New Roman"/>
            <w:color w:val="0000FF"/>
            <w:sz w:val="28"/>
            <w:szCs w:val="28"/>
            <w:u w:val="single"/>
            <w:lang w:val="en-US"/>
          </w:rPr>
          <w:t>https://primeminister.kz/ru/news/itogi-goda-povyshenie-kachestva-zdravookhraneniya-i-stroitelstvo-novykh-meduchrezhdeniy-26732</w:t>
        </w:r>
      </w:hyperlink>
      <w:r w:rsidRPr="00043DCA">
        <w:rPr>
          <w:rStyle w:val="cf01"/>
          <w:rFonts w:ascii="Times New Roman" w:hAnsi="Times New Roman" w:cs="Times New Roman"/>
          <w:sz w:val="28"/>
          <w:szCs w:val="28"/>
          <w:lang w:val="en-US"/>
        </w:rPr>
        <w:t xml:space="preserve">. </w:t>
      </w:r>
      <w:r w:rsidRPr="00D47DAC">
        <w:rPr>
          <w:rStyle w:val="cf01"/>
          <w:rFonts w:ascii="Times New Roman" w:hAnsi="Times New Roman" w:cs="Times New Roman"/>
          <w:sz w:val="28"/>
          <w:szCs w:val="28"/>
        </w:rPr>
        <w:t>[Last accessed on 2024 Aug 06].</w:t>
      </w:r>
    </w:p>
    <w:p w14:paraId="23DA5C73" w14:textId="77777777" w:rsidR="00ED2A55" w:rsidRPr="00D47DAC" w:rsidRDefault="00ED2A55" w:rsidP="000818BE">
      <w:pPr>
        <w:pStyle w:val="pf0"/>
        <w:numPr>
          <w:ilvl w:val="0"/>
          <w:numId w:val="2"/>
        </w:numPr>
        <w:tabs>
          <w:tab w:val="left" w:pos="360"/>
          <w:tab w:val="left" w:pos="1276"/>
        </w:tabs>
        <w:spacing w:after="0" w:afterAutospacing="0"/>
        <w:ind w:left="0" w:firstLine="567"/>
        <w:jc w:val="both"/>
        <w:rPr>
          <w:sz w:val="28"/>
          <w:szCs w:val="28"/>
        </w:rPr>
      </w:pPr>
      <w:r w:rsidRPr="00D47DAC">
        <w:rPr>
          <w:sz w:val="28"/>
          <w:szCs w:val="28"/>
          <w:lang w:val="en-US"/>
        </w:rPr>
        <w:t>Oh R, Kim MH, Lee J, Ha R, Kim J. Did the socioeconomic inequalities in avoidable and unavoidable mortality worsen during the first year of the COVID-19 pandemic in Korea? Epidemiol Health 2023;45:e2023072.</w:t>
      </w:r>
    </w:p>
    <w:p w14:paraId="0B197EB3" w14:textId="77777777" w:rsidR="00ED2A55" w:rsidRPr="00043DCA" w:rsidRDefault="00ED2A55" w:rsidP="000818BE">
      <w:pPr>
        <w:pStyle w:val="pf0"/>
        <w:numPr>
          <w:ilvl w:val="0"/>
          <w:numId w:val="2"/>
        </w:numPr>
        <w:tabs>
          <w:tab w:val="left" w:pos="360"/>
          <w:tab w:val="left" w:pos="1276"/>
        </w:tabs>
        <w:spacing w:after="0" w:afterAutospacing="0"/>
        <w:ind w:left="0" w:firstLine="567"/>
        <w:jc w:val="both"/>
        <w:rPr>
          <w:sz w:val="28"/>
          <w:szCs w:val="28"/>
          <w:lang w:val="en-US"/>
        </w:rPr>
      </w:pPr>
      <w:r w:rsidRPr="00D47DAC">
        <w:rPr>
          <w:sz w:val="28"/>
          <w:szCs w:val="28"/>
          <w:lang w:val="en-US"/>
        </w:rPr>
        <w:t>SSTADA Health Report 2024: Satisfaction with Healthcare Systems Continues to Decline – While Individuals are Caring More for their Health; 2024. Available from: </w:t>
      </w:r>
      <w:hyperlink r:id="rId48" w:history="1">
        <w:r w:rsidRPr="00D47DAC">
          <w:rPr>
            <w:rStyle w:val="a3"/>
            <w:sz w:val="28"/>
            <w:szCs w:val="28"/>
            <w:lang w:val="en-US"/>
          </w:rPr>
          <w:t>https://www.stada.com/blog/posts/2024/june/stada-health-report-2024</w:t>
        </w:r>
      </w:hyperlink>
      <w:r w:rsidRPr="00D47DAC">
        <w:rPr>
          <w:sz w:val="28"/>
          <w:szCs w:val="28"/>
          <w:lang w:val="en-US"/>
        </w:rPr>
        <w:t> [Last accessed on 2024 Oct 20].</w:t>
      </w:r>
    </w:p>
    <w:p w14:paraId="6C1E411D" w14:textId="77777777" w:rsidR="00ED2A55" w:rsidRPr="00D47DAC" w:rsidRDefault="00ED2A55" w:rsidP="000818BE">
      <w:pPr>
        <w:pStyle w:val="pf0"/>
        <w:numPr>
          <w:ilvl w:val="0"/>
          <w:numId w:val="2"/>
        </w:numPr>
        <w:tabs>
          <w:tab w:val="left" w:pos="1276"/>
        </w:tabs>
        <w:ind w:left="0" w:firstLine="567"/>
        <w:jc w:val="both"/>
        <w:rPr>
          <w:sz w:val="28"/>
          <w:szCs w:val="28"/>
        </w:rPr>
      </w:pPr>
      <w:r w:rsidRPr="00043DCA">
        <w:rPr>
          <w:rStyle w:val="cf01"/>
          <w:rFonts w:ascii="Times New Roman" w:hAnsi="Times New Roman" w:cs="Times New Roman"/>
          <w:sz w:val="28"/>
          <w:szCs w:val="28"/>
          <w:lang w:val="en-US"/>
        </w:rPr>
        <w:t>World Bank. Current Health Expenditure Per Capita, PPP (Current International $) – Kazakhstan. Available from: </w:t>
      </w:r>
      <w:hyperlink r:id="rId49" w:history="1">
        <w:r w:rsidRPr="00043DCA">
          <w:rPr>
            <w:rStyle w:val="cf11"/>
            <w:rFonts w:ascii="Times New Roman" w:hAnsi="Times New Roman" w:cs="Times New Roman"/>
            <w:color w:val="0000FF"/>
            <w:sz w:val="28"/>
            <w:szCs w:val="28"/>
            <w:u w:val="single"/>
            <w:lang w:val="en-US"/>
          </w:rPr>
          <w:t>https://data.worldbank.org/indicator/SH.XPD.CHEX.PP.CD?locations=KZ</w:t>
        </w:r>
      </w:hyperlink>
      <w:r w:rsidRPr="00043DCA">
        <w:rPr>
          <w:rStyle w:val="cf01"/>
          <w:rFonts w:ascii="Times New Roman" w:hAnsi="Times New Roman" w:cs="Times New Roman"/>
          <w:sz w:val="28"/>
          <w:szCs w:val="28"/>
          <w:lang w:val="en-US"/>
        </w:rPr>
        <w:t xml:space="preserve">. </w:t>
      </w:r>
      <w:r w:rsidRPr="00D47DAC">
        <w:rPr>
          <w:rStyle w:val="cf01"/>
          <w:rFonts w:ascii="Times New Roman" w:hAnsi="Times New Roman" w:cs="Times New Roman"/>
          <w:sz w:val="28"/>
          <w:szCs w:val="28"/>
        </w:rPr>
        <w:t>[Last accessed on 2024 Oct 25].</w:t>
      </w:r>
    </w:p>
    <w:p w14:paraId="5FB4D631" w14:textId="77777777" w:rsidR="00ED2A55" w:rsidRPr="002B29EC" w:rsidRDefault="00ED2A55" w:rsidP="000818BE">
      <w:pPr>
        <w:pStyle w:val="pf0"/>
        <w:numPr>
          <w:ilvl w:val="0"/>
          <w:numId w:val="2"/>
        </w:numPr>
        <w:tabs>
          <w:tab w:val="left" w:pos="360"/>
          <w:tab w:val="left" w:pos="1276"/>
        </w:tabs>
        <w:spacing w:after="0" w:afterAutospacing="0"/>
        <w:ind w:left="0" w:firstLine="567"/>
        <w:jc w:val="both"/>
        <w:rPr>
          <w:sz w:val="28"/>
          <w:szCs w:val="28"/>
          <w:lang w:val="en-US"/>
        </w:rPr>
      </w:pPr>
      <w:r w:rsidRPr="00043DCA">
        <w:rPr>
          <w:sz w:val="28"/>
          <w:szCs w:val="28"/>
          <w:lang w:val="en-US"/>
        </w:rPr>
        <w:t xml:space="preserve">Rosu MB, Oliffe JL, Kelly MT. Nurse practitioners and men’s primary health care. </w:t>
      </w:r>
      <w:r w:rsidRPr="002B29EC">
        <w:rPr>
          <w:sz w:val="28"/>
          <w:szCs w:val="28"/>
          <w:lang w:val="en-US"/>
        </w:rPr>
        <w:t>Am J Mens Health 2017;11:1501–11.</w:t>
      </w:r>
    </w:p>
    <w:p w14:paraId="3789FBEE" w14:textId="77777777" w:rsidR="00ED2A55" w:rsidRPr="00043DCA" w:rsidRDefault="00ED2A55" w:rsidP="000818BE">
      <w:pPr>
        <w:pStyle w:val="pf0"/>
        <w:numPr>
          <w:ilvl w:val="0"/>
          <w:numId w:val="2"/>
        </w:numPr>
        <w:tabs>
          <w:tab w:val="left" w:pos="360"/>
          <w:tab w:val="left" w:pos="1276"/>
        </w:tabs>
        <w:spacing w:after="0" w:afterAutospacing="0"/>
        <w:ind w:left="0" w:firstLine="567"/>
        <w:jc w:val="both"/>
        <w:rPr>
          <w:sz w:val="28"/>
          <w:szCs w:val="28"/>
          <w:lang w:val="en-US"/>
        </w:rPr>
      </w:pPr>
      <w:r w:rsidRPr="00043DCA">
        <w:rPr>
          <w:sz w:val="28"/>
          <w:szCs w:val="28"/>
          <w:lang w:val="en-US"/>
        </w:rPr>
        <w:t>Mühlichen M, Lerch M, Sauerberg M, Grigoriev P. Different health systems – Different mortality outcomes? Regional disparities in avoidable mortality across German-speaking Europe, 1992–2019. Soc Sci Med 2023;329:115976.</w:t>
      </w:r>
    </w:p>
    <w:p w14:paraId="4392A30A" w14:textId="77777777" w:rsidR="00ED2A55" w:rsidRPr="00043DCA" w:rsidRDefault="00ED2A55" w:rsidP="000818BE">
      <w:pPr>
        <w:numPr>
          <w:ilvl w:val="0"/>
          <w:numId w:val="2"/>
        </w:numPr>
        <w:tabs>
          <w:tab w:val="left" w:pos="1276"/>
        </w:tabs>
        <w:spacing w:before="100" w:beforeAutospacing="1" w:after="100" w:afterAutospacing="1" w:line="240" w:lineRule="auto"/>
        <w:ind w:left="0" w:firstLine="567"/>
        <w:jc w:val="both"/>
        <w:rPr>
          <w:rFonts w:ascii="Times New Roman" w:hAnsi="Times New Roman" w:cs="Times New Roman"/>
          <w:sz w:val="28"/>
          <w:szCs w:val="28"/>
          <w:lang w:val="en-US"/>
        </w:rPr>
      </w:pPr>
      <w:r w:rsidRPr="00043DCA">
        <w:rPr>
          <w:rFonts w:ascii="Times New Roman" w:hAnsi="Times New Roman" w:cs="Times New Roman"/>
          <w:sz w:val="28"/>
          <w:szCs w:val="28"/>
          <w:lang w:val="en-US"/>
        </w:rPr>
        <w:t>Gerstl J.V.E., Blitz S.E., Qu Q.R., Yearley A.G., Lassarén P., Lindberg R., Gupta S., Kappel A.D., Vicenty-Padilla J.C., et al. Global, Regional, and National Economic Consequences of Stroke. Stroke. 2023 Sep;54(9):2380-2389. doi: 10.1161/STROKEAHA.123.043131. </w:t>
      </w:r>
    </w:p>
    <w:p w14:paraId="6B859EB5" w14:textId="77777777" w:rsidR="00ED2A55" w:rsidRPr="00D47DAC" w:rsidRDefault="00ED2A55" w:rsidP="000818BE">
      <w:pPr>
        <w:numPr>
          <w:ilvl w:val="0"/>
          <w:numId w:val="2"/>
        </w:numPr>
        <w:tabs>
          <w:tab w:val="left" w:pos="1276"/>
        </w:tabs>
        <w:spacing w:before="100" w:beforeAutospacing="1" w:after="100" w:afterAutospacing="1" w:line="240" w:lineRule="auto"/>
        <w:ind w:left="0" w:firstLine="567"/>
        <w:jc w:val="both"/>
        <w:rPr>
          <w:rFonts w:ascii="Times New Roman" w:hAnsi="Times New Roman" w:cs="Times New Roman"/>
          <w:sz w:val="28"/>
          <w:szCs w:val="28"/>
        </w:rPr>
      </w:pPr>
      <w:r w:rsidRPr="00043DCA">
        <w:rPr>
          <w:rFonts w:ascii="Times New Roman" w:hAnsi="Times New Roman" w:cs="Times New Roman"/>
          <w:color w:val="191919"/>
          <w:sz w:val="28"/>
          <w:szCs w:val="28"/>
          <w:lang w:val="en-US"/>
        </w:rPr>
        <w:t xml:space="preserve">Xiao T., Ding S., Yan W., He Y. Factors related to the length of hospital stay for cerebrovascular accident. Zhong Nan Da Xue Xue Bao Yi Xue Ban. 2014 Sep;39(9):907-11. </w:t>
      </w:r>
      <w:r w:rsidRPr="00D47DAC">
        <w:rPr>
          <w:rFonts w:ascii="Times New Roman" w:hAnsi="Times New Roman" w:cs="Times New Roman"/>
          <w:color w:val="191919"/>
          <w:sz w:val="28"/>
          <w:szCs w:val="28"/>
        </w:rPr>
        <w:t>Chinese. doi: 10.11817/j.issn.1672-7347.2014.09.007.</w:t>
      </w:r>
    </w:p>
    <w:p w14:paraId="00266B10" w14:textId="77777777" w:rsidR="00ED2A55" w:rsidRPr="00D47DAC" w:rsidRDefault="00ED2A55" w:rsidP="000818BE">
      <w:pPr>
        <w:numPr>
          <w:ilvl w:val="0"/>
          <w:numId w:val="2"/>
        </w:numPr>
        <w:tabs>
          <w:tab w:val="left" w:pos="1276"/>
        </w:tabs>
        <w:spacing w:before="100" w:beforeAutospacing="1" w:after="100" w:afterAutospacing="1" w:line="240" w:lineRule="auto"/>
        <w:ind w:left="0" w:firstLine="567"/>
        <w:jc w:val="both"/>
        <w:rPr>
          <w:rFonts w:ascii="Times New Roman" w:hAnsi="Times New Roman" w:cs="Times New Roman"/>
          <w:sz w:val="28"/>
          <w:szCs w:val="28"/>
        </w:rPr>
      </w:pPr>
      <w:r w:rsidRPr="00043DCA">
        <w:rPr>
          <w:rFonts w:ascii="Times New Roman" w:hAnsi="Times New Roman" w:cs="Times New Roman"/>
          <w:sz w:val="28"/>
          <w:szCs w:val="28"/>
          <w:lang w:val="en-US"/>
        </w:rPr>
        <w:t>Roger V.L., Go A.S., Lloyd-Jones D.M., Benjamin E.J., Berry J.D., Borden W.B., Bravata D.M., Dai, S., Ford E.S., Fox C.S. et al. American Heart Association Statistics Committee and Stroke Statistics Subcommittee. Executive summary: Heart disease and stroke statistics–2012 update: A report from the American Heart Association. </w:t>
      </w:r>
      <w:r w:rsidRPr="00D47DAC">
        <w:rPr>
          <w:rFonts w:ascii="Times New Roman" w:hAnsi="Times New Roman" w:cs="Times New Roman"/>
          <w:sz w:val="28"/>
          <w:szCs w:val="28"/>
        </w:rPr>
        <w:t>Circulation 2012, 125, 188–197</w:t>
      </w:r>
    </w:p>
    <w:p w14:paraId="5CE5E81A" w14:textId="77777777" w:rsidR="00ED2A55" w:rsidRPr="00D47DAC" w:rsidRDefault="00ED2A55" w:rsidP="000818BE">
      <w:pPr>
        <w:numPr>
          <w:ilvl w:val="0"/>
          <w:numId w:val="2"/>
        </w:numPr>
        <w:tabs>
          <w:tab w:val="left" w:pos="1276"/>
        </w:tabs>
        <w:spacing w:before="100" w:beforeAutospacing="1" w:after="100" w:afterAutospacing="1" w:line="240" w:lineRule="auto"/>
        <w:ind w:left="0" w:firstLine="567"/>
        <w:jc w:val="both"/>
        <w:rPr>
          <w:rFonts w:ascii="Times New Roman" w:hAnsi="Times New Roman" w:cs="Times New Roman"/>
          <w:sz w:val="28"/>
          <w:szCs w:val="28"/>
        </w:rPr>
      </w:pPr>
      <w:r w:rsidRPr="00D47DAC">
        <w:rPr>
          <w:rFonts w:ascii="Times New Roman" w:hAnsi="Times New Roman" w:cs="Times New Roman"/>
          <w:sz w:val="28"/>
          <w:szCs w:val="28"/>
        </w:rPr>
        <w:t xml:space="preserve">Путилина М.В., Вечорко В.И., Гришин Д.В., Сидельникова Л.В. Острые нарушения мозгового кровообращения, ассоциированные с короновирусной инфекцией SARS-CoV-2(COVID-19). </w:t>
      </w:r>
      <w:hyperlink r:id="rId50" w:history="1">
        <w:r w:rsidRPr="00D47DAC">
          <w:rPr>
            <w:rFonts w:ascii="Times New Roman" w:hAnsi="Times New Roman" w:cs="Times New Roman"/>
            <w:color w:val="0000FF"/>
            <w:sz w:val="28"/>
            <w:szCs w:val="28"/>
            <w:u w:val="single"/>
          </w:rPr>
          <w:t>Журнал неврологии и психиатрии им. С.С. Корсакова. </w:t>
        </w:r>
      </w:hyperlink>
      <w:r w:rsidRPr="00D47DAC">
        <w:rPr>
          <w:rFonts w:ascii="Times New Roman" w:hAnsi="Times New Roman" w:cs="Times New Roman"/>
          <w:sz w:val="28"/>
          <w:szCs w:val="28"/>
        </w:rPr>
        <w:t>2020;120(12): стр. 109</w:t>
      </w:r>
      <w:hyperlink r:id="rId51" w:history="1">
        <w:r w:rsidRPr="00D47DAC">
          <w:rPr>
            <w:rFonts w:ascii="Times New Roman" w:hAnsi="Times New Roman" w:cs="Times New Roman"/>
            <w:color w:val="0000FF"/>
            <w:sz w:val="28"/>
            <w:szCs w:val="28"/>
            <w:u w:val="single"/>
          </w:rPr>
          <w:t>10.17116/jnevro2020120121109</w:t>
        </w:r>
      </w:hyperlink>
    </w:p>
    <w:p w14:paraId="7B061C7D" w14:textId="77777777" w:rsidR="00ED2A55" w:rsidRPr="00D47DAC" w:rsidRDefault="00ED2A55" w:rsidP="000818BE">
      <w:pPr>
        <w:numPr>
          <w:ilvl w:val="0"/>
          <w:numId w:val="2"/>
        </w:numPr>
        <w:tabs>
          <w:tab w:val="left" w:pos="1276"/>
        </w:tabs>
        <w:spacing w:before="100" w:beforeAutospacing="1" w:after="100" w:afterAutospacing="1" w:line="240" w:lineRule="auto"/>
        <w:ind w:left="0" w:firstLine="567"/>
        <w:jc w:val="both"/>
        <w:rPr>
          <w:rFonts w:ascii="Times New Roman" w:hAnsi="Times New Roman" w:cs="Times New Roman"/>
          <w:sz w:val="28"/>
          <w:szCs w:val="28"/>
        </w:rPr>
      </w:pPr>
      <w:r w:rsidRPr="00043DCA">
        <w:rPr>
          <w:rFonts w:ascii="Times New Roman" w:hAnsi="Times New Roman" w:cs="Times New Roman"/>
          <w:sz w:val="28"/>
          <w:szCs w:val="28"/>
          <w:lang w:val="en-US"/>
        </w:rPr>
        <w:t>Athanasios A., Daley I, Patel A., Oyesanmi O., Desai</w:t>
      </w:r>
      <w:r w:rsidRPr="00043DCA">
        <w:rPr>
          <w:rFonts w:ascii="Times New Roman" w:hAnsi="Times New Roman" w:cs="Times New Roman"/>
          <w:color w:val="191919"/>
          <w:sz w:val="28"/>
          <w:szCs w:val="28"/>
          <w:lang w:val="en-US"/>
        </w:rPr>
        <w:t xml:space="preserve"> P., Frunzi J. Cerebrovascular Accident and SARS-CoV-19 (COVID-19): A Systematic Review. </w:t>
      </w:r>
      <w:r w:rsidRPr="00D47DAC">
        <w:rPr>
          <w:rFonts w:ascii="Times New Roman" w:hAnsi="Times New Roman" w:cs="Times New Roman"/>
          <w:color w:val="191919"/>
          <w:sz w:val="28"/>
          <w:szCs w:val="28"/>
        </w:rPr>
        <w:t>Eur Neurol. 2021;84(6):418-425. doi: 10.1159/000517403.</w:t>
      </w:r>
    </w:p>
    <w:p w14:paraId="347FD6FB" w14:textId="77777777" w:rsidR="00ED2A55" w:rsidRPr="00D47DAC" w:rsidRDefault="00ED2A55" w:rsidP="000818BE">
      <w:pPr>
        <w:numPr>
          <w:ilvl w:val="0"/>
          <w:numId w:val="2"/>
        </w:numPr>
        <w:tabs>
          <w:tab w:val="left" w:pos="1276"/>
        </w:tabs>
        <w:spacing w:before="100" w:beforeAutospacing="1" w:after="100" w:afterAutospacing="1" w:line="240" w:lineRule="auto"/>
        <w:ind w:left="0" w:firstLine="567"/>
        <w:jc w:val="both"/>
        <w:rPr>
          <w:rFonts w:ascii="Times New Roman" w:hAnsi="Times New Roman" w:cs="Times New Roman"/>
          <w:sz w:val="28"/>
          <w:szCs w:val="28"/>
        </w:rPr>
      </w:pPr>
      <w:r w:rsidRPr="00D47DAC">
        <w:rPr>
          <w:rFonts w:ascii="Times New Roman" w:hAnsi="Times New Roman" w:cs="Times New Roman"/>
          <w:color w:val="191919"/>
          <w:sz w:val="28"/>
          <w:szCs w:val="28"/>
        </w:rPr>
        <w:lastRenderedPageBreak/>
        <w:t>Tsivgoulis G., Palaiodimou L., Zand R., Lioutas V.A., Krogias C., Katsanos A.H., Shoamanesh A., Sharma V.K., Shahjouei S., Baracchini C., Vlachopoulos C., Gournellis R., Sfikakis P.P., Sandset E.C., Alexandrov A.V., Tsiodras S. COVID-19 and cerebrovascular diseases: a comprehensive overview. Ther Adv Neurol Disord. 2020 Dec 8; 13: 1756286420978004. doi: 10.1177/1756286420978004.</w:t>
      </w:r>
    </w:p>
    <w:p w14:paraId="2767207E"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1B1B1B"/>
          <w:sz w:val="28"/>
          <w:szCs w:val="28"/>
          <w:lang w:val="en-US"/>
        </w:rPr>
        <w:t>Ding, G. B., Sang, Q., Han, H. J., Wang, X. M., &amp; Wu, Y. F. (2023). Assessment of stroke knowledge and awareness among primary healthcare providers: A cross-sectional survey from the Kezhou quality improvement in acute stroke care project. </w:t>
      </w:r>
      <w:r w:rsidRPr="00D47DAC">
        <w:rPr>
          <w:color w:val="1B1B1B"/>
          <w:sz w:val="28"/>
          <w:szCs w:val="28"/>
        </w:rPr>
        <w:t>Frontiers in public health, 11, 1136170. https://doi.org/10.3389/fpubh.2023.1136170</w:t>
      </w:r>
    </w:p>
    <w:p w14:paraId="3A565C4A"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1B1B1B"/>
          <w:sz w:val="28"/>
          <w:szCs w:val="28"/>
          <w:lang w:val="en-US"/>
        </w:rPr>
        <w:t>Rossis, C., Michail, K. A., Middleton, N., Karanikola, M., Papathanassoglou, E., &amp; Mpouzika, M. (2023). Knowledge on Stroke Recognition and Management among Emergency Department Healthcare Professionals in the Republic of Cyprus. </w:t>
      </w:r>
      <w:r w:rsidRPr="00D47DAC">
        <w:rPr>
          <w:color w:val="1B1B1B"/>
          <w:sz w:val="28"/>
          <w:szCs w:val="28"/>
        </w:rPr>
        <w:t>Healthcare (Basel, Switzerland), 12(1), 77. https://doi.org/10.3390/healthcare12010077</w:t>
      </w:r>
    </w:p>
    <w:p w14:paraId="1E1F468C" w14:textId="77777777" w:rsidR="00ED2A55" w:rsidRPr="00D47DAC" w:rsidRDefault="00ED2A55" w:rsidP="000818BE">
      <w:pPr>
        <w:pStyle w:val="pf0"/>
        <w:numPr>
          <w:ilvl w:val="0"/>
          <w:numId w:val="2"/>
        </w:numPr>
        <w:tabs>
          <w:tab w:val="left" w:pos="1276"/>
        </w:tabs>
        <w:ind w:left="0" w:firstLine="567"/>
        <w:jc w:val="both"/>
        <w:rPr>
          <w:sz w:val="28"/>
          <w:szCs w:val="28"/>
        </w:rPr>
      </w:pPr>
      <w:r w:rsidRPr="00D47DAC">
        <w:rPr>
          <w:rStyle w:val="cf01"/>
          <w:rFonts w:ascii="Times New Roman" w:hAnsi="Times New Roman" w:cs="Times New Roman"/>
          <w:sz w:val="28"/>
          <w:szCs w:val="28"/>
        </w:rPr>
        <w:t xml:space="preserve">Rauan Kastey, Gulnara Kulkayeva, Ermek Dyussembekov, Kuanysh Nikatov, Arimantas Tamasauskas. </w:t>
      </w:r>
      <w:r w:rsidRPr="00043DCA">
        <w:rPr>
          <w:rStyle w:val="cf01"/>
          <w:rFonts w:ascii="Times New Roman" w:hAnsi="Times New Roman" w:cs="Times New Roman"/>
          <w:sz w:val="28"/>
          <w:szCs w:val="28"/>
          <w:lang w:val="en-US"/>
        </w:rPr>
        <w:t xml:space="preserve">Stroke care preparedness across medical specialties: gaps, challenges, and future directions.J Health Dev. 2025, 60 (5), jhd021. </w:t>
      </w:r>
      <w:hyperlink r:id="rId52" w:history="1">
        <w:r w:rsidRPr="00D47DAC">
          <w:rPr>
            <w:rStyle w:val="cf11"/>
            <w:rFonts w:ascii="Times New Roman" w:hAnsi="Times New Roman" w:cs="Times New Roman"/>
            <w:color w:val="0000FF"/>
            <w:sz w:val="28"/>
            <w:szCs w:val="28"/>
            <w:u w:val="single"/>
          </w:rPr>
          <w:t>https://doi.org/10.32921/2663-1776-2025-60-5-jhd021</w:t>
        </w:r>
      </w:hyperlink>
    </w:p>
    <w:p w14:paraId="30E21D29"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212121"/>
          <w:sz w:val="28"/>
          <w:szCs w:val="28"/>
          <w:lang w:val="en-US"/>
        </w:rPr>
        <w:t>Martinez-Gutierrez JC, Chandra RV, Hirsch JA, Leslie-Mazwi T. Technological innovation for prehospital stroke triage: ripe for disruption. </w:t>
      </w:r>
      <w:r w:rsidRPr="00D47DAC">
        <w:rPr>
          <w:color w:val="212121"/>
          <w:sz w:val="28"/>
          <w:szCs w:val="28"/>
        </w:rPr>
        <w:t>J Neurointerv Surg. 2019;11(11):1085-1090. doi:10.1136/neurintsurg-2019-014902</w:t>
      </w:r>
    </w:p>
    <w:p w14:paraId="6D857F7D" w14:textId="77777777" w:rsidR="00ED2A55" w:rsidRPr="00EA69A5" w:rsidRDefault="00ED2A55" w:rsidP="000818BE">
      <w:pPr>
        <w:pStyle w:val="a6"/>
        <w:numPr>
          <w:ilvl w:val="0"/>
          <w:numId w:val="2"/>
        </w:numPr>
        <w:tabs>
          <w:tab w:val="left" w:pos="1276"/>
        </w:tabs>
        <w:spacing w:before="100" w:beforeAutospacing="1" w:after="100" w:afterAutospacing="1"/>
        <w:ind w:left="0" w:firstLine="567"/>
        <w:jc w:val="both"/>
        <w:rPr>
          <w:sz w:val="28"/>
          <w:szCs w:val="28"/>
          <w:lang w:val="en-US"/>
        </w:rPr>
      </w:pPr>
      <w:r w:rsidRPr="00043DCA">
        <w:rPr>
          <w:color w:val="212121"/>
          <w:sz w:val="28"/>
          <w:szCs w:val="28"/>
          <w:lang w:val="en-US"/>
        </w:rPr>
        <w:t>Rajashekar D, Boyer A, Larkin-Kaiser KA, Dukelow SP. Technological Advances in Stroke Rehabilitation: Robotics and Virtual Reality. </w:t>
      </w:r>
      <w:r w:rsidRPr="00EA69A5">
        <w:rPr>
          <w:color w:val="212121"/>
          <w:sz w:val="28"/>
          <w:szCs w:val="28"/>
          <w:lang w:val="en-US"/>
        </w:rPr>
        <w:t>Phys Med Rehabil Clin N Am. 2024;35(2):383-398. doi:10.1016/j.pmr.2023.06.026</w:t>
      </w:r>
    </w:p>
    <w:p w14:paraId="3578D732"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212121"/>
          <w:sz w:val="28"/>
          <w:szCs w:val="28"/>
          <w:lang w:val="en-US"/>
        </w:rPr>
        <w:t>Bagot KL, Moloczij N, Barclay-Moss K, Vu M, Bladin CF, Cadilhac DA. Sustainable implementation of innovative, technology-based health care practices: A qualitative case study from stroke telemedicine. </w:t>
      </w:r>
      <w:r w:rsidRPr="00D47DAC">
        <w:rPr>
          <w:color w:val="212121"/>
          <w:sz w:val="28"/>
          <w:szCs w:val="28"/>
        </w:rPr>
        <w:t>J Telemed Telecare. 2020;26(1-2):79-91. doi:10.1177/1357633X18792380</w:t>
      </w:r>
    </w:p>
    <w:p w14:paraId="77E46B82"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212121"/>
          <w:sz w:val="28"/>
          <w:szCs w:val="28"/>
          <w:lang w:val="en-US"/>
        </w:rPr>
        <w:t>Kelly KM, Holt KT, Neshewat GM, Skolarus LE. Community Interventions to Increase Stroke Preparedness and Acute Stroke Treatment Rates. </w:t>
      </w:r>
      <w:r w:rsidRPr="00D47DAC">
        <w:rPr>
          <w:color w:val="212121"/>
          <w:sz w:val="28"/>
          <w:szCs w:val="28"/>
        </w:rPr>
        <w:t>Curr Atheroscler Rep. 2017;19(12):64. Published 2017 Nov 16. doi:10.1007/s11883-017-0695-5</w:t>
      </w:r>
    </w:p>
    <w:p w14:paraId="10FD4BF9"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212121"/>
          <w:sz w:val="28"/>
          <w:szCs w:val="28"/>
          <w:lang w:val="en-US"/>
        </w:rPr>
        <w:t>Prabhakaran S, Richards CT, Kwon S, et al. A Community-Engaged Stroke Preparedness Intervention in Chicago. </w:t>
      </w:r>
      <w:r w:rsidRPr="00D47DAC">
        <w:rPr>
          <w:color w:val="212121"/>
          <w:sz w:val="28"/>
          <w:szCs w:val="28"/>
        </w:rPr>
        <w:t>J Am Heart Assoc. 2020;9(18):e016344. doi:10.1161/JAHA.120.016344</w:t>
      </w:r>
    </w:p>
    <w:p w14:paraId="605838BE" w14:textId="77777777" w:rsidR="00ED2A55" w:rsidRPr="00043DCA" w:rsidRDefault="00ED2A55" w:rsidP="000818BE">
      <w:pPr>
        <w:pStyle w:val="a6"/>
        <w:numPr>
          <w:ilvl w:val="0"/>
          <w:numId w:val="2"/>
        </w:numPr>
        <w:tabs>
          <w:tab w:val="left" w:pos="1276"/>
        </w:tabs>
        <w:spacing w:before="100" w:beforeAutospacing="1" w:after="100" w:afterAutospacing="1"/>
        <w:ind w:left="0" w:firstLine="567"/>
        <w:jc w:val="both"/>
        <w:rPr>
          <w:sz w:val="28"/>
          <w:szCs w:val="28"/>
          <w:lang w:val="en-US"/>
        </w:rPr>
      </w:pPr>
      <w:r w:rsidRPr="00043DCA">
        <w:rPr>
          <w:sz w:val="28"/>
          <w:szCs w:val="28"/>
          <w:lang w:val="en-US"/>
        </w:rPr>
        <w:t>Kastey R., Dyussembekov E., Tamasauskas A., Imamatdinova A., Nazarbayev A. PATIENT-CENTRED PERSPECTIVES ON STROKE CARE: CHALLENGES AND PRIORITIES. Actual Problems of Theoretical and Clinical Medicine. 2025;(3):61-75. (In Russ.) </w:t>
      </w:r>
      <w:hyperlink r:id="rId53" w:history="1">
        <w:r w:rsidRPr="00043DCA">
          <w:rPr>
            <w:color w:val="0000FF"/>
            <w:sz w:val="28"/>
            <w:szCs w:val="28"/>
            <w:u w:val="single"/>
            <w:lang w:val="en-US"/>
          </w:rPr>
          <w:t>https://doi.org/10.64854/2790-1289-2025-49-3-04</w:t>
        </w:r>
      </w:hyperlink>
    </w:p>
    <w:p w14:paraId="3385AE16"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212121"/>
          <w:sz w:val="28"/>
          <w:szCs w:val="28"/>
          <w:lang w:val="en-US"/>
        </w:rPr>
        <w:lastRenderedPageBreak/>
        <w:t>Guzik A, Bushnell C. Stroke Epidemiology and Risk Factor Management. </w:t>
      </w:r>
      <w:r w:rsidRPr="00D47DAC">
        <w:rPr>
          <w:color w:val="212121"/>
          <w:sz w:val="28"/>
          <w:szCs w:val="28"/>
        </w:rPr>
        <w:t>Continuum (Minneap Minn). 2017;23(1, Cerebrovascular Disease):15-39. doi:10.1212/CON.0000000000000416</w:t>
      </w:r>
    </w:p>
    <w:p w14:paraId="2A744C66"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212121"/>
          <w:sz w:val="28"/>
          <w:szCs w:val="28"/>
          <w:lang w:val="en-US"/>
        </w:rPr>
        <w:t>Khan M, Wasay M, O'Donnell MJ, et al. Risk Factors for Stroke in the Young (18-45 Years): A Case-Control Analysis of INTERSTROKE Data from 32 Countries. </w:t>
      </w:r>
      <w:r w:rsidRPr="00D47DAC">
        <w:rPr>
          <w:color w:val="212121"/>
          <w:sz w:val="28"/>
          <w:szCs w:val="28"/>
        </w:rPr>
        <w:t>Neuroepidemiology. 2023;57(5):275-283. doi:10.1159/000530675</w:t>
      </w:r>
    </w:p>
    <w:p w14:paraId="4AA3A6B1"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212121"/>
          <w:sz w:val="28"/>
          <w:szCs w:val="28"/>
          <w:lang w:val="en-US"/>
        </w:rPr>
        <w:t>Moosa A, Osama D, Alnidawi F, Algillidary S, Hussein A, Das P. Risk Factors, Incidence, and Outcome of Stroke: A Retrospective Cross-Sectional Hospital-Based Study Comparing Young Adults and Elderly. </w:t>
      </w:r>
      <w:r w:rsidRPr="00D47DAC">
        <w:rPr>
          <w:color w:val="212121"/>
          <w:sz w:val="28"/>
          <w:szCs w:val="28"/>
        </w:rPr>
        <w:t>Cureus. 2023;15(6):e40614. Published 2023 Jun 19. doi:10.7759/cureus.40614</w:t>
      </w:r>
    </w:p>
    <w:p w14:paraId="033EB2A4"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212121"/>
          <w:sz w:val="28"/>
          <w:szCs w:val="28"/>
          <w:lang w:val="en-US"/>
        </w:rPr>
        <w:t>Lee EJ, Kang MK, Bae J, et al. Temporal Trends in Public Stroke Awareness in Korea, 2009 to 2023. </w:t>
      </w:r>
      <w:r w:rsidRPr="00EA69A5">
        <w:rPr>
          <w:color w:val="212121"/>
          <w:sz w:val="28"/>
          <w:szCs w:val="28"/>
          <w:lang w:val="en-US"/>
        </w:rPr>
        <w:t xml:space="preserve">J Am Heart Assoc. </w:t>
      </w:r>
      <w:r w:rsidRPr="00D47DAC">
        <w:rPr>
          <w:color w:val="212121"/>
          <w:sz w:val="28"/>
          <w:szCs w:val="28"/>
        </w:rPr>
        <w:t>2025;14(9):e038776. doi:10.1161/JAHA.124.038776</w:t>
      </w:r>
    </w:p>
    <w:p w14:paraId="1757E4FE"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212121"/>
          <w:sz w:val="28"/>
          <w:szCs w:val="28"/>
          <w:lang w:val="en-US"/>
        </w:rPr>
        <w:t>Aedh AI, Ali NH, Alsulaiman AA, et al. Public Awareness and Attitude Towards Stroke in the Southern Region of Saudi Arabia: A Cross-Sectional Study. </w:t>
      </w:r>
      <w:r w:rsidRPr="00EA69A5">
        <w:rPr>
          <w:color w:val="212121"/>
          <w:sz w:val="28"/>
          <w:szCs w:val="28"/>
          <w:lang w:val="en-US"/>
        </w:rPr>
        <w:t xml:space="preserve">Cureus. 2025;17(4):e81910. </w:t>
      </w:r>
      <w:r w:rsidRPr="00D47DAC">
        <w:rPr>
          <w:color w:val="212121"/>
          <w:sz w:val="28"/>
          <w:szCs w:val="28"/>
        </w:rPr>
        <w:t>Published 2025 Apr 8. doi:10.7759/cureus.81910</w:t>
      </w:r>
    </w:p>
    <w:p w14:paraId="21F8AC95"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212121"/>
          <w:sz w:val="28"/>
          <w:szCs w:val="28"/>
          <w:lang w:val="en-US"/>
        </w:rPr>
        <w:t>Rioux B, Brissette V, Marin FF, Lindsay P, Keezer MR, Poppe AY. The Impact of Stroke Public Awareness Campaigns Differs Between Sociodemographic Groups. </w:t>
      </w:r>
      <w:r w:rsidRPr="00D47DAC">
        <w:rPr>
          <w:color w:val="212121"/>
          <w:sz w:val="28"/>
          <w:szCs w:val="28"/>
        </w:rPr>
        <w:t>Can J Neurol Sci. 2022;49(2):231-238. doi:10.1017/cjn.2021.76</w:t>
      </w:r>
    </w:p>
    <w:p w14:paraId="5C01A579"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D56C04">
        <w:rPr>
          <w:color w:val="1B1B1B"/>
          <w:sz w:val="28"/>
          <w:szCs w:val="28"/>
          <w:lang w:val="en-US"/>
        </w:rPr>
        <w:t xml:space="preserve">Dixon, M., Appleton, J. P., Siriwardena, A. N., Williams, J., &amp; Bath, P. M. (2023). A systematic review of ambulance service-based randomised controlled trials in stroke. Neurological sciences : official journal of the Italian Neurological Society and of the Italian Society of Clinical Neurophysiology, 44(12), 4363–4378. </w:t>
      </w:r>
      <w:hyperlink r:id="rId54" w:history="1">
        <w:r w:rsidRPr="00D47DAC">
          <w:rPr>
            <w:color w:val="1B1B1B"/>
            <w:sz w:val="28"/>
            <w:szCs w:val="28"/>
            <w:u w:val="single"/>
          </w:rPr>
          <w:t>https://doi.org/10.1007/s10072-023-06910-w</w:t>
        </w:r>
      </w:hyperlink>
    </w:p>
    <w:p w14:paraId="4635E886"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212121"/>
          <w:sz w:val="28"/>
          <w:szCs w:val="28"/>
          <w:lang w:val="en-US"/>
        </w:rPr>
        <w:t>Perry C, Papachristou I, Ramsay AIG, et al. Patient experience of centralized acute stroke care pathways. </w:t>
      </w:r>
      <w:r w:rsidRPr="00D47DAC">
        <w:rPr>
          <w:color w:val="212121"/>
          <w:sz w:val="28"/>
          <w:szCs w:val="28"/>
        </w:rPr>
        <w:t>Health Expect. 2018;21(5):909-918. doi:10.1111/hex.12685</w:t>
      </w:r>
    </w:p>
    <w:p w14:paraId="1D264728"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D47DAC">
        <w:rPr>
          <w:sz w:val="28"/>
          <w:szCs w:val="28"/>
          <w:lang w:val="en-US"/>
        </w:rPr>
        <w:t xml:space="preserve">Wiyarta, E., Fisher, M., Kurniawan, M., Hidayat, R., Geraldi, I. P., Khan, Q. A., Widyadharma, I. P. E., Badshah, A., &amp; Pandian, J. D. (2024). Global Insights on Prehospital Stroke Care: A Comprehensive Review of Challenges and Solutions in Low- and Middle-Income Countries. Journal of clinical medicine, 13(16), 4780. </w:t>
      </w:r>
      <w:hyperlink r:id="rId55" w:history="1">
        <w:r w:rsidRPr="00D47DAC">
          <w:rPr>
            <w:rStyle w:val="a3"/>
            <w:sz w:val="28"/>
            <w:szCs w:val="28"/>
            <w:lang w:val="en-US"/>
          </w:rPr>
          <w:t>https://doi.org/10.3390/jcm13164780</w:t>
        </w:r>
      </w:hyperlink>
    </w:p>
    <w:p w14:paraId="60848147"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D47DAC">
        <w:rPr>
          <w:sz w:val="28"/>
          <w:szCs w:val="28"/>
          <w:lang w:val="en-US"/>
        </w:rPr>
        <w:t xml:space="preserve">Alton, A., Shaw, L., Finch, T., Price, C., &amp; McClelland, G. (2024). A qualitative exploration of ambulance clinician behaviour and decision making to identify factors influencing on-scene times for suspected stroke patients in North East England. British paramedic journal, 8(4), 1–9. </w:t>
      </w:r>
      <w:hyperlink r:id="rId56" w:history="1">
        <w:r w:rsidRPr="00D47DAC">
          <w:rPr>
            <w:rStyle w:val="a3"/>
            <w:sz w:val="28"/>
            <w:szCs w:val="28"/>
            <w:lang w:val="en-US"/>
          </w:rPr>
          <w:t>https://doi.org/10.29045/14784726.2024.3.8.4.1</w:t>
        </w:r>
      </w:hyperlink>
    </w:p>
    <w:p w14:paraId="56606007"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D47DAC">
        <w:rPr>
          <w:sz w:val="28"/>
          <w:szCs w:val="28"/>
          <w:lang w:val="en-US"/>
        </w:rPr>
        <w:t>Repeat Rioux B, Brissette V, Marin FF, Lindsay P, Keezer MR, Poppe AY. The Impact of Stroke Public Awareness Campaigns Differs Between Sociodemographic Groups. Can J Neurol Sci. 2022;49(2):231-238. doi:10.1017/cjn.2021.76</w:t>
      </w:r>
    </w:p>
    <w:p w14:paraId="4A50C136"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212121"/>
          <w:sz w:val="28"/>
          <w:szCs w:val="28"/>
          <w:lang w:val="en-US"/>
        </w:rPr>
        <w:t xml:space="preserve">Scrivener BJ, McGee S, Cameron A, Smith MC, McRae A, Stinear CM. Do integrated stroke units affect patient and family experience of care </w:t>
      </w:r>
      <w:r w:rsidRPr="00043DCA">
        <w:rPr>
          <w:color w:val="212121"/>
          <w:sz w:val="28"/>
          <w:szCs w:val="28"/>
          <w:lang w:val="en-US"/>
        </w:rPr>
        <w:lastRenderedPageBreak/>
        <w:t>transitions?. </w:t>
      </w:r>
      <w:r w:rsidRPr="00D47DAC">
        <w:rPr>
          <w:color w:val="212121"/>
          <w:sz w:val="28"/>
          <w:szCs w:val="28"/>
        </w:rPr>
        <w:t>Disabil Rehabil. 2025;47(10):2637-2646. doi:10.1080/09638288.2024.2400268</w:t>
      </w:r>
    </w:p>
    <w:p w14:paraId="17111833"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1B1B1B"/>
          <w:sz w:val="28"/>
          <w:szCs w:val="28"/>
          <w:lang w:val="en-US"/>
        </w:rPr>
        <w:t>Haleem, A., Javaid, M., Singh, R. P., &amp; Suman, R. (2021). Telemedicine for healthcare: Capabilities, features, barriers, and applications. </w:t>
      </w:r>
      <w:r w:rsidRPr="00D47DAC">
        <w:rPr>
          <w:color w:val="1B1B1B"/>
          <w:sz w:val="28"/>
          <w:szCs w:val="28"/>
        </w:rPr>
        <w:t xml:space="preserve">Sensors international, 2, 100117. </w:t>
      </w:r>
      <w:hyperlink r:id="rId57" w:history="1">
        <w:r w:rsidRPr="00D47DAC">
          <w:rPr>
            <w:color w:val="1B1B1B"/>
            <w:sz w:val="28"/>
            <w:szCs w:val="28"/>
            <w:u w:val="single"/>
          </w:rPr>
          <w:t>https://doi.org/10.1016/j.sintl.2021.100117</w:t>
        </w:r>
      </w:hyperlink>
    </w:p>
    <w:p w14:paraId="05DA1F5E"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1B1B1B"/>
          <w:sz w:val="28"/>
          <w:szCs w:val="28"/>
          <w:lang w:val="en-US"/>
        </w:rPr>
        <w:t>Bally, E. L. S., Cheng, D., van Grieken, A., Ferri Sanz, M., Zanutto, O., Carroll, A., Darley, A., Roozenbeek, B., Dippel, D. W. J., &amp; Raat, H. (2023). Patients' Perspectives Regarding Digital Health Technology to Support Self-management and Improve Integrated Stroke Care: Qualitative Interview Study. </w:t>
      </w:r>
      <w:r w:rsidRPr="00D47DAC">
        <w:rPr>
          <w:color w:val="1B1B1B"/>
          <w:sz w:val="28"/>
          <w:szCs w:val="28"/>
        </w:rPr>
        <w:t xml:space="preserve">Journal of medical Internet research, 25, e42556. </w:t>
      </w:r>
      <w:hyperlink r:id="rId58" w:history="1">
        <w:r w:rsidRPr="00D47DAC">
          <w:rPr>
            <w:color w:val="1B1B1B"/>
            <w:sz w:val="28"/>
            <w:szCs w:val="28"/>
            <w:u w:val="single"/>
          </w:rPr>
          <w:t>https://doi.org/10.2196/42556</w:t>
        </w:r>
      </w:hyperlink>
    </w:p>
    <w:p w14:paraId="1BF20D87" w14:textId="77777777" w:rsidR="00ED2A55" w:rsidRPr="00D47DAC" w:rsidRDefault="00ED2A55" w:rsidP="000818BE">
      <w:pPr>
        <w:pStyle w:val="a6"/>
        <w:numPr>
          <w:ilvl w:val="0"/>
          <w:numId w:val="2"/>
        </w:numPr>
        <w:tabs>
          <w:tab w:val="left" w:pos="1276"/>
        </w:tabs>
        <w:spacing w:before="100" w:beforeAutospacing="1" w:after="100" w:afterAutospacing="1"/>
        <w:ind w:left="0" w:firstLine="567"/>
        <w:jc w:val="both"/>
        <w:rPr>
          <w:sz w:val="28"/>
          <w:szCs w:val="28"/>
        </w:rPr>
      </w:pPr>
      <w:r w:rsidRPr="00043DCA">
        <w:rPr>
          <w:color w:val="1B1B1B"/>
          <w:sz w:val="28"/>
          <w:szCs w:val="28"/>
          <w:lang w:val="en-US"/>
        </w:rPr>
        <w:t>Otto, L., Schlieter, H., Harst, L., Whitehouse, D., &amp; Maeder, A. (2023). The telemedicine community readiness model-successful telemedicine implementation and scale-up. </w:t>
      </w:r>
      <w:r w:rsidRPr="00D47DAC">
        <w:rPr>
          <w:color w:val="1B1B1B"/>
          <w:sz w:val="28"/>
          <w:szCs w:val="28"/>
        </w:rPr>
        <w:t>Frontiers in digital health, 5, 1057347. https://doi.org/10.3389/fdgth.2023.1057347</w:t>
      </w:r>
    </w:p>
    <w:p w14:paraId="2FFDA63F" w14:textId="77777777" w:rsidR="00ED2A55" w:rsidRPr="00D47DAC" w:rsidRDefault="00ED2A55" w:rsidP="000818BE">
      <w:pPr>
        <w:pStyle w:val="pf0"/>
        <w:numPr>
          <w:ilvl w:val="0"/>
          <w:numId w:val="2"/>
        </w:numPr>
        <w:tabs>
          <w:tab w:val="left" w:pos="360"/>
          <w:tab w:val="left" w:pos="1276"/>
        </w:tabs>
        <w:spacing w:after="0" w:afterAutospacing="0"/>
        <w:ind w:left="0" w:firstLine="567"/>
        <w:jc w:val="both"/>
        <w:rPr>
          <w:sz w:val="28"/>
          <w:szCs w:val="28"/>
        </w:rPr>
      </w:pPr>
      <w:r w:rsidRPr="00043DCA">
        <w:rPr>
          <w:sz w:val="28"/>
          <w:szCs w:val="28"/>
          <w:lang w:val="en-US"/>
        </w:rPr>
        <w:t>van Hulst PL, van de Wijdeven RM, Venema E, et al. A Decision-Analytic Model to Evaluate Cost-Effectiveness of Regional Implementation of a Mobile Stroke Unit. </w:t>
      </w:r>
      <w:r w:rsidRPr="00D47DAC">
        <w:rPr>
          <w:sz w:val="28"/>
          <w:szCs w:val="28"/>
        </w:rPr>
        <w:t>Neurology. 2025;105(3):e213834. doi:10.1212/WNL.0000000000213834</w:t>
      </w:r>
    </w:p>
    <w:p w14:paraId="30DF8D30" w14:textId="77777777" w:rsidR="00ED2A55" w:rsidRPr="00D47DAC" w:rsidRDefault="00ED2A55" w:rsidP="000818BE">
      <w:pPr>
        <w:pStyle w:val="pf0"/>
        <w:numPr>
          <w:ilvl w:val="0"/>
          <w:numId w:val="2"/>
        </w:numPr>
        <w:tabs>
          <w:tab w:val="left" w:pos="360"/>
          <w:tab w:val="left" w:pos="1276"/>
        </w:tabs>
        <w:spacing w:after="0" w:afterAutospacing="0"/>
        <w:ind w:left="0" w:firstLine="567"/>
        <w:jc w:val="both"/>
        <w:rPr>
          <w:sz w:val="28"/>
          <w:szCs w:val="28"/>
        </w:rPr>
      </w:pPr>
      <w:r w:rsidRPr="00043DCA">
        <w:rPr>
          <w:sz w:val="28"/>
          <w:szCs w:val="28"/>
          <w:lang w:val="en-US"/>
        </w:rPr>
        <w:t xml:space="preserve">Rink JS, Tollens F, Tschalzev A, et al. Establishing an MSU service in a medium-sized German urban area—clinical and economic considerations. </w:t>
      </w:r>
      <w:r w:rsidRPr="00D47DAC">
        <w:rPr>
          <w:sz w:val="28"/>
          <w:szCs w:val="28"/>
        </w:rPr>
        <w:t>Frontiers in Neurology. 2024;15. doi:10.3389/fneur.2024.1358145</w:t>
      </w:r>
    </w:p>
    <w:p w14:paraId="724CE8DD" w14:textId="77777777" w:rsidR="00786F65" w:rsidRPr="00ED2A55" w:rsidRDefault="00786F65" w:rsidP="000818BE">
      <w:pPr>
        <w:tabs>
          <w:tab w:val="left" w:pos="1276"/>
        </w:tabs>
        <w:spacing w:line="240" w:lineRule="auto"/>
        <w:ind w:firstLine="567"/>
        <w:jc w:val="center"/>
        <w:rPr>
          <w:rFonts w:ascii="Times New Roman" w:hAnsi="Times New Roman" w:cs="Times New Roman"/>
          <w:lang w:val="en-US"/>
        </w:rPr>
      </w:pPr>
    </w:p>
    <w:p w14:paraId="6CD14B44" w14:textId="77777777" w:rsidR="00786F65" w:rsidRPr="00ED2A55" w:rsidRDefault="00786F65" w:rsidP="000818BE">
      <w:pPr>
        <w:tabs>
          <w:tab w:val="left" w:pos="1276"/>
        </w:tabs>
        <w:spacing w:line="240" w:lineRule="auto"/>
        <w:ind w:firstLine="567"/>
        <w:jc w:val="center"/>
        <w:rPr>
          <w:rFonts w:ascii="Times New Roman" w:hAnsi="Times New Roman" w:cs="Times New Roman"/>
          <w:lang w:val="en-US"/>
        </w:rPr>
      </w:pPr>
    </w:p>
    <w:p w14:paraId="020D4E60" w14:textId="7251DFD1" w:rsidR="00D013FC" w:rsidRPr="00ED2A55" w:rsidRDefault="00D013FC" w:rsidP="000818BE">
      <w:pPr>
        <w:tabs>
          <w:tab w:val="left" w:pos="1276"/>
        </w:tabs>
        <w:spacing w:after="0" w:line="240" w:lineRule="auto"/>
        <w:ind w:firstLine="567"/>
        <w:jc w:val="both"/>
        <w:rPr>
          <w:rFonts w:ascii="Times New Roman" w:hAnsi="Times New Roman" w:cs="Times New Roman"/>
          <w:sz w:val="28"/>
          <w:szCs w:val="28"/>
          <w:lang w:val="en-US"/>
        </w:rPr>
        <w:sectPr w:rsidR="00D013FC" w:rsidRPr="00ED2A55" w:rsidSect="000818BE">
          <w:footerReference w:type="default" r:id="rId59"/>
          <w:pgSz w:w="11906" w:h="16838"/>
          <w:pgMar w:top="1134" w:right="707" w:bottom="1134" w:left="1701" w:header="708" w:footer="708" w:gutter="0"/>
          <w:cols w:space="708"/>
          <w:docGrid w:linePitch="360"/>
        </w:sectPr>
      </w:pPr>
    </w:p>
    <w:p w14:paraId="6C280B20" w14:textId="77777777" w:rsidR="00546775" w:rsidRPr="006F10BC" w:rsidRDefault="00546775" w:rsidP="000F4E51">
      <w:pPr>
        <w:spacing w:after="0" w:line="240" w:lineRule="auto"/>
        <w:ind w:left="567" w:right="-1135" w:firstLine="567"/>
        <w:jc w:val="center"/>
        <w:rPr>
          <w:rFonts w:ascii="Times New Roman" w:hAnsi="Times New Roman" w:cs="Times New Roman"/>
          <w:sz w:val="24"/>
          <w:szCs w:val="24"/>
        </w:rPr>
      </w:pPr>
      <w:r w:rsidRPr="006F10BC">
        <w:rPr>
          <w:rFonts w:ascii="Times New Roman" w:hAnsi="Times New Roman" w:cs="Times New Roman"/>
          <w:sz w:val="24"/>
          <w:szCs w:val="24"/>
        </w:rPr>
        <w:lastRenderedPageBreak/>
        <w:t xml:space="preserve">ПРИЛОЖЕНИЕ А. </w:t>
      </w:r>
    </w:p>
    <w:p w14:paraId="573FB5B2" w14:textId="77777777" w:rsidR="00546775" w:rsidRPr="006F10BC" w:rsidRDefault="00546775" w:rsidP="000F4E51">
      <w:pPr>
        <w:spacing w:after="0" w:line="240" w:lineRule="auto"/>
        <w:ind w:left="567" w:right="-1135" w:firstLine="567"/>
        <w:jc w:val="center"/>
        <w:rPr>
          <w:rFonts w:ascii="Times New Roman" w:hAnsi="Times New Roman" w:cs="Times New Roman"/>
          <w:sz w:val="24"/>
          <w:szCs w:val="24"/>
        </w:rPr>
      </w:pPr>
    </w:p>
    <w:p w14:paraId="422A5D3C" w14:textId="77777777" w:rsidR="00546775" w:rsidRPr="006F10BC" w:rsidRDefault="00546775" w:rsidP="000F4E51">
      <w:pPr>
        <w:spacing w:after="0" w:line="240" w:lineRule="auto"/>
        <w:ind w:left="567" w:right="-1135" w:firstLine="567"/>
        <w:jc w:val="center"/>
        <w:rPr>
          <w:rFonts w:ascii="Times New Roman" w:hAnsi="Times New Roman" w:cs="Times New Roman"/>
          <w:sz w:val="24"/>
          <w:szCs w:val="24"/>
        </w:rPr>
      </w:pPr>
      <w:r w:rsidRPr="006F10BC">
        <w:rPr>
          <w:rFonts w:ascii="Times New Roman" w:hAnsi="Times New Roman" w:cs="Times New Roman"/>
          <w:sz w:val="24"/>
          <w:szCs w:val="24"/>
        </w:rPr>
        <w:t>Протокол качественного исследования для медицинских специалистов</w:t>
      </w:r>
    </w:p>
    <w:p w14:paraId="6E478C07" w14:textId="77777777" w:rsidR="00546775" w:rsidRPr="006F10BC" w:rsidRDefault="00546775" w:rsidP="000F4E51">
      <w:pPr>
        <w:spacing w:after="0" w:line="240" w:lineRule="auto"/>
        <w:ind w:left="567" w:right="-1135" w:firstLine="567"/>
        <w:rPr>
          <w:rFonts w:ascii="Times New Roman" w:hAnsi="Times New Roman" w:cs="Times New Roman"/>
          <w:sz w:val="24"/>
          <w:szCs w:val="24"/>
        </w:rPr>
      </w:pPr>
    </w:p>
    <w:p w14:paraId="49D3E273" w14:textId="77777777" w:rsidR="00546775" w:rsidRPr="006F10BC" w:rsidRDefault="00546775" w:rsidP="000F4E51">
      <w:pPr>
        <w:spacing w:after="0" w:line="240" w:lineRule="auto"/>
        <w:ind w:left="567" w:right="-1135" w:firstLine="567"/>
        <w:jc w:val="both"/>
        <w:rPr>
          <w:rFonts w:ascii="Times New Roman" w:hAnsi="Times New Roman" w:cs="Times New Roman"/>
          <w:sz w:val="24"/>
          <w:szCs w:val="24"/>
        </w:rPr>
      </w:pPr>
      <w:r w:rsidRPr="006F10BC">
        <w:rPr>
          <w:rFonts w:ascii="Times New Roman" w:hAnsi="Times New Roman" w:cs="Times New Roman"/>
          <w:sz w:val="24"/>
          <w:szCs w:val="24"/>
        </w:rPr>
        <w:t>Название исследования: Барьеры и перспективы оказания медицинской помощи при острых цереброваскулярных заболеваниях: качественное исследование восприятия медицинских сотрудников</w:t>
      </w:r>
    </w:p>
    <w:p w14:paraId="60A343FF" w14:textId="77777777" w:rsidR="00546775" w:rsidRPr="006F10BC" w:rsidRDefault="00546775" w:rsidP="000F4E51">
      <w:pPr>
        <w:spacing w:after="0" w:line="240" w:lineRule="auto"/>
        <w:ind w:left="567" w:right="-1135" w:firstLine="567"/>
        <w:jc w:val="both"/>
        <w:rPr>
          <w:rFonts w:ascii="Times New Roman" w:hAnsi="Times New Roman" w:cs="Times New Roman"/>
          <w:sz w:val="24"/>
          <w:szCs w:val="24"/>
        </w:rPr>
      </w:pPr>
      <w:r w:rsidRPr="006F10BC">
        <w:rPr>
          <w:rFonts w:ascii="Times New Roman" w:hAnsi="Times New Roman" w:cs="Times New Roman"/>
          <w:sz w:val="24"/>
          <w:szCs w:val="24"/>
        </w:rPr>
        <w:t xml:space="preserve">Цель исследования: </w:t>
      </w:r>
      <w:r>
        <w:rPr>
          <w:rFonts w:ascii="Times New Roman" w:hAnsi="Times New Roman" w:cs="Times New Roman"/>
          <w:sz w:val="24"/>
          <w:szCs w:val="24"/>
        </w:rPr>
        <w:t>и</w:t>
      </w:r>
      <w:r w:rsidRPr="006F10BC">
        <w:rPr>
          <w:rFonts w:ascii="Times New Roman" w:hAnsi="Times New Roman" w:cs="Times New Roman"/>
          <w:sz w:val="24"/>
          <w:szCs w:val="24"/>
        </w:rPr>
        <w:t>зучить готовность медицинских сотрудников различных профилей к оказанию помощи пациентам с острыми нарушениями мозгового кровообращения (ОНМК) и выявить ключевые организационные, кадровые, образовательные и информационные барьеры, и перспективы совершенствования системы оказания помощи при инсульте в Алматы.</w:t>
      </w:r>
    </w:p>
    <w:p w14:paraId="72746EE4" w14:textId="77777777" w:rsidR="00546775" w:rsidRPr="006F10BC" w:rsidRDefault="00546775" w:rsidP="000F4E51">
      <w:pPr>
        <w:spacing w:after="0" w:line="240" w:lineRule="auto"/>
        <w:ind w:left="567" w:right="-1135" w:firstLine="567"/>
        <w:jc w:val="both"/>
        <w:rPr>
          <w:rFonts w:ascii="Times New Roman" w:hAnsi="Times New Roman" w:cs="Times New Roman"/>
          <w:sz w:val="24"/>
          <w:szCs w:val="24"/>
        </w:rPr>
      </w:pPr>
      <w:r w:rsidRPr="006F10BC">
        <w:rPr>
          <w:rFonts w:ascii="Times New Roman" w:hAnsi="Times New Roman" w:cs="Times New Roman"/>
          <w:sz w:val="24"/>
          <w:szCs w:val="24"/>
        </w:rPr>
        <w:t>Дизайн исследования: Качественное описательное исследование с использованием полуструктурированных интервью.</w:t>
      </w:r>
    </w:p>
    <w:p w14:paraId="77CF1830" w14:textId="77777777" w:rsidR="00546775" w:rsidRPr="006F10BC" w:rsidRDefault="00546775" w:rsidP="000F4E51">
      <w:pPr>
        <w:spacing w:line="240" w:lineRule="auto"/>
        <w:ind w:left="567" w:right="-1135" w:firstLine="567"/>
        <w:jc w:val="both"/>
        <w:rPr>
          <w:rFonts w:ascii="Times New Roman" w:hAnsi="Times New Roman" w:cs="Times New Roman"/>
          <w:noProof/>
          <w:color w:val="000000"/>
          <w:sz w:val="24"/>
          <w:szCs w:val="24"/>
        </w:rPr>
      </w:pPr>
      <w:r w:rsidRPr="006F10BC">
        <w:rPr>
          <w:rFonts w:ascii="Times New Roman" w:hAnsi="Times New Roman" w:cs="Times New Roman"/>
          <w:noProof/>
          <w:color w:val="000000"/>
          <w:sz w:val="24"/>
          <w:szCs w:val="24"/>
        </w:rPr>
        <w:t>Критерии включения: медицинская специальность, непосредственно связанная с оказанием помощи пациентам с инсультом (неотложная медицинская помощь, неврология, интенсивная терапия, нейрохирургия, реабилитация); не менее 1 года практического опыта работы; текущая клиническая практика в медицинских организациях Алматы; участие в диагностике, лечении, транспортировке или реабилитации пациентов с инсультом; добровольное информированное согласие на участие в исследовании.</w:t>
      </w:r>
    </w:p>
    <w:p w14:paraId="5EDFD0E9" w14:textId="77777777" w:rsidR="00546775" w:rsidRPr="006F10BC" w:rsidRDefault="00546775" w:rsidP="000F4E51">
      <w:pPr>
        <w:spacing w:line="240" w:lineRule="auto"/>
        <w:ind w:left="567" w:right="-1135" w:firstLine="567"/>
        <w:jc w:val="both"/>
        <w:rPr>
          <w:rFonts w:ascii="Times New Roman" w:hAnsi="Times New Roman" w:cs="Times New Roman"/>
          <w:noProof/>
          <w:color w:val="000000"/>
          <w:sz w:val="24"/>
          <w:szCs w:val="24"/>
        </w:rPr>
      </w:pPr>
      <w:r w:rsidRPr="006F10BC">
        <w:rPr>
          <w:rFonts w:ascii="Times New Roman" w:hAnsi="Times New Roman" w:cs="Times New Roman"/>
          <w:noProof/>
          <w:color w:val="000000"/>
          <w:sz w:val="24"/>
          <w:szCs w:val="24"/>
        </w:rPr>
        <w:t>Критерии исключения: специалисты без практического опыта работы с пациентами с инсультом; отказ от участия в интервью или прерывание интервью до его завершения; повторные интервью с тем же участником.</w:t>
      </w:r>
    </w:p>
    <w:p w14:paraId="4B5E7501" w14:textId="77777777" w:rsidR="00546775" w:rsidRDefault="00546775" w:rsidP="000F4E51">
      <w:pPr>
        <w:spacing w:after="0" w:line="240" w:lineRule="auto"/>
        <w:ind w:left="567" w:right="-1135" w:firstLine="567"/>
        <w:jc w:val="both"/>
        <w:rPr>
          <w:rFonts w:ascii="Times New Roman" w:hAnsi="Times New Roman" w:cs="Times New Roman"/>
          <w:sz w:val="24"/>
          <w:szCs w:val="24"/>
        </w:rPr>
      </w:pPr>
      <w:r w:rsidRPr="006F10BC">
        <w:rPr>
          <w:rFonts w:ascii="Times New Roman" w:hAnsi="Times New Roman" w:cs="Times New Roman"/>
          <w:sz w:val="24"/>
          <w:szCs w:val="24"/>
        </w:rPr>
        <w:t>Полуструктурированное руководство для интервью, разработанное на основе:</w:t>
      </w:r>
      <w:r>
        <w:rPr>
          <w:rFonts w:ascii="Times New Roman" w:hAnsi="Times New Roman" w:cs="Times New Roman"/>
          <w:sz w:val="24"/>
          <w:szCs w:val="24"/>
        </w:rPr>
        <w:t xml:space="preserve"> </w:t>
      </w:r>
      <w:r w:rsidRPr="006F10BC">
        <w:rPr>
          <w:rFonts w:ascii="Times New Roman" w:hAnsi="Times New Roman" w:cs="Times New Roman"/>
          <w:sz w:val="24"/>
          <w:szCs w:val="24"/>
        </w:rPr>
        <w:t>обзора литературы,</w:t>
      </w:r>
      <w:r>
        <w:rPr>
          <w:rFonts w:ascii="Times New Roman" w:hAnsi="Times New Roman" w:cs="Times New Roman"/>
          <w:sz w:val="24"/>
          <w:szCs w:val="24"/>
        </w:rPr>
        <w:t xml:space="preserve"> </w:t>
      </w:r>
      <w:r w:rsidRPr="006F10BC">
        <w:rPr>
          <w:rFonts w:ascii="Times New Roman" w:hAnsi="Times New Roman" w:cs="Times New Roman"/>
          <w:sz w:val="24"/>
          <w:szCs w:val="24"/>
        </w:rPr>
        <w:t>клинических рекомендаций по инсульту,</w:t>
      </w:r>
      <w:r>
        <w:rPr>
          <w:rFonts w:ascii="Times New Roman" w:hAnsi="Times New Roman" w:cs="Times New Roman"/>
          <w:sz w:val="24"/>
          <w:szCs w:val="24"/>
        </w:rPr>
        <w:t xml:space="preserve"> </w:t>
      </w:r>
      <w:r w:rsidRPr="006F10BC">
        <w:rPr>
          <w:rFonts w:ascii="Times New Roman" w:hAnsi="Times New Roman" w:cs="Times New Roman"/>
          <w:sz w:val="24"/>
          <w:szCs w:val="24"/>
        </w:rPr>
        <w:t>предварительных консультаций с экспертами.</w:t>
      </w:r>
      <w:r>
        <w:rPr>
          <w:rFonts w:ascii="Times New Roman" w:hAnsi="Times New Roman" w:cs="Times New Roman"/>
          <w:sz w:val="24"/>
          <w:szCs w:val="24"/>
        </w:rPr>
        <w:t xml:space="preserve"> </w:t>
      </w:r>
      <w:r w:rsidRPr="006F10BC">
        <w:rPr>
          <w:rFonts w:ascii="Times New Roman" w:hAnsi="Times New Roman" w:cs="Times New Roman"/>
          <w:sz w:val="24"/>
          <w:szCs w:val="24"/>
        </w:rPr>
        <w:t>Вопросы для интервью были предварительно одобрены представителями каждой профессиональной группы (по одному эксперту от каждой специальности).</w:t>
      </w:r>
    </w:p>
    <w:p w14:paraId="01BB7298" w14:textId="77777777" w:rsidR="00546775" w:rsidRDefault="00546775" w:rsidP="000F4E51">
      <w:pPr>
        <w:spacing w:after="0" w:line="240" w:lineRule="auto"/>
        <w:ind w:left="567" w:right="-1135" w:firstLine="567"/>
        <w:rPr>
          <w:rFonts w:ascii="Times New Roman" w:hAnsi="Times New Roman" w:cs="Times New Roman"/>
          <w:sz w:val="24"/>
          <w:szCs w:val="24"/>
        </w:rPr>
      </w:pPr>
    </w:p>
    <w:p w14:paraId="0F27F2C9"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Раздел 1. Профессиональный опыт и роль</w:t>
      </w:r>
    </w:p>
    <w:p w14:paraId="0A99BA07"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Какова ваша специализация и стаж работы?</w:t>
      </w:r>
    </w:p>
    <w:p w14:paraId="46826114"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Какую роль вы играете в оказании помощи пациентам с инсультом?</w:t>
      </w:r>
    </w:p>
    <w:p w14:paraId="12D3217F"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p>
    <w:p w14:paraId="48B8C7D3"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Раздел 2. Готовность к оказанию помощи при инсульте</w:t>
      </w:r>
    </w:p>
    <w:p w14:paraId="73D6B673"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Как бы вы оценили готовность вашей команды к оказанию помощи пациентам с инсультом?</w:t>
      </w:r>
    </w:p>
    <w:p w14:paraId="0F2260F4"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Насколько четко определены протоколы и клинические алгоритмы?</w:t>
      </w:r>
    </w:p>
    <w:p w14:paraId="34EE17D4"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Какие этапы оказания помощи вы считаете наиболее эффективными?</w:t>
      </w:r>
    </w:p>
    <w:p w14:paraId="2D14F9C8"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p>
    <w:p w14:paraId="18BF385D"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Раздел 3. Ресурсы и инфраструктура</w:t>
      </w:r>
    </w:p>
    <w:p w14:paraId="7AE1FEEE"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Достаточно ли человеческих ресурсов для оказания помощи пациентам с инсультом?</w:t>
      </w:r>
    </w:p>
    <w:p w14:paraId="4AFDE4AD"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Насколько хорошо ваше отделение оснащено диагностическим оборудованием (КТ, МРТ и т. д.)?</w:t>
      </w:r>
    </w:p>
    <w:p w14:paraId="093A9033"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С какими логистическими ограничениями вы чаще всего сталкиваетесь?</w:t>
      </w:r>
    </w:p>
    <w:p w14:paraId="26BAB5B8"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p>
    <w:p w14:paraId="63DA085E"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Раздел 4. Обучение и повышение квалификации</w:t>
      </w:r>
    </w:p>
    <w:p w14:paraId="3E7FE4A7"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Как часто вы проходите обучение или повышение квалификации в области лечения инсульта?</w:t>
      </w:r>
    </w:p>
    <w:p w14:paraId="4B73A0BA"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Какие форматы обучения наиболее полезны для вас (курсы, вебинары, симуляции)?</w:t>
      </w:r>
    </w:p>
    <w:p w14:paraId="2DE9D30B"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Какие темы требуют дополнительного обучения?</w:t>
      </w:r>
    </w:p>
    <w:p w14:paraId="7E520DCE"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p>
    <w:p w14:paraId="2CE89C9C"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Раздел 5. Маршрутизация и задержки</w:t>
      </w:r>
    </w:p>
    <w:p w14:paraId="72CCE16A"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Насколько четко организована маршрутизация пациентов с инсультом?</w:t>
      </w:r>
    </w:p>
    <w:p w14:paraId="38F08A0E"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lastRenderedPageBreak/>
        <w:t>На каких этапах чаще всего возникают задержки (догоспитальный этап, диагностика, лечение)?</w:t>
      </w:r>
    </w:p>
    <w:p w14:paraId="7EED204F"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Каковы, по вашему мнению, причины этих задержек?</w:t>
      </w:r>
    </w:p>
    <w:p w14:paraId="69FD861C"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p>
    <w:p w14:paraId="3E0ED37D"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Раздел 6. Информирование общественности</w:t>
      </w:r>
    </w:p>
    <w:p w14:paraId="59D42ACA"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Как вы оцениваете уровень осведомленности общественности о симптомах инсульта?</w:t>
      </w:r>
    </w:p>
    <w:p w14:paraId="3B7A730E"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Как часто пациенты или их родственники своевременно распознают симптомы?</w:t>
      </w:r>
    </w:p>
    <w:p w14:paraId="639CBA99"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Какие источники информации, по вашему мнению, формируют общественные знания?</w:t>
      </w:r>
    </w:p>
    <w:p w14:paraId="0EAF699C"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Влияет ли низкий уровень осведомленности на результаты лечения? Каким образом?</w:t>
      </w:r>
    </w:p>
    <w:p w14:paraId="7A7339F8"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p>
    <w:p w14:paraId="3183D70E"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Раздел 7. Перспективы и инновации</w:t>
      </w:r>
    </w:p>
    <w:p w14:paraId="29DE0695"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Какие изменения могли бы значительно улучшить оказание помощи при инсульте?</w:t>
      </w:r>
    </w:p>
    <w:p w14:paraId="45AF5B72"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Каково ваше мнение о внедрении телемедицины, мобильных бригад по лечению инсульта и реабилитации с использованием виртуальной реальности?</w:t>
      </w:r>
    </w:p>
    <w:p w14:paraId="7353EBAB"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Какие барьеры препятствуют внедрению новых технологий?</w:t>
      </w:r>
    </w:p>
    <w:p w14:paraId="7584F55B"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p>
    <w:p w14:paraId="08C5962E"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Раздел 8. Заключение</w:t>
      </w:r>
    </w:p>
    <w:p w14:paraId="1F1F0867" w14:textId="77777777" w:rsidR="00546775" w:rsidRPr="007C30B9"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Какие ключевые вопросы в системе оказания помощи при инсульте вы считаете приоритетными?</w:t>
      </w:r>
    </w:p>
    <w:p w14:paraId="049218E9" w14:textId="77777777" w:rsidR="00546775" w:rsidRPr="006F10BC" w:rsidRDefault="00546775" w:rsidP="000F4E51">
      <w:pPr>
        <w:spacing w:after="0" w:line="240" w:lineRule="auto"/>
        <w:ind w:left="567" w:right="-1135" w:firstLine="567"/>
        <w:rPr>
          <w:rFonts w:ascii="Times New Roman" w:hAnsi="Times New Roman" w:cs="Times New Roman"/>
          <w:sz w:val="24"/>
          <w:szCs w:val="24"/>
        </w:rPr>
      </w:pPr>
      <w:r w:rsidRPr="007C30B9">
        <w:rPr>
          <w:rFonts w:ascii="Times New Roman" w:hAnsi="Times New Roman" w:cs="Times New Roman"/>
          <w:sz w:val="24"/>
          <w:szCs w:val="24"/>
        </w:rPr>
        <w:t>Есть ли что-нибудь важное, что мы не обсудили, и что вы хотели бы добавить?</w:t>
      </w:r>
    </w:p>
    <w:p w14:paraId="73D24CAD" w14:textId="77777777" w:rsidR="00546775" w:rsidRPr="006F10BC" w:rsidRDefault="00546775" w:rsidP="000F4E51">
      <w:pPr>
        <w:spacing w:after="0" w:line="240" w:lineRule="auto"/>
        <w:ind w:left="567" w:right="-1135" w:firstLine="567"/>
        <w:jc w:val="center"/>
        <w:rPr>
          <w:rFonts w:ascii="Times New Roman" w:hAnsi="Times New Roman" w:cs="Times New Roman"/>
          <w:sz w:val="24"/>
          <w:szCs w:val="24"/>
        </w:rPr>
      </w:pPr>
    </w:p>
    <w:p w14:paraId="65D4853A" w14:textId="77777777" w:rsidR="00546775" w:rsidRDefault="00546775" w:rsidP="000F4E51">
      <w:pPr>
        <w:spacing w:after="0" w:line="240" w:lineRule="auto"/>
        <w:ind w:left="567" w:right="-1135" w:firstLine="567"/>
        <w:jc w:val="center"/>
        <w:rPr>
          <w:rFonts w:ascii="Times New Roman" w:hAnsi="Times New Roman" w:cs="Times New Roman"/>
          <w:sz w:val="24"/>
          <w:szCs w:val="24"/>
        </w:rPr>
        <w:sectPr w:rsidR="00546775" w:rsidSect="00546775">
          <w:pgSz w:w="11906" w:h="16838"/>
          <w:pgMar w:top="1134" w:right="1701" w:bottom="1134" w:left="850" w:header="708" w:footer="708" w:gutter="0"/>
          <w:cols w:space="708"/>
          <w:docGrid w:linePitch="360"/>
        </w:sectPr>
      </w:pPr>
    </w:p>
    <w:p w14:paraId="2507EFFE" w14:textId="77777777" w:rsidR="00546775" w:rsidRPr="0037791E" w:rsidRDefault="00546775" w:rsidP="000F4E51">
      <w:pPr>
        <w:spacing w:after="0" w:line="240" w:lineRule="auto"/>
        <w:ind w:left="567" w:right="-1135" w:firstLine="567"/>
        <w:jc w:val="center"/>
        <w:rPr>
          <w:rFonts w:ascii="Times New Roman" w:hAnsi="Times New Roman" w:cs="Times New Roman"/>
          <w:sz w:val="24"/>
          <w:szCs w:val="24"/>
        </w:rPr>
      </w:pPr>
      <w:r w:rsidRPr="0037791E">
        <w:rPr>
          <w:rFonts w:ascii="Times New Roman" w:hAnsi="Times New Roman" w:cs="Times New Roman"/>
          <w:sz w:val="24"/>
          <w:szCs w:val="24"/>
        </w:rPr>
        <w:lastRenderedPageBreak/>
        <w:t>ПРИЛОЖЕНИЕ Б</w:t>
      </w:r>
    </w:p>
    <w:p w14:paraId="3C8EA8A8" w14:textId="77777777" w:rsidR="00546775" w:rsidRPr="004528E2" w:rsidRDefault="00546775" w:rsidP="004528E2">
      <w:pPr>
        <w:spacing w:after="0" w:line="240" w:lineRule="auto"/>
        <w:ind w:left="567" w:right="-1135" w:firstLine="567"/>
        <w:jc w:val="both"/>
        <w:rPr>
          <w:rFonts w:ascii="Times New Roman" w:hAnsi="Times New Roman" w:cs="Times New Roman"/>
        </w:rPr>
      </w:pPr>
    </w:p>
    <w:p w14:paraId="47E91683"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Название исследования: Опыт получения медицинской и специализированной помощи при ОНМК: взгляд пациента.</w:t>
      </w:r>
    </w:p>
    <w:p w14:paraId="5411857E"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Цель: понять, как пациенты воспринимают помощь, оказываемую при инсульте, и какие факторы влияют на своевременность, качество лечения.</w:t>
      </w:r>
    </w:p>
    <w:p w14:paraId="578DB2A3" w14:textId="77777777" w:rsidR="00546775" w:rsidRPr="004528E2" w:rsidRDefault="00546775" w:rsidP="004528E2">
      <w:pPr>
        <w:spacing w:after="0" w:line="240" w:lineRule="auto"/>
        <w:ind w:left="567" w:right="-1135" w:firstLine="567"/>
        <w:jc w:val="both"/>
        <w:rPr>
          <w:rFonts w:ascii="Times New Roman" w:hAnsi="Times New Roman" w:cs="Times New Roman"/>
          <w:noProof/>
          <w:color w:val="000000"/>
        </w:rPr>
      </w:pPr>
      <w:r w:rsidRPr="004528E2">
        <w:rPr>
          <w:rFonts w:ascii="Times New Roman" w:hAnsi="Times New Roman" w:cs="Times New Roman"/>
          <w:noProof/>
          <w:color w:val="000000"/>
        </w:rPr>
        <w:t>Критерии включения: старше  ≥ 18 лет; подтвержденный диагноз инсульт; клиническая стабильность на момент интервью; сохраненная способность к вербальному общению и пониманию вопросов (самостоятельно или с минимальной помощью); информированное согласие на участие в исследовании.</w:t>
      </w:r>
    </w:p>
    <w:p w14:paraId="720AFB64" w14:textId="77777777" w:rsidR="00546775" w:rsidRPr="004528E2" w:rsidRDefault="00546775" w:rsidP="004528E2">
      <w:pPr>
        <w:spacing w:after="0" w:line="240" w:lineRule="auto"/>
        <w:ind w:left="567" w:right="-1135" w:firstLine="567"/>
        <w:jc w:val="both"/>
        <w:rPr>
          <w:rFonts w:ascii="Times New Roman" w:hAnsi="Times New Roman" w:cs="Times New Roman"/>
          <w:noProof/>
          <w:color w:val="000000"/>
        </w:rPr>
      </w:pPr>
      <w:r w:rsidRPr="004528E2">
        <w:rPr>
          <w:rFonts w:ascii="Times New Roman" w:hAnsi="Times New Roman" w:cs="Times New Roman"/>
          <w:noProof/>
          <w:color w:val="000000"/>
        </w:rPr>
        <w:t>Критерии исключения: тяжелые когнитивные нарушения, препятствующие участию в интервью; тяжелое общее состояние или острые осложнения; отказ пациента от участия в исследовании; повторные интервью с одним и тем же пациентом.</w:t>
      </w:r>
    </w:p>
    <w:p w14:paraId="3F9B3E12" w14:textId="77777777" w:rsidR="00B925D9" w:rsidRPr="004528E2" w:rsidRDefault="00B925D9" w:rsidP="004528E2">
      <w:pPr>
        <w:spacing w:after="0" w:line="240" w:lineRule="auto"/>
        <w:ind w:left="567" w:right="-1135" w:firstLine="567"/>
        <w:jc w:val="both"/>
        <w:rPr>
          <w:rFonts w:ascii="Times New Roman" w:hAnsi="Times New Roman" w:cs="Times New Roman"/>
          <w:lang w:val="kk-KZ"/>
        </w:rPr>
      </w:pPr>
    </w:p>
    <w:p w14:paraId="05CA3BC8" w14:textId="55A1EA02" w:rsidR="00546775" w:rsidRPr="004528E2" w:rsidRDefault="00546775" w:rsidP="004528E2">
      <w:pPr>
        <w:spacing w:after="0" w:line="240" w:lineRule="auto"/>
        <w:ind w:left="567" w:right="-1135" w:firstLine="567"/>
        <w:jc w:val="both"/>
        <w:rPr>
          <w:rFonts w:ascii="Times New Roman" w:hAnsi="Times New Roman" w:cs="Times New Roman"/>
          <w:i/>
          <w:iCs/>
          <w:lang w:val="kk-KZ"/>
        </w:rPr>
      </w:pPr>
      <w:r w:rsidRPr="004528E2">
        <w:rPr>
          <w:rFonts w:ascii="Times New Roman" w:hAnsi="Times New Roman" w:cs="Times New Roman"/>
          <w:i/>
          <w:iCs/>
        </w:rPr>
        <w:t>Раздел 1. Общая информация о пациенте и заболевании.</w:t>
      </w:r>
    </w:p>
    <w:p w14:paraId="3E434086" w14:textId="77777777" w:rsidR="00B925D9" w:rsidRPr="00B925D9" w:rsidRDefault="00B925D9" w:rsidP="004528E2">
      <w:pPr>
        <w:spacing w:after="0" w:line="240" w:lineRule="auto"/>
        <w:ind w:left="1134" w:right="-1135" w:firstLine="567"/>
        <w:jc w:val="both"/>
        <w:rPr>
          <w:rFonts w:ascii="Times New Roman" w:hAnsi="Times New Roman" w:cs="Times New Roman"/>
        </w:rPr>
      </w:pPr>
      <w:r w:rsidRPr="00B925D9">
        <w:rPr>
          <w:rFonts w:ascii="Times New Roman" w:hAnsi="Times New Roman" w:cs="Times New Roman"/>
          <w:b/>
          <w:bCs/>
        </w:rPr>
        <w:t>1. Укажите Ваш возраст:</w:t>
      </w:r>
    </w:p>
    <w:p w14:paraId="350F2ED2" w14:textId="77777777" w:rsidR="00B925D9" w:rsidRPr="00B925D9" w:rsidRDefault="00B925D9">
      <w:pPr>
        <w:numPr>
          <w:ilvl w:val="0"/>
          <w:numId w:val="17"/>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До 50 лет</w:t>
      </w:r>
    </w:p>
    <w:p w14:paraId="2283F579" w14:textId="77777777" w:rsidR="00B925D9" w:rsidRPr="00B925D9" w:rsidRDefault="00B925D9">
      <w:pPr>
        <w:numPr>
          <w:ilvl w:val="0"/>
          <w:numId w:val="17"/>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50–59 лет</w:t>
      </w:r>
    </w:p>
    <w:p w14:paraId="3B6CEBDD" w14:textId="77777777" w:rsidR="00B925D9" w:rsidRPr="00B925D9" w:rsidRDefault="00B925D9">
      <w:pPr>
        <w:numPr>
          <w:ilvl w:val="0"/>
          <w:numId w:val="17"/>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60–69 лет</w:t>
      </w:r>
    </w:p>
    <w:p w14:paraId="5CA14D02" w14:textId="77777777" w:rsidR="00B925D9" w:rsidRPr="00B925D9" w:rsidRDefault="00B925D9">
      <w:pPr>
        <w:numPr>
          <w:ilvl w:val="0"/>
          <w:numId w:val="17"/>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70–79 лет</w:t>
      </w:r>
    </w:p>
    <w:p w14:paraId="331429C2" w14:textId="77777777" w:rsidR="00B925D9" w:rsidRPr="00B925D9" w:rsidRDefault="00B925D9">
      <w:pPr>
        <w:numPr>
          <w:ilvl w:val="0"/>
          <w:numId w:val="17"/>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80 лет и старше</w:t>
      </w:r>
    </w:p>
    <w:p w14:paraId="1F48BD03" w14:textId="77777777" w:rsidR="00B925D9" w:rsidRPr="00B925D9" w:rsidRDefault="00B925D9" w:rsidP="004528E2">
      <w:pPr>
        <w:spacing w:after="0" w:line="240" w:lineRule="auto"/>
        <w:ind w:left="1134" w:right="-1135" w:firstLine="567"/>
        <w:jc w:val="both"/>
        <w:rPr>
          <w:rFonts w:ascii="Times New Roman" w:hAnsi="Times New Roman" w:cs="Times New Roman"/>
        </w:rPr>
      </w:pPr>
      <w:r w:rsidRPr="00B925D9">
        <w:rPr>
          <w:rFonts w:ascii="Times New Roman" w:hAnsi="Times New Roman" w:cs="Times New Roman"/>
          <w:b/>
          <w:bCs/>
        </w:rPr>
        <w:t>2. Ваш текущий род занятий:</w:t>
      </w:r>
    </w:p>
    <w:p w14:paraId="4487D543" w14:textId="77777777" w:rsidR="00B925D9" w:rsidRPr="00B925D9" w:rsidRDefault="00B925D9">
      <w:pPr>
        <w:numPr>
          <w:ilvl w:val="0"/>
          <w:numId w:val="18"/>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Пенсионер(ка)</w:t>
      </w:r>
    </w:p>
    <w:p w14:paraId="2A0D3585" w14:textId="77777777" w:rsidR="00B925D9" w:rsidRPr="00B925D9" w:rsidRDefault="00B925D9">
      <w:pPr>
        <w:numPr>
          <w:ilvl w:val="0"/>
          <w:numId w:val="18"/>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Работаю (укажите сферу деятельности) __________</w:t>
      </w:r>
    </w:p>
    <w:p w14:paraId="57CB0269" w14:textId="77777777" w:rsidR="00B925D9" w:rsidRPr="00B925D9" w:rsidRDefault="00B925D9">
      <w:pPr>
        <w:numPr>
          <w:ilvl w:val="0"/>
          <w:numId w:val="18"/>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Безработный(ая)</w:t>
      </w:r>
    </w:p>
    <w:p w14:paraId="6F6F7721" w14:textId="77777777" w:rsidR="00B925D9" w:rsidRPr="00B925D9" w:rsidRDefault="00B925D9" w:rsidP="004528E2">
      <w:pPr>
        <w:spacing w:after="0" w:line="240" w:lineRule="auto"/>
        <w:ind w:left="1134" w:right="-1135" w:firstLine="567"/>
        <w:jc w:val="both"/>
        <w:rPr>
          <w:rFonts w:ascii="Times New Roman" w:hAnsi="Times New Roman" w:cs="Times New Roman"/>
        </w:rPr>
      </w:pPr>
      <w:r w:rsidRPr="00B925D9">
        <w:rPr>
          <w:rFonts w:ascii="Times New Roman" w:hAnsi="Times New Roman" w:cs="Times New Roman"/>
          <w:b/>
          <w:bCs/>
        </w:rPr>
        <w:t>3. Где Вы проживаете?</w:t>
      </w:r>
    </w:p>
    <w:p w14:paraId="223A2926" w14:textId="77777777" w:rsidR="00B925D9" w:rsidRPr="00B925D9" w:rsidRDefault="00B925D9">
      <w:pPr>
        <w:numPr>
          <w:ilvl w:val="0"/>
          <w:numId w:val="19"/>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г. Алматы</w:t>
      </w:r>
    </w:p>
    <w:p w14:paraId="2C496076" w14:textId="77777777" w:rsidR="00B925D9" w:rsidRPr="00B925D9" w:rsidRDefault="00B925D9">
      <w:pPr>
        <w:numPr>
          <w:ilvl w:val="0"/>
          <w:numId w:val="19"/>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Другой город или регион (укажите) __________</w:t>
      </w:r>
    </w:p>
    <w:p w14:paraId="5F38AB06" w14:textId="77777777" w:rsidR="00B925D9" w:rsidRPr="00B925D9" w:rsidRDefault="00B925D9" w:rsidP="004528E2">
      <w:pPr>
        <w:spacing w:after="0" w:line="240" w:lineRule="auto"/>
        <w:ind w:left="1134" w:right="-1135" w:firstLine="567"/>
        <w:jc w:val="both"/>
        <w:rPr>
          <w:rFonts w:ascii="Times New Roman" w:hAnsi="Times New Roman" w:cs="Times New Roman"/>
        </w:rPr>
      </w:pPr>
      <w:r w:rsidRPr="00B925D9">
        <w:rPr>
          <w:rFonts w:ascii="Times New Roman" w:hAnsi="Times New Roman" w:cs="Times New Roman"/>
          <w:b/>
          <w:bCs/>
        </w:rPr>
        <w:t>4. Сколько инсультов Вы перенесли?</w:t>
      </w:r>
    </w:p>
    <w:p w14:paraId="1C05F0B4" w14:textId="77777777" w:rsidR="00B925D9" w:rsidRPr="00B925D9" w:rsidRDefault="00B925D9">
      <w:pPr>
        <w:numPr>
          <w:ilvl w:val="0"/>
          <w:numId w:val="20"/>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Один (первичный инсульт)</w:t>
      </w:r>
    </w:p>
    <w:p w14:paraId="2AEFF5F8" w14:textId="77777777" w:rsidR="00B925D9" w:rsidRPr="00B925D9" w:rsidRDefault="00B925D9">
      <w:pPr>
        <w:numPr>
          <w:ilvl w:val="0"/>
          <w:numId w:val="20"/>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Два</w:t>
      </w:r>
    </w:p>
    <w:p w14:paraId="52BBF6FF" w14:textId="77777777" w:rsidR="00B925D9" w:rsidRPr="00B925D9" w:rsidRDefault="00B925D9">
      <w:pPr>
        <w:numPr>
          <w:ilvl w:val="0"/>
          <w:numId w:val="20"/>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Три и более</w:t>
      </w:r>
    </w:p>
    <w:p w14:paraId="0FFF6E8E" w14:textId="77777777" w:rsidR="00B925D9" w:rsidRPr="004528E2" w:rsidRDefault="00B925D9">
      <w:pPr>
        <w:numPr>
          <w:ilvl w:val="0"/>
          <w:numId w:val="20"/>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Были транзиторные ишемические атаки (мини-инсульты)</w:t>
      </w:r>
    </w:p>
    <w:p w14:paraId="7FF497CE" w14:textId="7C26FF12" w:rsidR="004528E2" w:rsidRPr="00B925D9" w:rsidRDefault="004528E2" w:rsidP="004528E2">
      <w:pPr>
        <w:spacing w:after="0" w:line="240" w:lineRule="auto"/>
        <w:ind w:left="1134" w:right="-1135" w:firstLine="567"/>
        <w:jc w:val="both"/>
        <w:rPr>
          <w:rFonts w:ascii="Times New Roman" w:hAnsi="Times New Roman" w:cs="Times New Roman"/>
          <w:i/>
          <w:iCs/>
        </w:rPr>
      </w:pPr>
      <w:r w:rsidRPr="004528E2">
        <w:rPr>
          <w:rFonts w:ascii="Times New Roman" w:hAnsi="Times New Roman" w:cs="Times New Roman"/>
          <w:i/>
          <w:iCs/>
        </w:rPr>
        <w:t>Раздел 2. Хронические заболевания до инсульта</w:t>
      </w:r>
      <w:r w:rsidRPr="004528E2">
        <w:rPr>
          <w:rFonts w:ascii="Times New Roman" w:hAnsi="Times New Roman" w:cs="Times New Roman"/>
          <w:i/>
          <w:iCs/>
          <w:lang w:val="kk-KZ"/>
        </w:rPr>
        <w:t xml:space="preserve"> и образ жизни</w:t>
      </w:r>
    </w:p>
    <w:p w14:paraId="5540EFDD" w14:textId="77777777" w:rsidR="00B925D9" w:rsidRPr="00B925D9" w:rsidRDefault="00B925D9" w:rsidP="004528E2">
      <w:pPr>
        <w:spacing w:after="0" w:line="240" w:lineRule="auto"/>
        <w:ind w:left="1134" w:right="-1135" w:firstLine="567"/>
        <w:jc w:val="both"/>
        <w:rPr>
          <w:rFonts w:ascii="Times New Roman" w:hAnsi="Times New Roman" w:cs="Times New Roman"/>
        </w:rPr>
      </w:pPr>
      <w:r w:rsidRPr="00B925D9">
        <w:rPr>
          <w:rFonts w:ascii="Times New Roman" w:hAnsi="Times New Roman" w:cs="Times New Roman"/>
          <w:b/>
          <w:bCs/>
        </w:rPr>
        <w:t>5. Получали ли Вы подробную информацию от медицинских работников о различиях симптомов инсульта?</w:t>
      </w:r>
    </w:p>
    <w:p w14:paraId="373EC68E" w14:textId="77777777" w:rsidR="00B925D9" w:rsidRPr="00B925D9" w:rsidRDefault="00B925D9">
      <w:pPr>
        <w:numPr>
          <w:ilvl w:val="0"/>
          <w:numId w:val="21"/>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Да</w:t>
      </w:r>
    </w:p>
    <w:p w14:paraId="7E54042F" w14:textId="77777777" w:rsidR="00B925D9" w:rsidRPr="00B925D9" w:rsidRDefault="00B925D9">
      <w:pPr>
        <w:numPr>
          <w:ilvl w:val="0"/>
          <w:numId w:val="21"/>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Нет</w:t>
      </w:r>
    </w:p>
    <w:p w14:paraId="73F441CF" w14:textId="2A2BA354" w:rsidR="00B925D9" w:rsidRPr="00B925D9" w:rsidRDefault="00B925D9" w:rsidP="004528E2">
      <w:pPr>
        <w:spacing w:after="0" w:line="240" w:lineRule="auto"/>
        <w:ind w:left="1134" w:right="-1135" w:firstLine="567"/>
        <w:jc w:val="both"/>
        <w:rPr>
          <w:rFonts w:ascii="Times New Roman" w:hAnsi="Times New Roman" w:cs="Times New Roman"/>
        </w:rPr>
      </w:pPr>
      <w:r w:rsidRPr="004528E2">
        <w:rPr>
          <w:rFonts w:ascii="Times New Roman" w:hAnsi="Times New Roman" w:cs="Times New Roman"/>
          <w:b/>
          <w:bCs/>
        </w:rPr>
        <w:t>6</w:t>
      </w:r>
      <w:r w:rsidRPr="00B925D9">
        <w:rPr>
          <w:rFonts w:ascii="Times New Roman" w:hAnsi="Times New Roman" w:cs="Times New Roman"/>
          <w:b/>
          <w:bCs/>
        </w:rPr>
        <w:t>. Были ли у Вас диагностированы хронические заболевания до инсульта?</w:t>
      </w:r>
    </w:p>
    <w:p w14:paraId="7C8D9CC7" w14:textId="77777777" w:rsidR="00B925D9" w:rsidRPr="00B925D9" w:rsidRDefault="00B925D9">
      <w:pPr>
        <w:numPr>
          <w:ilvl w:val="0"/>
          <w:numId w:val="22"/>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Нет</w:t>
      </w:r>
    </w:p>
    <w:p w14:paraId="5FC484CA" w14:textId="77777777" w:rsidR="00B925D9" w:rsidRPr="00B925D9" w:rsidRDefault="00B925D9">
      <w:pPr>
        <w:numPr>
          <w:ilvl w:val="0"/>
          <w:numId w:val="22"/>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Да</w:t>
      </w:r>
    </w:p>
    <w:p w14:paraId="11271506" w14:textId="259E78C4" w:rsidR="00B925D9" w:rsidRPr="00B925D9" w:rsidRDefault="00B925D9" w:rsidP="004528E2">
      <w:pPr>
        <w:spacing w:after="0" w:line="240" w:lineRule="auto"/>
        <w:ind w:left="1134" w:right="-1135" w:firstLine="567"/>
        <w:jc w:val="both"/>
        <w:rPr>
          <w:rFonts w:ascii="Times New Roman" w:hAnsi="Times New Roman" w:cs="Times New Roman"/>
        </w:rPr>
      </w:pPr>
      <w:r w:rsidRPr="004528E2">
        <w:rPr>
          <w:rFonts w:ascii="Times New Roman" w:hAnsi="Times New Roman" w:cs="Times New Roman"/>
          <w:b/>
          <w:bCs/>
        </w:rPr>
        <w:t>7</w:t>
      </w:r>
      <w:r w:rsidRPr="00B925D9">
        <w:rPr>
          <w:rFonts w:ascii="Times New Roman" w:hAnsi="Times New Roman" w:cs="Times New Roman"/>
          <w:b/>
          <w:bCs/>
        </w:rPr>
        <w:t>. Если да, укажите какие (можно выбрать несколько вариантов):</w:t>
      </w:r>
    </w:p>
    <w:p w14:paraId="235E4047" w14:textId="77777777" w:rsidR="00B925D9" w:rsidRPr="00B925D9" w:rsidRDefault="00B925D9">
      <w:pPr>
        <w:numPr>
          <w:ilvl w:val="0"/>
          <w:numId w:val="23"/>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Артериальная гипертония</w:t>
      </w:r>
    </w:p>
    <w:p w14:paraId="71D4A700" w14:textId="77777777" w:rsidR="00B925D9" w:rsidRPr="00B925D9" w:rsidRDefault="00B925D9">
      <w:pPr>
        <w:numPr>
          <w:ilvl w:val="0"/>
          <w:numId w:val="23"/>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Сахарный диабет</w:t>
      </w:r>
    </w:p>
    <w:p w14:paraId="0617A895" w14:textId="77777777" w:rsidR="00B925D9" w:rsidRPr="00B925D9" w:rsidRDefault="00B925D9">
      <w:pPr>
        <w:numPr>
          <w:ilvl w:val="0"/>
          <w:numId w:val="23"/>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Артрит / артроз</w:t>
      </w:r>
    </w:p>
    <w:p w14:paraId="54AB2017" w14:textId="77777777" w:rsidR="00B925D9" w:rsidRPr="00B925D9" w:rsidRDefault="00B925D9">
      <w:pPr>
        <w:numPr>
          <w:ilvl w:val="0"/>
          <w:numId w:val="23"/>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Заболевания щитовидной железы</w:t>
      </w:r>
    </w:p>
    <w:p w14:paraId="43FAE287" w14:textId="77777777" w:rsidR="00B925D9" w:rsidRPr="00B925D9" w:rsidRDefault="00B925D9">
      <w:pPr>
        <w:numPr>
          <w:ilvl w:val="0"/>
          <w:numId w:val="23"/>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Повышенный холестерин</w:t>
      </w:r>
    </w:p>
    <w:p w14:paraId="0AD13C86" w14:textId="77777777" w:rsidR="00B925D9" w:rsidRPr="00B925D9" w:rsidRDefault="00B925D9">
      <w:pPr>
        <w:numPr>
          <w:ilvl w:val="0"/>
          <w:numId w:val="23"/>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Другое (укажите) __________________</w:t>
      </w:r>
    </w:p>
    <w:p w14:paraId="180B8E3D" w14:textId="77777777" w:rsidR="00B925D9" w:rsidRPr="00B925D9" w:rsidRDefault="00B925D9">
      <w:pPr>
        <w:numPr>
          <w:ilvl w:val="0"/>
          <w:numId w:val="23"/>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Курение</w:t>
      </w:r>
    </w:p>
    <w:p w14:paraId="5291A05D" w14:textId="46024C04" w:rsidR="00B925D9" w:rsidRPr="00B925D9" w:rsidRDefault="00B925D9" w:rsidP="004528E2">
      <w:pPr>
        <w:spacing w:after="0" w:line="240" w:lineRule="auto"/>
        <w:ind w:left="1134" w:right="-1135" w:firstLine="567"/>
        <w:jc w:val="both"/>
        <w:rPr>
          <w:rFonts w:ascii="Times New Roman" w:hAnsi="Times New Roman" w:cs="Times New Roman"/>
        </w:rPr>
      </w:pPr>
      <w:r w:rsidRPr="004528E2">
        <w:rPr>
          <w:rFonts w:ascii="Times New Roman" w:hAnsi="Times New Roman" w:cs="Times New Roman"/>
          <w:b/>
          <w:bCs/>
        </w:rPr>
        <w:t>8</w:t>
      </w:r>
      <w:r w:rsidRPr="00B925D9">
        <w:rPr>
          <w:rFonts w:ascii="Times New Roman" w:hAnsi="Times New Roman" w:cs="Times New Roman"/>
          <w:b/>
          <w:bCs/>
        </w:rPr>
        <w:t>. Как бы Вы охарактеризовали свой образ жизни до инсульта?</w:t>
      </w:r>
    </w:p>
    <w:p w14:paraId="37C1E534" w14:textId="77777777" w:rsidR="00B925D9" w:rsidRPr="00B925D9" w:rsidRDefault="00B925D9">
      <w:pPr>
        <w:numPr>
          <w:ilvl w:val="0"/>
          <w:numId w:val="24"/>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Активный (спорт, регулярные прогулки, физическая активность)</w:t>
      </w:r>
    </w:p>
    <w:p w14:paraId="2482D86E" w14:textId="77777777" w:rsidR="00B925D9" w:rsidRPr="00B925D9" w:rsidRDefault="00B925D9">
      <w:pPr>
        <w:numPr>
          <w:ilvl w:val="0"/>
          <w:numId w:val="24"/>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Малоподвижный / преимущественно сидячий</w:t>
      </w:r>
    </w:p>
    <w:p w14:paraId="4AB5B3F3" w14:textId="77777777" w:rsidR="00B925D9" w:rsidRPr="00B925D9" w:rsidRDefault="00B925D9">
      <w:pPr>
        <w:numPr>
          <w:ilvl w:val="0"/>
          <w:numId w:val="24"/>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lastRenderedPageBreak/>
        <w:t>☐</w:t>
      </w:r>
      <w:r w:rsidRPr="00B925D9">
        <w:rPr>
          <w:rFonts w:ascii="Times New Roman" w:hAnsi="Times New Roman" w:cs="Times New Roman"/>
        </w:rPr>
        <w:t xml:space="preserve"> Смешанный (периоды активности и малоподвижности)</w:t>
      </w:r>
    </w:p>
    <w:p w14:paraId="37C54FC3" w14:textId="77777777" w:rsidR="00B925D9" w:rsidRPr="00B925D9" w:rsidRDefault="00B925D9">
      <w:pPr>
        <w:numPr>
          <w:ilvl w:val="0"/>
          <w:numId w:val="24"/>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Физическая активность ограничивалась повседневными делами</w:t>
      </w:r>
    </w:p>
    <w:p w14:paraId="2DEC8FC2" w14:textId="1964D675" w:rsidR="00B925D9" w:rsidRPr="00B925D9" w:rsidRDefault="00B925D9" w:rsidP="004528E2">
      <w:pPr>
        <w:spacing w:after="0" w:line="240" w:lineRule="auto"/>
        <w:ind w:left="1134" w:right="-1135" w:firstLine="567"/>
        <w:jc w:val="both"/>
        <w:rPr>
          <w:rFonts w:ascii="Times New Roman" w:hAnsi="Times New Roman" w:cs="Times New Roman"/>
        </w:rPr>
      </w:pPr>
      <w:r w:rsidRPr="004528E2">
        <w:rPr>
          <w:rFonts w:ascii="Times New Roman" w:hAnsi="Times New Roman" w:cs="Times New Roman"/>
          <w:b/>
          <w:bCs/>
        </w:rPr>
        <w:t>9</w:t>
      </w:r>
      <w:r w:rsidRPr="00B925D9">
        <w:rPr>
          <w:rFonts w:ascii="Times New Roman" w:hAnsi="Times New Roman" w:cs="Times New Roman"/>
          <w:b/>
          <w:bCs/>
        </w:rPr>
        <w:t>. Как часто Вы посещали врача до инсульта?</w:t>
      </w:r>
    </w:p>
    <w:p w14:paraId="6753DD11" w14:textId="77777777" w:rsidR="00B925D9" w:rsidRPr="00B925D9" w:rsidRDefault="00B925D9">
      <w:pPr>
        <w:numPr>
          <w:ilvl w:val="0"/>
          <w:numId w:val="25"/>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Регулярно (профилактические осмотры, контроль хронических заболеваний)</w:t>
      </w:r>
    </w:p>
    <w:p w14:paraId="1754BBFB" w14:textId="77777777" w:rsidR="00B925D9" w:rsidRPr="00B925D9" w:rsidRDefault="00B925D9">
      <w:pPr>
        <w:numPr>
          <w:ilvl w:val="0"/>
          <w:numId w:val="25"/>
        </w:numPr>
        <w:spacing w:after="0" w:line="240" w:lineRule="auto"/>
        <w:ind w:left="1134" w:right="-1135" w:firstLine="567"/>
        <w:jc w:val="both"/>
        <w:rPr>
          <w:rFonts w:ascii="Times New Roman" w:hAnsi="Times New Roman" w:cs="Times New Roman"/>
        </w:rPr>
      </w:pPr>
      <w:r w:rsidRPr="00B925D9">
        <w:rPr>
          <w:rFonts w:ascii="Segoe UI Symbol" w:hAnsi="Segoe UI Symbol" w:cs="Segoe UI Symbol"/>
        </w:rPr>
        <w:t>☐</w:t>
      </w:r>
      <w:r w:rsidRPr="00B925D9">
        <w:rPr>
          <w:rFonts w:ascii="Times New Roman" w:hAnsi="Times New Roman" w:cs="Times New Roman"/>
        </w:rPr>
        <w:t xml:space="preserve"> Редко / только при появлении симптомов</w:t>
      </w:r>
    </w:p>
    <w:p w14:paraId="61A7CAA3"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i/>
          <w:iCs/>
        </w:rPr>
        <w:t>Раздел 3. Осведомлённость о симптомах инсульта и действиях при их появлении</w:t>
      </w:r>
      <w:r w:rsidRPr="004528E2">
        <w:rPr>
          <w:rFonts w:ascii="Times New Roman" w:hAnsi="Times New Roman" w:cs="Times New Roman"/>
        </w:rPr>
        <w:t>.</w:t>
      </w:r>
    </w:p>
    <w:p w14:paraId="7D15B1D1"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Знали ли вы до инсульта, как распознать его симптомы? Откуда вы узнали об этом?</w:t>
      </w:r>
    </w:p>
    <w:p w14:paraId="4453A0A0"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Как вы поняли, что с вами что-то не так? Что именно вы почувствовали?</w:t>
      </w:r>
    </w:p>
    <w:p w14:paraId="57460426"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Как вы или окружающие отреагировали на эти симптомы? Сразу ли обратились за помощью?</w:t>
      </w:r>
    </w:p>
    <w:p w14:paraId="341A0078"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i/>
          <w:iCs/>
        </w:rPr>
        <w:t>Раздел 4. Опыт получения доврачебной помощи и транспортировки</w:t>
      </w:r>
      <w:r w:rsidRPr="004528E2">
        <w:rPr>
          <w:rFonts w:ascii="Times New Roman" w:hAnsi="Times New Roman" w:cs="Times New Roman"/>
        </w:rPr>
        <w:t>.</w:t>
      </w:r>
    </w:p>
    <w:p w14:paraId="6490CD30"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Кто принял решение вызвать помощь? Как это происходило?</w:t>
      </w:r>
    </w:p>
    <w:p w14:paraId="221CA339"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Каким способом вы попали в больницу? Почему выбрали именно этот способ?</w:t>
      </w:r>
    </w:p>
    <w:p w14:paraId="3FAE940E"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Какие трудности возникли при обращений за медицинской помощью?</w:t>
      </w:r>
    </w:p>
    <w:p w14:paraId="2772A877"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Как быстро прибыла скорая помощь и как действовали врачи?</w:t>
      </w:r>
    </w:p>
    <w:p w14:paraId="74B5ACBA" w14:textId="77777777" w:rsidR="00546775" w:rsidRPr="004528E2" w:rsidRDefault="00546775" w:rsidP="004528E2">
      <w:pPr>
        <w:spacing w:after="0" w:line="240" w:lineRule="auto"/>
        <w:ind w:left="567" w:right="-1135" w:firstLine="567"/>
        <w:jc w:val="both"/>
        <w:rPr>
          <w:rFonts w:ascii="Times New Roman" w:hAnsi="Times New Roman" w:cs="Times New Roman"/>
          <w:i/>
          <w:iCs/>
        </w:rPr>
      </w:pPr>
      <w:r w:rsidRPr="004528E2">
        <w:rPr>
          <w:rFonts w:ascii="Times New Roman" w:hAnsi="Times New Roman" w:cs="Times New Roman"/>
          <w:i/>
          <w:iCs/>
        </w:rPr>
        <w:t>Раздел 5. Опыт пребывания в больнице и специализированной помощи.</w:t>
      </w:r>
    </w:p>
    <w:p w14:paraId="78B0510E"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Как вас приняли в больнице? Какие исследования были проведены в первую очередь?</w:t>
      </w:r>
    </w:p>
    <w:p w14:paraId="1F227F19"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Расскажите о врачах и медсёстрах: как вы оцениваете общение с ними?</w:t>
      </w:r>
    </w:p>
    <w:p w14:paraId="0972A30C"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Объяснили ли вам ваш диагноз и план лечения? Всё ли было понятно?</w:t>
      </w:r>
    </w:p>
    <w:p w14:paraId="0DE5C959"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Получали ли вы специальное лечение (тромболизис, операцию)? Как вам это объяснили?</w:t>
      </w:r>
    </w:p>
    <w:p w14:paraId="436A0178"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Проводилась ли реабилитация в больнице? Что это входило в нее?</w:t>
      </w:r>
    </w:p>
    <w:p w14:paraId="54C743E4"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i/>
          <w:iCs/>
        </w:rPr>
        <w:t>Раздел 6. Реабилитация после инсульта</w:t>
      </w:r>
      <w:r w:rsidRPr="004528E2">
        <w:rPr>
          <w:rFonts w:ascii="Times New Roman" w:hAnsi="Times New Roman" w:cs="Times New Roman"/>
        </w:rPr>
        <w:t>.</w:t>
      </w:r>
    </w:p>
    <w:p w14:paraId="7B845FDC"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Куда вы были направлены после выписки? Была ли возможность продолжить реабилитацию?</w:t>
      </w:r>
    </w:p>
    <w:p w14:paraId="205E798E"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Какие методы стабилизации вам предлагались (физкультура, логопед, психолог)?</w:t>
      </w:r>
    </w:p>
    <w:p w14:paraId="6369EF29"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Был ли у вас доступ к необходимым лекарствам и информации о профилактике?</w:t>
      </w:r>
    </w:p>
    <w:p w14:paraId="7208E909"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Что мешало или помогло вам проходить реабилитацию?</w:t>
      </w:r>
    </w:p>
    <w:p w14:paraId="5AE0E2BF"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Раздел 7. Восприятие результатов лечения и восстановления.</w:t>
      </w:r>
    </w:p>
    <w:p w14:paraId="0067A98F"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Насколько вы восстановились после инсульта? Что удалось, а что — нет?</w:t>
      </w:r>
    </w:p>
    <w:p w14:paraId="23E08335"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Чувствуете ли вы, что получили все необходимое для восстановления?</w:t>
      </w:r>
    </w:p>
    <w:p w14:paraId="77163AD4"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Что бы вы хотели улучшить в процессе лечения или после него?</w:t>
      </w:r>
    </w:p>
    <w:p w14:paraId="2ADBD68C"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Раздел 8. Профилактика и консультирование и информированность населения.</w:t>
      </w:r>
    </w:p>
    <w:p w14:paraId="4EC27254"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Считаете ли вы, что люди в вашем окружений знают симптомы инсульта?</w:t>
      </w:r>
    </w:p>
    <w:p w14:paraId="14A8E692"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Что, по вашему мнению, мешает людям обращаться за помощью?</w:t>
      </w:r>
    </w:p>
    <w:p w14:paraId="2EA231A7"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Какие способы профилактики или обучения вы считаете наиболее эффективными?</w:t>
      </w:r>
    </w:p>
    <w:p w14:paraId="1F579981"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Что могло бы мотивировать людей больше заботиться о своем здоровье?</w:t>
      </w:r>
    </w:p>
    <w:p w14:paraId="7EA8A86D"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Раздел 9. Отношение к телемедицине и цифровым технологиям.</w:t>
      </w:r>
    </w:p>
    <w:p w14:paraId="27525124"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Слышали ли вы о возможности проходить реабилитацию по видеосвязи? Как вы к этому относитесь?</w:t>
      </w:r>
    </w:p>
    <w:p w14:paraId="1BFF8927"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Есть ли у вас доступ к техническим средствам (телефон, планшет, Интернет), чтобы участвовать в таких занятиях?</w:t>
      </w:r>
    </w:p>
    <w:p w14:paraId="353D640D"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Что вам кажется удобным или сложным в таком подходе?</w:t>
      </w:r>
    </w:p>
    <w:p w14:paraId="0F341A1F"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Кому вы доверяете в вопросах медицинской информации (врачам, интернету, приложениям)?</w:t>
      </w:r>
    </w:p>
    <w:p w14:paraId="5CDAD11B"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Какие опасения у вас есть по поводу цифровых сервисов?</w:t>
      </w:r>
    </w:p>
    <w:p w14:paraId="5194DB57" w14:textId="77777777" w:rsidR="00546775" w:rsidRPr="004528E2" w:rsidRDefault="00546775" w:rsidP="004528E2">
      <w:pPr>
        <w:spacing w:after="0" w:line="240" w:lineRule="auto"/>
        <w:ind w:left="567" w:right="-1135" w:firstLine="567"/>
        <w:jc w:val="both"/>
        <w:rPr>
          <w:rFonts w:ascii="Times New Roman" w:hAnsi="Times New Roman" w:cs="Times New Roman"/>
          <w:i/>
          <w:iCs/>
        </w:rPr>
      </w:pPr>
      <w:r w:rsidRPr="004528E2">
        <w:rPr>
          <w:rFonts w:ascii="Times New Roman" w:hAnsi="Times New Roman" w:cs="Times New Roman"/>
          <w:i/>
          <w:iCs/>
        </w:rPr>
        <w:t>Раздел 10. Рекомендации от пациента</w:t>
      </w:r>
    </w:p>
    <w:p w14:paraId="56AF6CF9"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Что, по вашему мнению, можно улучшить в организации помощи при инсульте?</w:t>
      </w:r>
    </w:p>
    <w:p w14:paraId="22F47A87"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Какие изменения могли бы сделать лечение и реабилитацию более доступными?</w:t>
      </w:r>
    </w:p>
    <w:p w14:paraId="180D605E" w14:textId="77777777" w:rsidR="00546775" w:rsidRPr="004528E2" w:rsidRDefault="00546775" w:rsidP="004528E2">
      <w:pPr>
        <w:spacing w:after="0" w:line="240" w:lineRule="auto"/>
        <w:ind w:left="567" w:right="-1135" w:firstLine="567"/>
        <w:jc w:val="both"/>
        <w:rPr>
          <w:rFonts w:ascii="Times New Roman" w:hAnsi="Times New Roman" w:cs="Times New Roman"/>
        </w:rPr>
      </w:pPr>
      <w:r w:rsidRPr="004528E2">
        <w:rPr>
          <w:rFonts w:ascii="Times New Roman" w:hAnsi="Times New Roman" w:cs="Times New Roman"/>
        </w:rPr>
        <w:t>• Что бы вы посоветовали другим пациентам, пережившим инсульт?</w:t>
      </w:r>
    </w:p>
    <w:p w14:paraId="669FB409" w14:textId="77777777" w:rsidR="00AE422E" w:rsidRDefault="00AE422E" w:rsidP="000F4E51">
      <w:pPr>
        <w:spacing w:after="0" w:line="240" w:lineRule="auto"/>
        <w:ind w:left="567" w:right="-1135" w:firstLine="567"/>
        <w:jc w:val="center"/>
        <w:rPr>
          <w:rFonts w:ascii="Times New Roman" w:hAnsi="Times New Roman" w:cs="Times New Roman"/>
          <w:sz w:val="28"/>
          <w:szCs w:val="28"/>
        </w:rPr>
        <w:sectPr w:rsidR="00AE422E" w:rsidSect="0062402E">
          <w:pgSz w:w="11906" w:h="16838"/>
          <w:pgMar w:top="1134" w:right="1701" w:bottom="1134" w:left="850" w:header="708" w:footer="708" w:gutter="0"/>
          <w:cols w:space="708"/>
          <w:docGrid w:linePitch="360"/>
        </w:sectPr>
      </w:pPr>
    </w:p>
    <w:p w14:paraId="1660642F" w14:textId="2B5EC432" w:rsidR="00AE422E" w:rsidRDefault="00AE422E" w:rsidP="000F4E51">
      <w:pPr>
        <w:spacing w:after="0" w:line="240" w:lineRule="auto"/>
        <w:ind w:left="567" w:right="-1135" w:firstLine="567"/>
        <w:jc w:val="center"/>
        <w:rPr>
          <w:rFonts w:ascii="Times New Roman" w:hAnsi="Times New Roman" w:cs="Times New Roman"/>
          <w:sz w:val="28"/>
          <w:szCs w:val="28"/>
        </w:rPr>
      </w:pPr>
      <w:r>
        <w:rPr>
          <w:rFonts w:ascii="Times New Roman" w:hAnsi="Times New Roman" w:cs="Times New Roman"/>
          <w:sz w:val="28"/>
          <w:szCs w:val="28"/>
        </w:rPr>
        <w:lastRenderedPageBreak/>
        <w:t>ПРИЛОЖ</w:t>
      </w:r>
      <w:r w:rsidR="00473B35">
        <w:rPr>
          <w:rFonts w:ascii="Times New Roman" w:hAnsi="Times New Roman" w:cs="Times New Roman"/>
          <w:sz w:val="28"/>
          <w:szCs w:val="28"/>
        </w:rPr>
        <w:t>Е</w:t>
      </w:r>
      <w:r>
        <w:rPr>
          <w:rFonts w:ascii="Times New Roman" w:hAnsi="Times New Roman" w:cs="Times New Roman"/>
          <w:sz w:val="28"/>
          <w:szCs w:val="28"/>
        </w:rPr>
        <w:t>НИЕ В</w:t>
      </w:r>
    </w:p>
    <w:p w14:paraId="0AE84838" w14:textId="1F9D6B83" w:rsidR="00AE422E" w:rsidRDefault="001D6EE1" w:rsidP="001D6EE1">
      <w:pPr>
        <w:spacing w:after="0" w:line="240" w:lineRule="auto"/>
        <w:ind w:right="-1" w:hanging="142"/>
        <w:jc w:val="center"/>
        <w:rPr>
          <w:rFonts w:ascii="Times New Roman" w:hAnsi="Times New Roman" w:cs="Times New Roman"/>
          <w:sz w:val="28"/>
          <w:szCs w:val="28"/>
        </w:rPr>
      </w:pPr>
      <w:r w:rsidRPr="001D6EE1">
        <w:rPr>
          <w:rFonts w:ascii="Times New Roman" w:hAnsi="Times New Roman" w:cs="Times New Roman"/>
          <w:noProof/>
          <w:sz w:val="28"/>
          <w:szCs w:val="28"/>
          <w:lang w:eastAsia="ru-RU"/>
        </w:rPr>
        <w:drawing>
          <wp:inline distT="0" distB="0" distL="0" distR="0" wp14:anchorId="75323B68" wp14:editId="5F982E8F">
            <wp:extent cx="5238750" cy="3790950"/>
            <wp:effectExtent l="0" t="0" r="0" b="0"/>
            <wp:docPr id="6971661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66163" name=""/>
                    <pic:cNvPicPr/>
                  </pic:nvPicPr>
                  <pic:blipFill>
                    <a:blip r:embed="rId60"/>
                    <a:stretch>
                      <a:fillRect/>
                    </a:stretch>
                  </pic:blipFill>
                  <pic:spPr>
                    <a:xfrm>
                      <a:off x="0" y="0"/>
                      <a:ext cx="5238750" cy="3790950"/>
                    </a:xfrm>
                    <a:prstGeom prst="rect">
                      <a:avLst/>
                    </a:prstGeom>
                  </pic:spPr>
                </pic:pic>
              </a:graphicData>
            </a:graphic>
          </wp:inline>
        </w:drawing>
      </w:r>
    </w:p>
    <w:p w14:paraId="2170E245" w14:textId="19068444" w:rsidR="001D6EE1" w:rsidRPr="001D6EE1" w:rsidRDefault="001D6EE1" w:rsidP="001D6EE1">
      <w:pPr>
        <w:spacing w:after="0" w:line="240" w:lineRule="auto"/>
        <w:ind w:right="141"/>
        <w:jc w:val="center"/>
        <w:rPr>
          <w:rFonts w:ascii="Times New Roman" w:hAnsi="Times New Roman" w:cs="Times New Roman"/>
          <w:sz w:val="28"/>
          <w:szCs w:val="28"/>
          <w:lang w:val="en-US"/>
        </w:rPr>
        <w:sectPr w:rsidR="001D6EE1" w:rsidRPr="001D6EE1" w:rsidSect="00AE422E">
          <w:pgSz w:w="11906" w:h="16838"/>
          <w:pgMar w:top="1134" w:right="850" w:bottom="1134" w:left="1701" w:header="708" w:footer="708" w:gutter="0"/>
          <w:cols w:space="708"/>
          <w:docGrid w:linePitch="360"/>
        </w:sectPr>
      </w:pPr>
      <w:r w:rsidRPr="001D6EE1">
        <w:rPr>
          <w:rFonts w:ascii="Times New Roman" w:hAnsi="Times New Roman" w:cs="Times New Roman"/>
          <w:noProof/>
          <w:sz w:val="28"/>
          <w:szCs w:val="28"/>
          <w:lang w:eastAsia="ru-RU"/>
        </w:rPr>
        <w:drawing>
          <wp:inline distT="0" distB="0" distL="0" distR="0" wp14:anchorId="2A0CDB07" wp14:editId="7EF98655">
            <wp:extent cx="5940425" cy="4610100"/>
            <wp:effectExtent l="0" t="0" r="3175" b="0"/>
            <wp:docPr id="7603182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318255" name=""/>
                    <pic:cNvPicPr/>
                  </pic:nvPicPr>
                  <pic:blipFill>
                    <a:blip r:embed="rId61"/>
                    <a:stretch>
                      <a:fillRect/>
                    </a:stretch>
                  </pic:blipFill>
                  <pic:spPr>
                    <a:xfrm>
                      <a:off x="0" y="0"/>
                      <a:ext cx="5940425" cy="4610100"/>
                    </a:xfrm>
                    <a:prstGeom prst="rect">
                      <a:avLst/>
                    </a:prstGeom>
                  </pic:spPr>
                </pic:pic>
              </a:graphicData>
            </a:graphic>
          </wp:inline>
        </w:drawing>
      </w:r>
    </w:p>
    <w:p w14:paraId="0A84BDC5" w14:textId="77777777" w:rsidR="00AE422E" w:rsidRDefault="00AE422E" w:rsidP="000F4E51">
      <w:pPr>
        <w:spacing w:after="0" w:line="240" w:lineRule="auto"/>
        <w:ind w:left="567" w:right="-1135" w:firstLine="567"/>
        <w:jc w:val="center"/>
        <w:rPr>
          <w:rFonts w:ascii="Times New Roman" w:hAnsi="Times New Roman" w:cs="Times New Roman"/>
          <w:sz w:val="28"/>
          <w:szCs w:val="28"/>
        </w:rPr>
      </w:pPr>
    </w:p>
    <w:p w14:paraId="0C275255" w14:textId="77777777" w:rsidR="00AE422E" w:rsidRDefault="00AE422E" w:rsidP="000F4E51">
      <w:pPr>
        <w:spacing w:after="0" w:line="240" w:lineRule="auto"/>
        <w:ind w:left="567" w:right="-1135" w:firstLine="567"/>
        <w:jc w:val="center"/>
        <w:rPr>
          <w:rFonts w:ascii="Times New Roman" w:hAnsi="Times New Roman" w:cs="Times New Roman"/>
          <w:sz w:val="28"/>
          <w:szCs w:val="28"/>
        </w:rPr>
        <w:sectPr w:rsidR="00AE422E" w:rsidSect="00AE422E">
          <w:pgSz w:w="16838" w:h="11906" w:orient="landscape"/>
          <w:pgMar w:top="850" w:right="1134" w:bottom="1701" w:left="1134" w:header="708" w:footer="708" w:gutter="0"/>
          <w:cols w:space="708"/>
          <w:docGrid w:linePitch="360"/>
        </w:sectPr>
      </w:pPr>
      <w:r>
        <w:rPr>
          <w:rFonts w:ascii="Times New Roman" w:hAnsi="Times New Roman" w:cs="Times New Roman"/>
          <w:noProof/>
          <w:sz w:val="28"/>
          <w:szCs w:val="28"/>
          <w:lang w:eastAsia="ru-RU"/>
        </w:rPr>
        <w:drawing>
          <wp:inline distT="0" distB="0" distL="0" distR="0" wp14:anchorId="7E1E8F65" wp14:editId="71C8A9CD">
            <wp:extent cx="7658100" cy="5576026"/>
            <wp:effectExtent l="0" t="0" r="0" b="5715"/>
            <wp:docPr id="52177803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661637" cy="5578601"/>
                    </a:xfrm>
                    <a:prstGeom prst="rect">
                      <a:avLst/>
                    </a:prstGeom>
                    <a:noFill/>
                    <a:ln>
                      <a:noFill/>
                    </a:ln>
                  </pic:spPr>
                </pic:pic>
              </a:graphicData>
            </a:graphic>
          </wp:inline>
        </w:drawing>
      </w:r>
    </w:p>
    <w:p w14:paraId="464FDC37" w14:textId="139F994F" w:rsidR="00AE422E" w:rsidRDefault="00AE422E" w:rsidP="00AE237C">
      <w:pPr>
        <w:spacing w:after="0" w:line="240" w:lineRule="auto"/>
        <w:ind w:right="-1135"/>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Г</w:t>
      </w:r>
    </w:p>
    <w:p w14:paraId="6E055948" w14:textId="77777777" w:rsidR="00AE237C" w:rsidRDefault="00AE237C" w:rsidP="00AE237C">
      <w:pPr>
        <w:spacing w:after="0" w:line="240" w:lineRule="auto"/>
        <w:ind w:right="-1135"/>
        <w:jc w:val="center"/>
        <w:rPr>
          <w:rFonts w:ascii="Times New Roman" w:hAnsi="Times New Roman" w:cs="Times New Roman"/>
          <w:sz w:val="28"/>
          <w:szCs w:val="28"/>
        </w:rPr>
      </w:pPr>
    </w:p>
    <w:p w14:paraId="37243846" w14:textId="77777777" w:rsidR="00AE237C" w:rsidRDefault="00AE237C" w:rsidP="00AE237C">
      <w:pPr>
        <w:spacing w:after="0" w:line="240" w:lineRule="auto"/>
        <w:ind w:right="-1135"/>
        <w:jc w:val="center"/>
        <w:rPr>
          <w:rFonts w:ascii="Times New Roman" w:hAnsi="Times New Roman" w:cs="Times New Roman"/>
          <w:sz w:val="28"/>
          <w:szCs w:val="28"/>
        </w:rPr>
      </w:pPr>
    </w:p>
    <w:p w14:paraId="7D0D8644" w14:textId="3825F440" w:rsidR="00AE237C" w:rsidRDefault="00AE422E" w:rsidP="00AE237C">
      <w:pPr>
        <w:spacing w:after="0" w:line="240" w:lineRule="auto"/>
        <w:ind w:left="-567" w:right="-1135"/>
        <w:rPr>
          <w:rFonts w:ascii="Times New Roman" w:hAnsi="Times New Roman" w:cs="Times New Roman"/>
          <w:sz w:val="28"/>
          <w:szCs w:val="28"/>
        </w:rPr>
      </w:pPr>
      <w:r w:rsidRPr="00AE422E">
        <w:rPr>
          <w:rFonts w:ascii="Times New Roman" w:hAnsi="Times New Roman" w:cs="Times New Roman"/>
          <w:noProof/>
          <w:sz w:val="28"/>
          <w:szCs w:val="28"/>
          <w:lang w:eastAsia="ru-RU"/>
        </w:rPr>
        <w:drawing>
          <wp:inline distT="0" distB="0" distL="0" distR="0" wp14:anchorId="493A56DA" wp14:editId="2E095FB9">
            <wp:extent cx="3181350" cy="5391150"/>
            <wp:effectExtent l="0" t="0" r="0" b="0"/>
            <wp:docPr id="2969573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57319" name=""/>
                    <pic:cNvPicPr/>
                  </pic:nvPicPr>
                  <pic:blipFill>
                    <a:blip r:embed="rId63"/>
                    <a:stretch>
                      <a:fillRect/>
                    </a:stretch>
                  </pic:blipFill>
                  <pic:spPr>
                    <a:xfrm>
                      <a:off x="0" y="0"/>
                      <a:ext cx="3185263" cy="5397781"/>
                    </a:xfrm>
                    <a:prstGeom prst="rect">
                      <a:avLst/>
                    </a:prstGeom>
                  </pic:spPr>
                </pic:pic>
              </a:graphicData>
            </a:graphic>
          </wp:inline>
        </w:drawing>
      </w:r>
      <w:r w:rsidR="00AE237C" w:rsidRPr="00AE237C">
        <w:rPr>
          <w:rFonts w:ascii="Times New Roman" w:hAnsi="Times New Roman" w:cs="Times New Roman"/>
          <w:noProof/>
          <w:sz w:val="28"/>
          <w:szCs w:val="28"/>
          <w:lang w:eastAsia="ru-RU"/>
        </w:rPr>
        <w:drawing>
          <wp:inline distT="0" distB="0" distL="0" distR="0" wp14:anchorId="4BC7DCEC" wp14:editId="25395852">
            <wp:extent cx="2561582" cy="5133975"/>
            <wp:effectExtent l="0" t="0" r="0" b="0"/>
            <wp:docPr id="7505329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32999" name=""/>
                    <pic:cNvPicPr/>
                  </pic:nvPicPr>
                  <pic:blipFill>
                    <a:blip r:embed="rId64"/>
                    <a:stretch>
                      <a:fillRect/>
                    </a:stretch>
                  </pic:blipFill>
                  <pic:spPr>
                    <a:xfrm>
                      <a:off x="0" y="0"/>
                      <a:ext cx="2573272" cy="5157404"/>
                    </a:xfrm>
                    <a:prstGeom prst="rect">
                      <a:avLst/>
                    </a:prstGeom>
                  </pic:spPr>
                </pic:pic>
              </a:graphicData>
            </a:graphic>
          </wp:inline>
        </w:drawing>
      </w:r>
    </w:p>
    <w:p w14:paraId="23B73E02" w14:textId="66B6DF13" w:rsidR="00AE237C" w:rsidRDefault="00AE237C" w:rsidP="00AE237C">
      <w:pPr>
        <w:spacing w:after="0" w:line="240" w:lineRule="auto"/>
        <w:ind w:left="-142" w:right="-1135"/>
        <w:rPr>
          <w:rFonts w:ascii="Times New Roman" w:hAnsi="Times New Roman" w:cs="Times New Roman"/>
          <w:sz w:val="28"/>
          <w:szCs w:val="28"/>
          <w:lang w:val="en-US"/>
        </w:rPr>
      </w:pPr>
      <w:r w:rsidRPr="00AE237C">
        <w:rPr>
          <w:rFonts w:ascii="Times New Roman" w:hAnsi="Times New Roman" w:cs="Times New Roman"/>
          <w:noProof/>
          <w:sz w:val="28"/>
          <w:szCs w:val="28"/>
          <w:lang w:eastAsia="ru-RU"/>
        </w:rPr>
        <w:drawing>
          <wp:inline distT="0" distB="0" distL="0" distR="0" wp14:anchorId="1098CCAC" wp14:editId="466CBF56">
            <wp:extent cx="5362575" cy="2762250"/>
            <wp:effectExtent l="0" t="0" r="9525" b="0"/>
            <wp:docPr id="4651885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88585" name=""/>
                    <pic:cNvPicPr/>
                  </pic:nvPicPr>
                  <pic:blipFill>
                    <a:blip r:embed="rId65"/>
                    <a:stretch>
                      <a:fillRect/>
                    </a:stretch>
                  </pic:blipFill>
                  <pic:spPr>
                    <a:xfrm>
                      <a:off x="0" y="0"/>
                      <a:ext cx="5362575" cy="2762250"/>
                    </a:xfrm>
                    <a:prstGeom prst="rect">
                      <a:avLst/>
                    </a:prstGeom>
                  </pic:spPr>
                </pic:pic>
              </a:graphicData>
            </a:graphic>
          </wp:inline>
        </w:drawing>
      </w:r>
    </w:p>
    <w:p w14:paraId="0765FE28" w14:textId="77777777" w:rsidR="006A6CE1" w:rsidRDefault="006A6CE1" w:rsidP="00AE237C">
      <w:pPr>
        <w:spacing w:after="0" w:line="240" w:lineRule="auto"/>
        <w:ind w:left="-142" w:right="-1135"/>
        <w:rPr>
          <w:rFonts w:ascii="Times New Roman" w:hAnsi="Times New Roman" w:cs="Times New Roman"/>
          <w:sz w:val="28"/>
          <w:szCs w:val="28"/>
          <w:lang w:val="en-US"/>
        </w:rPr>
      </w:pPr>
    </w:p>
    <w:p w14:paraId="5376E690" w14:textId="77777777" w:rsidR="006A6CE1" w:rsidRDefault="006A6CE1" w:rsidP="00AE237C">
      <w:pPr>
        <w:spacing w:after="0" w:line="240" w:lineRule="auto"/>
        <w:ind w:left="-142" w:right="-1135"/>
        <w:rPr>
          <w:rFonts w:ascii="Times New Roman" w:hAnsi="Times New Roman" w:cs="Times New Roman"/>
          <w:sz w:val="28"/>
          <w:szCs w:val="28"/>
          <w:lang w:val="en-US"/>
        </w:rPr>
      </w:pPr>
    </w:p>
    <w:p w14:paraId="7F785A29" w14:textId="6556D025" w:rsidR="006A6CE1" w:rsidRPr="006A6CE1" w:rsidRDefault="006A6CE1" w:rsidP="00AE237C">
      <w:pPr>
        <w:spacing w:after="0" w:line="240" w:lineRule="auto"/>
        <w:ind w:left="-142" w:right="-1135"/>
        <w:rPr>
          <w:rFonts w:ascii="Times New Roman" w:hAnsi="Times New Roman" w:cs="Times New Roman"/>
          <w:sz w:val="28"/>
          <w:szCs w:val="28"/>
          <w:lang w:val="en-US"/>
        </w:rPr>
      </w:pPr>
      <w:r w:rsidRPr="006A6CE1">
        <w:rPr>
          <w:rFonts w:ascii="Times New Roman" w:hAnsi="Times New Roman" w:cs="Times New Roman"/>
          <w:noProof/>
          <w:sz w:val="28"/>
          <w:szCs w:val="28"/>
          <w:lang w:eastAsia="ru-RU"/>
        </w:rPr>
        <w:lastRenderedPageBreak/>
        <w:drawing>
          <wp:inline distT="0" distB="0" distL="0" distR="0" wp14:anchorId="4E7BF98D" wp14:editId="2BF6AE46">
            <wp:extent cx="5940425" cy="8428355"/>
            <wp:effectExtent l="0" t="0" r="3175" b="0"/>
            <wp:docPr id="257761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61142" name=""/>
                    <pic:cNvPicPr/>
                  </pic:nvPicPr>
                  <pic:blipFill>
                    <a:blip r:embed="rId66"/>
                    <a:stretch>
                      <a:fillRect/>
                    </a:stretch>
                  </pic:blipFill>
                  <pic:spPr>
                    <a:xfrm>
                      <a:off x="0" y="0"/>
                      <a:ext cx="5940425" cy="8428355"/>
                    </a:xfrm>
                    <a:prstGeom prst="rect">
                      <a:avLst/>
                    </a:prstGeom>
                  </pic:spPr>
                </pic:pic>
              </a:graphicData>
            </a:graphic>
          </wp:inline>
        </w:drawing>
      </w:r>
    </w:p>
    <w:sectPr w:rsidR="006A6CE1" w:rsidRPr="006A6CE1" w:rsidSect="00AE422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8BB9E" w14:textId="77777777" w:rsidR="0005389E" w:rsidRDefault="0005389E">
      <w:pPr>
        <w:spacing w:after="0" w:line="240" w:lineRule="auto"/>
      </w:pPr>
      <w:r>
        <w:separator/>
      </w:r>
    </w:p>
  </w:endnote>
  <w:endnote w:type="continuationSeparator" w:id="0">
    <w:p w14:paraId="05F994CD" w14:textId="77777777" w:rsidR="0005389E" w:rsidRDefault="00053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3835030"/>
      <w:docPartObj>
        <w:docPartGallery w:val="Page Numbers (Bottom of Page)"/>
        <w:docPartUnique/>
      </w:docPartObj>
    </w:sdtPr>
    <w:sdtEndPr/>
    <w:sdtContent>
      <w:p w14:paraId="17B8BA48" w14:textId="77777777" w:rsidR="005E6F1B" w:rsidRDefault="005E6F1B">
        <w:pPr>
          <w:pStyle w:val="ac"/>
          <w:jc w:val="center"/>
        </w:pPr>
        <w:r w:rsidRPr="005F1FF1">
          <w:rPr>
            <w:rFonts w:ascii="Times New Roman" w:hAnsi="Times New Roman" w:cs="Times New Roman"/>
            <w:sz w:val="28"/>
            <w:szCs w:val="28"/>
          </w:rPr>
          <w:fldChar w:fldCharType="begin"/>
        </w:r>
        <w:r w:rsidRPr="005F1FF1">
          <w:rPr>
            <w:rFonts w:ascii="Times New Roman" w:hAnsi="Times New Roman" w:cs="Times New Roman"/>
            <w:sz w:val="28"/>
            <w:szCs w:val="28"/>
          </w:rPr>
          <w:instrText xml:space="preserve"> PAGE   \* MERGEFORMAT </w:instrText>
        </w:r>
        <w:r w:rsidRPr="005F1FF1">
          <w:rPr>
            <w:rFonts w:ascii="Times New Roman" w:hAnsi="Times New Roman" w:cs="Times New Roman"/>
            <w:sz w:val="28"/>
            <w:szCs w:val="28"/>
          </w:rPr>
          <w:fldChar w:fldCharType="separate"/>
        </w:r>
        <w:r>
          <w:rPr>
            <w:rFonts w:ascii="Times New Roman" w:hAnsi="Times New Roman" w:cs="Times New Roman"/>
            <w:noProof/>
            <w:sz w:val="28"/>
            <w:szCs w:val="28"/>
          </w:rPr>
          <w:t>30</w:t>
        </w:r>
        <w:r w:rsidRPr="005F1FF1">
          <w:rPr>
            <w:rFonts w:ascii="Times New Roman" w:hAnsi="Times New Roman" w:cs="Times New Roman"/>
            <w:sz w:val="28"/>
            <w:szCs w:val="28"/>
          </w:rPr>
          <w:fldChar w:fldCharType="end"/>
        </w:r>
      </w:p>
    </w:sdtContent>
  </w:sdt>
  <w:p w14:paraId="24CF1CBF" w14:textId="77777777" w:rsidR="005E6F1B" w:rsidRDefault="005E6F1B">
    <w:pPr>
      <w:pStyle w:val="ac"/>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5601365"/>
      <w:docPartObj>
        <w:docPartGallery w:val="Page Numbers (Bottom of Page)"/>
        <w:docPartUnique/>
      </w:docPartObj>
    </w:sdtPr>
    <w:sdtEndPr/>
    <w:sdtContent>
      <w:p w14:paraId="21AFBEA7" w14:textId="4C1DF77E" w:rsidR="005E6F1B" w:rsidRDefault="005E6F1B">
        <w:pPr>
          <w:pStyle w:val="ac"/>
          <w:jc w:val="center"/>
        </w:pPr>
        <w:r>
          <w:fldChar w:fldCharType="begin"/>
        </w:r>
        <w:r>
          <w:instrText>PAGE   \* MERGEFORMAT</w:instrText>
        </w:r>
        <w:r>
          <w:fldChar w:fldCharType="separate"/>
        </w:r>
        <w:r w:rsidR="00724DD5">
          <w:rPr>
            <w:noProof/>
          </w:rPr>
          <w:t>122</w:t>
        </w:r>
        <w:r>
          <w:fldChar w:fldCharType="end"/>
        </w:r>
      </w:p>
    </w:sdtContent>
  </w:sdt>
  <w:p w14:paraId="6E31C5B0" w14:textId="77777777" w:rsidR="005E6F1B" w:rsidRDefault="005E6F1B">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0059"/>
      <w:docPartObj>
        <w:docPartGallery w:val="Page Numbers (Bottom of Page)"/>
        <w:docPartUnique/>
      </w:docPartObj>
    </w:sdtPr>
    <w:sdtEndPr/>
    <w:sdtContent>
      <w:p w14:paraId="00E0E9F4" w14:textId="543AD6FA" w:rsidR="005E6F1B" w:rsidRDefault="005E6F1B">
        <w:pPr>
          <w:pStyle w:val="ac"/>
          <w:jc w:val="center"/>
        </w:pPr>
        <w:r w:rsidRPr="005F1FF1">
          <w:rPr>
            <w:rFonts w:ascii="Times New Roman" w:hAnsi="Times New Roman" w:cs="Times New Roman"/>
            <w:sz w:val="28"/>
            <w:szCs w:val="28"/>
          </w:rPr>
          <w:fldChar w:fldCharType="begin"/>
        </w:r>
        <w:r w:rsidRPr="005F1FF1">
          <w:rPr>
            <w:rFonts w:ascii="Times New Roman" w:hAnsi="Times New Roman" w:cs="Times New Roman"/>
            <w:sz w:val="28"/>
            <w:szCs w:val="28"/>
          </w:rPr>
          <w:instrText xml:space="preserve"> PAGE   \* MERGEFORMAT </w:instrText>
        </w:r>
        <w:r w:rsidRPr="005F1FF1">
          <w:rPr>
            <w:rFonts w:ascii="Times New Roman" w:hAnsi="Times New Roman" w:cs="Times New Roman"/>
            <w:sz w:val="28"/>
            <w:szCs w:val="28"/>
          </w:rPr>
          <w:fldChar w:fldCharType="separate"/>
        </w:r>
        <w:r w:rsidR="00724DD5">
          <w:rPr>
            <w:rFonts w:ascii="Times New Roman" w:hAnsi="Times New Roman" w:cs="Times New Roman"/>
            <w:noProof/>
            <w:sz w:val="28"/>
            <w:szCs w:val="28"/>
          </w:rPr>
          <w:t>5</w:t>
        </w:r>
        <w:r w:rsidRPr="005F1FF1">
          <w:rPr>
            <w:rFonts w:ascii="Times New Roman" w:hAnsi="Times New Roman" w:cs="Times New Roman"/>
            <w:sz w:val="28"/>
            <w:szCs w:val="28"/>
          </w:rPr>
          <w:fldChar w:fldCharType="end"/>
        </w:r>
      </w:p>
    </w:sdtContent>
  </w:sdt>
  <w:p w14:paraId="4F7BDF74" w14:textId="77777777" w:rsidR="005E6F1B" w:rsidRDefault="005E6F1B">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3793665"/>
      <w:docPartObj>
        <w:docPartGallery w:val="Page Numbers (Bottom of Page)"/>
        <w:docPartUnique/>
      </w:docPartObj>
    </w:sdtPr>
    <w:sdtEndPr/>
    <w:sdtContent>
      <w:p w14:paraId="60A1AE7D" w14:textId="15B77BEA" w:rsidR="005E6F1B" w:rsidRDefault="005E6F1B">
        <w:pPr>
          <w:pStyle w:val="ac"/>
          <w:jc w:val="center"/>
        </w:pPr>
        <w:r>
          <w:fldChar w:fldCharType="begin"/>
        </w:r>
        <w:r>
          <w:instrText>PAGE   \* MERGEFORMAT</w:instrText>
        </w:r>
        <w:r>
          <w:fldChar w:fldCharType="separate"/>
        </w:r>
        <w:r w:rsidR="00724DD5">
          <w:rPr>
            <w:noProof/>
          </w:rPr>
          <w:t>21</w:t>
        </w:r>
        <w:r>
          <w:fldChar w:fldCharType="end"/>
        </w:r>
      </w:p>
    </w:sdtContent>
  </w:sdt>
  <w:p w14:paraId="35AFCA0D" w14:textId="77777777" w:rsidR="005E6F1B" w:rsidRDefault="005E6F1B">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2139878"/>
      <w:docPartObj>
        <w:docPartGallery w:val="Page Numbers (Bottom of Page)"/>
        <w:docPartUnique/>
      </w:docPartObj>
    </w:sdtPr>
    <w:sdtEndPr/>
    <w:sdtContent>
      <w:p w14:paraId="212B68DC" w14:textId="59D638EF" w:rsidR="005E6F1B" w:rsidRDefault="005E6F1B">
        <w:pPr>
          <w:pStyle w:val="ac"/>
          <w:jc w:val="center"/>
        </w:pPr>
        <w:r>
          <w:fldChar w:fldCharType="begin"/>
        </w:r>
        <w:r>
          <w:instrText>PAGE   \* MERGEFORMAT</w:instrText>
        </w:r>
        <w:r>
          <w:fldChar w:fldCharType="separate"/>
        </w:r>
        <w:r w:rsidR="00724DD5">
          <w:rPr>
            <w:noProof/>
          </w:rPr>
          <w:t>45</w:t>
        </w:r>
        <w:r>
          <w:fldChar w:fldCharType="end"/>
        </w:r>
      </w:p>
    </w:sdtContent>
  </w:sdt>
  <w:p w14:paraId="19628EAD" w14:textId="77777777" w:rsidR="005E6F1B" w:rsidRDefault="005E6F1B">
    <w:pPr>
      <w:pStyle w:val="ac"/>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442317"/>
      <w:docPartObj>
        <w:docPartGallery w:val="Page Numbers (Bottom of Page)"/>
        <w:docPartUnique/>
      </w:docPartObj>
    </w:sdtPr>
    <w:sdtEndPr/>
    <w:sdtContent>
      <w:p w14:paraId="586781D1" w14:textId="5DECC821" w:rsidR="005E6F1B" w:rsidRDefault="005E6F1B">
        <w:pPr>
          <w:pStyle w:val="ac"/>
          <w:jc w:val="center"/>
        </w:pPr>
        <w:r>
          <w:fldChar w:fldCharType="begin"/>
        </w:r>
        <w:r>
          <w:instrText>PAGE   \* MERGEFORMAT</w:instrText>
        </w:r>
        <w:r>
          <w:fldChar w:fldCharType="separate"/>
        </w:r>
        <w:r w:rsidR="00724DD5">
          <w:rPr>
            <w:noProof/>
          </w:rPr>
          <w:t>51</w:t>
        </w:r>
        <w:r>
          <w:fldChar w:fldCharType="end"/>
        </w:r>
      </w:p>
    </w:sdtContent>
  </w:sdt>
  <w:p w14:paraId="15EC131C" w14:textId="77777777" w:rsidR="005E6F1B" w:rsidRDefault="005E6F1B">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BAB9C" w14:textId="77777777" w:rsidR="005E6F1B" w:rsidRDefault="005E6F1B">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6</w:t>
    </w:r>
    <w:r>
      <w:rPr>
        <w:color w:val="000000"/>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F5E83" w14:textId="51E1D915" w:rsidR="005E6F1B" w:rsidRDefault="005E6F1B">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724DD5">
      <w:rPr>
        <w:noProof/>
        <w:color w:val="000000"/>
      </w:rPr>
      <w:t>66</w:t>
    </w:r>
    <w:r>
      <w:rPr>
        <w:color w:val="000000"/>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2820067"/>
      <w:docPartObj>
        <w:docPartGallery w:val="Page Numbers (Bottom of Page)"/>
        <w:docPartUnique/>
      </w:docPartObj>
    </w:sdtPr>
    <w:sdtEndPr/>
    <w:sdtContent>
      <w:p w14:paraId="58C29D1C" w14:textId="6E665E69" w:rsidR="005E6F1B" w:rsidRDefault="005E6F1B">
        <w:pPr>
          <w:pStyle w:val="ac"/>
          <w:jc w:val="center"/>
        </w:pPr>
        <w:r>
          <w:fldChar w:fldCharType="begin"/>
        </w:r>
        <w:r>
          <w:instrText>PAGE   \* MERGEFORMAT</w:instrText>
        </w:r>
        <w:r>
          <w:fldChar w:fldCharType="separate"/>
        </w:r>
        <w:r w:rsidR="00724DD5">
          <w:rPr>
            <w:noProof/>
          </w:rPr>
          <w:t>79</w:t>
        </w:r>
        <w:r>
          <w:fldChar w:fldCharType="end"/>
        </w:r>
      </w:p>
    </w:sdtContent>
  </w:sdt>
  <w:p w14:paraId="3D121709" w14:textId="77777777" w:rsidR="005E6F1B" w:rsidRDefault="005E6F1B">
    <w:pPr>
      <w:pStyle w:val="ac"/>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158511"/>
      <w:docPartObj>
        <w:docPartGallery w:val="Page Numbers (Bottom of Page)"/>
        <w:docPartUnique/>
      </w:docPartObj>
    </w:sdtPr>
    <w:sdtEndPr/>
    <w:sdtContent>
      <w:p w14:paraId="465182F9" w14:textId="1E4DB025" w:rsidR="005E6F1B" w:rsidRDefault="005E6F1B">
        <w:pPr>
          <w:pStyle w:val="ac"/>
          <w:jc w:val="center"/>
        </w:pPr>
        <w:r>
          <w:fldChar w:fldCharType="begin"/>
        </w:r>
        <w:r>
          <w:instrText>PAGE   \* MERGEFORMAT</w:instrText>
        </w:r>
        <w:r>
          <w:fldChar w:fldCharType="separate"/>
        </w:r>
        <w:r w:rsidR="00724DD5">
          <w:rPr>
            <w:noProof/>
          </w:rPr>
          <w:t>92</w:t>
        </w:r>
        <w:r>
          <w:fldChar w:fldCharType="end"/>
        </w:r>
      </w:p>
    </w:sdtContent>
  </w:sdt>
  <w:p w14:paraId="401A77A1" w14:textId="77777777" w:rsidR="005E6F1B" w:rsidRDefault="005E6F1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40CE3" w14:textId="77777777" w:rsidR="0005389E" w:rsidRDefault="0005389E">
      <w:pPr>
        <w:spacing w:after="0" w:line="240" w:lineRule="auto"/>
      </w:pPr>
      <w:r>
        <w:separator/>
      </w:r>
    </w:p>
  </w:footnote>
  <w:footnote w:type="continuationSeparator" w:id="0">
    <w:p w14:paraId="388274DB" w14:textId="77777777" w:rsidR="0005389E" w:rsidRDefault="000538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530BA"/>
    <w:multiLevelType w:val="multilevel"/>
    <w:tmpl w:val="1AF8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71CEB"/>
    <w:multiLevelType w:val="multilevel"/>
    <w:tmpl w:val="22A8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01215"/>
    <w:multiLevelType w:val="hybridMultilevel"/>
    <w:tmpl w:val="D3946D80"/>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 w15:restartNumberingAfterBreak="0">
    <w:nsid w:val="21B71BF0"/>
    <w:multiLevelType w:val="multilevel"/>
    <w:tmpl w:val="DECC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67478E"/>
    <w:multiLevelType w:val="hybridMultilevel"/>
    <w:tmpl w:val="AC6E7C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4A7624F"/>
    <w:multiLevelType w:val="hybridMultilevel"/>
    <w:tmpl w:val="6860B2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2A2E4EE5"/>
    <w:multiLevelType w:val="multilevel"/>
    <w:tmpl w:val="D13EB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3168F"/>
    <w:multiLevelType w:val="multilevel"/>
    <w:tmpl w:val="1B6C6C04"/>
    <w:lvl w:ilvl="0">
      <w:start w:val="1"/>
      <w:numFmt w:val="decimal"/>
      <w:lvlText w:val="%1."/>
      <w:lvlJc w:val="left"/>
      <w:pPr>
        <w:ind w:left="1287" w:hanging="720"/>
      </w:pPr>
      <w:rPr>
        <w:rFonts w:hint="default"/>
        <w:i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3A78518E"/>
    <w:multiLevelType w:val="multilevel"/>
    <w:tmpl w:val="0A6A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37524"/>
    <w:multiLevelType w:val="hybridMultilevel"/>
    <w:tmpl w:val="C8DEA16E"/>
    <w:lvl w:ilvl="0" w:tplc="4C02571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E371642"/>
    <w:multiLevelType w:val="hybridMultilevel"/>
    <w:tmpl w:val="1AE87FB6"/>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0A07806"/>
    <w:multiLevelType w:val="multilevel"/>
    <w:tmpl w:val="9488B0A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2" w15:restartNumberingAfterBreak="0">
    <w:nsid w:val="446D488B"/>
    <w:multiLevelType w:val="hybridMultilevel"/>
    <w:tmpl w:val="46CEE13E"/>
    <w:lvl w:ilvl="0" w:tplc="9EA004CC">
      <w:start w:val="5"/>
      <w:numFmt w:val="decimal"/>
      <w:lvlText w:val="%1."/>
      <w:lvlJc w:val="left"/>
      <w:pPr>
        <w:ind w:left="720" w:hanging="360"/>
      </w:pPr>
      <w:rPr>
        <w:rFonts w:ascii="Times New Roman" w:hAnsi="Times New Roman" w:cs="Times New Roman"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A7A663A"/>
    <w:multiLevelType w:val="hybridMultilevel"/>
    <w:tmpl w:val="1862DA20"/>
    <w:lvl w:ilvl="0" w:tplc="CFE40E2C">
      <w:start w:val="1"/>
      <w:numFmt w:val="bullet"/>
      <w:lvlText w:val="-"/>
      <w:lvlJc w:val="left"/>
      <w:pPr>
        <w:ind w:left="1215" w:hanging="360"/>
      </w:pPr>
      <w:rPr>
        <w:rFonts w:ascii="Times New Roman" w:eastAsia="Times New Roman" w:hAnsi="Times New Roman" w:cs="Times New Roman" w:hint="default"/>
      </w:rPr>
    </w:lvl>
    <w:lvl w:ilvl="1" w:tplc="20000003" w:tentative="1">
      <w:start w:val="1"/>
      <w:numFmt w:val="bullet"/>
      <w:lvlText w:val="o"/>
      <w:lvlJc w:val="left"/>
      <w:pPr>
        <w:ind w:left="1935" w:hanging="360"/>
      </w:pPr>
      <w:rPr>
        <w:rFonts w:ascii="Courier New" w:hAnsi="Courier New" w:cs="Courier New" w:hint="default"/>
      </w:rPr>
    </w:lvl>
    <w:lvl w:ilvl="2" w:tplc="20000005" w:tentative="1">
      <w:start w:val="1"/>
      <w:numFmt w:val="bullet"/>
      <w:lvlText w:val=""/>
      <w:lvlJc w:val="left"/>
      <w:pPr>
        <w:ind w:left="2655" w:hanging="360"/>
      </w:pPr>
      <w:rPr>
        <w:rFonts w:ascii="Wingdings" w:hAnsi="Wingdings" w:hint="default"/>
      </w:rPr>
    </w:lvl>
    <w:lvl w:ilvl="3" w:tplc="20000001" w:tentative="1">
      <w:start w:val="1"/>
      <w:numFmt w:val="bullet"/>
      <w:lvlText w:val=""/>
      <w:lvlJc w:val="left"/>
      <w:pPr>
        <w:ind w:left="3375" w:hanging="360"/>
      </w:pPr>
      <w:rPr>
        <w:rFonts w:ascii="Symbol" w:hAnsi="Symbol" w:hint="default"/>
      </w:rPr>
    </w:lvl>
    <w:lvl w:ilvl="4" w:tplc="20000003" w:tentative="1">
      <w:start w:val="1"/>
      <w:numFmt w:val="bullet"/>
      <w:lvlText w:val="o"/>
      <w:lvlJc w:val="left"/>
      <w:pPr>
        <w:ind w:left="4095" w:hanging="360"/>
      </w:pPr>
      <w:rPr>
        <w:rFonts w:ascii="Courier New" w:hAnsi="Courier New" w:cs="Courier New" w:hint="default"/>
      </w:rPr>
    </w:lvl>
    <w:lvl w:ilvl="5" w:tplc="20000005" w:tentative="1">
      <w:start w:val="1"/>
      <w:numFmt w:val="bullet"/>
      <w:lvlText w:val=""/>
      <w:lvlJc w:val="left"/>
      <w:pPr>
        <w:ind w:left="4815" w:hanging="360"/>
      </w:pPr>
      <w:rPr>
        <w:rFonts w:ascii="Wingdings" w:hAnsi="Wingdings" w:hint="default"/>
      </w:rPr>
    </w:lvl>
    <w:lvl w:ilvl="6" w:tplc="20000001" w:tentative="1">
      <w:start w:val="1"/>
      <w:numFmt w:val="bullet"/>
      <w:lvlText w:val=""/>
      <w:lvlJc w:val="left"/>
      <w:pPr>
        <w:ind w:left="5535" w:hanging="360"/>
      </w:pPr>
      <w:rPr>
        <w:rFonts w:ascii="Symbol" w:hAnsi="Symbol" w:hint="default"/>
      </w:rPr>
    </w:lvl>
    <w:lvl w:ilvl="7" w:tplc="20000003" w:tentative="1">
      <w:start w:val="1"/>
      <w:numFmt w:val="bullet"/>
      <w:lvlText w:val="o"/>
      <w:lvlJc w:val="left"/>
      <w:pPr>
        <w:ind w:left="6255" w:hanging="360"/>
      </w:pPr>
      <w:rPr>
        <w:rFonts w:ascii="Courier New" w:hAnsi="Courier New" w:cs="Courier New" w:hint="default"/>
      </w:rPr>
    </w:lvl>
    <w:lvl w:ilvl="8" w:tplc="20000005" w:tentative="1">
      <w:start w:val="1"/>
      <w:numFmt w:val="bullet"/>
      <w:lvlText w:val=""/>
      <w:lvlJc w:val="left"/>
      <w:pPr>
        <w:ind w:left="6975" w:hanging="360"/>
      </w:pPr>
      <w:rPr>
        <w:rFonts w:ascii="Wingdings" w:hAnsi="Wingdings" w:hint="default"/>
      </w:rPr>
    </w:lvl>
  </w:abstractNum>
  <w:abstractNum w:abstractNumId="14" w15:restartNumberingAfterBreak="0">
    <w:nsid w:val="4E4E50E2"/>
    <w:multiLevelType w:val="multilevel"/>
    <w:tmpl w:val="462C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8D7B5E"/>
    <w:multiLevelType w:val="multilevel"/>
    <w:tmpl w:val="1A50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BB4564"/>
    <w:multiLevelType w:val="multilevel"/>
    <w:tmpl w:val="C378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7C13D8"/>
    <w:multiLevelType w:val="hybridMultilevel"/>
    <w:tmpl w:val="9B4E9B22"/>
    <w:lvl w:ilvl="0" w:tplc="D24E9B4A">
      <w:start w:val="1"/>
      <w:numFmt w:val="decimal"/>
      <w:lvlText w:val="%1."/>
      <w:lvlJc w:val="left"/>
      <w:pPr>
        <w:ind w:left="1287" w:hanging="360"/>
      </w:pPr>
      <w:rPr>
        <w:lang w:val="ru-RU"/>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B5D4CB3"/>
    <w:multiLevelType w:val="multilevel"/>
    <w:tmpl w:val="AD24E8A6"/>
    <w:lvl w:ilvl="0">
      <w:start w:val="1"/>
      <w:numFmt w:val="decimal"/>
      <w:lvlText w:val="%1"/>
      <w:lvlJc w:val="left"/>
      <w:pPr>
        <w:ind w:left="383" w:hanging="360"/>
      </w:pPr>
      <w:rPr>
        <w:rFonts w:hint="default"/>
        <w:b/>
      </w:rPr>
    </w:lvl>
    <w:lvl w:ilvl="1">
      <w:start w:val="1"/>
      <w:numFmt w:val="decimal"/>
      <w:isLgl/>
      <w:lvlText w:val="%1.%2"/>
      <w:lvlJc w:val="left"/>
      <w:pPr>
        <w:ind w:left="398" w:hanging="375"/>
      </w:pPr>
      <w:rPr>
        <w:rFonts w:hint="default"/>
      </w:rPr>
    </w:lvl>
    <w:lvl w:ilvl="2">
      <w:start w:val="1"/>
      <w:numFmt w:val="decimal"/>
      <w:isLgl/>
      <w:lvlText w:val="%1.%2.%3"/>
      <w:lvlJc w:val="left"/>
      <w:pPr>
        <w:ind w:left="743" w:hanging="720"/>
      </w:pPr>
      <w:rPr>
        <w:rFonts w:hint="default"/>
      </w:rPr>
    </w:lvl>
    <w:lvl w:ilvl="3">
      <w:start w:val="1"/>
      <w:numFmt w:val="decimal"/>
      <w:isLgl/>
      <w:lvlText w:val="%1.%2.%3.%4"/>
      <w:lvlJc w:val="left"/>
      <w:pPr>
        <w:ind w:left="1103" w:hanging="1080"/>
      </w:pPr>
      <w:rPr>
        <w:rFonts w:hint="default"/>
      </w:rPr>
    </w:lvl>
    <w:lvl w:ilvl="4">
      <w:start w:val="1"/>
      <w:numFmt w:val="decimal"/>
      <w:isLgl/>
      <w:lvlText w:val="%1.%2.%3.%4.%5"/>
      <w:lvlJc w:val="left"/>
      <w:pPr>
        <w:ind w:left="1103" w:hanging="1080"/>
      </w:pPr>
      <w:rPr>
        <w:rFonts w:hint="default"/>
      </w:rPr>
    </w:lvl>
    <w:lvl w:ilvl="5">
      <w:start w:val="1"/>
      <w:numFmt w:val="decimal"/>
      <w:isLgl/>
      <w:lvlText w:val="%1.%2.%3.%4.%5.%6"/>
      <w:lvlJc w:val="left"/>
      <w:pPr>
        <w:ind w:left="1463" w:hanging="1440"/>
      </w:pPr>
      <w:rPr>
        <w:rFonts w:hint="default"/>
      </w:rPr>
    </w:lvl>
    <w:lvl w:ilvl="6">
      <w:start w:val="1"/>
      <w:numFmt w:val="decimal"/>
      <w:isLgl/>
      <w:lvlText w:val="%1.%2.%3.%4.%5.%6.%7"/>
      <w:lvlJc w:val="left"/>
      <w:pPr>
        <w:ind w:left="1463" w:hanging="1440"/>
      </w:pPr>
      <w:rPr>
        <w:rFonts w:hint="default"/>
      </w:rPr>
    </w:lvl>
    <w:lvl w:ilvl="7">
      <w:start w:val="1"/>
      <w:numFmt w:val="decimal"/>
      <w:isLgl/>
      <w:lvlText w:val="%1.%2.%3.%4.%5.%6.%7.%8"/>
      <w:lvlJc w:val="left"/>
      <w:pPr>
        <w:ind w:left="1823" w:hanging="1800"/>
      </w:pPr>
      <w:rPr>
        <w:rFonts w:hint="default"/>
      </w:rPr>
    </w:lvl>
    <w:lvl w:ilvl="8">
      <w:start w:val="1"/>
      <w:numFmt w:val="decimal"/>
      <w:isLgl/>
      <w:lvlText w:val="%1.%2.%3.%4.%5.%6.%7.%8.%9"/>
      <w:lvlJc w:val="left"/>
      <w:pPr>
        <w:ind w:left="2183" w:hanging="2160"/>
      </w:pPr>
      <w:rPr>
        <w:rFonts w:hint="default"/>
      </w:rPr>
    </w:lvl>
  </w:abstractNum>
  <w:abstractNum w:abstractNumId="19" w15:restartNumberingAfterBreak="0">
    <w:nsid w:val="5CD80C33"/>
    <w:multiLevelType w:val="multilevel"/>
    <w:tmpl w:val="6AF6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B83276"/>
    <w:multiLevelType w:val="hybridMultilevel"/>
    <w:tmpl w:val="48F687D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EC54B94"/>
    <w:multiLevelType w:val="hybridMultilevel"/>
    <w:tmpl w:val="5BB6E9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73EA24EF"/>
    <w:multiLevelType w:val="multilevel"/>
    <w:tmpl w:val="2B58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7B32B6"/>
    <w:multiLevelType w:val="hybridMultilevel"/>
    <w:tmpl w:val="43068FC0"/>
    <w:lvl w:ilvl="0" w:tplc="3806948C">
      <w:start w:val="5"/>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4" w15:restartNumberingAfterBreak="0">
    <w:nsid w:val="77070FDA"/>
    <w:multiLevelType w:val="multilevel"/>
    <w:tmpl w:val="B3B2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6A57B2"/>
    <w:multiLevelType w:val="multilevel"/>
    <w:tmpl w:val="1372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2B4117"/>
    <w:multiLevelType w:val="hybridMultilevel"/>
    <w:tmpl w:val="C7B61C7E"/>
    <w:lvl w:ilvl="0" w:tplc="2000000F">
      <w:start w:val="1"/>
      <w:numFmt w:val="decimal"/>
      <w:lvlText w:val="%1."/>
      <w:lvlJc w:val="left"/>
      <w:pPr>
        <w:ind w:left="1854" w:hanging="360"/>
      </w:pPr>
    </w:lvl>
    <w:lvl w:ilvl="1" w:tplc="20000019" w:tentative="1">
      <w:start w:val="1"/>
      <w:numFmt w:val="lowerLetter"/>
      <w:lvlText w:val="%2."/>
      <w:lvlJc w:val="left"/>
      <w:pPr>
        <w:ind w:left="2574" w:hanging="360"/>
      </w:p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num w:numId="1">
    <w:abstractNumId w:val="5"/>
  </w:num>
  <w:num w:numId="2">
    <w:abstractNumId w:val="7"/>
  </w:num>
  <w:num w:numId="3">
    <w:abstractNumId w:val="19"/>
  </w:num>
  <w:num w:numId="4">
    <w:abstractNumId w:val="4"/>
  </w:num>
  <w:num w:numId="5">
    <w:abstractNumId w:val="20"/>
  </w:num>
  <w:num w:numId="6">
    <w:abstractNumId w:val="12"/>
  </w:num>
  <w:num w:numId="7">
    <w:abstractNumId w:val="3"/>
  </w:num>
  <w:num w:numId="8">
    <w:abstractNumId w:val="6"/>
  </w:num>
  <w:num w:numId="9">
    <w:abstractNumId w:val="21"/>
  </w:num>
  <w:num w:numId="10">
    <w:abstractNumId w:val="26"/>
  </w:num>
  <w:num w:numId="11">
    <w:abstractNumId w:val="17"/>
  </w:num>
  <w:num w:numId="12">
    <w:abstractNumId w:val="13"/>
  </w:num>
  <w:num w:numId="13">
    <w:abstractNumId w:val="2"/>
  </w:num>
  <w:num w:numId="14">
    <w:abstractNumId w:val="10"/>
  </w:num>
  <w:num w:numId="15">
    <w:abstractNumId w:val="18"/>
  </w:num>
  <w:num w:numId="16">
    <w:abstractNumId w:val="11"/>
  </w:num>
  <w:num w:numId="17">
    <w:abstractNumId w:val="24"/>
  </w:num>
  <w:num w:numId="18">
    <w:abstractNumId w:val="15"/>
  </w:num>
  <w:num w:numId="19">
    <w:abstractNumId w:val="0"/>
  </w:num>
  <w:num w:numId="20">
    <w:abstractNumId w:val="1"/>
  </w:num>
  <w:num w:numId="21">
    <w:abstractNumId w:val="8"/>
  </w:num>
  <w:num w:numId="22">
    <w:abstractNumId w:val="22"/>
  </w:num>
  <w:num w:numId="23">
    <w:abstractNumId w:val="14"/>
  </w:num>
  <w:num w:numId="24">
    <w:abstractNumId w:val="16"/>
  </w:num>
  <w:num w:numId="25">
    <w:abstractNumId w:val="25"/>
  </w:num>
  <w:num w:numId="26">
    <w:abstractNumId w:val="23"/>
  </w:num>
  <w:num w:numId="27">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F63"/>
    <w:rsid w:val="000128D0"/>
    <w:rsid w:val="00015666"/>
    <w:rsid w:val="00021A30"/>
    <w:rsid w:val="00024057"/>
    <w:rsid w:val="00043DCA"/>
    <w:rsid w:val="0005389E"/>
    <w:rsid w:val="00057C5A"/>
    <w:rsid w:val="000635EA"/>
    <w:rsid w:val="000651ED"/>
    <w:rsid w:val="00070F62"/>
    <w:rsid w:val="000818BE"/>
    <w:rsid w:val="000838DD"/>
    <w:rsid w:val="00085B07"/>
    <w:rsid w:val="000B0706"/>
    <w:rsid w:val="000B19C7"/>
    <w:rsid w:val="000B2689"/>
    <w:rsid w:val="000B546E"/>
    <w:rsid w:val="000E0D88"/>
    <w:rsid w:val="000E39A3"/>
    <w:rsid w:val="000E609B"/>
    <w:rsid w:val="000F082F"/>
    <w:rsid w:val="000F4E51"/>
    <w:rsid w:val="0010256F"/>
    <w:rsid w:val="00151400"/>
    <w:rsid w:val="00160FCA"/>
    <w:rsid w:val="00161244"/>
    <w:rsid w:val="001661C2"/>
    <w:rsid w:val="00181665"/>
    <w:rsid w:val="001A5C44"/>
    <w:rsid w:val="001B60E6"/>
    <w:rsid w:val="001C45E4"/>
    <w:rsid w:val="001C71D7"/>
    <w:rsid w:val="001D2290"/>
    <w:rsid w:val="001D64DD"/>
    <w:rsid w:val="001D6EE1"/>
    <w:rsid w:val="001D74DB"/>
    <w:rsid w:val="001F206F"/>
    <w:rsid w:val="00203EA6"/>
    <w:rsid w:val="002219DA"/>
    <w:rsid w:val="00221C2E"/>
    <w:rsid w:val="002503AA"/>
    <w:rsid w:val="002543D0"/>
    <w:rsid w:val="00255EE1"/>
    <w:rsid w:val="00257250"/>
    <w:rsid w:val="0026127C"/>
    <w:rsid w:val="00264BA4"/>
    <w:rsid w:val="00265619"/>
    <w:rsid w:val="00267A63"/>
    <w:rsid w:val="00277046"/>
    <w:rsid w:val="002959CC"/>
    <w:rsid w:val="002963ED"/>
    <w:rsid w:val="002A06BD"/>
    <w:rsid w:val="002A126F"/>
    <w:rsid w:val="002A7CAB"/>
    <w:rsid w:val="002B29EC"/>
    <w:rsid w:val="002C7A3A"/>
    <w:rsid w:val="002D4B8F"/>
    <w:rsid w:val="002D78F9"/>
    <w:rsid w:val="002E396B"/>
    <w:rsid w:val="002E4D23"/>
    <w:rsid w:val="002F111F"/>
    <w:rsid w:val="00302BC1"/>
    <w:rsid w:val="003065A7"/>
    <w:rsid w:val="003124E7"/>
    <w:rsid w:val="00317136"/>
    <w:rsid w:val="00362D11"/>
    <w:rsid w:val="00376021"/>
    <w:rsid w:val="00391BEB"/>
    <w:rsid w:val="003B4F6A"/>
    <w:rsid w:val="003D2670"/>
    <w:rsid w:val="003F2989"/>
    <w:rsid w:val="003F3CE3"/>
    <w:rsid w:val="004150A1"/>
    <w:rsid w:val="004319A5"/>
    <w:rsid w:val="00434CC3"/>
    <w:rsid w:val="00441F53"/>
    <w:rsid w:val="004528E2"/>
    <w:rsid w:val="00466A79"/>
    <w:rsid w:val="00473B35"/>
    <w:rsid w:val="0048451A"/>
    <w:rsid w:val="004D4630"/>
    <w:rsid w:val="004F3DDF"/>
    <w:rsid w:val="004F451C"/>
    <w:rsid w:val="00506CFC"/>
    <w:rsid w:val="005134AC"/>
    <w:rsid w:val="00533899"/>
    <w:rsid w:val="00541B68"/>
    <w:rsid w:val="00542F31"/>
    <w:rsid w:val="00543B3D"/>
    <w:rsid w:val="005455C6"/>
    <w:rsid w:val="005458D9"/>
    <w:rsid w:val="005459F0"/>
    <w:rsid w:val="00546775"/>
    <w:rsid w:val="005501AF"/>
    <w:rsid w:val="005903A5"/>
    <w:rsid w:val="00593215"/>
    <w:rsid w:val="005B21E1"/>
    <w:rsid w:val="005B578B"/>
    <w:rsid w:val="005D3BAD"/>
    <w:rsid w:val="005D5BEE"/>
    <w:rsid w:val="005E6F1B"/>
    <w:rsid w:val="005F7E7A"/>
    <w:rsid w:val="006010FE"/>
    <w:rsid w:val="00612F35"/>
    <w:rsid w:val="006227E1"/>
    <w:rsid w:val="0062402E"/>
    <w:rsid w:val="00643205"/>
    <w:rsid w:val="00647EAF"/>
    <w:rsid w:val="006505E0"/>
    <w:rsid w:val="00670E18"/>
    <w:rsid w:val="00690A71"/>
    <w:rsid w:val="006A6CE1"/>
    <w:rsid w:val="006C4220"/>
    <w:rsid w:val="006D0C66"/>
    <w:rsid w:val="006D6E83"/>
    <w:rsid w:val="006E0DD2"/>
    <w:rsid w:val="006E48A7"/>
    <w:rsid w:val="006E6717"/>
    <w:rsid w:val="00704291"/>
    <w:rsid w:val="00704295"/>
    <w:rsid w:val="00705EBF"/>
    <w:rsid w:val="007173B2"/>
    <w:rsid w:val="00720CA5"/>
    <w:rsid w:val="00724DD5"/>
    <w:rsid w:val="00737856"/>
    <w:rsid w:val="00775D35"/>
    <w:rsid w:val="0078137B"/>
    <w:rsid w:val="00786F65"/>
    <w:rsid w:val="007921D0"/>
    <w:rsid w:val="00793288"/>
    <w:rsid w:val="007B32FF"/>
    <w:rsid w:val="007B39CD"/>
    <w:rsid w:val="007B3B09"/>
    <w:rsid w:val="007B60F0"/>
    <w:rsid w:val="007C2898"/>
    <w:rsid w:val="007C4D45"/>
    <w:rsid w:val="007C73D6"/>
    <w:rsid w:val="007E088E"/>
    <w:rsid w:val="007F07D6"/>
    <w:rsid w:val="007F7D00"/>
    <w:rsid w:val="00803431"/>
    <w:rsid w:val="00803D47"/>
    <w:rsid w:val="00805043"/>
    <w:rsid w:val="008067FE"/>
    <w:rsid w:val="008138F0"/>
    <w:rsid w:val="008161D9"/>
    <w:rsid w:val="00825042"/>
    <w:rsid w:val="008311F7"/>
    <w:rsid w:val="00834594"/>
    <w:rsid w:val="00846CF8"/>
    <w:rsid w:val="00864A39"/>
    <w:rsid w:val="00871281"/>
    <w:rsid w:val="008850D7"/>
    <w:rsid w:val="0088704D"/>
    <w:rsid w:val="008C1D12"/>
    <w:rsid w:val="008D1B10"/>
    <w:rsid w:val="008E020B"/>
    <w:rsid w:val="008E7CF7"/>
    <w:rsid w:val="008F3AE1"/>
    <w:rsid w:val="00904709"/>
    <w:rsid w:val="009143D3"/>
    <w:rsid w:val="00922F63"/>
    <w:rsid w:val="00932A85"/>
    <w:rsid w:val="00957EE8"/>
    <w:rsid w:val="00962A2A"/>
    <w:rsid w:val="00967575"/>
    <w:rsid w:val="0097086C"/>
    <w:rsid w:val="0098059A"/>
    <w:rsid w:val="00981353"/>
    <w:rsid w:val="009846CC"/>
    <w:rsid w:val="009B13B6"/>
    <w:rsid w:val="009D1B93"/>
    <w:rsid w:val="009D6451"/>
    <w:rsid w:val="009F0211"/>
    <w:rsid w:val="009F51FB"/>
    <w:rsid w:val="009F7DFA"/>
    <w:rsid w:val="00A05BCD"/>
    <w:rsid w:val="00A05E6F"/>
    <w:rsid w:val="00A13F52"/>
    <w:rsid w:val="00A20D66"/>
    <w:rsid w:val="00A227E2"/>
    <w:rsid w:val="00A234CA"/>
    <w:rsid w:val="00A23752"/>
    <w:rsid w:val="00A326D8"/>
    <w:rsid w:val="00A362B1"/>
    <w:rsid w:val="00A40534"/>
    <w:rsid w:val="00A430BA"/>
    <w:rsid w:val="00A53136"/>
    <w:rsid w:val="00A611A6"/>
    <w:rsid w:val="00A612B4"/>
    <w:rsid w:val="00A65B7E"/>
    <w:rsid w:val="00A66578"/>
    <w:rsid w:val="00A73036"/>
    <w:rsid w:val="00A818D2"/>
    <w:rsid w:val="00A8621C"/>
    <w:rsid w:val="00AA3102"/>
    <w:rsid w:val="00AC0D91"/>
    <w:rsid w:val="00AD0853"/>
    <w:rsid w:val="00AE237C"/>
    <w:rsid w:val="00AE422E"/>
    <w:rsid w:val="00AF06FB"/>
    <w:rsid w:val="00AF4435"/>
    <w:rsid w:val="00B133CE"/>
    <w:rsid w:val="00B330EA"/>
    <w:rsid w:val="00B408C2"/>
    <w:rsid w:val="00B46026"/>
    <w:rsid w:val="00B67D2A"/>
    <w:rsid w:val="00B737A1"/>
    <w:rsid w:val="00B810E7"/>
    <w:rsid w:val="00B81D64"/>
    <w:rsid w:val="00B825A9"/>
    <w:rsid w:val="00B839B8"/>
    <w:rsid w:val="00B87E5E"/>
    <w:rsid w:val="00B9097F"/>
    <w:rsid w:val="00B925D9"/>
    <w:rsid w:val="00B934C2"/>
    <w:rsid w:val="00BA2D3F"/>
    <w:rsid w:val="00BA504A"/>
    <w:rsid w:val="00BA63F0"/>
    <w:rsid w:val="00BE4057"/>
    <w:rsid w:val="00BF4517"/>
    <w:rsid w:val="00C23449"/>
    <w:rsid w:val="00C2629F"/>
    <w:rsid w:val="00C4289F"/>
    <w:rsid w:val="00C51AED"/>
    <w:rsid w:val="00C6385D"/>
    <w:rsid w:val="00C81E65"/>
    <w:rsid w:val="00C95088"/>
    <w:rsid w:val="00CA5E1F"/>
    <w:rsid w:val="00CA6EB4"/>
    <w:rsid w:val="00CB313E"/>
    <w:rsid w:val="00CB5EE1"/>
    <w:rsid w:val="00CC10B6"/>
    <w:rsid w:val="00D013FC"/>
    <w:rsid w:val="00D47DAC"/>
    <w:rsid w:val="00D5382A"/>
    <w:rsid w:val="00D567C6"/>
    <w:rsid w:val="00D56C04"/>
    <w:rsid w:val="00D66415"/>
    <w:rsid w:val="00D7481B"/>
    <w:rsid w:val="00D8068E"/>
    <w:rsid w:val="00DB2324"/>
    <w:rsid w:val="00DF214C"/>
    <w:rsid w:val="00E11A4F"/>
    <w:rsid w:val="00E3054C"/>
    <w:rsid w:val="00E37265"/>
    <w:rsid w:val="00E409A9"/>
    <w:rsid w:val="00E825C2"/>
    <w:rsid w:val="00E9116D"/>
    <w:rsid w:val="00E93906"/>
    <w:rsid w:val="00EA69A5"/>
    <w:rsid w:val="00EB4366"/>
    <w:rsid w:val="00EC33B2"/>
    <w:rsid w:val="00ED1D21"/>
    <w:rsid w:val="00ED2A55"/>
    <w:rsid w:val="00EE4257"/>
    <w:rsid w:val="00EE6309"/>
    <w:rsid w:val="00EE69E0"/>
    <w:rsid w:val="00EF2892"/>
    <w:rsid w:val="00EF60E5"/>
    <w:rsid w:val="00F030B7"/>
    <w:rsid w:val="00F1111B"/>
    <w:rsid w:val="00F12CE1"/>
    <w:rsid w:val="00F12D31"/>
    <w:rsid w:val="00F30B5B"/>
    <w:rsid w:val="00F36015"/>
    <w:rsid w:val="00F4765D"/>
    <w:rsid w:val="00F50E2E"/>
    <w:rsid w:val="00F65881"/>
    <w:rsid w:val="00F71582"/>
    <w:rsid w:val="00FB1261"/>
    <w:rsid w:val="00FB1543"/>
    <w:rsid w:val="00FC2E89"/>
    <w:rsid w:val="00FC4DAE"/>
    <w:rsid w:val="00FE706C"/>
    <w:rsid w:val="00FF1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AB67D"/>
  <w15:chartTrackingRefBased/>
  <w15:docId w15:val="{68F2905C-7962-4D47-AEEF-EDBB2DBE0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F35"/>
  </w:style>
  <w:style w:type="paragraph" w:styleId="1">
    <w:name w:val="heading 1"/>
    <w:basedOn w:val="a"/>
    <w:next w:val="a"/>
    <w:link w:val="10"/>
    <w:uiPriority w:val="9"/>
    <w:qFormat/>
    <w:rsid w:val="009047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047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0470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0470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0470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0470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470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470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470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2F35"/>
    <w:rPr>
      <w:color w:val="0000FF"/>
      <w:u w:val="single"/>
    </w:rPr>
  </w:style>
  <w:style w:type="paragraph" w:styleId="a4">
    <w:name w:val="Normal (Web)"/>
    <w:aliases w:val=" Знак4, Знак Знак1 Знак, Знак Знак1 Знак Знак, Знак Знак Знак Знак Зн,Обычный (Web),Знак Знак3,Знак Знак Знак Знак Знак,Знак4 Зна,Знак41,Знак Знак1 Знак1,Знак Знак1 Знак Знак2,Знак Знак Знак Знак Зн1,Обычный (веб) Знак Знак,Знак4"/>
    <w:basedOn w:val="a"/>
    <w:link w:val="a5"/>
    <w:uiPriority w:val="99"/>
    <w:unhideWhenUsed/>
    <w:qFormat/>
    <w:rsid w:val="00612F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без абзаца,Akapit z listą BS,Bullet1,Bullets,Forth level,IBL List Paragraph,List Paragraph (numbered (a)),List Paragraph 1,List Paragraph nowy,List_Paragraph,Multilevel para_II,NUMBERED PARAGRAPH,Numbered List Paragraph,Numbered list,lp"/>
    <w:basedOn w:val="a"/>
    <w:link w:val="a7"/>
    <w:uiPriority w:val="34"/>
    <w:qFormat/>
    <w:rsid w:val="00612F3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pple-style-span">
    <w:name w:val="apple-style-span"/>
    <w:basedOn w:val="a0"/>
    <w:uiPriority w:val="99"/>
    <w:rsid w:val="00612F35"/>
  </w:style>
  <w:style w:type="character" w:customStyle="1" w:styleId="a7">
    <w:name w:val="Абзац списка Знак"/>
    <w:aliases w:val="без абзаца Знак,Akapit z listą BS Знак,Bullet1 Знак,Bullets Знак,Forth level Знак,IBL List Paragraph Знак,List Paragraph (numbered (a)) Знак,List Paragraph 1 Знак,List Paragraph nowy Знак,List_Paragraph Знак,Multilevel para_II Знак"/>
    <w:link w:val="a6"/>
    <w:uiPriority w:val="34"/>
    <w:qFormat/>
    <w:rsid w:val="00612F35"/>
    <w:rPr>
      <w:rFonts w:ascii="Times New Roman" w:eastAsia="Times New Roman" w:hAnsi="Times New Roman" w:cs="Times New Roman"/>
      <w:sz w:val="24"/>
      <w:szCs w:val="24"/>
      <w:lang w:eastAsia="ru-RU"/>
    </w:rPr>
  </w:style>
  <w:style w:type="paragraph" w:styleId="a8">
    <w:name w:val="No Spacing"/>
    <w:link w:val="a9"/>
    <w:uiPriority w:val="1"/>
    <w:qFormat/>
    <w:rsid w:val="00612F35"/>
    <w:pPr>
      <w:spacing w:after="0" w:line="240" w:lineRule="auto"/>
    </w:pPr>
    <w:rPr>
      <w:rFonts w:eastAsiaTheme="minorEastAsia"/>
      <w:lang w:eastAsia="zh-CN"/>
    </w:rPr>
  </w:style>
  <w:style w:type="paragraph" w:styleId="aa">
    <w:name w:val="Plain Text"/>
    <w:basedOn w:val="a"/>
    <w:link w:val="ab"/>
    <w:uiPriority w:val="99"/>
    <w:unhideWhenUsed/>
    <w:rsid w:val="00612F35"/>
    <w:pPr>
      <w:spacing w:after="0" w:line="240" w:lineRule="auto"/>
    </w:pPr>
    <w:rPr>
      <w:rFonts w:ascii="Consolas" w:hAnsi="Consolas" w:cs="Consolas"/>
      <w:sz w:val="21"/>
      <w:szCs w:val="21"/>
    </w:rPr>
  </w:style>
  <w:style w:type="character" w:customStyle="1" w:styleId="ab">
    <w:name w:val="Текст Знак"/>
    <w:basedOn w:val="a0"/>
    <w:link w:val="aa"/>
    <w:uiPriority w:val="99"/>
    <w:rsid w:val="00612F35"/>
    <w:rPr>
      <w:rFonts w:ascii="Consolas" w:hAnsi="Consolas" w:cs="Consolas"/>
      <w:sz w:val="21"/>
      <w:szCs w:val="21"/>
    </w:rPr>
  </w:style>
  <w:style w:type="paragraph" w:styleId="ac">
    <w:name w:val="footer"/>
    <w:basedOn w:val="a"/>
    <w:link w:val="ad"/>
    <w:uiPriority w:val="99"/>
    <w:unhideWhenUsed/>
    <w:rsid w:val="00612F3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12F35"/>
  </w:style>
  <w:style w:type="character" w:customStyle="1" w:styleId="a9">
    <w:name w:val="Без интервала Знак"/>
    <w:link w:val="a8"/>
    <w:uiPriority w:val="1"/>
    <w:locked/>
    <w:rsid w:val="00612F35"/>
    <w:rPr>
      <w:rFonts w:eastAsiaTheme="minorEastAsia"/>
      <w:lang w:eastAsia="zh-CN"/>
    </w:rPr>
  </w:style>
  <w:style w:type="table" w:styleId="ae">
    <w:name w:val="Table Grid"/>
    <w:basedOn w:val="a1"/>
    <w:uiPriority w:val="39"/>
    <w:rsid w:val="00F36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unhideWhenUsed/>
    <w:rsid w:val="00F36015"/>
    <w:rPr>
      <w:sz w:val="16"/>
      <w:szCs w:val="16"/>
    </w:rPr>
  </w:style>
  <w:style w:type="paragraph" w:styleId="af0">
    <w:name w:val="annotation text"/>
    <w:basedOn w:val="a"/>
    <w:link w:val="af1"/>
    <w:uiPriority w:val="99"/>
    <w:unhideWhenUsed/>
    <w:qFormat/>
    <w:rsid w:val="00F36015"/>
    <w:pPr>
      <w:spacing w:line="240" w:lineRule="auto"/>
    </w:pPr>
    <w:rPr>
      <w:sz w:val="20"/>
      <w:szCs w:val="20"/>
    </w:rPr>
  </w:style>
  <w:style w:type="character" w:customStyle="1" w:styleId="af1">
    <w:name w:val="Текст примечания Знак"/>
    <w:basedOn w:val="a0"/>
    <w:link w:val="af0"/>
    <w:uiPriority w:val="99"/>
    <w:qFormat/>
    <w:rsid w:val="00F36015"/>
    <w:rPr>
      <w:sz w:val="20"/>
      <w:szCs w:val="20"/>
    </w:rPr>
  </w:style>
  <w:style w:type="paragraph" w:styleId="af2">
    <w:name w:val="annotation subject"/>
    <w:basedOn w:val="af0"/>
    <w:next w:val="af0"/>
    <w:link w:val="af3"/>
    <w:uiPriority w:val="99"/>
    <w:semiHidden/>
    <w:unhideWhenUsed/>
    <w:rsid w:val="00F36015"/>
    <w:rPr>
      <w:b/>
      <w:bCs/>
    </w:rPr>
  </w:style>
  <w:style w:type="character" w:customStyle="1" w:styleId="af3">
    <w:name w:val="Тема примечания Знак"/>
    <w:basedOn w:val="af1"/>
    <w:link w:val="af2"/>
    <w:uiPriority w:val="99"/>
    <w:semiHidden/>
    <w:rsid w:val="00F36015"/>
    <w:rPr>
      <w:b/>
      <w:bCs/>
      <w:sz w:val="20"/>
      <w:szCs w:val="20"/>
    </w:rPr>
  </w:style>
  <w:style w:type="character" w:customStyle="1" w:styleId="UnresolvedMention">
    <w:name w:val="Unresolved Mention"/>
    <w:basedOn w:val="a0"/>
    <w:uiPriority w:val="99"/>
    <w:semiHidden/>
    <w:unhideWhenUsed/>
    <w:rsid w:val="00AD0853"/>
    <w:rPr>
      <w:color w:val="605E5C"/>
      <w:shd w:val="clear" w:color="auto" w:fill="E1DFDD"/>
    </w:rPr>
  </w:style>
  <w:style w:type="paragraph" w:styleId="af4">
    <w:name w:val="header"/>
    <w:basedOn w:val="a"/>
    <w:link w:val="af5"/>
    <w:uiPriority w:val="99"/>
    <w:unhideWhenUsed/>
    <w:rsid w:val="00AD0853"/>
    <w:pPr>
      <w:tabs>
        <w:tab w:val="center" w:pos="4677"/>
        <w:tab w:val="right" w:pos="9355"/>
      </w:tabs>
      <w:spacing w:after="0" w:line="240" w:lineRule="auto"/>
    </w:pPr>
    <w:rPr>
      <w:rFonts w:ascii="Times New Roman" w:eastAsia="Times New Roman" w:hAnsi="Times New Roman" w:cs="Times New Roman"/>
      <w:sz w:val="24"/>
      <w:szCs w:val="24"/>
      <w:lang w:val="en-US" w:eastAsia="ru-RU"/>
    </w:rPr>
  </w:style>
  <w:style w:type="character" w:customStyle="1" w:styleId="af5">
    <w:name w:val="Верхний колонтитул Знак"/>
    <w:basedOn w:val="a0"/>
    <w:link w:val="af4"/>
    <w:uiPriority w:val="99"/>
    <w:rsid w:val="00AD0853"/>
    <w:rPr>
      <w:rFonts w:ascii="Times New Roman" w:eastAsia="Times New Roman" w:hAnsi="Times New Roman" w:cs="Times New Roman"/>
      <w:sz w:val="24"/>
      <w:szCs w:val="24"/>
      <w:lang w:val="en-US" w:eastAsia="ru-RU"/>
    </w:rPr>
  </w:style>
  <w:style w:type="character" w:customStyle="1" w:styleId="html-italic">
    <w:name w:val="html-italic"/>
    <w:basedOn w:val="a0"/>
    <w:rsid w:val="00AD0853"/>
  </w:style>
  <w:style w:type="character" w:styleId="af6">
    <w:name w:val="Strong"/>
    <w:uiPriority w:val="22"/>
    <w:qFormat/>
    <w:rsid w:val="005D3BAD"/>
    <w:rPr>
      <w:b/>
      <w:bCs/>
    </w:rPr>
  </w:style>
  <w:style w:type="character" w:customStyle="1" w:styleId="a5">
    <w:name w:val="Обычный (веб) Знак"/>
    <w:aliases w:val=" Знак4 Знак, Знак Знак1 Знак Знак1, Знак Знак1 Знак Знак Знак, Знак Знак Знак Знак Зн Знак,Обычный (Web) Знак,Знак Знак3 Знак,Знак Знак Знак Знак Знак Знак,Знак4 Зна Знак,Знак41 Знак,Знак Знак1 Знак1 Знак,Знак Знак1 Знак Знак2 Знак"/>
    <w:link w:val="a4"/>
    <w:uiPriority w:val="99"/>
    <w:locked/>
    <w:rsid w:val="005D3BAD"/>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0470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0470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0470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0470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0470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047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4709"/>
    <w:rPr>
      <w:rFonts w:eastAsiaTheme="majorEastAsia" w:cstheme="majorBidi"/>
      <w:color w:val="595959" w:themeColor="text1" w:themeTint="A6"/>
    </w:rPr>
  </w:style>
  <w:style w:type="character" w:customStyle="1" w:styleId="80">
    <w:name w:val="Заголовок 8 Знак"/>
    <w:basedOn w:val="a0"/>
    <w:link w:val="8"/>
    <w:uiPriority w:val="9"/>
    <w:semiHidden/>
    <w:rsid w:val="009047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4709"/>
    <w:rPr>
      <w:rFonts w:eastAsiaTheme="majorEastAsia" w:cstheme="majorBidi"/>
      <w:color w:val="272727" w:themeColor="text1" w:themeTint="D8"/>
    </w:rPr>
  </w:style>
  <w:style w:type="paragraph" w:styleId="af7">
    <w:name w:val="Title"/>
    <w:basedOn w:val="a"/>
    <w:next w:val="a"/>
    <w:link w:val="af8"/>
    <w:uiPriority w:val="10"/>
    <w:qFormat/>
    <w:rsid w:val="009047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8">
    <w:name w:val="Заголовок Знак"/>
    <w:basedOn w:val="a0"/>
    <w:link w:val="af7"/>
    <w:uiPriority w:val="10"/>
    <w:rsid w:val="00904709"/>
    <w:rPr>
      <w:rFonts w:asciiTheme="majorHAnsi" w:eastAsiaTheme="majorEastAsia" w:hAnsiTheme="majorHAnsi" w:cstheme="majorBidi"/>
      <w:spacing w:val="-10"/>
      <w:kern w:val="28"/>
      <w:sz w:val="56"/>
      <w:szCs w:val="56"/>
    </w:rPr>
  </w:style>
  <w:style w:type="paragraph" w:styleId="af9">
    <w:name w:val="Subtitle"/>
    <w:basedOn w:val="a"/>
    <w:next w:val="a"/>
    <w:link w:val="afa"/>
    <w:uiPriority w:val="11"/>
    <w:qFormat/>
    <w:rsid w:val="00904709"/>
    <w:pPr>
      <w:numPr>
        <w:ilvl w:val="1"/>
      </w:numPr>
    </w:pPr>
    <w:rPr>
      <w:rFonts w:eastAsiaTheme="majorEastAsia" w:cstheme="majorBidi"/>
      <w:color w:val="595959" w:themeColor="text1" w:themeTint="A6"/>
      <w:spacing w:val="15"/>
      <w:sz w:val="28"/>
      <w:szCs w:val="28"/>
    </w:rPr>
  </w:style>
  <w:style w:type="character" w:customStyle="1" w:styleId="afa">
    <w:name w:val="Подзаголовок Знак"/>
    <w:basedOn w:val="a0"/>
    <w:link w:val="af9"/>
    <w:uiPriority w:val="11"/>
    <w:rsid w:val="0090470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04709"/>
    <w:pPr>
      <w:spacing w:before="160"/>
      <w:jc w:val="center"/>
    </w:pPr>
    <w:rPr>
      <w:i/>
      <w:iCs/>
      <w:color w:val="404040" w:themeColor="text1" w:themeTint="BF"/>
    </w:rPr>
  </w:style>
  <w:style w:type="character" w:customStyle="1" w:styleId="22">
    <w:name w:val="Цитата 2 Знак"/>
    <w:basedOn w:val="a0"/>
    <w:link w:val="21"/>
    <w:uiPriority w:val="29"/>
    <w:rsid w:val="00904709"/>
    <w:rPr>
      <w:i/>
      <w:iCs/>
      <w:color w:val="404040" w:themeColor="text1" w:themeTint="BF"/>
    </w:rPr>
  </w:style>
  <w:style w:type="character" w:styleId="afb">
    <w:name w:val="Intense Emphasis"/>
    <w:basedOn w:val="a0"/>
    <w:uiPriority w:val="21"/>
    <w:qFormat/>
    <w:rsid w:val="00904709"/>
    <w:rPr>
      <w:i/>
      <w:iCs/>
      <w:color w:val="2F5496" w:themeColor="accent1" w:themeShade="BF"/>
    </w:rPr>
  </w:style>
  <w:style w:type="paragraph" w:styleId="afc">
    <w:name w:val="Intense Quote"/>
    <w:basedOn w:val="a"/>
    <w:next w:val="a"/>
    <w:link w:val="afd"/>
    <w:uiPriority w:val="30"/>
    <w:qFormat/>
    <w:rsid w:val="009047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d">
    <w:name w:val="Выделенная цитата Знак"/>
    <w:basedOn w:val="a0"/>
    <w:link w:val="afc"/>
    <w:uiPriority w:val="30"/>
    <w:rsid w:val="00904709"/>
    <w:rPr>
      <w:i/>
      <w:iCs/>
      <w:color w:val="2F5496" w:themeColor="accent1" w:themeShade="BF"/>
    </w:rPr>
  </w:style>
  <w:style w:type="character" w:styleId="afe">
    <w:name w:val="Intense Reference"/>
    <w:basedOn w:val="a0"/>
    <w:uiPriority w:val="32"/>
    <w:qFormat/>
    <w:rsid w:val="00904709"/>
    <w:rPr>
      <w:b/>
      <w:bCs/>
      <w:smallCaps/>
      <w:color w:val="2F5496" w:themeColor="accent1" w:themeShade="BF"/>
      <w:spacing w:val="5"/>
    </w:rPr>
  </w:style>
  <w:style w:type="paragraph" w:styleId="aff">
    <w:name w:val="Revision"/>
    <w:hidden/>
    <w:uiPriority w:val="99"/>
    <w:semiHidden/>
    <w:rsid w:val="00DB2324"/>
    <w:pPr>
      <w:spacing w:after="0" w:line="240" w:lineRule="auto"/>
    </w:pPr>
  </w:style>
  <w:style w:type="paragraph" w:customStyle="1" w:styleId="pf0">
    <w:name w:val="pf0"/>
    <w:basedOn w:val="a"/>
    <w:rsid w:val="00ED2A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a0"/>
    <w:rsid w:val="00ED2A55"/>
    <w:rPr>
      <w:rFonts w:ascii="Segoe UI" w:hAnsi="Segoe UI" w:cs="Segoe UI" w:hint="default"/>
      <w:sz w:val="18"/>
      <w:szCs w:val="18"/>
    </w:rPr>
  </w:style>
  <w:style w:type="character" w:customStyle="1" w:styleId="cf11">
    <w:name w:val="cf11"/>
    <w:basedOn w:val="a0"/>
    <w:rsid w:val="00ED2A55"/>
    <w:rPr>
      <w:rFonts w:ascii="Segoe UI" w:hAnsi="Segoe UI" w:cs="Segoe UI" w:hint="default"/>
      <w:sz w:val="18"/>
      <w:szCs w:val="18"/>
    </w:rPr>
  </w:style>
  <w:style w:type="character" w:customStyle="1" w:styleId="cf21">
    <w:name w:val="cf21"/>
    <w:basedOn w:val="a0"/>
    <w:rsid w:val="00ED2A55"/>
    <w:rPr>
      <w:rFonts w:ascii="Segoe UI" w:hAnsi="Segoe UI" w:cs="Segoe UI" w:hint="default"/>
      <w:sz w:val="18"/>
      <w:szCs w:val="18"/>
    </w:rPr>
  </w:style>
  <w:style w:type="character" w:styleId="aff0">
    <w:name w:val="Emphasis"/>
    <w:basedOn w:val="a0"/>
    <w:uiPriority w:val="20"/>
    <w:qFormat/>
    <w:rsid w:val="00B67D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footer" Target="footer7.xml"/><Relationship Id="rId34" Type="http://schemas.openxmlformats.org/officeDocument/2006/relationships/hyperlink" Target="https://www.strokebestpractices.ca/-/media/1-stroke-best-practices/acute-stroke-management/csbpr7-acute-stroke-management-module-final-eng-2022.pdf" TargetMode="External"/><Relationship Id="rId42" Type="http://schemas.openxmlformats.org/officeDocument/2006/relationships/hyperlink" Target="https://taldau.stat.gov.kz/ru/NewIndex/GetIndex/702972?keyword=%D0%B2%D1%80%D0%B0%D1%87" TargetMode="External"/><Relationship Id="rId47" Type="http://schemas.openxmlformats.org/officeDocument/2006/relationships/hyperlink" Target="https://primeminister.kz/ru/news/itogi-goda-povyshenie-kachestva-zdravookhraneniya-i-stroitelstvo-novykh-meduchrezhdeniy-26732" TargetMode="External"/><Relationship Id="rId50" Type="http://schemas.openxmlformats.org/officeDocument/2006/relationships/hyperlink" Target="https://www.mediasphera.ru/journal/zhurnal-nevrologii-i-psikhiatrii-im-s-s-korsakova" TargetMode="External"/><Relationship Id="rId55" Type="http://schemas.openxmlformats.org/officeDocument/2006/relationships/hyperlink" Target="https://doi.org/10.3390/jcm13164780" TargetMode="External"/><Relationship Id="rId63" Type="http://schemas.openxmlformats.org/officeDocument/2006/relationships/image" Target="media/image6.png"/><Relationship Id="rId68"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2.xml"/><Relationship Id="rId29" Type="http://schemas.openxmlformats.org/officeDocument/2006/relationships/hyperlink" Target="https://revistaemergencias.org/wp-content/uploads/2023/09/Emergencias-2021_33_6_454-463-463_eng.pdf" TargetMode="External"/><Relationship Id="rId11" Type="http://schemas.openxmlformats.org/officeDocument/2006/relationships/hyperlink" Target="https://pubmed.ncbi.nlm.nih.gov/?term=%22Vidale%20S%22%5BAuthor%5D" TargetMode="External"/><Relationship Id="rId24" Type="http://schemas.openxmlformats.org/officeDocument/2006/relationships/footer" Target="footer9.xml"/><Relationship Id="rId32" Type="http://schemas.openxmlformats.org/officeDocument/2006/relationships/hyperlink" Target="https://www.who.int/news-room/fact-sheets/detail/cardiovascular-diseases-(cvds)?utm_source=chatgpt.com" TargetMode="External"/><Relationship Id="rId37" Type="http://schemas.openxmlformats.org/officeDocument/2006/relationships/hyperlink" Target="https://wonder.cdc.gov/mcd.html" TargetMode="External"/><Relationship Id="rId40" Type="http://schemas.openxmlformats.org/officeDocument/2006/relationships/hyperlink" Target="https://emcrk.kz/ru/informatsiya/insultnyj-tsentr" TargetMode="External"/><Relationship Id="rId45" Type="http://schemas.openxmlformats.org/officeDocument/2006/relationships/hyperlink" Target="https://ru.tradingeconomics.com/kazakhstan/inflation-cpi" TargetMode="External"/><Relationship Id="rId53" Type="http://schemas.openxmlformats.org/officeDocument/2006/relationships/hyperlink" Target="https://doi.org/10.64854/2790-1289-2025-49-3-04" TargetMode="External"/><Relationship Id="rId58" Type="http://schemas.openxmlformats.org/officeDocument/2006/relationships/hyperlink" Target="https://doi.org/10.2196/42556" TargetMode="External"/><Relationship Id="rId66" Type="http://schemas.openxmlformats.org/officeDocument/2006/relationships/image" Target="media/image9.png"/><Relationship Id="rId5" Type="http://schemas.openxmlformats.org/officeDocument/2006/relationships/footnotes" Target="footnotes.xml"/><Relationship Id="rId61" Type="http://schemas.openxmlformats.org/officeDocument/2006/relationships/image" Target="media/image4.png"/><Relationship Id="rId19" Type="http://schemas.openxmlformats.org/officeDocument/2006/relationships/chart" Target="charts/chart4.xml"/><Relationship Id="rId14" Type="http://schemas.openxmlformats.org/officeDocument/2006/relationships/footer" Target="footer4.xml"/><Relationship Id="rId22" Type="http://schemas.openxmlformats.org/officeDocument/2006/relationships/chart" Target="charts/chart5.xml"/><Relationship Id="rId27" Type="http://schemas.openxmlformats.org/officeDocument/2006/relationships/hyperlink" Target="https://en.wikipedia.org/wiki/Digital_object_identifier" TargetMode="External"/><Relationship Id="rId30" Type="http://schemas.openxmlformats.org/officeDocument/2006/relationships/hyperlink" Target="https://doi.org/10.1016/j.bspc.2025.108037" TargetMode="External"/><Relationship Id="rId35" Type="http://schemas.openxmlformats.org/officeDocument/2006/relationships/hyperlink" Target="http://ghdx.healthdata.org/" TargetMode="External"/><Relationship Id="rId43" Type="http://schemas.openxmlformats.org/officeDocument/2006/relationships/hyperlink" Target="https://stat.gov.kz/ru/industries/economy/national-accounts/publications/347113/" TargetMode="External"/><Relationship Id="rId48" Type="http://schemas.openxmlformats.org/officeDocument/2006/relationships/hyperlink" Target="https://www.stada.com/blog/posts/2024/june/stada-health-report-2024" TargetMode="External"/><Relationship Id="rId56" Type="http://schemas.openxmlformats.org/officeDocument/2006/relationships/hyperlink" Target="https://doi.org/10.29045/14784726.2024.3.8.4.1" TargetMode="External"/><Relationship Id="rId64" Type="http://schemas.openxmlformats.org/officeDocument/2006/relationships/image" Target="media/image7.png"/><Relationship Id="rId8" Type="http://schemas.openxmlformats.org/officeDocument/2006/relationships/footer" Target="footer2.xml"/><Relationship Id="rId51" Type="http://schemas.openxmlformats.org/officeDocument/2006/relationships/hyperlink" Target="https://doi.org/10.17116/jnevro2020120121109" TargetMode="External"/><Relationship Id="rId3" Type="http://schemas.openxmlformats.org/officeDocument/2006/relationships/settings" Target="settings.xml"/><Relationship Id="rId12" Type="http://schemas.openxmlformats.org/officeDocument/2006/relationships/hyperlink" Target="https://pubmed.ncbi.nlm.nih.gov/?term=%22Agostoni%20EC%22%5BAuthor%5D" TargetMode="External"/><Relationship Id="rId17" Type="http://schemas.openxmlformats.org/officeDocument/2006/relationships/chart" Target="charts/chart3.xml"/><Relationship Id="rId25" Type="http://schemas.openxmlformats.org/officeDocument/2006/relationships/image" Target="media/image1.png"/><Relationship Id="rId33" Type="http://schemas.openxmlformats.org/officeDocument/2006/relationships/hyperlink" Target="https://www.ncbi.nlm.nih.gov/books/NBK499997/" TargetMode="External"/><Relationship Id="rId38" Type="http://schemas.openxmlformats.org/officeDocument/2006/relationships/hyperlink" Target="https://www.ahajournals.org/reader/content/1979f8d5a4d/10.1161/CIR.0000000000001303/format/epub/EPUB/xhtml/index.xhtml?hmac=1759078601-6yCcYrQKJjpqFOqOBBGjr6P0w%2BPdW8rdd2f7p0ZqRrc%3D" TargetMode="External"/><Relationship Id="rId46" Type="http://schemas.openxmlformats.org/officeDocument/2006/relationships/hyperlink" Target="https://www.oecd-ilibrary.org/sites/7a7afb35-en/1/3/3/4/index.html?itemId=/content/publication/7a7afb35-en&amp;_csp_=6cf33e24b6584414b81774026d82a571&amp;itemIGO=oecd&amp;itemContentType=book" TargetMode="External"/><Relationship Id="rId59" Type="http://schemas.openxmlformats.org/officeDocument/2006/relationships/footer" Target="footer10.xml"/><Relationship Id="rId67"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yperlink" Target="https://nrchd.kz/storage/documents/%D0%A3%D1%81%D0%BB%D1%83%D0%B3%D0%B8/%D0%9E%D1%86%D0%B5%D0%BD%D0%BA%D0%B0%20%D1%80%D0%B5%D0%BA%D0%BB%D0%B0%D0%BC%D0%BD%D1%8B%D1%85%20%D0%BC%D0%B0%D1%82%D0%B5%D1%80%D0%B8%D0%B0%D0%BB%D0%BE%D0%B2/%D0%9F%D1%80%D0%B5%D0%B9%D1%81%D0%BA%D1%83%D1%80%D0%B0%D0%BD%D1%82%20%2025%20%D0%B3%D0%BE%D0%B4.pdf" TargetMode="External"/><Relationship Id="rId54" Type="http://schemas.openxmlformats.org/officeDocument/2006/relationships/hyperlink" Target="https://doi.org/10.1007/s10072-023-06910-w" TargetMode="External"/><Relationship Id="rId62"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1.xml"/><Relationship Id="rId23" Type="http://schemas.openxmlformats.org/officeDocument/2006/relationships/footer" Target="footer8.xml"/><Relationship Id="rId28" Type="http://schemas.openxmlformats.org/officeDocument/2006/relationships/hyperlink" Target="https://doi.org/10.1016%2FS0140-6736%2808%2960694-7" TargetMode="External"/><Relationship Id="rId36" Type="http://schemas.openxmlformats.org/officeDocument/2006/relationships/hyperlink" Target="https://www.aihw.gov.au/reports/heart-stroke-vascular-diseases/hsvd-facts/contents/summary" TargetMode="External"/><Relationship Id="rId49" Type="http://schemas.openxmlformats.org/officeDocument/2006/relationships/hyperlink" Target="https://data.worldbank.org/indicator/SH.XPD.CHEX.PP.CD?locations=KZ" TargetMode="External"/><Relationship Id="rId57" Type="http://schemas.openxmlformats.org/officeDocument/2006/relationships/hyperlink" Target="https://doi.org/10.1016/j.sintl.2021.100117" TargetMode="External"/><Relationship Id="rId10" Type="http://schemas.openxmlformats.org/officeDocument/2006/relationships/hyperlink" Target="https://doi.org/10.32921/2663-1776-%202025-60-5-jhd021" TargetMode="External"/><Relationship Id="rId31" Type="http://schemas.openxmlformats.org/officeDocument/2006/relationships/hyperlink" Target="https://doi.org/10.1038/s41598-022-20302-8" TargetMode="External"/><Relationship Id="rId44" Type="http://schemas.openxmlformats.org/officeDocument/2006/relationships/hyperlink" Target="https://www.yhec.co.uk/glossary-term/probabilistic-stochastic-sensitivity-analysis/" TargetMode="External"/><Relationship Id="rId52" Type="http://schemas.openxmlformats.org/officeDocument/2006/relationships/hyperlink" Target="https://doi.org/10.32921/2663-1776-2025-60-5-jhd021" TargetMode="External"/><Relationship Id="rId60" Type="http://schemas.openxmlformats.org/officeDocument/2006/relationships/image" Target="media/image3.png"/><Relationship Id="rId65"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doi.org/10.64854/2790-1289-2025-49-3-04%2010" TargetMode="Externa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hyperlink" Target="https://doi.org/10.1177/251660852096841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PC\Desktop\MSU%20&#8212;%20Rau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C\Downloads\&#1076;&#1072;&#1085;&#1085;&#1099;&#1077;%20&#1079;&#1072;%2013%20&#1083;&#1077;&#109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C\Downloads\&#1076;&#1072;&#1085;&#1085;&#1099;&#1077;%20&#1079;&#1072;%2013%20&#1083;&#1077;&#109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1051;&#1050;\&#1058;&#1091;&#1088;&#1082;&#1077;&#1089;&#1090;&#1072;&#1085;%20&#1080;%20&#1040;&#1083;&#1084;&#1072;&#1090;&#1099;\&#1055;&#1088;&#1086;&#1083;&#1077;&#1095;&#1077;&#1085;&#1085;&#1099;&#1077;%20&#1042;&#1058;&#1052;&#1055;\2024.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C\Desktop\&#1051;&#1080;&#1089;&#1090;%20Microsoft%20Excel.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Распределение исходов инсульта по шкале </a:t>
            </a:r>
            <a:r>
              <a:rPr lang="en-US"/>
              <a:t>mRS</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Лист1!$C$2</c:f>
              <c:strCache>
                <c:ptCount val="1"/>
                <c:pt idx="0">
                  <c:v>Пациенты, пролеченные вне «золотого часа»,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Лист1!$B$3:$B$5</c:f>
              <c:strCache>
                <c:ptCount val="3"/>
                <c:pt idx="0">
                  <c:v>mRS 0–2</c:v>
                </c:pt>
                <c:pt idx="1">
                  <c:v>mRS 3–5</c:v>
                </c:pt>
                <c:pt idx="2">
                  <c:v>mRS 6</c:v>
                </c:pt>
              </c:strCache>
            </c:strRef>
          </c:cat>
          <c:val>
            <c:numRef>
              <c:f>Лист1!$C$3:$C$5</c:f>
              <c:numCache>
                <c:formatCode>General</c:formatCode>
                <c:ptCount val="3"/>
                <c:pt idx="0">
                  <c:v>53.6</c:v>
                </c:pt>
                <c:pt idx="1">
                  <c:v>33.700000000000003</c:v>
                </c:pt>
                <c:pt idx="2">
                  <c:v>12.7</c:v>
                </c:pt>
              </c:numCache>
            </c:numRef>
          </c:val>
          <c:extLst>
            <c:ext xmlns:c16="http://schemas.microsoft.com/office/drawing/2014/chart" uri="{C3380CC4-5D6E-409C-BE32-E72D297353CC}">
              <c16:uniqueId val="{00000000-605A-4214-AEDA-999970DB3699}"/>
            </c:ext>
          </c:extLst>
        </c:ser>
        <c:ser>
          <c:idx val="1"/>
          <c:order val="1"/>
          <c:tx>
            <c:strRef>
              <c:f>Лист1!$D$2</c:f>
              <c:strCache>
                <c:ptCount val="1"/>
                <c:pt idx="0">
                  <c:v>Пациенты, пролеченные в «золотой час»,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Лист1!$B$3:$B$5</c:f>
              <c:strCache>
                <c:ptCount val="3"/>
                <c:pt idx="0">
                  <c:v>mRS 0–2</c:v>
                </c:pt>
                <c:pt idx="1">
                  <c:v>mRS 3–5</c:v>
                </c:pt>
                <c:pt idx="2">
                  <c:v>mRS 6</c:v>
                </c:pt>
              </c:strCache>
            </c:strRef>
          </c:cat>
          <c:val>
            <c:numRef>
              <c:f>Лист1!$D$3:$D$5</c:f>
              <c:numCache>
                <c:formatCode>General</c:formatCode>
                <c:ptCount val="3"/>
                <c:pt idx="0">
                  <c:v>59.2</c:v>
                </c:pt>
                <c:pt idx="1">
                  <c:v>32.4</c:v>
                </c:pt>
                <c:pt idx="2">
                  <c:v>8.4</c:v>
                </c:pt>
              </c:numCache>
            </c:numRef>
          </c:val>
          <c:extLst>
            <c:ext xmlns:c16="http://schemas.microsoft.com/office/drawing/2014/chart" uri="{C3380CC4-5D6E-409C-BE32-E72D297353CC}">
              <c16:uniqueId val="{00000001-605A-4214-AEDA-999970DB3699}"/>
            </c:ext>
          </c:extLst>
        </c:ser>
        <c:ser>
          <c:idx val="2"/>
          <c:order val="2"/>
          <c:tx>
            <c:strRef>
              <c:f>Лист1!$E$2</c:f>
              <c:strCache>
                <c:ptCount val="1"/>
                <c:pt idx="0">
                  <c:v>Пациенты с ОИМ, не получившие ВВТ*,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Лист1!$B$3:$B$5</c:f>
              <c:strCache>
                <c:ptCount val="3"/>
                <c:pt idx="0">
                  <c:v>mRS 0–2</c:v>
                </c:pt>
                <c:pt idx="1">
                  <c:v>mRS 3–5</c:v>
                </c:pt>
                <c:pt idx="2">
                  <c:v>mRS 6</c:v>
                </c:pt>
              </c:strCache>
            </c:strRef>
          </c:cat>
          <c:val>
            <c:numRef>
              <c:f>Лист1!$E$3:$E$5</c:f>
              <c:numCache>
                <c:formatCode>General</c:formatCode>
                <c:ptCount val="3"/>
                <c:pt idx="0">
                  <c:v>41.3</c:v>
                </c:pt>
                <c:pt idx="1">
                  <c:v>44.2</c:v>
                </c:pt>
                <c:pt idx="2">
                  <c:v>14.5</c:v>
                </c:pt>
              </c:numCache>
            </c:numRef>
          </c:val>
          <c:extLst>
            <c:ext xmlns:c16="http://schemas.microsoft.com/office/drawing/2014/chart" uri="{C3380CC4-5D6E-409C-BE32-E72D297353CC}">
              <c16:uniqueId val="{00000002-605A-4214-AEDA-999970DB3699}"/>
            </c:ext>
          </c:extLst>
        </c:ser>
        <c:dLbls>
          <c:showLegendKey val="0"/>
          <c:showVal val="0"/>
          <c:showCatName val="0"/>
          <c:showSerName val="0"/>
          <c:showPercent val="0"/>
          <c:showBubbleSize val="0"/>
        </c:dLbls>
        <c:gapWidth val="219"/>
        <c:overlap val="-27"/>
        <c:axId val="1919060687"/>
        <c:axId val="1919059247"/>
      </c:barChart>
      <c:catAx>
        <c:axId val="19190606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19059247"/>
        <c:crosses val="autoZero"/>
        <c:auto val="1"/>
        <c:lblAlgn val="ctr"/>
        <c:lblOffset val="100"/>
        <c:noMultiLvlLbl val="0"/>
      </c:catAx>
      <c:valAx>
        <c:axId val="19190592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190606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Заболеваемость на 100 000 человек населения </a:t>
            </a:r>
          </a:p>
        </c:rich>
      </c:tx>
      <c:layout>
        <c:manualLayout>
          <c:xMode val="edge"/>
          <c:yMode val="edge"/>
          <c:x val="0.23037744429286039"/>
          <c:y val="3.131991051454138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scatterChart>
        <c:scatterStyle val="smoothMarker"/>
        <c:varyColors val="0"/>
        <c:ser>
          <c:idx val="0"/>
          <c:order val="0"/>
          <c:tx>
            <c:strRef>
              <c:f>Лист2!$B$2</c:f>
              <c:strCache>
                <c:ptCount val="1"/>
                <c:pt idx="0">
                  <c:v>цереброваскулярные болезни</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Лист2!$C$1:$O$1</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xVal>
          <c:yVal>
            <c:numRef>
              <c:f>Лист2!$C$2:$O$2</c:f>
              <c:numCache>
                <c:formatCode>General</c:formatCode>
                <c:ptCount val="13"/>
                <c:pt idx="0">
                  <c:v>140.4</c:v>
                </c:pt>
                <c:pt idx="1">
                  <c:v>192.5</c:v>
                </c:pt>
                <c:pt idx="2">
                  <c:v>467.1</c:v>
                </c:pt>
                <c:pt idx="3">
                  <c:v>307.10000000000002</c:v>
                </c:pt>
                <c:pt idx="4">
                  <c:v>352.6</c:v>
                </c:pt>
                <c:pt idx="5">
                  <c:v>316.5</c:v>
                </c:pt>
                <c:pt idx="6">
                  <c:v>365.7</c:v>
                </c:pt>
                <c:pt idx="7">
                  <c:v>381</c:v>
                </c:pt>
                <c:pt idx="8">
                  <c:v>460</c:v>
                </c:pt>
                <c:pt idx="9">
                  <c:v>422.5</c:v>
                </c:pt>
                <c:pt idx="10">
                  <c:v>425.4</c:v>
                </c:pt>
                <c:pt idx="11">
                  <c:v>429.1</c:v>
                </c:pt>
                <c:pt idx="12">
                  <c:v>429.1</c:v>
                </c:pt>
              </c:numCache>
            </c:numRef>
          </c:yVal>
          <c:smooth val="1"/>
          <c:extLst>
            <c:ext xmlns:c16="http://schemas.microsoft.com/office/drawing/2014/chart" uri="{C3380CC4-5D6E-409C-BE32-E72D297353CC}">
              <c16:uniqueId val="{00000000-2F8C-460B-BDE2-58437329A686}"/>
            </c:ext>
          </c:extLst>
        </c:ser>
        <c:ser>
          <c:idx val="1"/>
          <c:order val="1"/>
          <c:tx>
            <c:strRef>
              <c:f>Лист2!$B$3</c:f>
              <c:strCache>
                <c:ptCount val="1"/>
                <c:pt idx="0">
                  <c:v>БСК</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Лист2!$C$1:$O$1</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xVal>
          <c:yVal>
            <c:numRef>
              <c:f>Лист2!$C$3:$O$3</c:f>
              <c:numCache>
                <c:formatCode>General</c:formatCode>
                <c:ptCount val="13"/>
                <c:pt idx="0">
                  <c:v>4084.3</c:v>
                </c:pt>
                <c:pt idx="1">
                  <c:v>4320.2</c:v>
                </c:pt>
                <c:pt idx="2">
                  <c:v>3848.8</c:v>
                </c:pt>
                <c:pt idx="3">
                  <c:v>2982.8</c:v>
                </c:pt>
                <c:pt idx="4">
                  <c:v>3277.2</c:v>
                </c:pt>
                <c:pt idx="5">
                  <c:v>3141.7</c:v>
                </c:pt>
                <c:pt idx="6">
                  <c:v>3713.2</c:v>
                </c:pt>
                <c:pt idx="7">
                  <c:v>3758.3</c:v>
                </c:pt>
                <c:pt idx="8">
                  <c:v>4017.8</c:v>
                </c:pt>
                <c:pt idx="9">
                  <c:v>3786.1</c:v>
                </c:pt>
                <c:pt idx="10">
                  <c:v>3423.3</c:v>
                </c:pt>
                <c:pt idx="11">
                  <c:v>3576.5</c:v>
                </c:pt>
                <c:pt idx="12">
                  <c:v>3950.6</c:v>
                </c:pt>
              </c:numCache>
            </c:numRef>
          </c:yVal>
          <c:smooth val="1"/>
          <c:extLst>
            <c:ext xmlns:c16="http://schemas.microsoft.com/office/drawing/2014/chart" uri="{C3380CC4-5D6E-409C-BE32-E72D297353CC}">
              <c16:uniqueId val="{00000001-2F8C-460B-BDE2-58437329A686}"/>
            </c:ext>
          </c:extLst>
        </c:ser>
        <c:dLbls>
          <c:showLegendKey val="0"/>
          <c:showVal val="0"/>
          <c:showCatName val="0"/>
          <c:showSerName val="0"/>
          <c:showPercent val="0"/>
          <c:showBubbleSize val="0"/>
        </c:dLbls>
        <c:axId val="523172592"/>
        <c:axId val="523172952"/>
      </c:scatterChart>
      <c:valAx>
        <c:axId val="523172592"/>
        <c:scaling>
          <c:orientation val="minMax"/>
          <c:max val="2025"/>
          <c:min val="2012"/>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23172952"/>
        <c:crosses val="autoZero"/>
        <c:crossBetween val="midCat"/>
      </c:valAx>
      <c:valAx>
        <c:axId val="523172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231725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Показатели смертности 100 000 человек населения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scatterChart>
        <c:scatterStyle val="smoothMarker"/>
        <c:varyColors val="0"/>
        <c:ser>
          <c:idx val="0"/>
          <c:order val="0"/>
          <c:tx>
            <c:strRef>
              <c:f>Лист2!$B$12</c:f>
              <c:strCache>
                <c:ptCount val="1"/>
                <c:pt idx="0">
                  <c:v>БСК</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Лист2!$C$11:$O$11</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xVal>
          <c:yVal>
            <c:numRef>
              <c:f>Лист2!$C$12:$O$12</c:f>
              <c:numCache>
                <c:formatCode>General</c:formatCode>
                <c:ptCount val="13"/>
                <c:pt idx="0">
                  <c:v>345.55</c:v>
                </c:pt>
                <c:pt idx="1">
                  <c:v>227.29</c:v>
                </c:pt>
                <c:pt idx="2">
                  <c:v>167.1</c:v>
                </c:pt>
                <c:pt idx="3">
                  <c:v>139.5</c:v>
                </c:pt>
                <c:pt idx="4">
                  <c:v>175.16</c:v>
                </c:pt>
                <c:pt idx="5">
                  <c:v>190.13</c:v>
                </c:pt>
                <c:pt idx="6">
                  <c:v>187.22</c:v>
                </c:pt>
                <c:pt idx="7">
                  <c:v>165.13</c:v>
                </c:pt>
                <c:pt idx="8">
                  <c:v>191.52</c:v>
                </c:pt>
                <c:pt idx="9">
                  <c:v>284.85000000000002</c:v>
                </c:pt>
                <c:pt idx="10">
                  <c:v>182.44</c:v>
                </c:pt>
                <c:pt idx="11">
                  <c:v>174.51</c:v>
                </c:pt>
                <c:pt idx="12">
                  <c:v>170.11</c:v>
                </c:pt>
              </c:numCache>
            </c:numRef>
          </c:yVal>
          <c:smooth val="1"/>
          <c:extLst>
            <c:ext xmlns:c16="http://schemas.microsoft.com/office/drawing/2014/chart" uri="{C3380CC4-5D6E-409C-BE32-E72D297353CC}">
              <c16:uniqueId val="{00000000-F7A0-4125-A322-49C5DD325751}"/>
            </c:ext>
          </c:extLst>
        </c:ser>
        <c:ser>
          <c:idx val="1"/>
          <c:order val="1"/>
          <c:tx>
            <c:strRef>
              <c:f>Лист2!$B$13</c:f>
              <c:strCache>
                <c:ptCount val="1"/>
                <c:pt idx="0">
                  <c:v>Инсульт</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Лист2!$C$11:$O$11</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xVal>
          <c:yVal>
            <c:numRef>
              <c:f>Лист2!$C$13:$O$13</c:f>
              <c:numCache>
                <c:formatCode>General</c:formatCode>
                <c:ptCount val="13"/>
                <c:pt idx="0">
                  <c:v>29.85</c:v>
                </c:pt>
                <c:pt idx="1">
                  <c:v>42.45</c:v>
                </c:pt>
                <c:pt idx="2">
                  <c:v>40</c:v>
                </c:pt>
                <c:pt idx="3">
                  <c:v>36.299999999999997</c:v>
                </c:pt>
                <c:pt idx="4">
                  <c:v>52.23</c:v>
                </c:pt>
                <c:pt idx="5">
                  <c:v>60.84</c:v>
                </c:pt>
                <c:pt idx="6">
                  <c:v>56.17</c:v>
                </c:pt>
                <c:pt idx="7">
                  <c:v>44.03</c:v>
                </c:pt>
                <c:pt idx="8">
                  <c:v>52.9</c:v>
                </c:pt>
                <c:pt idx="9">
                  <c:v>70.33</c:v>
                </c:pt>
                <c:pt idx="10">
                  <c:v>49.14</c:v>
                </c:pt>
                <c:pt idx="11">
                  <c:v>40.770000000000003</c:v>
                </c:pt>
                <c:pt idx="12">
                  <c:v>30.3</c:v>
                </c:pt>
              </c:numCache>
            </c:numRef>
          </c:yVal>
          <c:smooth val="1"/>
          <c:extLst>
            <c:ext xmlns:c16="http://schemas.microsoft.com/office/drawing/2014/chart" uri="{C3380CC4-5D6E-409C-BE32-E72D297353CC}">
              <c16:uniqueId val="{00000001-F7A0-4125-A322-49C5DD325751}"/>
            </c:ext>
          </c:extLst>
        </c:ser>
        <c:dLbls>
          <c:showLegendKey val="0"/>
          <c:showVal val="0"/>
          <c:showCatName val="0"/>
          <c:showSerName val="0"/>
          <c:showPercent val="0"/>
          <c:showBubbleSize val="0"/>
        </c:dLbls>
        <c:axId val="539000672"/>
        <c:axId val="538992752"/>
      </c:scatterChart>
      <c:valAx>
        <c:axId val="539000672"/>
        <c:scaling>
          <c:orientation val="minMax"/>
          <c:max val="2024"/>
          <c:min val="2012"/>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38992752"/>
        <c:crosses val="autoZero"/>
        <c:crossBetween val="midCat"/>
      </c:valAx>
      <c:valAx>
        <c:axId val="538992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390006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Лист2!$L$493</c:f>
              <c:strCache>
                <c:ptCount val="1"/>
                <c:pt idx="0">
                  <c:v>Планово</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Лист2!$K$494:$K$506</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Лист2!$L$494:$L$506</c:f>
              <c:numCache>
                <c:formatCode>General</c:formatCode>
                <c:ptCount val="13"/>
                <c:pt idx="0">
                  <c:v>4.8</c:v>
                </c:pt>
                <c:pt idx="1">
                  <c:v>6.5</c:v>
                </c:pt>
                <c:pt idx="2">
                  <c:v>4.2</c:v>
                </c:pt>
                <c:pt idx="3">
                  <c:v>5.4</c:v>
                </c:pt>
                <c:pt idx="4">
                  <c:v>3.3</c:v>
                </c:pt>
                <c:pt idx="5">
                  <c:v>4.2</c:v>
                </c:pt>
                <c:pt idx="6">
                  <c:v>4.4000000000000004</c:v>
                </c:pt>
                <c:pt idx="7">
                  <c:v>0.6</c:v>
                </c:pt>
                <c:pt idx="8">
                  <c:v>16.899999999999999</c:v>
                </c:pt>
                <c:pt idx="9">
                  <c:v>33.299999999999997</c:v>
                </c:pt>
                <c:pt idx="10">
                  <c:v>46.1</c:v>
                </c:pt>
                <c:pt idx="11">
                  <c:v>17.399999999999999</c:v>
                </c:pt>
                <c:pt idx="12">
                  <c:v>15.92</c:v>
                </c:pt>
              </c:numCache>
            </c:numRef>
          </c:val>
          <c:extLst>
            <c:ext xmlns:c16="http://schemas.microsoft.com/office/drawing/2014/chart" uri="{C3380CC4-5D6E-409C-BE32-E72D297353CC}">
              <c16:uniqueId val="{00000000-F432-4954-8908-E309A5E12576}"/>
            </c:ext>
          </c:extLst>
        </c:ser>
        <c:ser>
          <c:idx val="1"/>
          <c:order val="1"/>
          <c:tx>
            <c:strRef>
              <c:f>Лист2!$M$493</c:f>
              <c:strCache>
                <c:ptCount val="1"/>
                <c:pt idx="0">
                  <c:v>Экстренно</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Лист2!$K$494:$K$506</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Лист2!$M$494:$M$506</c:f>
              <c:numCache>
                <c:formatCode>General</c:formatCode>
                <c:ptCount val="13"/>
                <c:pt idx="0">
                  <c:v>95.2</c:v>
                </c:pt>
                <c:pt idx="1">
                  <c:v>93.5</c:v>
                </c:pt>
                <c:pt idx="2">
                  <c:v>95.8</c:v>
                </c:pt>
                <c:pt idx="3">
                  <c:v>94.6</c:v>
                </c:pt>
                <c:pt idx="4">
                  <c:v>96.7</c:v>
                </c:pt>
                <c:pt idx="5">
                  <c:v>95.8</c:v>
                </c:pt>
                <c:pt idx="6">
                  <c:v>95.6</c:v>
                </c:pt>
                <c:pt idx="7">
                  <c:v>99.4</c:v>
                </c:pt>
                <c:pt idx="8">
                  <c:v>83.1</c:v>
                </c:pt>
                <c:pt idx="9">
                  <c:v>66.7</c:v>
                </c:pt>
                <c:pt idx="10">
                  <c:v>53.9</c:v>
                </c:pt>
                <c:pt idx="11">
                  <c:v>82.6</c:v>
                </c:pt>
                <c:pt idx="12">
                  <c:v>84.08</c:v>
                </c:pt>
              </c:numCache>
            </c:numRef>
          </c:val>
          <c:extLst>
            <c:ext xmlns:c16="http://schemas.microsoft.com/office/drawing/2014/chart" uri="{C3380CC4-5D6E-409C-BE32-E72D297353CC}">
              <c16:uniqueId val="{00000001-F432-4954-8908-E309A5E12576}"/>
            </c:ext>
          </c:extLst>
        </c:ser>
        <c:dLbls>
          <c:showLegendKey val="0"/>
          <c:showVal val="0"/>
          <c:showCatName val="0"/>
          <c:showSerName val="0"/>
          <c:showPercent val="0"/>
          <c:showBubbleSize val="0"/>
        </c:dLbls>
        <c:gapWidth val="150"/>
        <c:shape val="box"/>
        <c:axId val="626582784"/>
        <c:axId val="626579904"/>
        <c:axId val="0"/>
      </c:bar3DChart>
      <c:catAx>
        <c:axId val="6265827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6579904"/>
        <c:crosses val="autoZero"/>
        <c:auto val="1"/>
        <c:lblAlgn val="ctr"/>
        <c:lblOffset val="100"/>
        <c:noMultiLvlLbl val="0"/>
      </c:catAx>
      <c:valAx>
        <c:axId val="626579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6582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Лист1!$C$3</c:f>
              <c:strCache>
                <c:ptCount val="1"/>
                <c:pt idx="0">
                  <c:v>Скорая медицинская помощь</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Лист1!$D$2:$E$2</c:f>
              <c:strCache>
                <c:ptCount val="2"/>
                <c:pt idx="0">
                  <c:v>Количество участников</c:v>
                </c:pt>
                <c:pt idx="1">
                  <c:v>Средний стаж работы</c:v>
                </c:pt>
              </c:strCache>
            </c:strRef>
          </c:cat>
          <c:val>
            <c:numRef>
              <c:f>Лист1!$D$3:$E$3</c:f>
              <c:numCache>
                <c:formatCode>General</c:formatCode>
                <c:ptCount val="2"/>
                <c:pt idx="0">
                  <c:v>10</c:v>
                </c:pt>
                <c:pt idx="1">
                  <c:v>17.5</c:v>
                </c:pt>
              </c:numCache>
            </c:numRef>
          </c:val>
          <c:extLst>
            <c:ext xmlns:c16="http://schemas.microsoft.com/office/drawing/2014/chart" uri="{C3380CC4-5D6E-409C-BE32-E72D297353CC}">
              <c16:uniqueId val="{00000000-830E-4676-BFE1-B7D1E3F93D8C}"/>
            </c:ext>
          </c:extLst>
        </c:ser>
        <c:ser>
          <c:idx val="1"/>
          <c:order val="1"/>
          <c:tx>
            <c:strRef>
              <c:f>Лист1!$C$4</c:f>
              <c:strCache>
                <c:ptCount val="1"/>
                <c:pt idx="0">
                  <c:v>Невролог</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Лист1!$D$2:$E$2</c:f>
              <c:strCache>
                <c:ptCount val="2"/>
                <c:pt idx="0">
                  <c:v>Количество участников</c:v>
                </c:pt>
                <c:pt idx="1">
                  <c:v>Средний стаж работы</c:v>
                </c:pt>
              </c:strCache>
            </c:strRef>
          </c:cat>
          <c:val>
            <c:numRef>
              <c:f>Лист1!$D$4:$E$4</c:f>
              <c:numCache>
                <c:formatCode>General</c:formatCode>
                <c:ptCount val="2"/>
                <c:pt idx="0">
                  <c:v>12</c:v>
                </c:pt>
                <c:pt idx="1">
                  <c:v>11.7</c:v>
                </c:pt>
              </c:numCache>
            </c:numRef>
          </c:val>
          <c:extLst>
            <c:ext xmlns:c16="http://schemas.microsoft.com/office/drawing/2014/chart" uri="{C3380CC4-5D6E-409C-BE32-E72D297353CC}">
              <c16:uniqueId val="{00000001-830E-4676-BFE1-B7D1E3F93D8C}"/>
            </c:ext>
          </c:extLst>
        </c:ser>
        <c:ser>
          <c:idx val="2"/>
          <c:order val="2"/>
          <c:tx>
            <c:strRef>
              <c:f>Лист1!$C$5</c:f>
              <c:strCache>
                <c:ptCount val="1"/>
                <c:pt idx="0">
                  <c:v>Реабилитолог</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Лист1!$D$2:$E$2</c:f>
              <c:strCache>
                <c:ptCount val="2"/>
                <c:pt idx="0">
                  <c:v>Количество участников</c:v>
                </c:pt>
                <c:pt idx="1">
                  <c:v>Средний стаж работы</c:v>
                </c:pt>
              </c:strCache>
            </c:strRef>
          </c:cat>
          <c:val>
            <c:numRef>
              <c:f>Лист1!$D$5:$E$5</c:f>
              <c:numCache>
                <c:formatCode>General</c:formatCode>
                <c:ptCount val="2"/>
                <c:pt idx="0">
                  <c:v>22</c:v>
                </c:pt>
                <c:pt idx="1">
                  <c:v>9.8000000000000007</c:v>
                </c:pt>
              </c:numCache>
            </c:numRef>
          </c:val>
          <c:extLst>
            <c:ext xmlns:c16="http://schemas.microsoft.com/office/drawing/2014/chart" uri="{C3380CC4-5D6E-409C-BE32-E72D297353CC}">
              <c16:uniqueId val="{00000002-830E-4676-BFE1-B7D1E3F93D8C}"/>
            </c:ext>
          </c:extLst>
        </c:ser>
        <c:ser>
          <c:idx val="3"/>
          <c:order val="3"/>
          <c:tx>
            <c:strRef>
              <c:f>Лист1!$C$6</c:f>
              <c:strCache>
                <c:ptCount val="1"/>
                <c:pt idx="0">
                  <c:v>Реаниматолог</c:v>
                </c:pt>
              </c:strCache>
            </c:strRef>
          </c:tx>
          <c:spPr>
            <a:solidFill>
              <a:schemeClr val="accent4"/>
            </a:solidFill>
            <a:ln>
              <a:noFill/>
            </a:ln>
            <a:effectLst/>
            <a:sp3d/>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Лист1!$D$2:$E$2</c:f>
              <c:strCache>
                <c:ptCount val="2"/>
                <c:pt idx="0">
                  <c:v>Количество участников</c:v>
                </c:pt>
                <c:pt idx="1">
                  <c:v>Средний стаж работы</c:v>
                </c:pt>
              </c:strCache>
            </c:strRef>
          </c:cat>
          <c:val>
            <c:numRef>
              <c:f>Лист1!$D$6:$E$6</c:f>
              <c:numCache>
                <c:formatCode>General</c:formatCode>
                <c:ptCount val="2"/>
                <c:pt idx="0">
                  <c:v>32</c:v>
                </c:pt>
                <c:pt idx="1">
                  <c:v>11.2</c:v>
                </c:pt>
              </c:numCache>
            </c:numRef>
          </c:val>
          <c:extLst>
            <c:ext xmlns:c16="http://schemas.microsoft.com/office/drawing/2014/chart" uri="{C3380CC4-5D6E-409C-BE32-E72D297353CC}">
              <c16:uniqueId val="{00000003-830E-4676-BFE1-B7D1E3F93D8C}"/>
            </c:ext>
          </c:extLst>
        </c:ser>
        <c:ser>
          <c:idx val="4"/>
          <c:order val="4"/>
          <c:tx>
            <c:strRef>
              <c:f>Лист1!$C$7</c:f>
              <c:strCache>
                <c:ptCount val="1"/>
                <c:pt idx="0">
                  <c:v>Нейрохирург</c:v>
                </c:pt>
              </c:strCache>
            </c:strRef>
          </c:tx>
          <c:spPr>
            <a:solidFill>
              <a:schemeClr val="accent5"/>
            </a:solidFill>
            <a:ln>
              <a:noFill/>
            </a:ln>
            <a:effectLst/>
            <a:sp3d/>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Лист1!$D$2:$E$2</c:f>
              <c:strCache>
                <c:ptCount val="2"/>
                <c:pt idx="0">
                  <c:v>Количество участников</c:v>
                </c:pt>
                <c:pt idx="1">
                  <c:v>Средний стаж работы</c:v>
                </c:pt>
              </c:strCache>
            </c:strRef>
          </c:cat>
          <c:val>
            <c:numRef>
              <c:f>Лист1!$D$7:$E$7</c:f>
              <c:numCache>
                <c:formatCode>General</c:formatCode>
                <c:ptCount val="2"/>
                <c:pt idx="0">
                  <c:v>24</c:v>
                </c:pt>
                <c:pt idx="1">
                  <c:v>16.2</c:v>
                </c:pt>
              </c:numCache>
            </c:numRef>
          </c:val>
          <c:extLst>
            <c:ext xmlns:c16="http://schemas.microsoft.com/office/drawing/2014/chart" uri="{C3380CC4-5D6E-409C-BE32-E72D297353CC}">
              <c16:uniqueId val="{00000004-830E-4676-BFE1-B7D1E3F93D8C}"/>
            </c:ext>
          </c:extLst>
        </c:ser>
        <c:dLbls>
          <c:showLegendKey val="0"/>
          <c:showVal val="0"/>
          <c:showCatName val="0"/>
          <c:showSerName val="0"/>
          <c:showPercent val="0"/>
          <c:showBubbleSize val="0"/>
        </c:dLbls>
        <c:gapWidth val="150"/>
        <c:shape val="box"/>
        <c:axId val="1253128080"/>
        <c:axId val="1253129040"/>
        <c:axId val="0"/>
      </c:bar3DChart>
      <c:catAx>
        <c:axId val="1253128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53129040"/>
        <c:crosses val="autoZero"/>
        <c:auto val="1"/>
        <c:lblAlgn val="ctr"/>
        <c:lblOffset val="100"/>
        <c:noMultiLvlLbl val="0"/>
      </c:catAx>
      <c:valAx>
        <c:axId val="1253129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5312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828</TotalTime>
  <Pages>122</Pages>
  <Words>41413</Words>
  <Characters>236056</Characters>
  <Application>Microsoft Office Word</Application>
  <DocSecurity>0</DocSecurity>
  <Lines>1967</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188</cp:revision>
  <cp:lastPrinted>2026-04-17T06:45:00Z</cp:lastPrinted>
  <dcterms:created xsi:type="dcterms:W3CDTF">2025-09-25T12:24:00Z</dcterms:created>
  <dcterms:modified xsi:type="dcterms:W3CDTF">2026-04-17T06:46:00Z</dcterms:modified>
</cp:coreProperties>
</file>