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3793F" w14:textId="0D3C4C6E" w:rsidR="00124829" w:rsidRDefault="00124829" w:rsidP="00124829">
      <w:pPr>
        <w:pStyle w:val="LO-normal"/>
        <w:spacing w:after="0" w:line="240" w:lineRule="auto"/>
        <w:jc w:val="center"/>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color w:val="000000"/>
          <w:sz w:val="28"/>
          <w:szCs w:val="28"/>
        </w:rPr>
        <w:t>НАО «Медицинский университет Астана»</w:t>
      </w:r>
    </w:p>
    <w:p w14:paraId="4E8F061B" w14:textId="77777777" w:rsidR="00124829" w:rsidRDefault="00124829" w:rsidP="00124829">
      <w:pPr>
        <w:pStyle w:val="LO-normal"/>
        <w:spacing w:after="0" w:line="240" w:lineRule="auto"/>
        <w:ind w:firstLine="567"/>
        <w:jc w:val="center"/>
        <w:rPr>
          <w:rFonts w:ascii="Times New Roman" w:eastAsia="Times New Roman" w:hAnsi="Times New Roman" w:cs="Times New Roman"/>
          <w:b/>
          <w:sz w:val="28"/>
          <w:szCs w:val="28"/>
        </w:rPr>
      </w:pPr>
    </w:p>
    <w:p w14:paraId="5FEA17B2" w14:textId="77777777" w:rsidR="00124829" w:rsidRDefault="00124829" w:rsidP="00124829">
      <w:pPr>
        <w:pStyle w:val="LO-normal"/>
        <w:spacing w:after="0" w:line="240" w:lineRule="auto"/>
        <w:ind w:firstLine="567"/>
        <w:jc w:val="center"/>
        <w:rPr>
          <w:rFonts w:ascii="Times New Roman" w:eastAsia="Times New Roman" w:hAnsi="Times New Roman" w:cs="Times New Roman"/>
          <w:b/>
          <w:sz w:val="28"/>
          <w:szCs w:val="28"/>
        </w:rPr>
      </w:pPr>
    </w:p>
    <w:p w14:paraId="329BE8FF" w14:textId="77777777" w:rsidR="00124829" w:rsidRDefault="00124829" w:rsidP="00124829">
      <w:pPr>
        <w:pStyle w:val="LO-normal"/>
        <w:spacing w:after="0" w:line="240" w:lineRule="auto"/>
        <w:ind w:firstLine="567"/>
        <w:jc w:val="center"/>
        <w:rPr>
          <w:rFonts w:ascii="Times New Roman" w:eastAsia="Times New Roman" w:hAnsi="Times New Roman" w:cs="Times New Roman"/>
          <w:b/>
          <w:sz w:val="28"/>
          <w:szCs w:val="28"/>
        </w:rPr>
      </w:pPr>
    </w:p>
    <w:p w14:paraId="2246569B" w14:textId="77777777" w:rsidR="00124829" w:rsidRDefault="00124829" w:rsidP="00124829">
      <w:pPr>
        <w:pStyle w:val="LO-normal"/>
        <w:shd w:val="clear" w:color="auto" w:fill="FFFFFF"/>
        <w:spacing w:before="280" w:after="280" w:line="240" w:lineRule="auto"/>
        <w:rPr>
          <w:rFonts w:ascii="Times New Roman" w:eastAsia="Times New Roman" w:hAnsi="Times New Roman" w:cs="Times New Roman"/>
          <w:b/>
          <w:color w:val="000000"/>
          <w:sz w:val="28"/>
          <w:szCs w:val="28"/>
        </w:rPr>
      </w:pPr>
      <w:proofErr w:type="gramStart"/>
      <w:r>
        <w:rPr>
          <w:rFonts w:ascii="Times New Roman" w:eastAsia="Times New Roman" w:hAnsi="Times New Roman" w:cs="Times New Roman"/>
          <w:b/>
          <w:color w:val="000000"/>
          <w:sz w:val="28"/>
          <w:szCs w:val="28"/>
        </w:rPr>
        <w:t>УДК  579.61</w:t>
      </w:r>
      <w:proofErr w:type="gramEnd"/>
      <w:r>
        <w:rPr>
          <w:rFonts w:ascii="Times New Roman" w:eastAsia="Times New Roman" w:hAnsi="Times New Roman" w:cs="Times New Roman"/>
          <w:b/>
          <w:color w:val="000000"/>
          <w:sz w:val="28"/>
          <w:szCs w:val="28"/>
        </w:rPr>
        <w:t>+578.7:616.721-002.77</w:t>
      </w:r>
    </w:p>
    <w:p w14:paraId="7F753539" w14:textId="77777777" w:rsidR="00124829" w:rsidRDefault="00124829" w:rsidP="00124829">
      <w:pPr>
        <w:pStyle w:val="LO-normal"/>
        <w:shd w:val="clear" w:color="auto" w:fill="FFFFFF"/>
        <w:spacing w:before="280" w:after="28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МПК A61K 39/</w:t>
      </w:r>
      <w:proofErr w:type="gramStart"/>
      <w:r>
        <w:rPr>
          <w:rFonts w:ascii="Times New Roman" w:eastAsia="Times New Roman" w:hAnsi="Times New Roman" w:cs="Times New Roman"/>
          <w:b/>
          <w:color w:val="000000"/>
          <w:sz w:val="28"/>
          <w:szCs w:val="28"/>
        </w:rPr>
        <w:t>395;  А</w:t>
      </w:r>
      <w:proofErr w:type="gramEnd"/>
      <w:r>
        <w:rPr>
          <w:rFonts w:ascii="Times New Roman" w:eastAsia="Times New Roman" w:hAnsi="Times New Roman" w:cs="Times New Roman"/>
          <w:b/>
          <w:color w:val="000000"/>
          <w:sz w:val="28"/>
          <w:szCs w:val="28"/>
        </w:rPr>
        <w:t>61P19/02</w:t>
      </w:r>
    </w:p>
    <w:p w14:paraId="4E87BF65" w14:textId="77777777" w:rsidR="00124829" w:rsidRDefault="00124829" w:rsidP="00124829">
      <w:pPr>
        <w:pStyle w:val="LO-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8C670EA" w14:textId="77777777" w:rsidR="00124829" w:rsidRDefault="00124829" w:rsidP="00124829">
      <w:pPr>
        <w:pStyle w:val="LO-normal"/>
        <w:spacing w:after="0" w:line="240" w:lineRule="auto"/>
        <w:rPr>
          <w:rFonts w:ascii="Times New Roman" w:eastAsia="Times New Roman" w:hAnsi="Times New Roman" w:cs="Times New Roman"/>
          <w:sz w:val="28"/>
          <w:szCs w:val="28"/>
        </w:rPr>
      </w:pPr>
    </w:p>
    <w:p w14:paraId="7FE69812" w14:textId="77777777" w:rsidR="00124829" w:rsidRDefault="00124829" w:rsidP="00124829">
      <w:pPr>
        <w:pStyle w:val="LO-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правах рукописи</w:t>
      </w:r>
    </w:p>
    <w:p w14:paraId="4C64ED4A" w14:textId="77777777" w:rsidR="00124829" w:rsidRDefault="00124829" w:rsidP="00124829">
      <w:pPr>
        <w:pStyle w:val="LO-normal"/>
        <w:spacing w:after="0" w:line="240" w:lineRule="auto"/>
        <w:ind w:firstLine="567"/>
        <w:jc w:val="right"/>
        <w:rPr>
          <w:rFonts w:ascii="Times New Roman" w:eastAsia="Times New Roman" w:hAnsi="Times New Roman" w:cs="Times New Roman"/>
          <w:b/>
          <w:sz w:val="28"/>
          <w:szCs w:val="28"/>
        </w:rPr>
      </w:pPr>
    </w:p>
    <w:p w14:paraId="56F0085F" w14:textId="77777777" w:rsidR="00124829" w:rsidRDefault="00124829" w:rsidP="00124829">
      <w:pPr>
        <w:pStyle w:val="LO-normal"/>
        <w:spacing w:after="0" w:line="240" w:lineRule="auto"/>
        <w:ind w:firstLine="567"/>
        <w:jc w:val="right"/>
        <w:rPr>
          <w:rFonts w:ascii="Times New Roman" w:eastAsia="Times New Roman" w:hAnsi="Times New Roman" w:cs="Times New Roman"/>
          <w:b/>
          <w:sz w:val="28"/>
          <w:szCs w:val="28"/>
        </w:rPr>
      </w:pPr>
    </w:p>
    <w:p w14:paraId="517E1235" w14:textId="77777777" w:rsidR="00124829" w:rsidRDefault="00124829" w:rsidP="00124829">
      <w:pPr>
        <w:pStyle w:val="LO-normal"/>
        <w:spacing w:after="0" w:line="240" w:lineRule="auto"/>
        <w:ind w:firstLine="567"/>
        <w:jc w:val="right"/>
        <w:rPr>
          <w:rFonts w:ascii="Times New Roman" w:eastAsia="Times New Roman" w:hAnsi="Times New Roman" w:cs="Times New Roman"/>
          <w:b/>
          <w:sz w:val="28"/>
          <w:szCs w:val="28"/>
        </w:rPr>
      </w:pPr>
    </w:p>
    <w:p w14:paraId="6C8D5218" w14:textId="77777777" w:rsidR="00124829" w:rsidRDefault="00124829" w:rsidP="00124829">
      <w:pPr>
        <w:pStyle w:val="LO-normal"/>
        <w:spacing w:after="0" w:line="240" w:lineRule="auto"/>
        <w:ind w:firstLine="567"/>
        <w:jc w:val="right"/>
        <w:rPr>
          <w:rFonts w:ascii="Times New Roman" w:eastAsia="Times New Roman" w:hAnsi="Times New Roman" w:cs="Times New Roman"/>
          <w:b/>
          <w:sz w:val="28"/>
          <w:szCs w:val="28"/>
        </w:rPr>
      </w:pPr>
    </w:p>
    <w:p w14:paraId="04935091" w14:textId="77777777" w:rsidR="00124829" w:rsidRDefault="00124829" w:rsidP="00124829">
      <w:pPr>
        <w:pStyle w:val="LO-normal"/>
        <w:spacing w:after="0" w:line="24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Шаймердинова</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Айжана</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Кайратовна</w:t>
      </w:r>
      <w:proofErr w:type="spellEnd"/>
    </w:p>
    <w:p w14:paraId="22868918" w14:textId="77777777" w:rsidR="00124829" w:rsidRDefault="00124829" w:rsidP="00124829">
      <w:pPr>
        <w:pStyle w:val="LO-normal"/>
        <w:spacing w:after="0" w:line="240" w:lineRule="auto"/>
        <w:ind w:firstLine="567"/>
        <w:jc w:val="center"/>
        <w:rPr>
          <w:rFonts w:ascii="Times New Roman" w:eastAsia="Times New Roman" w:hAnsi="Times New Roman" w:cs="Times New Roman"/>
          <w:b/>
          <w:sz w:val="28"/>
          <w:szCs w:val="28"/>
        </w:rPr>
      </w:pPr>
    </w:p>
    <w:p w14:paraId="02D1C889" w14:textId="2F06044E" w:rsidR="00124829" w:rsidRDefault="00124829" w:rsidP="00124829">
      <w:pPr>
        <w:pStyle w:val="LO-normal"/>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Полиморфизм генов и чувствительность к прямым </w:t>
      </w:r>
      <w:r w:rsidR="0011617E">
        <w:rPr>
          <w:rFonts w:ascii="Times New Roman" w:eastAsia="Times New Roman" w:hAnsi="Times New Roman" w:cs="Times New Roman"/>
          <w:b/>
          <w:sz w:val="28"/>
          <w:szCs w:val="28"/>
        </w:rPr>
        <w:t>пер</w:t>
      </w:r>
      <w:r>
        <w:rPr>
          <w:rFonts w:ascii="Times New Roman" w:eastAsia="Times New Roman" w:hAnsi="Times New Roman" w:cs="Times New Roman"/>
          <w:b/>
          <w:sz w:val="28"/>
          <w:szCs w:val="28"/>
        </w:rPr>
        <w:t xml:space="preserve">оральным антикоагулянтам у пациентов с неклапанной фибрилляцией предсердий </w:t>
      </w:r>
    </w:p>
    <w:p w14:paraId="4506E7F7" w14:textId="77777777" w:rsidR="00124829" w:rsidRDefault="00124829" w:rsidP="00124829">
      <w:pPr>
        <w:pStyle w:val="LO-normal"/>
        <w:spacing w:after="0" w:line="240" w:lineRule="auto"/>
        <w:ind w:firstLine="567"/>
        <w:jc w:val="center"/>
        <w:rPr>
          <w:rFonts w:ascii="Times New Roman" w:eastAsia="Times New Roman" w:hAnsi="Times New Roman" w:cs="Times New Roman"/>
          <w:b/>
          <w:sz w:val="28"/>
          <w:szCs w:val="28"/>
        </w:rPr>
      </w:pPr>
    </w:p>
    <w:p w14:paraId="34FDD16A" w14:textId="77777777" w:rsidR="00124829" w:rsidRDefault="00124829" w:rsidP="00124829">
      <w:pPr>
        <w:pStyle w:val="LO-normal"/>
        <w:spacing w:after="0" w:line="240" w:lineRule="auto"/>
        <w:jc w:val="center"/>
      </w:pPr>
      <w:r>
        <w:rPr>
          <w:rFonts w:ascii="Times New Roman" w:eastAsia="Times New Roman" w:hAnsi="Times New Roman" w:cs="Times New Roman"/>
          <w:color w:val="000000"/>
          <w:sz w:val="28"/>
          <w:szCs w:val="28"/>
        </w:rPr>
        <w:t>Шифр – 8D10102 Медицина</w:t>
      </w:r>
    </w:p>
    <w:p w14:paraId="0857A275" w14:textId="77777777" w:rsidR="00124829" w:rsidRDefault="00124829" w:rsidP="00124829">
      <w:pPr>
        <w:pStyle w:val="LO-normal"/>
        <w:spacing w:after="0" w:line="240" w:lineRule="auto"/>
        <w:ind w:firstLine="567"/>
        <w:jc w:val="center"/>
        <w:rPr>
          <w:rFonts w:ascii="Times New Roman" w:eastAsia="Times New Roman" w:hAnsi="Times New Roman" w:cs="Times New Roman"/>
          <w:color w:val="000000"/>
          <w:sz w:val="28"/>
          <w:szCs w:val="28"/>
        </w:rPr>
      </w:pPr>
    </w:p>
    <w:p w14:paraId="250018E7" w14:textId="77777777" w:rsidR="00124829" w:rsidRDefault="00124829" w:rsidP="00124829">
      <w:pPr>
        <w:pStyle w:val="LO-normal"/>
        <w:spacing w:after="0" w:line="240" w:lineRule="auto"/>
        <w:ind w:firstLine="567"/>
        <w:jc w:val="center"/>
        <w:rPr>
          <w:rFonts w:ascii="Times New Roman" w:eastAsia="Times New Roman" w:hAnsi="Times New Roman" w:cs="Times New Roman"/>
          <w:color w:val="000000"/>
          <w:sz w:val="28"/>
          <w:szCs w:val="28"/>
        </w:rPr>
      </w:pPr>
    </w:p>
    <w:p w14:paraId="2D158CBF" w14:textId="77777777" w:rsidR="001C6886" w:rsidRDefault="001C6886" w:rsidP="001C6886">
      <w:pPr>
        <w:keepNext/>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Диссертация на присуждение степени </w:t>
      </w:r>
    </w:p>
    <w:p w14:paraId="2EC540B2" w14:textId="77777777" w:rsidR="001C6886" w:rsidRDefault="001C6886" w:rsidP="001C6886">
      <w:pPr>
        <w:keepNext/>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доктора философии PhD</w:t>
      </w:r>
    </w:p>
    <w:p w14:paraId="02DAF96A" w14:textId="77777777" w:rsidR="00124829" w:rsidRDefault="00124829" w:rsidP="00124829">
      <w:pPr>
        <w:pStyle w:val="LO-normal"/>
        <w:spacing w:after="0" w:line="240" w:lineRule="auto"/>
        <w:ind w:firstLine="567"/>
        <w:jc w:val="both"/>
        <w:rPr>
          <w:rFonts w:ascii="Times New Roman" w:eastAsia="Times New Roman" w:hAnsi="Times New Roman" w:cs="Times New Roman"/>
          <w:b/>
          <w:color w:val="000000"/>
          <w:sz w:val="28"/>
          <w:szCs w:val="28"/>
        </w:rPr>
      </w:pPr>
    </w:p>
    <w:p w14:paraId="259F0D02" w14:textId="77777777" w:rsidR="00124829" w:rsidRDefault="00124829" w:rsidP="00124829">
      <w:pPr>
        <w:pStyle w:val="LO-normal"/>
        <w:spacing w:after="0" w:line="240" w:lineRule="auto"/>
        <w:ind w:firstLine="567"/>
        <w:jc w:val="both"/>
        <w:rPr>
          <w:rFonts w:ascii="Times New Roman" w:eastAsia="Times New Roman" w:hAnsi="Times New Roman" w:cs="Times New Roman"/>
          <w:b/>
          <w:color w:val="000000"/>
          <w:sz w:val="28"/>
          <w:szCs w:val="28"/>
        </w:rPr>
      </w:pPr>
    </w:p>
    <w:p w14:paraId="61C2D3BA" w14:textId="77777777" w:rsidR="00124829" w:rsidRDefault="00124829" w:rsidP="00124829">
      <w:pPr>
        <w:pStyle w:val="LO-normal"/>
        <w:spacing w:after="0" w:line="240" w:lineRule="auto"/>
        <w:ind w:firstLine="567"/>
        <w:jc w:val="both"/>
        <w:rPr>
          <w:rFonts w:ascii="Times New Roman" w:eastAsia="Times New Roman" w:hAnsi="Times New Roman" w:cs="Times New Roman"/>
          <w:b/>
          <w:color w:val="000000"/>
          <w:sz w:val="28"/>
          <w:szCs w:val="28"/>
        </w:rPr>
      </w:pPr>
    </w:p>
    <w:p w14:paraId="0A417ACA" w14:textId="77777777" w:rsidR="00124829" w:rsidRDefault="00124829" w:rsidP="00124829">
      <w:pPr>
        <w:pStyle w:val="LO-normal"/>
        <w:spacing w:after="0" w:line="240" w:lineRule="auto"/>
        <w:ind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Научный руководитель:</w:t>
      </w:r>
    </w:p>
    <w:p w14:paraId="0D10404C" w14:textId="05B03487" w:rsidR="00124829" w:rsidRDefault="00124829" w:rsidP="00124829">
      <w:pPr>
        <w:pStyle w:val="LO-normal"/>
        <w:spacing w:after="0" w:line="240" w:lineRule="auto"/>
        <w:ind w:firstLine="567"/>
        <w:jc w:val="right"/>
        <w:rPr>
          <w:rFonts w:ascii="Times New Roman" w:eastAsia="Times New Roman" w:hAnsi="Times New Roman" w:cs="Times New Roman"/>
          <w:color w:val="000000"/>
          <w:sz w:val="28"/>
          <w:szCs w:val="28"/>
        </w:rPr>
      </w:pPr>
      <w:bookmarkStart w:id="1" w:name="_heading=h.gjdgxs"/>
      <w:bookmarkEnd w:id="1"/>
      <w:r>
        <w:rPr>
          <w:rFonts w:ascii="Times New Roman" w:eastAsia="Times New Roman" w:hAnsi="Times New Roman" w:cs="Times New Roman"/>
          <w:color w:val="000000"/>
          <w:sz w:val="28"/>
          <w:szCs w:val="28"/>
        </w:rPr>
        <w:t xml:space="preserve">PhD, доцент-исследователь кафедры внутренних болезней </w:t>
      </w:r>
      <w:r w:rsidR="0083435A">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Риб Е.А</w:t>
      </w:r>
    </w:p>
    <w:p w14:paraId="437F5DD4" w14:textId="77777777" w:rsidR="00124829" w:rsidRDefault="00124829" w:rsidP="00124829">
      <w:pPr>
        <w:pStyle w:val="LO-normal"/>
        <w:spacing w:after="0" w:line="240" w:lineRule="auto"/>
        <w:ind w:firstLine="567"/>
        <w:jc w:val="right"/>
        <w:rPr>
          <w:rFonts w:ascii="Times New Roman" w:eastAsia="Times New Roman" w:hAnsi="Times New Roman" w:cs="Times New Roman"/>
          <w:color w:val="000000"/>
          <w:sz w:val="16"/>
          <w:szCs w:val="16"/>
        </w:rPr>
      </w:pPr>
    </w:p>
    <w:p w14:paraId="083F6D07" w14:textId="77777777" w:rsidR="00124829" w:rsidRDefault="00124829" w:rsidP="00124829">
      <w:pPr>
        <w:pStyle w:val="LO-normal"/>
        <w:spacing w:after="0" w:line="240" w:lineRule="auto"/>
        <w:ind w:firstLine="567"/>
        <w:jc w:val="right"/>
        <w:rPr>
          <w:rFonts w:ascii="Times New Roman" w:eastAsia="Times New Roman" w:hAnsi="Times New Roman" w:cs="Times New Roman"/>
          <w:color w:val="000000"/>
          <w:sz w:val="28"/>
          <w:szCs w:val="28"/>
        </w:rPr>
      </w:pPr>
    </w:p>
    <w:p w14:paraId="391316E3" w14:textId="77777777" w:rsidR="0027325F" w:rsidRPr="0027325F" w:rsidRDefault="00124829" w:rsidP="0027325F">
      <w:pPr>
        <w:pStyle w:val="LO-normal"/>
        <w:spacing w:after="0" w:line="240" w:lineRule="auto"/>
        <w:ind w:firstLine="567"/>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Зарубежный</w:t>
      </w:r>
      <w:r w:rsidRPr="0027325F">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консультант</w:t>
      </w:r>
      <w:r w:rsidRPr="0027325F">
        <w:rPr>
          <w:rFonts w:ascii="Times New Roman" w:eastAsia="Times New Roman" w:hAnsi="Times New Roman" w:cs="Times New Roman"/>
          <w:color w:val="000000"/>
          <w:sz w:val="28"/>
          <w:szCs w:val="28"/>
          <w:lang w:val="en-US"/>
        </w:rPr>
        <w:t xml:space="preserve">: </w:t>
      </w:r>
    </w:p>
    <w:p w14:paraId="1BA95148" w14:textId="440A9563" w:rsidR="00124829" w:rsidRPr="0027325F" w:rsidRDefault="00AE2940" w:rsidP="0027325F">
      <w:pPr>
        <w:pStyle w:val="LO-normal"/>
        <w:spacing w:after="0" w:line="240" w:lineRule="auto"/>
        <w:ind w:firstLine="567"/>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MD, </w:t>
      </w:r>
      <w:r w:rsidR="00124829" w:rsidRPr="005F3C43">
        <w:rPr>
          <w:rFonts w:ascii="Times New Roman" w:eastAsia="Times New Roman" w:hAnsi="Times New Roman" w:cs="Times New Roman"/>
          <w:color w:val="000000"/>
          <w:sz w:val="28"/>
          <w:szCs w:val="28"/>
          <w:lang w:val="en-US"/>
        </w:rPr>
        <w:t>PhD</w:t>
      </w:r>
      <w:r w:rsidR="00124829" w:rsidRPr="0027325F">
        <w:rPr>
          <w:rFonts w:ascii="Times New Roman" w:eastAsia="Times New Roman" w:hAnsi="Times New Roman" w:cs="Times New Roman"/>
          <w:color w:val="000000"/>
          <w:sz w:val="28"/>
          <w:szCs w:val="28"/>
          <w:lang w:val="en-US"/>
        </w:rPr>
        <w:t xml:space="preserve">, </w:t>
      </w:r>
      <w:r w:rsidR="0027325F" w:rsidRPr="0027325F">
        <w:rPr>
          <w:rFonts w:ascii="Times New Roman" w:eastAsia="Times New Roman" w:hAnsi="Times New Roman" w:cs="Times New Roman"/>
          <w:color w:val="000000"/>
          <w:sz w:val="28"/>
          <w:szCs w:val="28"/>
          <w:lang w:val="en-US"/>
        </w:rPr>
        <w:t>a</w:t>
      </w:r>
      <w:r w:rsidR="0027325F" w:rsidRPr="0027325F">
        <w:rPr>
          <w:rFonts w:ascii="Times New Roman" w:hAnsi="Times New Roman" w:cs="Times New Roman"/>
          <w:sz w:val="28"/>
          <w:szCs w:val="28"/>
          <w:lang w:val="en-US"/>
        </w:rPr>
        <w:t>ssociate</w:t>
      </w:r>
      <w:r w:rsidR="0027325F" w:rsidRPr="0027325F">
        <w:rPr>
          <w:rStyle w:val="apple-converted-space"/>
          <w:lang w:val="en-US"/>
        </w:rPr>
        <w:t xml:space="preserve"> </w:t>
      </w:r>
      <w:proofErr w:type="gramStart"/>
      <w:r w:rsidR="0027325F" w:rsidRPr="00ED6F26">
        <w:rPr>
          <w:rStyle w:val="apple-converted-space"/>
          <w:rFonts w:ascii="Times New Roman" w:hAnsi="Times New Roman" w:cs="Times New Roman"/>
          <w:sz w:val="28"/>
          <w:szCs w:val="28"/>
          <w:lang w:val="en-US"/>
        </w:rPr>
        <w:t>professor</w:t>
      </w:r>
      <w:r w:rsidR="00124829" w:rsidRPr="0027325F">
        <w:rPr>
          <w:rFonts w:ascii="Times New Roman" w:eastAsia="Times New Roman" w:hAnsi="Times New Roman" w:cs="Times New Roman"/>
          <w:color w:val="000000"/>
          <w:sz w:val="28"/>
          <w:szCs w:val="28"/>
          <w:lang w:val="en-US"/>
        </w:rPr>
        <w:t xml:space="preserve"> </w:t>
      </w:r>
      <w:r w:rsidR="00124829" w:rsidRPr="0027325F">
        <w:rPr>
          <w:rFonts w:ascii="Times New Roman" w:eastAsia="Times New Roman" w:hAnsi="Times New Roman" w:cs="Times New Roman"/>
          <w:color w:val="222222"/>
          <w:sz w:val="28"/>
          <w:szCs w:val="28"/>
          <w:shd w:val="clear" w:color="auto" w:fill="FFFFFF"/>
          <w:lang w:val="en-US"/>
        </w:rPr>
        <w:t xml:space="preserve"> «</w:t>
      </w:r>
      <w:proofErr w:type="gramEnd"/>
      <w:r w:rsidR="00124829" w:rsidRPr="0027325F">
        <w:rPr>
          <w:rFonts w:ascii="Times New Roman" w:eastAsia="Times New Roman" w:hAnsi="Times New Roman" w:cs="Times New Roman"/>
          <w:color w:val="222222"/>
          <w:sz w:val="28"/>
          <w:szCs w:val="28"/>
          <w:shd w:val="clear" w:color="auto" w:fill="FFFFFF"/>
          <w:lang w:val="en-US"/>
        </w:rPr>
        <w:t>Semmelweis University Heart and Vascular Center»</w:t>
      </w:r>
      <w:r w:rsidR="00124829" w:rsidRPr="0027325F">
        <w:rPr>
          <w:rFonts w:ascii="Times New Roman" w:eastAsia="Times New Roman" w:hAnsi="Times New Roman" w:cs="Times New Roman"/>
          <w:color w:val="000000"/>
          <w:sz w:val="28"/>
          <w:szCs w:val="28"/>
          <w:lang w:val="en-US"/>
        </w:rPr>
        <w:t xml:space="preserve"> V.</w:t>
      </w:r>
      <w:r w:rsidR="00124829" w:rsidRPr="0027325F">
        <w:rPr>
          <w:rFonts w:ascii="Times New Roman" w:eastAsia="Times New Roman" w:hAnsi="Times New Roman" w:cs="Times New Roman"/>
          <w:color w:val="000000"/>
          <w:sz w:val="28"/>
          <w:szCs w:val="28"/>
        </w:rPr>
        <w:t>К</w:t>
      </w:r>
      <w:r w:rsidR="00124829" w:rsidRPr="0027325F">
        <w:rPr>
          <w:rFonts w:ascii="Times New Roman" w:eastAsia="Times New Roman" w:hAnsi="Times New Roman" w:cs="Times New Roman"/>
          <w:color w:val="000000"/>
          <w:sz w:val="28"/>
          <w:szCs w:val="28"/>
          <w:lang w:val="en-US"/>
        </w:rPr>
        <w:t xml:space="preserve">.Nagy </w:t>
      </w:r>
    </w:p>
    <w:p w14:paraId="499FF8DE" w14:textId="77777777" w:rsidR="00124829" w:rsidRPr="005F3C43" w:rsidRDefault="00124829" w:rsidP="00124829">
      <w:pPr>
        <w:pStyle w:val="LO-normal"/>
        <w:spacing w:after="0" w:line="240" w:lineRule="auto"/>
        <w:ind w:firstLine="567"/>
        <w:jc w:val="right"/>
        <w:rPr>
          <w:rFonts w:ascii="Times New Roman" w:eastAsia="Times New Roman" w:hAnsi="Times New Roman" w:cs="Times New Roman"/>
          <w:color w:val="000000"/>
          <w:sz w:val="16"/>
          <w:szCs w:val="16"/>
          <w:lang w:val="en-US"/>
        </w:rPr>
      </w:pPr>
    </w:p>
    <w:p w14:paraId="191B41F4" w14:textId="77777777" w:rsidR="00124829" w:rsidRPr="005F3C43" w:rsidRDefault="00124829" w:rsidP="00124829">
      <w:pPr>
        <w:pStyle w:val="LO-normal"/>
        <w:spacing w:after="0" w:line="240" w:lineRule="auto"/>
        <w:ind w:firstLine="567"/>
        <w:jc w:val="right"/>
        <w:rPr>
          <w:rFonts w:ascii="Times New Roman" w:eastAsia="Times New Roman" w:hAnsi="Times New Roman" w:cs="Times New Roman"/>
          <w:color w:val="000000"/>
          <w:sz w:val="28"/>
          <w:szCs w:val="28"/>
          <w:lang w:val="en-US"/>
        </w:rPr>
      </w:pPr>
    </w:p>
    <w:p w14:paraId="45BDF74C" w14:textId="77777777" w:rsidR="00124829" w:rsidRPr="005F3C43" w:rsidRDefault="00124829" w:rsidP="00124829">
      <w:pPr>
        <w:pStyle w:val="LO-normal"/>
        <w:spacing w:after="0" w:line="240" w:lineRule="auto"/>
        <w:ind w:firstLine="567"/>
        <w:jc w:val="right"/>
        <w:rPr>
          <w:rFonts w:ascii="Times New Roman" w:eastAsia="Times New Roman" w:hAnsi="Times New Roman" w:cs="Times New Roman"/>
          <w:color w:val="000000"/>
          <w:sz w:val="28"/>
          <w:szCs w:val="28"/>
          <w:lang w:val="en-US"/>
        </w:rPr>
      </w:pPr>
    </w:p>
    <w:p w14:paraId="23C4E74B" w14:textId="77777777" w:rsidR="00124829" w:rsidRDefault="00124829" w:rsidP="00124829">
      <w:pPr>
        <w:pStyle w:val="LO-normal"/>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Республика Казахстан</w:t>
      </w:r>
    </w:p>
    <w:p w14:paraId="1ABE2194" w14:textId="436E3114" w:rsidR="00124829" w:rsidRDefault="00124829" w:rsidP="00124829">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Астана, 202</w:t>
      </w:r>
      <w:r w:rsidR="002D5764">
        <w:rPr>
          <w:rFonts w:ascii="Times New Roman" w:eastAsia="Times New Roman" w:hAnsi="Times New Roman"/>
          <w:color w:val="000000"/>
          <w:sz w:val="28"/>
          <w:szCs w:val="28"/>
        </w:rPr>
        <w:t>6</w:t>
      </w:r>
    </w:p>
    <w:p w14:paraId="48093BB3" w14:textId="70758FE3" w:rsidR="00124829" w:rsidRDefault="00124829" w:rsidP="00362FCB">
      <w:pPr>
        <w:pStyle w:val="LO-normal"/>
        <w:jc w:val="center"/>
        <w:rPr>
          <w:rFonts w:ascii="Times New Roman" w:eastAsia="Times New Roman" w:hAnsi="Times New Roman" w:cs="Times New Roman"/>
          <w:b/>
          <w:color w:val="000000"/>
          <w:sz w:val="28"/>
          <w:szCs w:val="28"/>
        </w:rPr>
      </w:pPr>
      <w:r>
        <w:br w:type="page"/>
      </w:r>
      <w:r>
        <w:rPr>
          <w:rFonts w:ascii="Times New Roman" w:eastAsia="Times New Roman" w:hAnsi="Times New Roman" w:cs="Times New Roman"/>
          <w:b/>
          <w:color w:val="000000"/>
          <w:sz w:val="28"/>
          <w:szCs w:val="28"/>
        </w:rPr>
        <w:lastRenderedPageBreak/>
        <w:t>СОДЕРЖАНИЕ</w:t>
      </w: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7549"/>
        <w:gridCol w:w="1101"/>
      </w:tblGrid>
      <w:tr w:rsidR="00AC4691" w14:paraId="53304358" w14:textId="77777777" w:rsidTr="00AC4691">
        <w:trPr>
          <w:trHeight w:val="409"/>
        </w:trPr>
        <w:tc>
          <w:tcPr>
            <w:tcW w:w="8538" w:type="dxa"/>
            <w:gridSpan w:val="2"/>
          </w:tcPr>
          <w:p w14:paraId="49F7CD70" w14:textId="637CBE16" w:rsidR="00926EC0" w:rsidRDefault="00926EC0" w:rsidP="006C3D3E">
            <w:pPr>
              <w:pStyle w:val="LO-normal"/>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НОРМАТИВНЫЕ ССЫЛКИ</w:t>
            </w:r>
            <w:r w:rsidRPr="00926EC0">
              <w:rPr>
                <w:rFonts w:ascii="Times New Roman" w:eastAsia="Times New Roman" w:hAnsi="Times New Roman" w:cs="Times New Roman"/>
                <w:bCs/>
                <w:color w:val="000000"/>
                <w:sz w:val="28"/>
                <w:szCs w:val="28"/>
              </w:rPr>
              <w:t>……………………………………</w:t>
            </w:r>
            <w:r w:rsidR="000A55E4" w:rsidRPr="00926EC0">
              <w:rPr>
                <w:rFonts w:ascii="Times New Roman" w:eastAsia="Times New Roman" w:hAnsi="Times New Roman" w:cs="Times New Roman"/>
                <w:bCs/>
                <w:color w:val="000000"/>
                <w:sz w:val="28"/>
                <w:szCs w:val="28"/>
              </w:rPr>
              <w:t>…</w:t>
            </w:r>
            <w:r w:rsidR="000A55E4">
              <w:rPr>
                <w:rFonts w:ascii="Times New Roman" w:eastAsia="Times New Roman" w:hAnsi="Times New Roman" w:cs="Times New Roman"/>
                <w:bCs/>
                <w:color w:val="000000"/>
                <w:sz w:val="28"/>
                <w:szCs w:val="28"/>
              </w:rPr>
              <w:t>…</w:t>
            </w:r>
          </w:p>
        </w:tc>
        <w:tc>
          <w:tcPr>
            <w:tcW w:w="1101" w:type="dxa"/>
          </w:tcPr>
          <w:p w14:paraId="4291171B" w14:textId="32ADA270"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sidRPr="00926EC0">
              <w:rPr>
                <w:rFonts w:ascii="Times New Roman" w:eastAsia="Times New Roman" w:hAnsi="Times New Roman" w:cs="Times New Roman"/>
                <w:bCs/>
                <w:color w:val="000000"/>
                <w:sz w:val="28"/>
                <w:szCs w:val="28"/>
              </w:rPr>
              <w:t>3</w:t>
            </w:r>
          </w:p>
        </w:tc>
      </w:tr>
      <w:tr w:rsidR="00AC4691" w14:paraId="5B1D0960" w14:textId="77777777" w:rsidTr="00AC4691">
        <w:tc>
          <w:tcPr>
            <w:tcW w:w="8538" w:type="dxa"/>
            <w:gridSpan w:val="2"/>
          </w:tcPr>
          <w:p w14:paraId="4232C146" w14:textId="5AAF98BE" w:rsidR="00926EC0" w:rsidRDefault="00926EC0" w:rsidP="006C3D3E">
            <w:pPr>
              <w:pStyle w:val="LO-normal"/>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ОПРЕДЕЛЕНИЯ</w:t>
            </w:r>
            <w:r w:rsidRPr="00926EC0">
              <w:rPr>
                <w:rFonts w:ascii="Times New Roman" w:eastAsia="Times New Roman" w:hAnsi="Times New Roman" w:cs="Times New Roman"/>
                <w:bCs/>
                <w:color w:val="000000"/>
                <w:sz w:val="28"/>
                <w:szCs w:val="28"/>
              </w:rPr>
              <w:t>……………………………………………………...</w:t>
            </w:r>
            <w:r w:rsidR="006C3D3E">
              <w:rPr>
                <w:rFonts w:ascii="Times New Roman" w:eastAsia="Times New Roman" w:hAnsi="Times New Roman" w:cs="Times New Roman"/>
                <w:bCs/>
                <w:color w:val="000000"/>
                <w:sz w:val="28"/>
                <w:szCs w:val="28"/>
              </w:rPr>
              <w:t>...</w:t>
            </w:r>
          </w:p>
        </w:tc>
        <w:tc>
          <w:tcPr>
            <w:tcW w:w="1101" w:type="dxa"/>
          </w:tcPr>
          <w:p w14:paraId="302D7638" w14:textId="0D0A8C1D"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sidRPr="00926EC0">
              <w:rPr>
                <w:rFonts w:ascii="Times New Roman" w:eastAsia="Times New Roman" w:hAnsi="Times New Roman" w:cs="Times New Roman"/>
                <w:bCs/>
                <w:color w:val="000000"/>
                <w:sz w:val="28"/>
                <w:szCs w:val="28"/>
              </w:rPr>
              <w:t>4</w:t>
            </w:r>
          </w:p>
        </w:tc>
      </w:tr>
      <w:tr w:rsidR="00AC4691" w14:paraId="3F1C1074" w14:textId="77777777" w:rsidTr="00AC4691">
        <w:tc>
          <w:tcPr>
            <w:tcW w:w="8538" w:type="dxa"/>
            <w:gridSpan w:val="2"/>
          </w:tcPr>
          <w:p w14:paraId="30858E39" w14:textId="435BD625"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ОБОЗНАЧЕНИЯ И СОКРАЩЕНИЯ</w:t>
            </w:r>
            <w:r>
              <w:rPr>
                <w:rFonts w:ascii="Times New Roman" w:eastAsia="Times New Roman" w:hAnsi="Times New Roman" w:cs="Times New Roman"/>
                <w:bCs/>
                <w:color w:val="000000"/>
                <w:sz w:val="28"/>
                <w:szCs w:val="28"/>
              </w:rPr>
              <w:t>………………………………</w:t>
            </w:r>
            <w:r w:rsidR="006C3D3E">
              <w:rPr>
                <w:rFonts w:ascii="Times New Roman" w:eastAsia="Times New Roman" w:hAnsi="Times New Roman" w:cs="Times New Roman"/>
                <w:bCs/>
                <w:color w:val="000000"/>
                <w:sz w:val="28"/>
                <w:szCs w:val="28"/>
              </w:rPr>
              <w:t>...</w:t>
            </w:r>
          </w:p>
        </w:tc>
        <w:tc>
          <w:tcPr>
            <w:tcW w:w="1101" w:type="dxa"/>
          </w:tcPr>
          <w:p w14:paraId="0EADDDA1" w14:textId="68ADDF51"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sidRPr="00926EC0">
              <w:rPr>
                <w:rFonts w:ascii="Times New Roman" w:eastAsia="Times New Roman" w:hAnsi="Times New Roman" w:cs="Times New Roman"/>
                <w:bCs/>
                <w:color w:val="000000"/>
                <w:sz w:val="28"/>
                <w:szCs w:val="28"/>
              </w:rPr>
              <w:t>5</w:t>
            </w:r>
          </w:p>
        </w:tc>
      </w:tr>
      <w:tr w:rsidR="00AC4691" w14:paraId="6562D6BA" w14:textId="77777777" w:rsidTr="00AC4691">
        <w:tc>
          <w:tcPr>
            <w:tcW w:w="8538" w:type="dxa"/>
            <w:gridSpan w:val="2"/>
          </w:tcPr>
          <w:p w14:paraId="23A39212" w14:textId="06DBE20D"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ВВЕДЕНИЕ</w:t>
            </w:r>
            <w:r w:rsidRPr="00926EC0">
              <w:rPr>
                <w:rFonts w:ascii="Times New Roman" w:eastAsia="Times New Roman" w:hAnsi="Times New Roman" w:cs="Times New Roman"/>
                <w:bCs/>
                <w:color w:val="000000"/>
                <w:sz w:val="28"/>
                <w:szCs w:val="28"/>
              </w:rPr>
              <w:t>……………………………………………………………</w:t>
            </w:r>
            <w:r w:rsidR="006C3D3E">
              <w:rPr>
                <w:rFonts w:ascii="Times New Roman" w:eastAsia="Times New Roman" w:hAnsi="Times New Roman" w:cs="Times New Roman"/>
                <w:bCs/>
                <w:color w:val="000000"/>
                <w:sz w:val="28"/>
                <w:szCs w:val="28"/>
              </w:rPr>
              <w:t>…</w:t>
            </w:r>
          </w:p>
        </w:tc>
        <w:tc>
          <w:tcPr>
            <w:tcW w:w="1101" w:type="dxa"/>
          </w:tcPr>
          <w:p w14:paraId="55277290" w14:textId="2CE4BBFE"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sidRPr="00926EC0">
              <w:rPr>
                <w:rFonts w:ascii="Times New Roman" w:eastAsia="Times New Roman" w:hAnsi="Times New Roman" w:cs="Times New Roman"/>
                <w:bCs/>
                <w:color w:val="000000"/>
                <w:sz w:val="28"/>
                <w:szCs w:val="28"/>
              </w:rPr>
              <w:t>6</w:t>
            </w:r>
          </w:p>
        </w:tc>
      </w:tr>
      <w:tr w:rsidR="00AC4691" w14:paraId="6D6E7B86" w14:textId="77777777" w:rsidTr="00AC4691">
        <w:trPr>
          <w:trHeight w:val="1401"/>
        </w:trPr>
        <w:tc>
          <w:tcPr>
            <w:tcW w:w="989" w:type="dxa"/>
          </w:tcPr>
          <w:p w14:paraId="1BD4844D" w14:textId="47545FD6"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sidRPr="00926EC0">
              <w:rPr>
                <w:rFonts w:ascii="Times New Roman" w:eastAsia="Times New Roman" w:hAnsi="Times New Roman" w:cs="Times New Roman"/>
                <w:bCs/>
                <w:color w:val="000000"/>
                <w:sz w:val="28"/>
                <w:szCs w:val="28"/>
              </w:rPr>
              <w:t>1</w:t>
            </w:r>
          </w:p>
        </w:tc>
        <w:tc>
          <w:tcPr>
            <w:tcW w:w="7549" w:type="dxa"/>
          </w:tcPr>
          <w:p w14:paraId="42E43293" w14:textId="3CE206DA" w:rsidR="00926EC0" w:rsidRPr="00926EC0" w:rsidRDefault="00926EC0" w:rsidP="00041490">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 xml:space="preserve">ПОЛИМОРФИЗМ ГЕНОВ И ЧУВСТВИТЕЛЬНОСТЬ К ПРЯМЫМ ПЕРОРАЛЬНЫМ АНТИКОАГУЛЯНТАМ У ПАЦИЕНТОВ С НЕКЛАПАННОЙ ФИБРИЛЛЯЦИЕЙ ПРЕДСЕРДИЙ (ОБЗОР </w:t>
            </w:r>
            <w:proofErr w:type="gramStart"/>
            <w:r>
              <w:rPr>
                <w:rFonts w:ascii="Times New Roman" w:eastAsia="Times New Roman" w:hAnsi="Times New Roman" w:cs="Times New Roman"/>
                <w:b/>
                <w:color w:val="000000"/>
                <w:sz w:val="28"/>
                <w:szCs w:val="28"/>
              </w:rPr>
              <w:t>ЛИТЕРАТУРЫ)</w:t>
            </w:r>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r w:rsidR="000A55E4">
              <w:rPr>
                <w:rFonts w:ascii="Times New Roman" w:eastAsia="Times New Roman" w:hAnsi="Times New Roman" w:cs="Times New Roman"/>
                <w:bCs/>
                <w:color w:val="000000"/>
                <w:sz w:val="28"/>
                <w:szCs w:val="28"/>
              </w:rPr>
              <w:t>……</w:t>
            </w:r>
          </w:p>
        </w:tc>
        <w:tc>
          <w:tcPr>
            <w:tcW w:w="1101" w:type="dxa"/>
          </w:tcPr>
          <w:p w14:paraId="1C44EBFB"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60A02D42"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3EE206DA"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4774F882" w14:textId="6067B263"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03764E">
              <w:rPr>
                <w:rFonts w:ascii="Times New Roman" w:eastAsia="Times New Roman" w:hAnsi="Times New Roman" w:cs="Times New Roman"/>
                <w:bCs/>
                <w:color w:val="000000"/>
                <w:sz w:val="28"/>
                <w:szCs w:val="28"/>
              </w:rPr>
              <w:t>1</w:t>
            </w:r>
          </w:p>
        </w:tc>
      </w:tr>
      <w:tr w:rsidR="00AC4691" w14:paraId="1585F8B0" w14:textId="77777777" w:rsidTr="00AC4691">
        <w:tc>
          <w:tcPr>
            <w:tcW w:w="989" w:type="dxa"/>
          </w:tcPr>
          <w:p w14:paraId="4285BDE3" w14:textId="5FF75A9C"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sidRPr="00926EC0">
              <w:rPr>
                <w:rFonts w:ascii="Times New Roman" w:eastAsia="Times New Roman" w:hAnsi="Times New Roman" w:cs="Times New Roman"/>
                <w:bCs/>
                <w:color w:val="000000"/>
                <w:sz w:val="28"/>
                <w:szCs w:val="28"/>
              </w:rPr>
              <w:t>1.1</w:t>
            </w:r>
          </w:p>
        </w:tc>
        <w:tc>
          <w:tcPr>
            <w:tcW w:w="7549" w:type="dxa"/>
          </w:tcPr>
          <w:p w14:paraId="1FD29132" w14:textId="4F20045F"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Фибрилляция предсердий: общие сведения и эпидемиология фибрилляции предсердий………………………………………</w:t>
            </w:r>
          </w:p>
        </w:tc>
        <w:tc>
          <w:tcPr>
            <w:tcW w:w="1101" w:type="dxa"/>
          </w:tcPr>
          <w:p w14:paraId="6B4188D1"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6C18FBEF" w14:textId="1D960AAF"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03764E">
              <w:rPr>
                <w:rFonts w:ascii="Times New Roman" w:eastAsia="Times New Roman" w:hAnsi="Times New Roman" w:cs="Times New Roman"/>
                <w:bCs/>
                <w:color w:val="000000"/>
                <w:sz w:val="28"/>
                <w:szCs w:val="28"/>
              </w:rPr>
              <w:t>1</w:t>
            </w:r>
          </w:p>
        </w:tc>
      </w:tr>
      <w:tr w:rsidR="00AC4691" w14:paraId="42D70374" w14:textId="77777777" w:rsidTr="00AC4691">
        <w:tc>
          <w:tcPr>
            <w:tcW w:w="989" w:type="dxa"/>
          </w:tcPr>
          <w:p w14:paraId="4FA22AF7" w14:textId="6DA006B8"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w:t>
            </w:r>
          </w:p>
        </w:tc>
        <w:tc>
          <w:tcPr>
            <w:tcW w:w="7549" w:type="dxa"/>
          </w:tcPr>
          <w:p w14:paraId="1B5713F5" w14:textId="146488C0" w:rsidR="00926EC0" w:rsidRPr="00926EC0" w:rsidRDefault="00926EC0" w:rsidP="00041490">
            <w:pPr>
              <w:pStyle w:val="LO-normal"/>
              <w:spacing w:after="0" w:line="240" w:lineRule="auto"/>
              <w:jc w:val="both"/>
              <w:rPr>
                <w:rFonts w:ascii="Times New Roman" w:eastAsia="Times New Roman" w:hAnsi="Times New Roman" w:cs="Times New Roman"/>
                <w:bCs/>
                <w:color w:val="000000"/>
                <w:sz w:val="28"/>
                <w:szCs w:val="28"/>
              </w:rPr>
            </w:pPr>
            <w:r w:rsidRPr="00926EC0">
              <w:rPr>
                <w:rFonts w:ascii="Times New Roman" w:eastAsia="Times New Roman" w:hAnsi="Times New Roman" w:cs="Times New Roman"/>
                <w:bCs/>
                <w:color w:val="000000"/>
                <w:sz w:val="28"/>
                <w:szCs w:val="28"/>
              </w:rPr>
              <w:t>Значение фибрилляции предсердий как фактора риска инсульта</w:t>
            </w:r>
            <w:r>
              <w:rPr>
                <w:rFonts w:ascii="Times New Roman" w:eastAsia="Times New Roman" w:hAnsi="Times New Roman" w:cs="Times New Roman"/>
                <w:bCs/>
                <w:color w:val="000000"/>
                <w:sz w:val="28"/>
                <w:szCs w:val="28"/>
              </w:rPr>
              <w:t>……………………………………………………</w:t>
            </w:r>
            <w:r w:rsidR="000A55E4">
              <w:rPr>
                <w:rFonts w:ascii="Times New Roman" w:eastAsia="Times New Roman" w:hAnsi="Times New Roman" w:cs="Times New Roman"/>
                <w:bCs/>
                <w:color w:val="000000"/>
                <w:sz w:val="28"/>
                <w:szCs w:val="28"/>
              </w:rPr>
              <w:t>……</w:t>
            </w:r>
          </w:p>
        </w:tc>
        <w:tc>
          <w:tcPr>
            <w:tcW w:w="1101" w:type="dxa"/>
          </w:tcPr>
          <w:p w14:paraId="2EBDC888"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76A569C1" w14:textId="37346484"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03764E">
              <w:rPr>
                <w:rFonts w:ascii="Times New Roman" w:eastAsia="Times New Roman" w:hAnsi="Times New Roman" w:cs="Times New Roman"/>
                <w:bCs/>
                <w:color w:val="000000"/>
                <w:sz w:val="28"/>
                <w:szCs w:val="28"/>
              </w:rPr>
              <w:t>1</w:t>
            </w:r>
          </w:p>
        </w:tc>
      </w:tr>
      <w:tr w:rsidR="00AC4691" w14:paraId="5A456590" w14:textId="77777777" w:rsidTr="00AC4691">
        <w:tc>
          <w:tcPr>
            <w:tcW w:w="989" w:type="dxa"/>
          </w:tcPr>
          <w:p w14:paraId="4DAC5A06" w14:textId="08474CF7" w:rsidR="00926EC0" w:rsidRPr="00926EC0" w:rsidRDefault="00926EC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1.3</w:t>
            </w:r>
          </w:p>
        </w:tc>
        <w:tc>
          <w:tcPr>
            <w:tcW w:w="7549" w:type="dxa"/>
          </w:tcPr>
          <w:p w14:paraId="68066CB2" w14:textId="588A7E6D" w:rsidR="00926EC0" w:rsidRPr="00926EC0" w:rsidRDefault="006C3D3E" w:rsidP="00041490">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Оценка рисков осложнений у пациентов с неклапанной фибрилляцией предсердий………………………………</w:t>
            </w:r>
            <w:r w:rsidR="000A55E4">
              <w:rPr>
                <w:rFonts w:ascii="Times New Roman" w:eastAsia="Times New Roman" w:hAnsi="Times New Roman" w:cs="Times New Roman"/>
                <w:bCs/>
                <w:color w:val="000000"/>
                <w:sz w:val="28"/>
                <w:szCs w:val="28"/>
              </w:rPr>
              <w:t>……</w:t>
            </w:r>
          </w:p>
        </w:tc>
        <w:tc>
          <w:tcPr>
            <w:tcW w:w="1101" w:type="dxa"/>
          </w:tcPr>
          <w:p w14:paraId="65E7EA89"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5984E4AB" w14:textId="0CEB3E44"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E22ABE">
              <w:rPr>
                <w:rFonts w:ascii="Times New Roman" w:eastAsia="Times New Roman" w:hAnsi="Times New Roman" w:cs="Times New Roman"/>
                <w:bCs/>
                <w:color w:val="000000"/>
                <w:sz w:val="28"/>
                <w:szCs w:val="28"/>
              </w:rPr>
              <w:t>2</w:t>
            </w:r>
          </w:p>
        </w:tc>
      </w:tr>
      <w:tr w:rsidR="00AC4691" w14:paraId="053BD799" w14:textId="77777777" w:rsidTr="00AC4691">
        <w:tc>
          <w:tcPr>
            <w:tcW w:w="989" w:type="dxa"/>
          </w:tcPr>
          <w:p w14:paraId="13C22CB0" w14:textId="76FF2663"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w:t>
            </w:r>
          </w:p>
        </w:tc>
        <w:tc>
          <w:tcPr>
            <w:tcW w:w="7549" w:type="dxa"/>
          </w:tcPr>
          <w:p w14:paraId="1B391F87" w14:textId="41971DC5" w:rsidR="006C3D3E" w:rsidRDefault="006C3D3E" w:rsidP="00041490">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Профилактика инсульта у пациентов с неклапанной фибрилляцией предсердий………………………………</w:t>
            </w:r>
            <w:r w:rsidR="000A55E4">
              <w:rPr>
                <w:rFonts w:ascii="Times New Roman" w:eastAsia="Times New Roman" w:hAnsi="Times New Roman" w:cs="Times New Roman"/>
                <w:bCs/>
                <w:color w:val="000000"/>
                <w:sz w:val="28"/>
                <w:szCs w:val="28"/>
              </w:rPr>
              <w:t>……</w:t>
            </w:r>
          </w:p>
        </w:tc>
        <w:tc>
          <w:tcPr>
            <w:tcW w:w="1101" w:type="dxa"/>
          </w:tcPr>
          <w:p w14:paraId="29B57C3B"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797B2B5F" w14:textId="6C2C1314"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E22ABE">
              <w:rPr>
                <w:rFonts w:ascii="Times New Roman" w:eastAsia="Times New Roman" w:hAnsi="Times New Roman" w:cs="Times New Roman"/>
                <w:bCs/>
                <w:color w:val="000000"/>
                <w:sz w:val="28"/>
                <w:szCs w:val="28"/>
              </w:rPr>
              <w:t>3</w:t>
            </w:r>
          </w:p>
        </w:tc>
      </w:tr>
      <w:tr w:rsidR="00AC4691" w14:paraId="4E14D5D9" w14:textId="77777777" w:rsidTr="00AC4691">
        <w:tc>
          <w:tcPr>
            <w:tcW w:w="989" w:type="dxa"/>
          </w:tcPr>
          <w:p w14:paraId="096B0AE2" w14:textId="5EEE0876"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1.4.1</w:t>
            </w:r>
          </w:p>
        </w:tc>
        <w:tc>
          <w:tcPr>
            <w:tcW w:w="7549" w:type="dxa"/>
          </w:tcPr>
          <w:p w14:paraId="6A8D4170" w14:textId="58F01DA7"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Антагонисты витамина К: Варфарин……………………</w:t>
            </w:r>
            <w:r w:rsidR="000A55E4">
              <w:rPr>
                <w:rFonts w:ascii="Times New Roman" w:eastAsia="Times New Roman" w:hAnsi="Times New Roman" w:cs="Times New Roman"/>
                <w:bCs/>
                <w:color w:val="000000"/>
                <w:sz w:val="28"/>
                <w:szCs w:val="28"/>
              </w:rPr>
              <w:t>……</w:t>
            </w:r>
          </w:p>
        </w:tc>
        <w:tc>
          <w:tcPr>
            <w:tcW w:w="1101" w:type="dxa"/>
          </w:tcPr>
          <w:p w14:paraId="48144E83" w14:textId="730616CF"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E22ABE">
              <w:rPr>
                <w:rFonts w:ascii="Times New Roman" w:eastAsia="Times New Roman" w:hAnsi="Times New Roman" w:cs="Times New Roman"/>
                <w:bCs/>
                <w:color w:val="000000"/>
                <w:sz w:val="28"/>
                <w:szCs w:val="28"/>
              </w:rPr>
              <w:t>4</w:t>
            </w:r>
          </w:p>
        </w:tc>
      </w:tr>
      <w:tr w:rsidR="00AC4691" w14:paraId="4FE607C3" w14:textId="77777777" w:rsidTr="00AC4691">
        <w:tc>
          <w:tcPr>
            <w:tcW w:w="989" w:type="dxa"/>
          </w:tcPr>
          <w:p w14:paraId="7B682E45" w14:textId="668C8324"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1.4.2</w:t>
            </w:r>
          </w:p>
        </w:tc>
        <w:tc>
          <w:tcPr>
            <w:tcW w:w="7549" w:type="dxa"/>
          </w:tcPr>
          <w:p w14:paraId="66C40B52" w14:textId="1C6847B2"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Прямые пероральные антикоагулянты…………………</w:t>
            </w:r>
            <w:r w:rsidR="000A55E4">
              <w:rPr>
                <w:rFonts w:ascii="Times New Roman" w:eastAsia="Times New Roman" w:hAnsi="Times New Roman" w:cs="Times New Roman"/>
                <w:bCs/>
                <w:color w:val="000000"/>
                <w:sz w:val="28"/>
                <w:szCs w:val="28"/>
              </w:rPr>
              <w:t>…….</w:t>
            </w:r>
          </w:p>
        </w:tc>
        <w:tc>
          <w:tcPr>
            <w:tcW w:w="1101" w:type="dxa"/>
          </w:tcPr>
          <w:p w14:paraId="09F3252E" w14:textId="3992811F" w:rsidR="006C3D3E" w:rsidRPr="006C3D3E" w:rsidRDefault="00E22AB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19</w:t>
            </w:r>
          </w:p>
        </w:tc>
      </w:tr>
      <w:tr w:rsidR="00AC4691" w14:paraId="58EBE53D" w14:textId="77777777" w:rsidTr="00AC4691">
        <w:tc>
          <w:tcPr>
            <w:tcW w:w="989" w:type="dxa"/>
          </w:tcPr>
          <w:p w14:paraId="28E422E1" w14:textId="7FF04AC0"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1.4.2.1</w:t>
            </w:r>
          </w:p>
        </w:tc>
        <w:tc>
          <w:tcPr>
            <w:tcW w:w="7549" w:type="dxa"/>
          </w:tcPr>
          <w:p w14:paraId="531AD639" w14:textId="262CCA78"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Апиксабан…………………………………………………</w:t>
            </w:r>
            <w:r w:rsidR="000A55E4">
              <w:rPr>
                <w:rFonts w:ascii="Times New Roman" w:eastAsia="Times New Roman" w:hAnsi="Times New Roman" w:cs="Times New Roman"/>
                <w:bCs/>
                <w:color w:val="000000"/>
                <w:sz w:val="28"/>
                <w:szCs w:val="28"/>
              </w:rPr>
              <w:t>……</w:t>
            </w:r>
          </w:p>
        </w:tc>
        <w:tc>
          <w:tcPr>
            <w:tcW w:w="1101" w:type="dxa"/>
          </w:tcPr>
          <w:p w14:paraId="4799234C" w14:textId="1D256916" w:rsidR="006C3D3E" w:rsidRPr="006C3D3E" w:rsidRDefault="00E22AB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19</w:t>
            </w:r>
          </w:p>
        </w:tc>
      </w:tr>
      <w:tr w:rsidR="00AC4691" w14:paraId="14CF7853" w14:textId="77777777" w:rsidTr="00AC4691">
        <w:tc>
          <w:tcPr>
            <w:tcW w:w="989" w:type="dxa"/>
          </w:tcPr>
          <w:p w14:paraId="76A65DAD" w14:textId="1FD6EED9"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sidRPr="009D15B7">
              <w:rPr>
                <w:rFonts w:ascii="Times New Roman" w:eastAsia="Times New Roman" w:hAnsi="Times New Roman" w:cs="Times New Roman"/>
                <w:bCs/>
                <w:color w:val="000000"/>
                <w:sz w:val="28"/>
                <w:szCs w:val="28"/>
              </w:rPr>
              <w:t>1.4.2.</w:t>
            </w:r>
            <w:r>
              <w:rPr>
                <w:rFonts w:ascii="Times New Roman" w:eastAsia="Times New Roman" w:hAnsi="Times New Roman" w:cs="Times New Roman"/>
                <w:bCs/>
                <w:color w:val="000000"/>
                <w:sz w:val="28"/>
                <w:szCs w:val="28"/>
              </w:rPr>
              <w:t>2</w:t>
            </w:r>
          </w:p>
        </w:tc>
        <w:tc>
          <w:tcPr>
            <w:tcW w:w="7549" w:type="dxa"/>
          </w:tcPr>
          <w:p w14:paraId="6764A976" w14:textId="75575799"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Ривароксабан………………………………………………</w:t>
            </w:r>
            <w:r w:rsidR="000A55E4">
              <w:rPr>
                <w:rFonts w:ascii="Times New Roman" w:eastAsia="Times New Roman" w:hAnsi="Times New Roman" w:cs="Times New Roman"/>
                <w:bCs/>
                <w:color w:val="000000"/>
                <w:sz w:val="28"/>
                <w:szCs w:val="28"/>
              </w:rPr>
              <w:t>……</w:t>
            </w:r>
          </w:p>
        </w:tc>
        <w:tc>
          <w:tcPr>
            <w:tcW w:w="1101" w:type="dxa"/>
          </w:tcPr>
          <w:p w14:paraId="1BC5F833" w14:textId="2B925464"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r w:rsidR="00E22ABE">
              <w:rPr>
                <w:rFonts w:ascii="Times New Roman" w:eastAsia="Times New Roman" w:hAnsi="Times New Roman" w:cs="Times New Roman"/>
                <w:bCs/>
                <w:color w:val="000000"/>
                <w:sz w:val="28"/>
                <w:szCs w:val="28"/>
              </w:rPr>
              <w:t>1</w:t>
            </w:r>
          </w:p>
        </w:tc>
      </w:tr>
      <w:tr w:rsidR="00AC4691" w14:paraId="47D0A6F4" w14:textId="77777777" w:rsidTr="00AC4691">
        <w:tc>
          <w:tcPr>
            <w:tcW w:w="989" w:type="dxa"/>
          </w:tcPr>
          <w:p w14:paraId="0C1C887A" w14:textId="73A857B3"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sidRPr="009D15B7">
              <w:rPr>
                <w:rFonts w:ascii="Times New Roman" w:eastAsia="Times New Roman" w:hAnsi="Times New Roman" w:cs="Times New Roman"/>
                <w:bCs/>
                <w:color w:val="000000"/>
                <w:sz w:val="28"/>
                <w:szCs w:val="28"/>
              </w:rPr>
              <w:t>1.4.2.</w:t>
            </w:r>
            <w:r>
              <w:rPr>
                <w:rFonts w:ascii="Times New Roman" w:eastAsia="Times New Roman" w:hAnsi="Times New Roman" w:cs="Times New Roman"/>
                <w:bCs/>
                <w:color w:val="000000"/>
                <w:sz w:val="28"/>
                <w:szCs w:val="28"/>
              </w:rPr>
              <w:t>3</w:t>
            </w:r>
          </w:p>
        </w:tc>
        <w:tc>
          <w:tcPr>
            <w:tcW w:w="7549" w:type="dxa"/>
          </w:tcPr>
          <w:p w14:paraId="3DAC648C" w14:textId="473AD775"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Эдоксабан…………………………………………………</w:t>
            </w:r>
            <w:r w:rsidR="000A55E4">
              <w:rPr>
                <w:rFonts w:ascii="Times New Roman" w:eastAsia="Times New Roman" w:hAnsi="Times New Roman" w:cs="Times New Roman"/>
                <w:bCs/>
                <w:color w:val="000000"/>
                <w:sz w:val="28"/>
                <w:szCs w:val="28"/>
              </w:rPr>
              <w:t>……</w:t>
            </w:r>
          </w:p>
        </w:tc>
        <w:tc>
          <w:tcPr>
            <w:tcW w:w="1101" w:type="dxa"/>
          </w:tcPr>
          <w:p w14:paraId="199A197E" w14:textId="7E35684D"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r w:rsidR="00E22ABE">
              <w:rPr>
                <w:rFonts w:ascii="Times New Roman" w:eastAsia="Times New Roman" w:hAnsi="Times New Roman" w:cs="Times New Roman"/>
                <w:bCs/>
                <w:color w:val="000000"/>
                <w:sz w:val="28"/>
                <w:szCs w:val="28"/>
              </w:rPr>
              <w:t>3</w:t>
            </w:r>
          </w:p>
        </w:tc>
      </w:tr>
      <w:tr w:rsidR="00AC4691" w14:paraId="1BE62C0B" w14:textId="77777777" w:rsidTr="00AC4691">
        <w:tc>
          <w:tcPr>
            <w:tcW w:w="989" w:type="dxa"/>
          </w:tcPr>
          <w:p w14:paraId="7A8A08B5" w14:textId="618607C5"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sidRPr="009D15B7">
              <w:rPr>
                <w:rFonts w:ascii="Times New Roman" w:eastAsia="Times New Roman" w:hAnsi="Times New Roman" w:cs="Times New Roman"/>
                <w:bCs/>
                <w:color w:val="000000"/>
                <w:sz w:val="28"/>
                <w:szCs w:val="28"/>
              </w:rPr>
              <w:t>1.4.2.</w:t>
            </w:r>
            <w:r>
              <w:rPr>
                <w:rFonts w:ascii="Times New Roman" w:eastAsia="Times New Roman" w:hAnsi="Times New Roman" w:cs="Times New Roman"/>
                <w:bCs/>
                <w:color w:val="000000"/>
                <w:sz w:val="28"/>
                <w:szCs w:val="28"/>
              </w:rPr>
              <w:t>4</w:t>
            </w:r>
          </w:p>
        </w:tc>
        <w:tc>
          <w:tcPr>
            <w:tcW w:w="7549" w:type="dxa"/>
          </w:tcPr>
          <w:p w14:paraId="1C7D1260" w14:textId="6D1A704B"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Дабигатран (ингибитор </w:t>
            </w:r>
            <w:proofErr w:type="gramStart"/>
            <w:r>
              <w:rPr>
                <w:rFonts w:ascii="Times New Roman" w:eastAsia="Times New Roman" w:hAnsi="Times New Roman" w:cs="Times New Roman"/>
                <w:bCs/>
                <w:color w:val="000000"/>
                <w:sz w:val="28"/>
                <w:szCs w:val="28"/>
              </w:rPr>
              <w:t>тромбина)…</w:t>
            </w:r>
            <w:proofErr w:type="gramEnd"/>
            <w:r>
              <w:rPr>
                <w:rFonts w:ascii="Times New Roman" w:eastAsia="Times New Roman" w:hAnsi="Times New Roman" w:cs="Times New Roman"/>
                <w:bCs/>
                <w:color w:val="000000"/>
                <w:sz w:val="28"/>
                <w:szCs w:val="28"/>
              </w:rPr>
              <w:t>……………………</w:t>
            </w:r>
            <w:r w:rsidR="000A55E4">
              <w:rPr>
                <w:rFonts w:ascii="Times New Roman" w:eastAsia="Times New Roman" w:hAnsi="Times New Roman" w:cs="Times New Roman"/>
                <w:bCs/>
                <w:color w:val="000000"/>
                <w:sz w:val="28"/>
                <w:szCs w:val="28"/>
              </w:rPr>
              <w:t>……</w:t>
            </w:r>
          </w:p>
        </w:tc>
        <w:tc>
          <w:tcPr>
            <w:tcW w:w="1101" w:type="dxa"/>
          </w:tcPr>
          <w:p w14:paraId="0536A1B4" w14:textId="33EB88A2"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r w:rsidR="00E22ABE">
              <w:rPr>
                <w:rFonts w:ascii="Times New Roman" w:eastAsia="Times New Roman" w:hAnsi="Times New Roman" w:cs="Times New Roman"/>
                <w:bCs/>
                <w:color w:val="000000"/>
                <w:sz w:val="28"/>
                <w:szCs w:val="28"/>
              </w:rPr>
              <w:t>5</w:t>
            </w:r>
          </w:p>
        </w:tc>
      </w:tr>
      <w:tr w:rsidR="00AC4691" w14:paraId="2883B563" w14:textId="77777777" w:rsidTr="00AC4691">
        <w:tc>
          <w:tcPr>
            <w:tcW w:w="989" w:type="dxa"/>
          </w:tcPr>
          <w:p w14:paraId="3D0D34A4" w14:textId="060CA651"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w:t>
            </w:r>
          </w:p>
        </w:tc>
        <w:tc>
          <w:tcPr>
            <w:tcW w:w="7549" w:type="dxa"/>
          </w:tcPr>
          <w:p w14:paraId="3EA953D1" w14:textId="5DE78266" w:rsidR="006C3D3E" w:rsidRDefault="006C3D3E" w:rsidP="00041490">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Приверженность к терапии прямых пероральных антикоагулянтов и ее клиническое значение……………</w:t>
            </w:r>
            <w:r w:rsidR="000A55E4">
              <w:rPr>
                <w:rFonts w:ascii="Times New Roman" w:eastAsia="Times New Roman" w:hAnsi="Times New Roman" w:cs="Times New Roman"/>
                <w:bCs/>
                <w:color w:val="000000"/>
                <w:sz w:val="28"/>
                <w:szCs w:val="28"/>
              </w:rPr>
              <w:t>……</w:t>
            </w:r>
          </w:p>
        </w:tc>
        <w:tc>
          <w:tcPr>
            <w:tcW w:w="1101" w:type="dxa"/>
          </w:tcPr>
          <w:p w14:paraId="0CF2BC61"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01014369" w14:textId="1AB96C1C" w:rsidR="006C3D3E" w:rsidRPr="006C3D3E" w:rsidRDefault="00E22AB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29</w:t>
            </w:r>
          </w:p>
        </w:tc>
      </w:tr>
      <w:tr w:rsidR="00AC4691" w14:paraId="1A16B6F6" w14:textId="77777777" w:rsidTr="00AC4691">
        <w:tc>
          <w:tcPr>
            <w:tcW w:w="989" w:type="dxa"/>
          </w:tcPr>
          <w:p w14:paraId="6EEBDEC9" w14:textId="7ADC4E0E" w:rsidR="006C3D3E" w:rsidRPr="006C3D3E" w:rsidRDefault="006C3D3E" w:rsidP="006C3D3E">
            <w:pPr>
              <w:pStyle w:val="LO-normal"/>
              <w:spacing w:after="0" w:line="240" w:lineRule="auto"/>
              <w:rPr>
                <w:rFonts w:ascii="Times New Roman" w:eastAsia="Times New Roman" w:hAnsi="Times New Roman" w:cs="Times New Roman"/>
                <w:b/>
                <w:color w:val="000000"/>
                <w:sz w:val="28"/>
                <w:szCs w:val="28"/>
              </w:rPr>
            </w:pPr>
            <w:r w:rsidRPr="006C3D3E">
              <w:rPr>
                <w:rFonts w:ascii="Times New Roman" w:eastAsia="Times New Roman" w:hAnsi="Times New Roman" w:cs="Times New Roman"/>
                <w:b/>
                <w:color w:val="000000"/>
                <w:sz w:val="28"/>
                <w:szCs w:val="28"/>
              </w:rPr>
              <w:t>2</w:t>
            </w:r>
          </w:p>
        </w:tc>
        <w:tc>
          <w:tcPr>
            <w:tcW w:w="7549" w:type="dxa"/>
          </w:tcPr>
          <w:p w14:paraId="69CEC9CA" w14:textId="4B32869B" w:rsidR="006C3D3E" w:rsidRDefault="006C3D3E" w:rsidP="006C3D3E">
            <w:pPr>
              <w:pStyle w:val="LO-normal"/>
              <w:spacing w:after="0" w:line="240" w:lineRule="auto"/>
              <w:rPr>
                <w:rFonts w:ascii="Times New Roman" w:eastAsia="Times New Roman" w:hAnsi="Times New Roman" w:cs="Times New Roman"/>
                <w:bCs/>
                <w:color w:val="000000"/>
                <w:sz w:val="28"/>
                <w:szCs w:val="28"/>
              </w:rPr>
            </w:pPr>
            <w:r w:rsidRPr="006C3D3E">
              <w:rPr>
                <w:rFonts w:ascii="Times New Roman" w:eastAsia="Times New Roman" w:hAnsi="Times New Roman" w:cs="Times New Roman"/>
                <w:b/>
                <w:color w:val="000000"/>
                <w:sz w:val="28"/>
                <w:szCs w:val="28"/>
              </w:rPr>
              <w:t>МАТЕРИАЛЫ И МЕТОДЫ ИССЛЕДОВАНИЯ</w:t>
            </w:r>
            <w:r>
              <w:rPr>
                <w:rFonts w:ascii="Times New Roman" w:eastAsia="Times New Roman" w:hAnsi="Times New Roman" w:cs="Times New Roman"/>
                <w:bCs/>
                <w:color w:val="000000"/>
                <w:sz w:val="28"/>
                <w:szCs w:val="28"/>
              </w:rPr>
              <w:t>………….</w:t>
            </w:r>
          </w:p>
        </w:tc>
        <w:tc>
          <w:tcPr>
            <w:tcW w:w="1101" w:type="dxa"/>
          </w:tcPr>
          <w:p w14:paraId="3D20457E" w14:textId="69CEC9FD"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00E22ABE">
              <w:rPr>
                <w:rFonts w:ascii="Times New Roman" w:eastAsia="Times New Roman" w:hAnsi="Times New Roman" w:cs="Times New Roman"/>
                <w:bCs/>
                <w:color w:val="000000"/>
                <w:sz w:val="28"/>
                <w:szCs w:val="28"/>
              </w:rPr>
              <w:t>2</w:t>
            </w:r>
          </w:p>
        </w:tc>
      </w:tr>
      <w:tr w:rsidR="00AC4691" w14:paraId="14C7090D" w14:textId="77777777" w:rsidTr="00AC4691">
        <w:tc>
          <w:tcPr>
            <w:tcW w:w="989" w:type="dxa"/>
          </w:tcPr>
          <w:p w14:paraId="57F3635A" w14:textId="1ABA5017" w:rsidR="006C3D3E" w:rsidRPr="006C3D3E" w:rsidRDefault="006C3D3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2.1</w:t>
            </w:r>
          </w:p>
        </w:tc>
        <w:tc>
          <w:tcPr>
            <w:tcW w:w="7549" w:type="dxa"/>
          </w:tcPr>
          <w:p w14:paraId="2F376729" w14:textId="097AD028" w:rsidR="006C3D3E" w:rsidRPr="001A48AB" w:rsidRDefault="006C3D3E" w:rsidP="006C3D3E">
            <w:pPr>
              <w:pStyle w:val="LO-normal"/>
              <w:spacing w:after="0" w:line="240" w:lineRule="auto"/>
              <w:rPr>
                <w:rFonts w:ascii="Times New Roman" w:eastAsia="Times New Roman" w:hAnsi="Times New Roman" w:cs="Times New Roman"/>
                <w:bCs/>
                <w:color w:val="000000" w:themeColor="text1"/>
                <w:sz w:val="28"/>
                <w:szCs w:val="28"/>
              </w:rPr>
            </w:pPr>
            <w:r w:rsidRPr="001A48AB">
              <w:rPr>
                <w:rFonts w:ascii="Times New Roman" w:eastAsia="Times New Roman" w:hAnsi="Times New Roman" w:cs="Times New Roman"/>
                <w:bCs/>
                <w:color w:val="000000" w:themeColor="text1"/>
                <w:sz w:val="28"/>
                <w:szCs w:val="28"/>
              </w:rPr>
              <w:t>Дизайн исследования</w:t>
            </w:r>
            <w:r w:rsidR="001A48AB" w:rsidRPr="001A48AB">
              <w:rPr>
                <w:rFonts w:ascii="Times New Roman" w:eastAsia="Times New Roman" w:hAnsi="Times New Roman" w:cs="Times New Roman"/>
                <w:bCs/>
                <w:color w:val="000000" w:themeColor="text1"/>
                <w:sz w:val="28"/>
                <w:szCs w:val="28"/>
              </w:rPr>
              <w:t xml:space="preserve"> и характеристика</w:t>
            </w:r>
            <w:r w:rsidR="001A48AB">
              <w:rPr>
                <w:rFonts w:ascii="Times New Roman" w:eastAsia="Times New Roman" w:hAnsi="Times New Roman" w:cs="Times New Roman"/>
                <w:bCs/>
                <w:color w:val="000000" w:themeColor="text1"/>
                <w:sz w:val="28"/>
                <w:szCs w:val="28"/>
              </w:rPr>
              <w:t xml:space="preserve"> участников</w:t>
            </w:r>
            <w:proofErr w:type="gramStart"/>
            <w:r w:rsidR="001A48AB">
              <w:rPr>
                <w:rFonts w:ascii="Times New Roman" w:eastAsia="Times New Roman" w:hAnsi="Times New Roman" w:cs="Times New Roman"/>
                <w:bCs/>
                <w:color w:val="000000" w:themeColor="text1"/>
                <w:sz w:val="28"/>
                <w:szCs w:val="28"/>
              </w:rPr>
              <w:t xml:space="preserve"> </w:t>
            </w:r>
            <w:r w:rsidRPr="001A48AB">
              <w:rPr>
                <w:rFonts w:ascii="Times New Roman" w:eastAsia="Times New Roman" w:hAnsi="Times New Roman" w:cs="Times New Roman"/>
                <w:bCs/>
                <w:color w:val="000000" w:themeColor="text1"/>
                <w:sz w:val="28"/>
                <w:szCs w:val="28"/>
              </w:rPr>
              <w:t>…</w:t>
            </w:r>
            <w:r w:rsidR="001A48AB">
              <w:rPr>
                <w:rFonts w:ascii="Times New Roman" w:eastAsia="Times New Roman" w:hAnsi="Times New Roman" w:cs="Times New Roman"/>
                <w:bCs/>
                <w:color w:val="000000" w:themeColor="text1"/>
                <w:sz w:val="28"/>
                <w:szCs w:val="28"/>
              </w:rPr>
              <w:t>.</w:t>
            </w:r>
            <w:proofErr w:type="gramEnd"/>
            <w:r w:rsidR="001A48AB">
              <w:rPr>
                <w:rFonts w:ascii="Times New Roman" w:eastAsia="Times New Roman" w:hAnsi="Times New Roman" w:cs="Times New Roman"/>
                <w:bCs/>
                <w:color w:val="000000" w:themeColor="text1"/>
                <w:sz w:val="28"/>
                <w:szCs w:val="28"/>
              </w:rPr>
              <w:t>.</w:t>
            </w:r>
            <w:r w:rsidRPr="001A48AB">
              <w:rPr>
                <w:rFonts w:ascii="Times New Roman" w:eastAsia="Times New Roman" w:hAnsi="Times New Roman" w:cs="Times New Roman"/>
                <w:bCs/>
                <w:color w:val="000000" w:themeColor="text1"/>
                <w:sz w:val="28"/>
                <w:szCs w:val="28"/>
              </w:rPr>
              <w:t>…….</w:t>
            </w:r>
          </w:p>
        </w:tc>
        <w:tc>
          <w:tcPr>
            <w:tcW w:w="1101" w:type="dxa"/>
          </w:tcPr>
          <w:p w14:paraId="7B7D6635" w14:textId="3BD42DD6" w:rsidR="006C3D3E"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00E22ABE">
              <w:rPr>
                <w:rFonts w:ascii="Times New Roman" w:eastAsia="Times New Roman" w:hAnsi="Times New Roman" w:cs="Times New Roman"/>
                <w:bCs/>
                <w:color w:val="000000"/>
                <w:sz w:val="28"/>
                <w:szCs w:val="28"/>
              </w:rPr>
              <w:t>2</w:t>
            </w:r>
          </w:p>
        </w:tc>
      </w:tr>
      <w:tr w:rsidR="00AC4691" w14:paraId="71837350" w14:textId="77777777" w:rsidTr="00AC4691">
        <w:tc>
          <w:tcPr>
            <w:tcW w:w="989" w:type="dxa"/>
          </w:tcPr>
          <w:p w14:paraId="1C6AEFA7" w14:textId="42A44DBA"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sidRPr="00041490">
              <w:rPr>
                <w:rFonts w:ascii="Times New Roman" w:eastAsia="Times New Roman" w:hAnsi="Times New Roman" w:cs="Times New Roman"/>
                <w:bCs/>
                <w:color w:val="000000"/>
                <w:sz w:val="28"/>
                <w:szCs w:val="28"/>
              </w:rPr>
              <w:t>2.2</w:t>
            </w:r>
          </w:p>
        </w:tc>
        <w:tc>
          <w:tcPr>
            <w:tcW w:w="7549" w:type="dxa"/>
          </w:tcPr>
          <w:p w14:paraId="4D78ABB7" w14:textId="7497E1EE"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Материалы и методы исследования…………………………...</w:t>
            </w:r>
          </w:p>
        </w:tc>
        <w:tc>
          <w:tcPr>
            <w:tcW w:w="1101" w:type="dxa"/>
          </w:tcPr>
          <w:p w14:paraId="2960615A" w14:textId="5394C2ED" w:rsidR="006C3D3E"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00E22ABE">
              <w:rPr>
                <w:rFonts w:ascii="Times New Roman" w:eastAsia="Times New Roman" w:hAnsi="Times New Roman" w:cs="Times New Roman"/>
                <w:bCs/>
                <w:color w:val="000000"/>
                <w:sz w:val="28"/>
                <w:szCs w:val="28"/>
              </w:rPr>
              <w:t>6</w:t>
            </w:r>
          </w:p>
        </w:tc>
      </w:tr>
      <w:tr w:rsidR="00AC4691" w14:paraId="656E19B5" w14:textId="77777777" w:rsidTr="00AC4691">
        <w:tc>
          <w:tcPr>
            <w:tcW w:w="989" w:type="dxa"/>
          </w:tcPr>
          <w:p w14:paraId="28921FE1" w14:textId="15FB3C18"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2.2.1</w:t>
            </w:r>
          </w:p>
        </w:tc>
        <w:tc>
          <w:tcPr>
            <w:tcW w:w="7549" w:type="dxa"/>
          </w:tcPr>
          <w:p w14:paraId="08DDC512" w14:textId="59FA8E71"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Определение концентрации прямых пероральных антикоагулянтов в плазме крови…………………………</w:t>
            </w:r>
            <w:r w:rsidR="000A55E4">
              <w:rPr>
                <w:rFonts w:ascii="Times New Roman" w:eastAsia="Times New Roman" w:hAnsi="Times New Roman" w:cs="Times New Roman"/>
                <w:bCs/>
                <w:color w:val="000000"/>
                <w:sz w:val="28"/>
                <w:szCs w:val="28"/>
              </w:rPr>
              <w:t>……</w:t>
            </w:r>
          </w:p>
        </w:tc>
        <w:tc>
          <w:tcPr>
            <w:tcW w:w="1101" w:type="dxa"/>
          </w:tcPr>
          <w:p w14:paraId="204E5D90"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3EDDFE35" w14:textId="257AC2B3" w:rsidR="006C3D3E" w:rsidRDefault="00E22AB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37</w:t>
            </w:r>
          </w:p>
        </w:tc>
      </w:tr>
      <w:tr w:rsidR="00AC4691" w14:paraId="444E36EC" w14:textId="77777777" w:rsidTr="00AC4691">
        <w:tc>
          <w:tcPr>
            <w:tcW w:w="989" w:type="dxa"/>
          </w:tcPr>
          <w:p w14:paraId="2151AACE" w14:textId="2671BEC8"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2.2.2</w:t>
            </w:r>
          </w:p>
        </w:tc>
        <w:tc>
          <w:tcPr>
            <w:tcW w:w="7549" w:type="dxa"/>
          </w:tcPr>
          <w:p w14:paraId="55125656" w14:textId="0672280B"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Метод </w:t>
            </w:r>
            <w:r>
              <w:rPr>
                <w:rFonts w:ascii="Times New Roman" w:eastAsia="Times New Roman" w:hAnsi="Times New Roman" w:cs="Times New Roman"/>
                <w:bCs/>
                <w:color w:val="000000"/>
                <w:sz w:val="28"/>
                <w:szCs w:val="28"/>
                <w:lang w:val="en-US"/>
              </w:rPr>
              <w:t>SNP</w:t>
            </w:r>
            <w:r>
              <w:rPr>
                <w:rFonts w:ascii="Times New Roman" w:eastAsia="Times New Roman" w:hAnsi="Times New Roman" w:cs="Times New Roman"/>
                <w:bCs/>
                <w:color w:val="000000"/>
                <w:sz w:val="28"/>
                <w:szCs w:val="28"/>
              </w:rPr>
              <w:t xml:space="preserve"> генотипирования……………………………</w:t>
            </w:r>
            <w:proofErr w:type="gramStart"/>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p>
        </w:tc>
        <w:tc>
          <w:tcPr>
            <w:tcW w:w="1101" w:type="dxa"/>
          </w:tcPr>
          <w:p w14:paraId="3B86FABF" w14:textId="26C1FB15" w:rsidR="006C3D3E"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00E22ABE">
              <w:rPr>
                <w:rFonts w:ascii="Times New Roman" w:eastAsia="Times New Roman" w:hAnsi="Times New Roman" w:cs="Times New Roman"/>
                <w:bCs/>
                <w:color w:val="000000"/>
                <w:sz w:val="28"/>
                <w:szCs w:val="28"/>
              </w:rPr>
              <w:t>7</w:t>
            </w:r>
          </w:p>
        </w:tc>
      </w:tr>
      <w:tr w:rsidR="00AC4691" w14:paraId="0EFB3102" w14:textId="77777777" w:rsidTr="00AC4691">
        <w:tc>
          <w:tcPr>
            <w:tcW w:w="989" w:type="dxa"/>
          </w:tcPr>
          <w:p w14:paraId="5480120D" w14:textId="28DE68F9"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2.2.3</w:t>
            </w:r>
          </w:p>
        </w:tc>
        <w:tc>
          <w:tcPr>
            <w:tcW w:w="7549" w:type="dxa"/>
          </w:tcPr>
          <w:p w14:paraId="50415E0E" w14:textId="062B4C43"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Статистическая обработка данных…………………………….</w:t>
            </w:r>
          </w:p>
        </w:tc>
        <w:tc>
          <w:tcPr>
            <w:tcW w:w="1101" w:type="dxa"/>
          </w:tcPr>
          <w:p w14:paraId="76C2170C" w14:textId="38CA4A40" w:rsidR="006C3D3E"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r w:rsidR="00E22ABE">
              <w:rPr>
                <w:rFonts w:ascii="Times New Roman" w:eastAsia="Times New Roman" w:hAnsi="Times New Roman" w:cs="Times New Roman"/>
                <w:bCs/>
                <w:color w:val="000000"/>
                <w:sz w:val="28"/>
                <w:szCs w:val="28"/>
              </w:rPr>
              <w:t>8</w:t>
            </w:r>
          </w:p>
        </w:tc>
      </w:tr>
      <w:tr w:rsidR="00AC4691" w14:paraId="5A8BB8AF" w14:textId="77777777" w:rsidTr="00AC4691">
        <w:tc>
          <w:tcPr>
            <w:tcW w:w="989" w:type="dxa"/>
          </w:tcPr>
          <w:p w14:paraId="68C0DBF4" w14:textId="1322C303" w:rsidR="006C3D3E" w:rsidRPr="00DB1124" w:rsidRDefault="00041490" w:rsidP="006C3D3E">
            <w:pPr>
              <w:pStyle w:val="LO-normal"/>
              <w:spacing w:after="0" w:line="240" w:lineRule="auto"/>
              <w:rPr>
                <w:rFonts w:ascii="Times New Roman" w:eastAsia="Times New Roman" w:hAnsi="Times New Roman" w:cs="Times New Roman"/>
                <w:b/>
                <w:color w:val="000000"/>
                <w:sz w:val="28"/>
                <w:szCs w:val="28"/>
              </w:rPr>
            </w:pPr>
            <w:r w:rsidRPr="00DB1124">
              <w:rPr>
                <w:rFonts w:ascii="Times New Roman" w:eastAsia="Times New Roman" w:hAnsi="Times New Roman" w:cs="Times New Roman"/>
                <w:b/>
                <w:color w:val="000000"/>
                <w:sz w:val="28"/>
                <w:szCs w:val="28"/>
              </w:rPr>
              <w:t>3</w:t>
            </w:r>
          </w:p>
        </w:tc>
        <w:tc>
          <w:tcPr>
            <w:tcW w:w="7549" w:type="dxa"/>
          </w:tcPr>
          <w:p w14:paraId="49C31AE6" w14:textId="4D5BBACA" w:rsidR="006C3D3E" w:rsidRPr="00DB1124" w:rsidRDefault="00041490" w:rsidP="006C3D3E">
            <w:pPr>
              <w:pStyle w:val="LO-normal"/>
              <w:spacing w:after="0" w:line="240" w:lineRule="auto"/>
              <w:rPr>
                <w:rFonts w:ascii="Times New Roman" w:eastAsia="Times New Roman" w:hAnsi="Times New Roman" w:cs="Times New Roman"/>
                <w:b/>
                <w:color w:val="000000"/>
                <w:sz w:val="28"/>
                <w:szCs w:val="28"/>
              </w:rPr>
            </w:pPr>
            <w:r w:rsidRPr="00DB1124">
              <w:rPr>
                <w:rFonts w:ascii="Times New Roman" w:eastAsia="Times New Roman" w:hAnsi="Times New Roman" w:cs="Times New Roman"/>
                <w:b/>
                <w:color w:val="000000"/>
                <w:sz w:val="28"/>
                <w:szCs w:val="28"/>
              </w:rPr>
              <w:t>РЕЗУЛЬТАТЫ И ОБСУЖДЕНИЕ</w:t>
            </w:r>
          </w:p>
        </w:tc>
        <w:tc>
          <w:tcPr>
            <w:tcW w:w="1101" w:type="dxa"/>
          </w:tcPr>
          <w:p w14:paraId="5CEBBBAD" w14:textId="6B3CF8FE" w:rsidR="006C3D3E"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rsidR="00E22ABE">
              <w:rPr>
                <w:rFonts w:ascii="Times New Roman" w:eastAsia="Times New Roman" w:hAnsi="Times New Roman" w:cs="Times New Roman"/>
                <w:bCs/>
                <w:color w:val="000000"/>
                <w:sz w:val="28"/>
                <w:szCs w:val="28"/>
              </w:rPr>
              <w:t>0</w:t>
            </w:r>
          </w:p>
        </w:tc>
      </w:tr>
      <w:tr w:rsidR="00AC4691" w14:paraId="26EA69C5" w14:textId="77777777" w:rsidTr="00AC4691">
        <w:tc>
          <w:tcPr>
            <w:tcW w:w="989" w:type="dxa"/>
          </w:tcPr>
          <w:p w14:paraId="599F1A25" w14:textId="06CF4EC7"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3.1</w:t>
            </w:r>
          </w:p>
        </w:tc>
        <w:tc>
          <w:tcPr>
            <w:tcW w:w="7549" w:type="dxa"/>
          </w:tcPr>
          <w:p w14:paraId="47BADD33" w14:textId="440E3770"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Клинико-лабораторные данные поперечного этапа исследования…………………………………………………….</w:t>
            </w:r>
          </w:p>
        </w:tc>
        <w:tc>
          <w:tcPr>
            <w:tcW w:w="1101" w:type="dxa"/>
          </w:tcPr>
          <w:p w14:paraId="6FE5D0D0"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66C4CC9C" w14:textId="4CA6FD3A" w:rsidR="006C3D3E"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rsidR="00E22ABE">
              <w:rPr>
                <w:rFonts w:ascii="Times New Roman" w:eastAsia="Times New Roman" w:hAnsi="Times New Roman" w:cs="Times New Roman"/>
                <w:bCs/>
                <w:color w:val="000000"/>
                <w:sz w:val="28"/>
                <w:szCs w:val="28"/>
              </w:rPr>
              <w:t>0</w:t>
            </w:r>
          </w:p>
        </w:tc>
      </w:tr>
      <w:tr w:rsidR="00AC4691" w14:paraId="73184C63" w14:textId="77777777" w:rsidTr="00AC4691">
        <w:tc>
          <w:tcPr>
            <w:tcW w:w="989" w:type="dxa"/>
          </w:tcPr>
          <w:p w14:paraId="2FCBDA7B" w14:textId="7FE2258C"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3.2</w:t>
            </w:r>
          </w:p>
        </w:tc>
        <w:tc>
          <w:tcPr>
            <w:tcW w:w="7549" w:type="dxa"/>
          </w:tcPr>
          <w:p w14:paraId="3A896B3D" w14:textId="29E4615E" w:rsidR="006C3D3E" w:rsidRPr="00041490" w:rsidRDefault="00041490" w:rsidP="00041490">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Фармакокинетические параметры дабигатрана и апиксабана у пациентов с неклапанной фибрилляцией предсердий</w:t>
            </w:r>
            <w:proofErr w:type="gramStart"/>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p>
        </w:tc>
        <w:tc>
          <w:tcPr>
            <w:tcW w:w="1101" w:type="dxa"/>
          </w:tcPr>
          <w:p w14:paraId="4D8D2A49"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44E3D2BC" w14:textId="5DD4F54B" w:rsidR="006C3D3E"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rsidR="00E22ABE">
              <w:rPr>
                <w:rFonts w:ascii="Times New Roman" w:eastAsia="Times New Roman" w:hAnsi="Times New Roman" w:cs="Times New Roman"/>
                <w:bCs/>
                <w:color w:val="000000"/>
                <w:sz w:val="28"/>
                <w:szCs w:val="28"/>
              </w:rPr>
              <w:t>9</w:t>
            </w:r>
          </w:p>
        </w:tc>
      </w:tr>
      <w:tr w:rsidR="00AC4691" w14:paraId="4F19C732" w14:textId="77777777" w:rsidTr="00AC4691">
        <w:tc>
          <w:tcPr>
            <w:tcW w:w="989" w:type="dxa"/>
          </w:tcPr>
          <w:p w14:paraId="71E1BFD2" w14:textId="2C352C81"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3.3</w:t>
            </w:r>
          </w:p>
        </w:tc>
        <w:tc>
          <w:tcPr>
            <w:tcW w:w="7549" w:type="dxa"/>
          </w:tcPr>
          <w:p w14:paraId="7C88C815" w14:textId="360A56FF" w:rsidR="006C3D3E"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Результаты </w:t>
            </w:r>
            <w:r>
              <w:rPr>
                <w:rFonts w:ascii="Times New Roman" w:eastAsia="Times New Roman" w:hAnsi="Times New Roman" w:cs="Times New Roman"/>
                <w:bCs/>
                <w:color w:val="000000"/>
                <w:sz w:val="28"/>
                <w:szCs w:val="28"/>
                <w:lang w:val="en-US"/>
              </w:rPr>
              <w:t>SNP</w:t>
            </w:r>
            <w:r>
              <w:rPr>
                <w:rFonts w:ascii="Times New Roman" w:eastAsia="Times New Roman" w:hAnsi="Times New Roman" w:cs="Times New Roman"/>
                <w:bCs/>
                <w:color w:val="000000"/>
                <w:sz w:val="28"/>
                <w:szCs w:val="28"/>
              </w:rPr>
              <w:t xml:space="preserve"> генотипирования………………………</w:t>
            </w:r>
            <w:proofErr w:type="gramStart"/>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p>
        </w:tc>
        <w:tc>
          <w:tcPr>
            <w:tcW w:w="1101" w:type="dxa"/>
          </w:tcPr>
          <w:p w14:paraId="2670C3F1" w14:textId="21070BB8" w:rsidR="006C3D3E" w:rsidRDefault="00E22AB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51</w:t>
            </w:r>
          </w:p>
        </w:tc>
      </w:tr>
      <w:tr w:rsidR="00AC4691" w14:paraId="4BAEB376" w14:textId="77777777" w:rsidTr="00AC4691">
        <w:tc>
          <w:tcPr>
            <w:tcW w:w="989" w:type="dxa"/>
          </w:tcPr>
          <w:p w14:paraId="1C7AC617" w14:textId="71FC1ABB" w:rsid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3.3.1</w:t>
            </w:r>
          </w:p>
        </w:tc>
        <w:tc>
          <w:tcPr>
            <w:tcW w:w="7549" w:type="dxa"/>
          </w:tcPr>
          <w:p w14:paraId="2D0E2A50" w14:textId="45980A6A" w:rsidR="00041490" w:rsidRP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Распределение генотипов ABCB1 и </w:t>
            </w:r>
            <w:r>
              <w:rPr>
                <w:rFonts w:ascii="Times New Roman" w:eastAsia="Times New Roman" w:hAnsi="Times New Roman" w:cs="Times New Roman"/>
                <w:bCs/>
                <w:color w:val="000000"/>
                <w:sz w:val="28"/>
                <w:szCs w:val="28"/>
                <w:lang w:val="en-US"/>
              </w:rPr>
              <w:t>CES</w:t>
            </w:r>
            <w:r w:rsidRPr="00041490">
              <w:rPr>
                <w:rFonts w:ascii="Times New Roman" w:eastAsia="Times New Roman" w:hAnsi="Times New Roman" w:cs="Times New Roman"/>
                <w:bCs/>
                <w:color w:val="000000"/>
                <w:sz w:val="28"/>
                <w:szCs w:val="28"/>
              </w:rPr>
              <w:t>1</w:t>
            </w:r>
            <w:r>
              <w:rPr>
                <w:rFonts w:ascii="Times New Roman" w:eastAsia="Times New Roman" w:hAnsi="Times New Roman" w:cs="Times New Roman"/>
                <w:bCs/>
                <w:color w:val="000000"/>
                <w:sz w:val="28"/>
                <w:szCs w:val="28"/>
              </w:rPr>
              <w:t xml:space="preserve"> и частот аллелей...</w:t>
            </w:r>
          </w:p>
        </w:tc>
        <w:tc>
          <w:tcPr>
            <w:tcW w:w="1101" w:type="dxa"/>
          </w:tcPr>
          <w:p w14:paraId="137A08C2" w14:textId="4C0CB235" w:rsid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r w:rsidR="00E22ABE">
              <w:rPr>
                <w:rFonts w:ascii="Times New Roman" w:eastAsia="Times New Roman" w:hAnsi="Times New Roman" w:cs="Times New Roman"/>
                <w:bCs/>
                <w:color w:val="000000"/>
                <w:sz w:val="28"/>
                <w:szCs w:val="28"/>
              </w:rPr>
              <w:t>1</w:t>
            </w:r>
          </w:p>
        </w:tc>
      </w:tr>
      <w:tr w:rsidR="00AC4691" w14:paraId="762605CB" w14:textId="77777777" w:rsidTr="00AC4691">
        <w:tc>
          <w:tcPr>
            <w:tcW w:w="989" w:type="dxa"/>
          </w:tcPr>
          <w:p w14:paraId="68BE8977" w14:textId="11D89A39" w:rsid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3.3.2</w:t>
            </w:r>
          </w:p>
        </w:tc>
        <w:tc>
          <w:tcPr>
            <w:tcW w:w="7549" w:type="dxa"/>
          </w:tcPr>
          <w:p w14:paraId="70AC8D9E" w14:textId="0E071D6D" w:rsidR="00041490" w:rsidRPr="00041490" w:rsidRDefault="00041490" w:rsidP="00041490">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Сравнительный анализ концентраций дабигатрана между генотипами </w:t>
            </w:r>
            <w:r>
              <w:rPr>
                <w:rFonts w:ascii="Times New Roman" w:eastAsia="Times New Roman" w:hAnsi="Times New Roman" w:cs="Times New Roman"/>
                <w:bCs/>
                <w:color w:val="000000"/>
                <w:sz w:val="28"/>
                <w:szCs w:val="28"/>
                <w:lang w:val="en-US"/>
              </w:rPr>
              <w:t>SNP</w:t>
            </w:r>
            <w:r>
              <w:rPr>
                <w:rFonts w:ascii="Times New Roman" w:eastAsia="Times New Roman" w:hAnsi="Times New Roman" w:cs="Times New Roman"/>
                <w:bCs/>
                <w:color w:val="000000"/>
                <w:sz w:val="28"/>
                <w:szCs w:val="28"/>
              </w:rPr>
              <w:t xml:space="preserve"> …………………………………………</w:t>
            </w:r>
            <w:proofErr w:type="gramStart"/>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p>
        </w:tc>
        <w:tc>
          <w:tcPr>
            <w:tcW w:w="1101" w:type="dxa"/>
          </w:tcPr>
          <w:p w14:paraId="5A6B69ED"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26C1DC1D" w14:textId="6C2D3F5C" w:rsid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r w:rsidR="00E22ABE">
              <w:rPr>
                <w:rFonts w:ascii="Times New Roman" w:eastAsia="Times New Roman" w:hAnsi="Times New Roman" w:cs="Times New Roman"/>
                <w:bCs/>
                <w:color w:val="000000"/>
                <w:sz w:val="28"/>
                <w:szCs w:val="28"/>
              </w:rPr>
              <w:t>6</w:t>
            </w:r>
          </w:p>
        </w:tc>
      </w:tr>
      <w:tr w:rsidR="00AC4691" w14:paraId="325ABC94" w14:textId="77777777" w:rsidTr="00AC4691">
        <w:tc>
          <w:tcPr>
            <w:tcW w:w="989" w:type="dxa"/>
          </w:tcPr>
          <w:p w14:paraId="6997CA0A" w14:textId="468264A9" w:rsid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3.3.3</w:t>
            </w:r>
          </w:p>
        </w:tc>
        <w:tc>
          <w:tcPr>
            <w:tcW w:w="7549" w:type="dxa"/>
          </w:tcPr>
          <w:p w14:paraId="7F2EDA90" w14:textId="1D7CF8E7" w:rsidR="00041490" w:rsidRDefault="00041490" w:rsidP="00041490">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Анализ влияния полиморфизма генов на параметры свертывания крови……………………………………………...</w:t>
            </w:r>
          </w:p>
        </w:tc>
        <w:tc>
          <w:tcPr>
            <w:tcW w:w="1101" w:type="dxa"/>
          </w:tcPr>
          <w:p w14:paraId="2B921B7D"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4383CCF5" w14:textId="45BC67ED" w:rsidR="00041490" w:rsidRDefault="00041490"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r w:rsidR="00E22ABE">
              <w:rPr>
                <w:rFonts w:ascii="Times New Roman" w:eastAsia="Times New Roman" w:hAnsi="Times New Roman" w:cs="Times New Roman"/>
                <w:bCs/>
                <w:color w:val="000000"/>
                <w:sz w:val="28"/>
                <w:szCs w:val="28"/>
              </w:rPr>
              <w:t>7</w:t>
            </w:r>
          </w:p>
        </w:tc>
      </w:tr>
      <w:tr w:rsidR="00AC4691" w14:paraId="7BDC26BC" w14:textId="77777777" w:rsidTr="00AC4691">
        <w:tc>
          <w:tcPr>
            <w:tcW w:w="989" w:type="dxa"/>
          </w:tcPr>
          <w:p w14:paraId="6ED6FE87" w14:textId="0831F667" w:rsidR="00041490" w:rsidRDefault="00041490"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3.3.4</w:t>
            </w:r>
          </w:p>
        </w:tc>
        <w:tc>
          <w:tcPr>
            <w:tcW w:w="7549" w:type="dxa"/>
          </w:tcPr>
          <w:p w14:paraId="48EF7B67" w14:textId="2471DE96" w:rsidR="00041490" w:rsidRDefault="00041490"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Результаты множественного регрессионного анализа влияния факторов на пиковую и минимальную концентрацию дабигатрана……………………………………</w:t>
            </w:r>
            <w:r w:rsidR="000A55E4">
              <w:rPr>
                <w:rFonts w:ascii="Times New Roman" w:eastAsia="Times New Roman" w:hAnsi="Times New Roman" w:cs="Times New Roman"/>
                <w:bCs/>
                <w:color w:val="000000"/>
                <w:sz w:val="28"/>
                <w:szCs w:val="28"/>
              </w:rPr>
              <w:t>………………...</w:t>
            </w:r>
          </w:p>
        </w:tc>
        <w:tc>
          <w:tcPr>
            <w:tcW w:w="1101" w:type="dxa"/>
          </w:tcPr>
          <w:p w14:paraId="5142A43E" w14:textId="77777777" w:rsidR="00041490" w:rsidRDefault="00041490" w:rsidP="006C3D3E">
            <w:pPr>
              <w:pStyle w:val="LO-normal"/>
              <w:spacing w:after="0" w:line="240" w:lineRule="auto"/>
              <w:rPr>
                <w:rFonts w:ascii="Times New Roman" w:eastAsia="Times New Roman" w:hAnsi="Times New Roman" w:cs="Times New Roman"/>
                <w:bCs/>
                <w:color w:val="000000"/>
                <w:sz w:val="28"/>
                <w:szCs w:val="28"/>
              </w:rPr>
            </w:pPr>
          </w:p>
          <w:p w14:paraId="1B3A530D"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265DE9B9" w14:textId="799889A3"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59</w:t>
            </w:r>
          </w:p>
        </w:tc>
      </w:tr>
      <w:tr w:rsidR="00AC4691" w14:paraId="778DB40F" w14:textId="77777777" w:rsidTr="00AC4691">
        <w:tc>
          <w:tcPr>
            <w:tcW w:w="989" w:type="dxa"/>
          </w:tcPr>
          <w:p w14:paraId="744EF825" w14:textId="7EF402E8" w:rsidR="00041490" w:rsidRDefault="00041490"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3.3.5</w:t>
            </w:r>
          </w:p>
        </w:tc>
        <w:tc>
          <w:tcPr>
            <w:tcW w:w="7549" w:type="dxa"/>
          </w:tcPr>
          <w:p w14:paraId="149298EF" w14:textId="30C50755" w:rsidR="00041490" w:rsidRDefault="00041490"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Оценка влияния полиморфизма гена АВСВ1 на фармакокинетические параметры апиксабана ……………….</w:t>
            </w:r>
          </w:p>
        </w:tc>
        <w:tc>
          <w:tcPr>
            <w:tcW w:w="1101" w:type="dxa"/>
          </w:tcPr>
          <w:p w14:paraId="4F2B8E51" w14:textId="77777777" w:rsidR="00041490" w:rsidRDefault="00041490" w:rsidP="006C3D3E">
            <w:pPr>
              <w:pStyle w:val="LO-normal"/>
              <w:spacing w:after="0" w:line="240" w:lineRule="auto"/>
              <w:rPr>
                <w:rFonts w:ascii="Times New Roman" w:eastAsia="Times New Roman" w:hAnsi="Times New Roman" w:cs="Times New Roman"/>
                <w:bCs/>
                <w:color w:val="000000"/>
                <w:sz w:val="28"/>
                <w:szCs w:val="28"/>
              </w:rPr>
            </w:pPr>
          </w:p>
          <w:p w14:paraId="5701B51B" w14:textId="69F57E11"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62</w:t>
            </w:r>
          </w:p>
        </w:tc>
      </w:tr>
      <w:tr w:rsidR="00AC4691" w14:paraId="0C584AAC" w14:textId="77777777" w:rsidTr="00AC4691">
        <w:tc>
          <w:tcPr>
            <w:tcW w:w="989" w:type="dxa"/>
          </w:tcPr>
          <w:p w14:paraId="0183272B" w14:textId="315D4046" w:rsidR="00041490"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3.3.6</w:t>
            </w:r>
          </w:p>
        </w:tc>
        <w:tc>
          <w:tcPr>
            <w:tcW w:w="7549" w:type="dxa"/>
          </w:tcPr>
          <w:p w14:paraId="1F823D24" w14:textId="20ED070A" w:rsidR="00041490"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Множественный регрессионный анализ влияния факторов на пиковую и минимальную концентрацию апиксабана…</w:t>
            </w:r>
            <w:proofErr w:type="gramStart"/>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p>
        </w:tc>
        <w:tc>
          <w:tcPr>
            <w:tcW w:w="1101" w:type="dxa"/>
          </w:tcPr>
          <w:p w14:paraId="376A085F"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62706179" w14:textId="768069DC" w:rsidR="00041490"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64</w:t>
            </w:r>
          </w:p>
        </w:tc>
      </w:tr>
      <w:tr w:rsidR="00AC4691" w14:paraId="1CAB5555" w14:textId="77777777" w:rsidTr="00AC4691">
        <w:tc>
          <w:tcPr>
            <w:tcW w:w="989" w:type="dxa"/>
          </w:tcPr>
          <w:p w14:paraId="17A4EC9D" w14:textId="74528406" w:rsid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3.4</w:t>
            </w:r>
          </w:p>
        </w:tc>
        <w:tc>
          <w:tcPr>
            <w:tcW w:w="7549" w:type="dxa"/>
          </w:tcPr>
          <w:p w14:paraId="2D16068C" w14:textId="6106C8F8" w:rsid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Результаты проспективного этапа исследования: анализ исходов……………………………………………………</w:t>
            </w:r>
            <w:proofErr w:type="gramStart"/>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p>
        </w:tc>
        <w:tc>
          <w:tcPr>
            <w:tcW w:w="1101" w:type="dxa"/>
          </w:tcPr>
          <w:p w14:paraId="126C81C5" w14:textId="77777777" w:rsidR="000A55E4" w:rsidRDefault="000A55E4" w:rsidP="006C3D3E">
            <w:pPr>
              <w:pStyle w:val="LO-normal"/>
              <w:spacing w:after="0" w:line="240" w:lineRule="auto"/>
              <w:rPr>
                <w:rFonts w:ascii="Times New Roman" w:eastAsia="Times New Roman" w:hAnsi="Times New Roman" w:cs="Times New Roman"/>
                <w:bCs/>
                <w:color w:val="000000"/>
                <w:sz w:val="28"/>
                <w:szCs w:val="28"/>
              </w:rPr>
            </w:pPr>
          </w:p>
          <w:p w14:paraId="4105F596" w14:textId="5C154A85"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r w:rsidR="00E22ABE">
              <w:rPr>
                <w:rFonts w:ascii="Times New Roman" w:eastAsia="Times New Roman" w:hAnsi="Times New Roman" w:cs="Times New Roman"/>
                <w:bCs/>
                <w:color w:val="000000"/>
                <w:sz w:val="28"/>
                <w:szCs w:val="28"/>
              </w:rPr>
              <w:t>6</w:t>
            </w:r>
          </w:p>
        </w:tc>
      </w:tr>
      <w:tr w:rsidR="00AC4691" w14:paraId="685A7BAA" w14:textId="77777777" w:rsidTr="00AC4691">
        <w:tc>
          <w:tcPr>
            <w:tcW w:w="989" w:type="dxa"/>
          </w:tcPr>
          <w:p w14:paraId="018492BB" w14:textId="0051364A" w:rsidR="00FF535C" w:rsidRDefault="00FF535C"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3.5</w:t>
            </w:r>
          </w:p>
        </w:tc>
        <w:tc>
          <w:tcPr>
            <w:tcW w:w="7549" w:type="dxa"/>
          </w:tcPr>
          <w:p w14:paraId="55FDBEB0" w14:textId="6D105986" w:rsidR="00FF535C" w:rsidRPr="00FF535C" w:rsidRDefault="00FF535C" w:rsidP="000A55E4">
            <w:pPr>
              <w:pStyle w:val="LO-normal"/>
              <w:spacing w:after="0" w:line="240" w:lineRule="auto"/>
              <w:jc w:val="both"/>
              <w:rPr>
                <w:rFonts w:ascii="Times New Roman" w:hAnsi="Times New Roman" w:cs="Times New Roman"/>
                <w:sz w:val="28"/>
                <w:szCs w:val="28"/>
                <w:lang w:bidi="ar-SA"/>
              </w:rPr>
            </w:pPr>
            <w:r w:rsidRPr="00FF535C">
              <w:rPr>
                <w:rFonts w:ascii="Times New Roman" w:hAnsi="Times New Roman" w:cs="Times New Roman"/>
                <w:sz w:val="28"/>
                <w:szCs w:val="28"/>
                <w:lang w:bidi="ar-SA"/>
              </w:rPr>
              <w:t>Алгоритм персонализированного подхода для пациентов с неклапанной</w:t>
            </w:r>
            <w:r>
              <w:rPr>
                <w:rFonts w:ascii="Times New Roman" w:hAnsi="Times New Roman" w:cs="Times New Roman"/>
                <w:sz w:val="28"/>
                <w:szCs w:val="28"/>
                <w:lang w:bidi="ar-SA"/>
              </w:rPr>
              <w:t xml:space="preserve"> фибрилляцией предсердий</w:t>
            </w:r>
            <w:r w:rsidRPr="00FF535C">
              <w:rPr>
                <w:rFonts w:ascii="Times New Roman" w:hAnsi="Times New Roman" w:cs="Times New Roman"/>
                <w:sz w:val="28"/>
                <w:szCs w:val="28"/>
                <w:lang w:bidi="ar-SA"/>
              </w:rPr>
              <w:t>, принимающих прямые пероральные антикоагулянты</w:t>
            </w:r>
            <w:r>
              <w:rPr>
                <w:rFonts w:ascii="Times New Roman" w:hAnsi="Times New Roman" w:cs="Times New Roman"/>
                <w:sz w:val="28"/>
                <w:szCs w:val="28"/>
                <w:lang w:bidi="ar-SA"/>
              </w:rPr>
              <w:t>…………………………</w:t>
            </w:r>
          </w:p>
        </w:tc>
        <w:tc>
          <w:tcPr>
            <w:tcW w:w="1101" w:type="dxa"/>
          </w:tcPr>
          <w:p w14:paraId="791A9BD4" w14:textId="77777777" w:rsidR="00FF535C" w:rsidRDefault="00FF535C" w:rsidP="006C3D3E">
            <w:pPr>
              <w:pStyle w:val="LO-normal"/>
              <w:spacing w:after="0" w:line="240" w:lineRule="auto"/>
              <w:rPr>
                <w:rFonts w:ascii="Times New Roman" w:eastAsia="Times New Roman" w:hAnsi="Times New Roman" w:cs="Times New Roman"/>
                <w:bCs/>
                <w:color w:val="000000"/>
                <w:sz w:val="28"/>
                <w:szCs w:val="28"/>
              </w:rPr>
            </w:pPr>
          </w:p>
          <w:p w14:paraId="02894CF8" w14:textId="18E8099C" w:rsidR="00FF535C" w:rsidRDefault="00E22AB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77</w:t>
            </w:r>
          </w:p>
        </w:tc>
      </w:tr>
      <w:tr w:rsidR="00AC4691" w14:paraId="61743FBF" w14:textId="77777777" w:rsidTr="00AC4691">
        <w:tc>
          <w:tcPr>
            <w:tcW w:w="8538" w:type="dxa"/>
            <w:gridSpan w:val="2"/>
          </w:tcPr>
          <w:p w14:paraId="3DB0CA96" w14:textId="2396FE14" w:rsid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sidRPr="000A55E4">
              <w:rPr>
                <w:rFonts w:ascii="Times New Roman" w:eastAsia="Times New Roman" w:hAnsi="Times New Roman" w:cs="Times New Roman"/>
                <w:b/>
                <w:color w:val="000000"/>
                <w:sz w:val="28"/>
                <w:szCs w:val="28"/>
              </w:rPr>
              <w:t>ЗАКЛЮЧЕНИЕ</w:t>
            </w:r>
            <w:r>
              <w:rPr>
                <w:rFonts w:ascii="Times New Roman" w:eastAsia="Times New Roman" w:hAnsi="Times New Roman" w:cs="Times New Roman"/>
                <w:bCs/>
                <w:color w:val="000000"/>
                <w:sz w:val="28"/>
                <w:szCs w:val="28"/>
              </w:rPr>
              <w:t>…………………………………………………………</w:t>
            </w:r>
          </w:p>
        </w:tc>
        <w:tc>
          <w:tcPr>
            <w:tcW w:w="1101" w:type="dxa"/>
          </w:tcPr>
          <w:p w14:paraId="4258BDC0" w14:textId="6949D253" w:rsidR="000A55E4" w:rsidRDefault="00E22ABE"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r w:rsidR="000A55E4">
              <w:rPr>
                <w:rFonts w:ascii="Times New Roman" w:eastAsia="Times New Roman" w:hAnsi="Times New Roman" w:cs="Times New Roman"/>
                <w:bCs/>
                <w:color w:val="000000"/>
                <w:sz w:val="28"/>
                <w:szCs w:val="28"/>
              </w:rPr>
              <w:t>0</w:t>
            </w:r>
          </w:p>
        </w:tc>
      </w:tr>
      <w:tr w:rsidR="00AC4691" w14:paraId="0A704FA2" w14:textId="77777777" w:rsidTr="00AC4691">
        <w:tc>
          <w:tcPr>
            <w:tcW w:w="8538" w:type="dxa"/>
            <w:gridSpan w:val="2"/>
          </w:tcPr>
          <w:p w14:paraId="49D135EA" w14:textId="3C78B3A2" w:rsid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sidRPr="000A55E4">
              <w:rPr>
                <w:rFonts w:ascii="Times New Roman" w:eastAsia="Times New Roman" w:hAnsi="Times New Roman" w:cs="Times New Roman"/>
                <w:b/>
                <w:color w:val="000000"/>
                <w:sz w:val="28"/>
                <w:szCs w:val="28"/>
              </w:rPr>
              <w:t>СПИСОК ИСПОЛЬЗОВАННЫХ ИСТОЧНИКОВ</w:t>
            </w:r>
            <w:r>
              <w:rPr>
                <w:rFonts w:ascii="Times New Roman" w:eastAsia="Times New Roman" w:hAnsi="Times New Roman" w:cs="Times New Roman"/>
                <w:bCs/>
                <w:color w:val="000000"/>
                <w:sz w:val="28"/>
                <w:szCs w:val="28"/>
              </w:rPr>
              <w:t>………………...</w:t>
            </w:r>
          </w:p>
        </w:tc>
        <w:tc>
          <w:tcPr>
            <w:tcW w:w="1101" w:type="dxa"/>
          </w:tcPr>
          <w:p w14:paraId="7A0E1CB5" w14:textId="0EF01529"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r w:rsidR="00E22ABE">
              <w:rPr>
                <w:rFonts w:ascii="Times New Roman" w:eastAsia="Times New Roman" w:hAnsi="Times New Roman" w:cs="Times New Roman"/>
                <w:bCs/>
                <w:color w:val="000000"/>
                <w:sz w:val="28"/>
                <w:szCs w:val="28"/>
              </w:rPr>
              <w:t>3</w:t>
            </w:r>
          </w:p>
        </w:tc>
      </w:tr>
      <w:tr w:rsidR="00AC4691" w14:paraId="26E687BF" w14:textId="77777777" w:rsidTr="00AC4691">
        <w:tc>
          <w:tcPr>
            <w:tcW w:w="8538" w:type="dxa"/>
            <w:gridSpan w:val="2"/>
          </w:tcPr>
          <w:p w14:paraId="30330FA0" w14:textId="1812CA89" w:rsid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sidRPr="000A55E4">
              <w:rPr>
                <w:rFonts w:ascii="Times New Roman" w:eastAsia="Times New Roman" w:hAnsi="Times New Roman" w:cs="Times New Roman"/>
                <w:b/>
                <w:color w:val="000000"/>
                <w:sz w:val="28"/>
                <w:szCs w:val="28"/>
              </w:rPr>
              <w:t>ПРИЛОЖЕНИЕ А</w:t>
            </w:r>
            <w:r>
              <w:rPr>
                <w:rFonts w:ascii="Times New Roman" w:eastAsia="Times New Roman" w:hAnsi="Times New Roman" w:cs="Times New Roman"/>
                <w:bCs/>
                <w:color w:val="000000"/>
                <w:sz w:val="28"/>
                <w:szCs w:val="28"/>
              </w:rPr>
              <w:t xml:space="preserve"> Авторское свидетельство …………………</w:t>
            </w:r>
            <w:proofErr w:type="gramStart"/>
            <w:r>
              <w:rPr>
                <w:rFonts w:ascii="Times New Roman" w:eastAsia="Times New Roman" w:hAnsi="Times New Roman" w:cs="Times New Roman"/>
                <w:bCs/>
                <w:color w:val="000000"/>
                <w:sz w:val="28"/>
                <w:szCs w:val="28"/>
              </w:rPr>
              <w:t>…….</w:t>
            </w:r>
            <w:proofErr w:type="gramEnd"/>
            <w:r>
              <w:rPr>
                <w:rFonts w:ascii="Times New Roman" w:eastAsia="Times New Roman" w:hAnsi="Times New Roman" w:cs="Times New Roman"/>
                <w:bCs/>
                <w:color w:val="000000"/>
                <w:sz w:val="28"/>
                <w:szCs w:val="28"/>
              </w:rPr>
              <w:t>.</w:t>
            </w:r>
          </w:p>
        </w:tc>
        <w:tc>
          <w:tcPr>
            <w:tcW w:w="1101" w:type="dxa"/>
          </w:tcPr>
          <w:p w14:paraId="31EB31E9" w14:textId="65327E95"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r w:rsidR="00E22ABE">
              <w:rPr>
                <w:rFonts w:ascii="Times New Roman" w:eastAsia="Times New Roman" w:hAnsi="Times New Roman" w:cs="Times New Roman"/>
                <w:bCs/>
                <w:color w:val="000000"/>
                <w:sz w:val="28"/>
                <w:szCs w:val="28"/>
              </w:rPr>
              <w:t>1</w:t>
            </w:r>
          </w:p>
        </w:tc>
      </w:tr>
      <w:tr w:rsidR="00AC4691" w14:paraId="6E7AFFE9" w14:textId="77777777" w:rsidTr="00AC4691">
        <w:tc>
          <w:tcPr>
            <w:tcW w:w="8538" w:type="dxa"/>
            <w:gridSpan w:val="2"/>
          </w:tcPr>
          <w:p w14:paraId="722153C6" w14:textId="74D450D8" w:rsidR="000A55E4" w:rsidRP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ПРИЛОЖЕНИЕ Б</w:t>
            </w:r>
            <w:r>
              <w:rPr>
                <w:rFonts w:ascii="Times New Roman" w:eastAsia="Times New Roman" w:hAnsi="Times New Roman" w:cs="Times New Roman"/>
                <w:bCs/>
                <w:color w:val="000000"/>
                <w:sz w:val="28"/>
                <w:szCs w:val="28"/>
              </w:rPr>
              <w:t xml:space="preserve"> Акт внедрения ……………………………………</w:t>
            </w:r>
          </w:p>
        </w:tc>
        <w:tc>
          <w:tcPr>
            <w:tcW w:w="1101" w:type="dxa"/>
          </w:tcPr>
          <w:p w14:paraId="0397B803" w14:textId="70B37BD6"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r w:rsidR="00E22ABE">
              <w:rPr>
                <w:rFonts w:ascii="Times New Roman" w:eastAsia="Times New Roman" w:hAnsi="Times New Roman" w:cs="Times New Roman"/>
                <w:bCs/>
                <w:color w:val="000000"/>
                <w:sz w:val="28"/>
                <w:szCs w:val="28"/>
              </w:rPr>
              <w:t>5</w:t>
            </w:r>
          </w:p>
        </w:tc>
      </w:tr>
      <w:tr w:rsidR="00AC4691" w14:paraId="346A67F2" w14:textId="77777777" w:rsidTr="00AC4691">
        <w:tc>
          <w:tcPr>
            <w:tcW w:w="8538" w:type="dxa"/>
            <w:gridSpan w:val="2"/>
          </w:tcPr>
          <w:p w14:paraId="3C4824DB" w14:textId="21980331" w:rsidR="000A55E4" w:rsidRP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ПРИЛОЖЕНИЕ В</w:t>
            </w:r>
            <w:r>
              <w:rPr>
                <w:rFonts w:ascii="Times New Roman" w:eastAsia="Times New Roman" w:hAnsi="Times New Roman" w:cs="Times New Roman"/>
                <w:bCs/>
                <w:color w:val="000000"/>
                <w:sz w:val="28"/>
                <w:szCs w:val="28"/>
              </w:rPr>
              <w:t xml:space="preserve"> Заключения этической комиссии………………...</w:t>
            </w:r>
          </w:p>
        </w:tc>
        <w:tc>
          <w:tcPr>
            <w:tcW w:w="1101" w:type="dxa"/>
          </w:tcPr>
          <w:p w14:paraId="36BAB97B" w14:textId="6CD40C79"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r w:rsidR="00E22ABE">
              <w:rPr>
                <w:rFonts w:ascii="Times New Roman" w:eastAsia="Times New Roman" w:hAnsi="Times New Roman" w:cs="Times New Roman"/>
                <w:bCs/>
                <w:color w:val="000000"/>
                <w:sz w:val="28"/>
                <w:szCs w:val="28"/>
              </w:rPr>
              <w:t>6</w:t>
            </w:r>
          </w:p>
        </w:tc>
      </w:tr>
      <w:tr w:rsidR="00AC4691" w14:paraId="516720EA" w14:textId="77777777" w:rsidTr="00AC4691">
        <w:tc>
          <w:tcPr>
            <w:tcW w:w="8538" w:type="dxa"/>
            <w:gridSpan w:val="2"/>
          </w:tcPr>
          <w:p w14:paraId="6A6FB6E5" w14:textId="201201C7" w:rsidR="000A55E4" w:rsidRPr="000A55E4" w:rsidRDefault="000A55E4" w:rsidP="000A55E4">
            <w:pPr>
              <w:pStyle w:val="LO-normal"/>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rPr>
              <w:t xml:space="preserve">ПРИЛОЖЕНИЕ Г </w:t>
            </w:r>
            <w:r>
              <w:rPr>
                <w:rFonts w:ascii="Times New Roman" w:eastAsia="Times New Roman" w:hAnsi="Times New Roman" w:cs="Times New Roman"/>
                <w:bCs/>
                <w:color w:val="000000"/>
                <w:sz w:val="28"/>
                <w:szCs w:val="28"/>
              </w:rPr>
              <w:t>Информированное согласие………………………</w:t>
            </w:r>
          </w:p>
        </w:tc>
        <w:tc>
          <w:tcPr>
            <w:tcW w:w="1101" w:type="dxa"/>
          </w:tcPr>
          <w:p w14:paraId="5AC84E0D" w14:textId="65FE36CB" w:rsidR="000A55E4" w:rsidRDefault="000A55E4" w:rsidP="006C3D3E">
            <w:pPr>
              <w:pStyle w:val="LO-normal"/>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r w:rsidR="00E22ABE">
              <w:rPr>
                <w:rFonts w:ascii="Times New Roman" w:eastAsia="Times New Roman" w:hAnsi="Times New Roman" w:cs="Times New Roman"/>
                <w:bCs/>
                <w:color w:val="000000"/>
                <w:sz w:val="28"/>
                <w:szCs w:val="28"/>
              </w:rPr>
              <w:t>10</w:t>
            </w:r>
          </w:p>
        </w:tc>
      </w:tr>
    </w:tbl>
    <w:p w14:paraId="0AE4397C" w14:textId="570488D7" w:rsidR="00362FCB" w:rsidRDefault="00362FCB" w:rsidP="00362FCB">
      <w:pPr>
        <w:pStyle w:val="LO-normal"/>
        <w:jc w:val="center"/>
        <w:rPr>
          <w:rFonts w:ascii="Times New Roman" w:eastAsia="Times New Roman" w:hAnsi="Times New Roman" w:cs="Times New Roman"/>
          <w:b/>
          <w:color w:val="000000"/>
          <w:sz w:val="28"/>
          <w:szCs w:val="28"/>
        </w:rPr>
      </w:pPr>
    </w:p>
    <w:p w14:paraId="4D499361"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1C9BED7D"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0A3F3F84"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06ADAFC2"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34D469D5"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42300009"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7076221F"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6CFDB6B9"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2D24149B"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4F3DFE02"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5ED9FE34"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6E80B02A"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5E57A800" w14:textId="77777777" w:rsidR="00362FCB" w:rsidRDefault="00362FCB" w:rsidP="00362FCB">
      <w:pPr>
        <w:pStyle w:val="LO-normal"/>
        <w:jc w:val="center"/>
        <w:rPr>
          <w:rFonts w:ascii="Times New Roman" w:eastAsia="Times New Roman" w:hAnsi="Times New Roman" w:cs="Times New Roman"/>
          <w:b/>
          <w:color w:val="000000"/>
          <w:sz w:val="28"/>
          <w:szCs w:val="28"/>
        </w:rPr>
      </w:pPr>
    </w:p>
    <w:p w14:paraId="25344746" w14:textId="77777777" w:rsidR="000A55E4" w:rsidRDefault="000A55E4" w:rsidP="009B0CEF">
      <w:pPr>
        <w:pStyle w:val="LO-normal"/>
        <w:spacing w:after="0" w:line="240" w:lineRule="auto"/>
        <w:ind w:right="-188"/>
        <w:jc w:val="center"/>
        <w:rPr>
          <w:rFonts w:ascii="Times New Roman" w:eastAsia="Times New Roman" w:hAnsi="Times New Roman" w:cs="Times New Roman"/>
          <w:b/>
          <w:color w:val="000000"/>
          <w:sz w:val="28"/>
          <w:szCs w:val="28"/>
        </w:rPr>
      </w:pPr>
    </w:p>
    <w:p w14:paraId="0EB87897" w14:textId="77777777" w:rsidR="0003764E" w:rsidRDefault="0003764E">
      <w:pPr>
        <w:spacing w:after="160" w:line="278" w:lineRule="auto"/>
        <w:textAlignment w:val="auto"/>
        <w:outlineLvl w:val="9"/>
        <w:rPr>
          <w:rFonts w:ascii="Times New Roman" w:eastAsia="Times New Roman" w:hAnsi="Times New Roman"/>
          <w:b/>
          <w:color w:val="000000"/>
          <w:sz w:val="28"/>
          <w:szCs w:val="28"/>
          <w:lang w:bidi="hi-IN"/>
        </w:rPr>
      </w:pPr>
      <w:r>
        <w:rPr>
          <w:rFonts w:ascii="Times New Roman" w:eastAsia="Times New Roman" w:hAnsi="Times New Roman"/>
          <w:b/>
          <w:color w:val="000000"/>
          <w:sz w:val="28"/>
          <w:szCs w:val="28"/>
        </w:rPr>
        <w:br w:type="page"/>
      </w:r>
    </w:p>
    <w:p w14:paraId="528B7B7C" w14:textId="798C196E" w:rsidR="00362FCB" w:rsidRPr="006D324A" w:rsidRDefault="00362FCB" w:rsidP="009B0CEF">
      <w:pPr>
        <w:pStyle w:val="LO-normal"/>
        <w:spacing w:after="0" w:line="240" w:lineRule="auto"/>
        <w:ind w:right="-188"/>
        <w:jc w:val="center"/>
        <w:rPr>
          <w:rFonts w:ascii="Times New Roman" w:eastAsia="Times New Roman" w:hAnsi="Times New Roman" w:cs="Times New Roman"/>
          <w:b/>
          <w:color w:val="000000"/>
          <w:sz w:val="28"/>
          <w:szCs w:val="28"/>
        </w:rPr>
      </w:pPr>
      <w:r w:rsidRPr="006D324A">
        <w:rPr>
          <w:rFonts w:ascii="Times New Roman" w:eastAsia="Times New Roman" w:hAnsi="Times New Roman" w:cs="Times New Roman"/>
          <w:b/>
          <w:color w:val="000000"/>
          <w:sz w:val="28"/>
          <w:szCs w:val="28"/>
        </w:rPr>
        <w:t>НОРМАТИВНЫЕ ССЫЛКИ</w:t>
      </w:r>
    </w:p>
    <w:p w14:paraId="511B8AEF" w14:textId="36594E69" w:rsidR="00362FCB" w:rsidRPr="00B43379" w:rsidRDefault="00362FCB"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sidRPr="00B43379">
        <w:rPr>
          <w:rFonts w:ascii="Times New Roman" w:eastAsia="Times New Roman" w:hAnsi="Times New Roman" w:cs="Times New Roman"/>
          <w:bCs/>
          <w:color w:val="000000"/>
          <w:sz w:val="28"/>
          <w:szCs w:val="28"/>
        </w:rPr>
        <w:t>В настоящей диссертации использованы ссылки на следующие документы:</w:t>
      </w:r>
    </w:p>
    <w:p w14:paraId="7C3698F2" w14:textId="1F2ACD81" w:rsidR="00362FCB" w:rsidRPr="00B43379" w:rsidRDefault="00362FCB"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sidRPr="00B43379">
        <w:rPr>
          <w:rFonts w:ascii="Times New Roman" w:eastAsia="Times New Roman" w:hAnsi="Times New Roman" w:cs="Times New Roman"/>
          <w:bCs/>
          <w:color w:val="000000"/>
          <w:sz w:val="28"/>
          <w:szCs w:val="28"/>
        </w:rPr>
        <w:t>Конституция Республики Казахстан: принята 30 августа 1995 года.</w:t>
      </w:r>
    </w:p>
    <w:p w14:paraId="3D2B6069" w14:textId="55E96954" w:rsidR="00362FCB" w:rsidRDefault="00362FCB" w:rsidP="00AC4691">
      <w:pPr>
        <w:pStyle w:val="LO-normal"/>
        <w:spacing w:after="0" w:line="240" w:lineRule="auto"/>
        <w:ind w:right="-1"/>
        <w:jc w:val="both"/>
        <w:rPr>
          <w:rFonts w:ascii="Times New Roman" w:eastAsia="Times New Roman" w:hAnsi="Times New Roman" w:cs="Times New Roman"/>
          <w:bCs/>
          <w:color w:val="000000"/>
          <w:sz w:val="28"/>
          <w:szCs w:val="28"/>
        </w:rPr>
      </w:pPr>
      <w:r w:rsidRPr="00B43379">
        <w:rPr>
          <w:rFonts w:ascii="Times New Roman" w:eastAsia="Times New Roman" w:hAnsi="Times New Roman" w:cs="Times New Roman"/>
          <w:bCs/>
          <w:color w:val="000000"/>
          <w:sz w:val="28"/>
          <w:szCs w:val="28"/>
        </w:rPr>
        <w:t>Кодекс Республики Казахстан. О здоровье народа и системе здравоохранения: принят 07 июля 2020г.</w:t>
      </w:r>
      <w:r w:rsidR="00B43379">
        <w:rPr>
          <w:rFonts w:ascii="Times New Roman" w:eastAsia="Times New Roman" w:hAnsi="Times New Roman" w:cs="Times New Roman"/>
          <w:bCs/>
          <w:color w:val="000000"/>
          <w:sz w:val="28"/>
          <w:szCs w:val="28"/>
        </w:rPr>
        <w:t xml:space="preserve"> №360-</w:t>
      </w:r>
      <w:r w:rsidR="00B43379">
        <w:rPr>
          <w:rFonts w:ascii="Times New Roman" w:eastAsia="Times New Roman" w:hAnsi="Times New Roman" w:cs="Times New Roman"/>
          <w:bCs/>
          <w:color w:val="000000"/>
          <w:sz w:val="28"/>
          <w:szCs w:val="28"/>
          <w:lang w:val="en-US"/>
        </w:rPr>
        <w:t>VI</w:t>
      </w:r>
      <w:r w:rsidR="00B43379" w:rsidRPr="00422C59">
        <w:rPr>
          <w:rFonts w:ascii="Times New Roman" w:eastAsia="Times New Roman" w:hAnsi="Times New Roman" w:cs="Times New Roman"/>
          <w:bCs/>
          <w:color w:val="000000"/>
          <w:sz w:val="28"/>
          <w:szCs w:val="28"/>
        </w:rPr>
        <w:t>.</w:t>
      </w:r>
    </w:p>
    <w:p w14:paraId="576A599C" w14:textId="15E5CE87" w:rsidR="00B43379" w:rsidRDefault="00B43379"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Хельсинская декларация Всемирной медицинской ассоциации «Этические принципы проведения медицинских исследований</w:t>
      </w:r>
      <w:r w:rsidR="00274A67">
        <w:rPr>
          <w:rFonts w:ascii="Times New Roman" w:eastAsia="Times New Roman" w:hAnsi="Times New Roman" w:cs="Times New Roman"/>
          <w:bCs/>
          <w:color w:val="000000"/>
          <w:sz w:val="28"/>
          <w:szCs w:val="28"/>
        </w:rPr>
        <w:t xml:space="preserve"> с участием человека в качестве субъекта</w:t>
      </w:r>
      <w:r>
        <w:rPr>
          <w:rFonts w:ascii="Times New Roman" w:eastAsia="Times New Roman" w:hAnsi="Times New Roman" w:cs="Times New Roman"/>
          <w:bCs/>
          <w:color w:val="000000"/>
          <w:sz w:val="28"/>
          <w:szCs w:val="28"/>
        </w:rPr>
        <w:t>»</w:t>
      </w:r>
      <w:r w:rsidR="00274A67">
        <w:rPr>
          <w:rFonts w:ascii="Times New Roman" w:eastAsia="Times New Roman" w:hAnsi="Times New Roman" w:cs="Times New Roman"/>
          <w:bCs/>
          <w:color w:val="000000"/>
          <w:sz w:val="28"/>
          <w:szCs w:val="28"/>
        </w:rPr>
        <w:t xml:space="preserve"> с изменениями, внесенными на 64-ой Генеральной Ассамблее ВМА, Форталеза, Бразилия, октябрь 2013г.</w:t>
      </w:r>
    </w:p>
    <w:p w14:paraId="69AA490D" w14:textId="2C1D0C77" w:rsidR="00274A67" w:rsidRDefault="00274A67"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ГОСТ 7.1-2003 (Межгосударственный стандарт).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p w14:paraId="27C15420" w14:textId="4727FA3B" w:rsidR="00274A67" w:rsidRDefault="00274A67"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ГОСТ 7.12-93 (Межгосударственный стандарт).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p w14:paraId="11762EA4" w14:textId="444DC577" w:rsidR="00274A67" w:rsidRDefault="00274A67" w:rsidP="00AC4691">
      <w:pPr>
        <w:pStyle w:val="LO-normal"/>
        <w:spacing w:after="0" w:line="240" w:lineRule="auto"/>
        <w:ind w:right="-1"/>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Клинический протокол Министерства здравоохранения Республики Казахстан «Фибрилляция и трепетание предсердий» от 9 июля 2020г. Протокол №105.</w:t>
      </w:r>
    </w:p>
    <w:p w14:paraId="07E6B8C7" w14:textId="753BDB10" w:rsidR="00274A67" w:rsidRDefault="00274A67"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Приказ Министерства здравоохранения Республики Казахстан «Протокол первичной медико-санитарной помощи взрослым пациентам при фибрилляции предсердий» от 15 марта 2023г. №45-П.</w:t>
      </w:r>
    </w:p>
    <w:p w14:paraId="579A6D1A" w14:textId="4F24058F" w:rsidR="00274A67" w:rsidRDefault="00274A67"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Европейское</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общество</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кардиологов</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ESC</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Клинические</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рекомендации</w:t>
      </w:r>
      <w:r w:rsidRPr="006D324A">
        <w:rPr>
          <w:rFonts w:ascii="Times New Roman" w:eastAsia="Times New Roman" w:hAnsi="Times New Roman" w:cs="Times New Roman"/>
          <w:bCs/>
          <w:color w:val="000000"/>
          <w:sz w:val="28"/>
          <w:szCs w:val="28"/>
        </w:rPr>
        <w:t xml:space="preserve"> «2020 </w:t>
      </w:r>
      <w:r>
        <w:rPr>
          <w:rFonts w:ascii="Times New Roman" w:eastAsia="Times New Roman" w:hAnsi="Times New Roman" w:cs="Times New Roman"/>
          <w:bCs/>
          <w:color w:val="000000"/>
          <w:sz w:val="28"/>
          <w:szCs w:val="28"/>
          <w:lang w:val="en-US"/>
        </w:rPr>
        <w:t>ESC</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Guidelines</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for</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the</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diagnosis</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and</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management</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of</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atrial</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fibrillation</w:t>
      </w:r>
      <w:r w:rsidRPr="006D324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от</w:t>
      </w:r>
      <w:r w:rsidRPr="006D324A">
        <w:rPr>
          <w:rFonts w:ascii="Times New Roman" w:eastAsia="Times New Roman" w:hAnsi="Times New Roman" w:cs="Times New Roman"/>
          <w:bCs/>
          <w:color w:val="000000"/>
          <w:sz w:val="28"/>
          <w:szCs w:val="28"/>
        </w:rPr>
        <w:t xml:space="preserve"> 27 </w:t>
      </w:r>
      <w:r>
        <w:rPr>
          <w:rFonts w:ascii="Times New Roman" w:eastAsia="Times New Roman" w:hAnsi="Times New Roman" w:cs="Times New Roman"/>
          <w:bCs/>
          <w:color w:val="000000"/>
          <w:sz w:val="28"/>
          <w:szCs w:val="28"/>
        </w:rPr>
        <w:t>августа</w:t>
      </w:r>
      <w:r w:rsidRPr="006D324A">
        <w:rPr>
          <w:rFonts w:ascii="Times New Roman" w:eastAsia="Times New Roman" w:hAnsi="Times New Roman" w:cs="Times New Roman"/>
          <w:bCs/>
          <w:color w:val="000000"/>
          <w:sz w:val="28"/>
          <w:szCs w:val="28"/>
        </w:rPr>
        <w:t xml:space="preserve"> 2020</w:t>
      </w:r>
      <w:r>
        <w:rPr>
          <w:rFonts w:ascii="Times New Roman" w:eastAsia="Times New Roman" w:hAnsi="Times New Roman" w:cs="Times New Roman"/>
          <w:bCs/>
          <w:color w:val="000000"/>
          <w:sz w:val="28"/>
          <w:szCs w:val="28"/>
        </w:rPr>
        <w:t>г</w:t>
      </w:r>
      <w:r w:rsidRPr="006D324A">
        <w:rPr>
          <w:rFonts w:ascii="Times New Roman" w:eastAsia="Times New Roman" w:hAnsi="Times New Roman" w:cs="Times New Roman"/>
          <w:bCs/>
          <w:color w:val="000000"/>
          <w:sz w:val="28"/>
          <w:szCs w:val="28"/>
        </w:rPr>
        <w:t>.</w:t>
      </w:r>
    </w:p>
    <w:p w14:paraId="05D3B005" w14:textId="77326097" w:rsidR="00274A67" w:rsidRDefault="00274A67" w:rsidP="00AC4691">
      <w:pPr>
        <w:pStyle w:val="LO-normal"/>
        <w:spacing w:after="0" w:line="240" w:lineRule="auto"/>
        <w:ind w:right="-1" w:firstLine="567"/>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rPr>
        <w:t>Европейское</w:t>
      </w:r>
      <w:r w:rsidRPr="00274A67">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rPr>
        <w:t>общество</w:t>
      </w:r>
      <w:r w:rsidRPr="00274A67">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rPr>
        <w:t>кардиологов</w:t>
      </w:r>
      <w:r w:rsidRPr="00274A67">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ESC</w:t>
      </w:r>
      <w:r w:rsidRPr="00274A67">
        <w:rPr>
          <w:rFonts w:ascii="Times New Roman" w:eastAsia="Times New Roman" w:hAnsi="Times New Roman" w:cs="Times New Roman"/>
          <w:bCs/>
          <w:color w:val="000000"/>
          <w:sz w:val="28"/>
          <w:szCs w:val="28"/>
          <w:lang w:val="en-US"/>
        </w:rPr>
        <w:t xml:space="preserve">). «2024 </w:t>
      </w:r>
      <w:r>
        <w:rPr>
          <w:rFonts w:ascii="Times New Roman" w:eastAsia="Times New Roman" w:hAnsi="Times New Roman" w:cs="Times New Roman"/>
          <w:bCs/>
          <w:color w:val="000000"/>
          <w:sz w:val="28"/>
          <w:szCs w:val="28"/>
          <w:lang w:val="en-US"/>
        </w:rPr>
        <w:t>ESC</w:t>
      </w:r>
      <w:r w:rsidRPr="00274A67">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Guidelines</w:t>
      </w:r>
      <w:r w:rsidRPr="00274A67">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for</w:t>
      </w:r>
      <w:r w:rsidRPr="00274A67">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the diagnosis and management of atrial fibrillation</w:t>
      </w:r>
      <w:r w:rsidRPr="00274A67">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rPr>
        <w:t>от</w:t>
      </w:r>
      <w:r w:rsidRPr="00274A67">
        <w:rPr>
          <w:rFonts w:ascii="Times New Roman" w:eastAsia="Times New Roman" w:hAnsi="Times New Roman" w:cs="Times New Roman"/>
          <w:bCs/>
          <w:color w:val="000000"/>
          <w:sz w:val="28"/>
          <w:szCs w:val="28"/>
          <w:lang w:val="en-US"/>
        </w:rPr>
        <w:t xml:space="preserve"> 12 </w:t>
      </w:r>
      <w:r>
        <w:rPr>
          <w:rFonts w:ascii="Times New Roman" w:eastAsia="Times New Roman" w:hAnsi="Times New Roman" w:cs="Times New Roman"/>
          <w:bCs/>
          <w:color w:val="000000"/>
          <w:sz w:val="28"/>
          <w:szCs w:val="28"/>
        </w:rPr>
        <w:t>сентября</w:t>
      </w:r>
      <w:r w:rsidRPr="00274A67">
        <w:rPr>
          <w:rFonts w:ascii="Times New Roman" w:eastAsia="Times New Roman" w:hAnsi="Times New Roman" w:cs="Times New Roman"/>
          <w:bCs/>
          <w:color w:val="000000"/>
          <w:sz w:val="28"/>
          <w:szCs w:val="28"/>
          <w:lang w:val="en-US"/>
        </w:rPr>
        <w:t xml:space="preserve"> 2024</w:t>
      </w:r>
      <w:r>
        <w:rPr>
          <w:rFonts w:ascii="Times New Roman" w:eastAsia="Times New Roman" w:hAnsi="Times New Roman" w:cs="Times New Roman"/>
          <w:bCs/>
          <w:color w:val="000000"/>
          <w:sz w:val="28"/>
          <w:szCs w:val="28"/>
        </w:rPr>
        <w:t>г</w:t>
      </w:r>
      <w:r w:rsidRPr="00274A67">
        <w:rPr>
          <w:rFonts w:ascii="Times New Roman" w:eastAsia="Times New Roman" w:hAnsi="Times New Roman" w:cs="Times New Roman"/>
          <w:bCs/>
          <w:color w:val="000000"/>
          <w:sz w:val="28"/>
          <w:szCs w:val="28"/>
          <w:lang w:val="en-US"/>
        </w:rPr>
        <w:t>.</w:t>
      </w:r>
    </w:p>
    <w:p w14:paraId="62B0767E" w14:textId="77777777" w:rsidR="00274A67" w:rsidRDefault="00274A67" w:rsidP="00D45AA4">
      <w:pPr>
        <w:pStyle w:val="LO-normal"/>
        <w:jc w:val="both"/>
        <w:rPr>
          <w:lang w:val="en-US"/>
        </w:rPr>
      </w:pPr>
      <w:r>
        <w:rPr>
          <w:lang w:val="en-US"/>
        </w:rPr>
        <w:br w:type="page"/>
      </w:r>
    </w:p>
    <w:p w14:paraId="32A175D6" w14:textId="21F896AD" w:rsidR="00274A67" w:rsidRPr="00AD39E9" w:rsidRDefault="00AD39E9" w:rsidP="00AD39E9">
      <w:pPr>
        <w:pStyle w:val="LO-normal"/>
        <w:spacing w:after="0"/>
        <w:ind w:right="-188"/>
        <w:jc w:val="center"/>
        <w:rPr>
          <w:rFonts w:ascii="Times New Roman" w:eastAsia="Times New Roman" w:hAnsi="Times New Roman" w:cs="Times New Roman"/>
          <w:b/>
          <w:color w:val="000000"/>
          <w:sz w:val="28"/>
          <w:szCs w:val="28"/>
        </w:rPr>
      </w:pPr>
      <w:r w:rsidRPr="00AD39E9">
        <w:rPr>
          <w:rFonts w:ascii="Times New Roman" w:eastAsia="Times New Roman" w:hAnsi="Times New Roman" w:cs="Times New Roman"/>
          <w:b/>
          <w:color w:val="000000"/>
          <w:sz w:val="28"/>
          <w:szCs w:val="28"/>
        </w:rPr>
        <w:t>ОПРЕДЕЛЕНИЯ</w:t>
      </w:r>
    </w:p>
    <w:p w14:paraId="535C8A56" w14:textId="4092BAD6" w:rsidR="00AD39E9" w:rsidRDefault="00AD39E9" w:rsidP="00AC4691">
      <w:pPr>
        <w:pStyle w:val="LO-normal"/>
        <w:spacing w:after="0" w:line="240" w:lineRule="auto"/>
        <w:ind w:right="-1"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настоящей диссертации применяются следующие термины с соответствующими определениями:</w:t>
      </w:r>
    </w:p>
    <w:p w14:paraId="6ED191D8" w14:textId="2BDC2D6A" w:rsidR="00AD39E9" w:rsidRPr="000003BD" w:rsidRDefault="00AD39E9" w:rsidP="00AC4691">
      <w:pPr>
        <w:pStyle w:val="LO-normal"/>
        <w:spacing w:after="0" w:line="240" w:lineRule="auto"/>
        <w:ind w:right="-1"/>
        <w:jc w:val="both"/>
        <w:rPr>
          <w:rFonts w:ascii="Times New Roman" w:eastAsia="Times New Roman" w:hAnsi="Times New Roman" w:cs="Times New Roman"/>
          <w:bCs/>
          <w:color w:val="000000"/>
          <w:sz w:val="28"/>
          <w:szCs w:val="28"/>
          <w:lang w:val="kk-KZ"/>
        </w:rPr>
      </w:pPr>
      <w:r w:rsidRPr="000003BD">
        <w:rPr>
          <w:rFonts w:ascii="Times New Roman" w:eastAsia="Times New Roman" w:hAnsi="Times New Roman" w:cs="Times New Roman"/>
          <w:b/>
          <w:color w:val="000000"/>
          <w:sz w:val="28"/>
          <w:szCs w:val="28"/>
        </w:rPr>
        <w:t>Полиморфизм</w:t>
      </w:r>
      <w:r>
        <w:rPr>
          <w:rFonts w:ascii="Times New Roman" w:eastAsia="Times New Roman" w:hAnsi="Times New Roman" w:cs="Times New Roman"/>
          <w:bCs/>
          <w:color w:val="000000"/>
          <w:sz w:val="28"/>
          <w:szCs w:val="28"/>
        </w:rPr>
        <w:t xml:space="preserve"> – это наличие двух или более вариантов (аллелей) одного и того же гена в популяции.</w:t>
      </w:r>
    </w:p>
    <w:p w14:paraId="51C00E79" w14:textId="4EF281B4" w:rsidR="00AD39E9" w:rsidRDefault="00AD39E9" w:rsidP="00AC4691">
      <w:pPr>
        <w:pStyle w:val="LO-normal"/>
        <w:spacing w:after="0" w:line="240" w:lineRule="auto"/>
        <w:ind w:right="-1"/>
        <w:jc w:val="both"/>
        <w:rPr>
          <w:rFonts w:ascii="Times New Roman" w:eastAsia="Times New Roman" w:hAnsi="Times New Roman" w:cs="Times New Roman"/>
          <w:bCs/>
          <w:color w:val="000000"/>
          <w:sz w:val="28"/>
          <w:szCs w:val="28"/>
        </w:rPr>
      </w:pPr>
      <w:r w:rsidRPr="000003BD">
        <w:rPr>
          <w:rFonts w:ascii="Times New Roman" w:eastAsia="Times New Roman" w:hAnsi="Times New Roman" w:cs="Times New Roman"/>
          <w:b/>
          <w:color w:val="000000"/>
          <w:sz w:val="28"/>
          <w:szCs w:val="28"/>
        </w:rPr>
        <w:t>Аллель</w:t>
      </w:r>
      <w:r>
        <w:rPr>
          <w:rFonts w:ascii="Times New Roman" w:eastAsia="Times New Roman" w:hAnsi="Times New Roman" w:cs="Times New Roman"/>
          <w:bCs/>
          <w:color w:val="000000"/>
          <w:sz w:val="28"/>
          <w:szCs w:val="28"/>
        </w:rPr>
        <w:t xml:space="preserve"> – это альтернативная форма одного и того же гена, которая занимает определенное место (локус) на хромосоме.</w:t>
      </w:r>
    </w:p>
    <w:p w14:paraId="266C9A24" w14:textId="1997AD22" w:rsidR="00AD39E9" w:rsidRPr="00BD7CDA" w:rsidRDefault="00AD39E9" w:rsidP="00AC4691">
      <w:pPr>
        <w:pStyle w:val="LO-normal"/>
        <w:spacing w:after="0" w:line="240" w:lineRule="auto"/>
        <w:ind w:right="-1"/>
        <w:jc w:val="both"/>
        <w:rPr>
          <w:rFonts w:ascii="Times New Roman" w:eastAsia="Times New Roman" w:hAnsi="Times New Roman" w:cs="Times New Roman"/>
          <w:bCs/>
          <w:color w:val="000000"/>
          <w:sz w:val="28"/>
          <w:szCs w:val="28"/>
        </w:rPr>
      </w:pPr>
      <w:r w:rsidRPr="000003BD">
        <w:rPr>
          <w:rFonts w:ascii="Times New Roman" w:eastAsia="Times New Roman" w:hAnsi="Times New Roman" w:cs="Times New Roman"/>
          <w:b/>
          <w:color w:val="000000"/>
          <w:sz w:val="28"/>
          <w:szCs w:val="28"/>
        </w:rPr>
        <w:t>АВСВ1</w:t>
      </w:r>
      <w:r>
        <w:rPr>
          <w:rFonts w:ascii="Times New Roman" w:eastAsia="Times New Roman" w:hAnsi="Times New Roman" w:cs="Times New Roman"/>
          <w:bCs/>
          <w:color w:val="000000"/>
          <w:sz w:val="28"/>
          <w:szCs w:val="28"/>
        </w:rPr>
        <w:t xml:space="preserve"> </w:t>
      </w:r>
      <w:r w:rsidRPr="00BD7CDA">
        <w:rPr>
          <w:rFonts w:ascii="Times New Roman" w:eastAsia="Times New Roman" w:hAnsi="Times New Roman" w:cs="Times New Roman"/>
          <w:bCs/>
          <w:color w:val="000000"/>
          <w:sz w:val="28"/>
          <w:szCs w:val="28"/>
        </w:rPr>
        <w:t xml:space="preserve">– ген, кодирующий клеточный трансмембранный транспортер Р-гликопротеин, который выводит из клеток широкий спектр </w:t>
      </w:r>
      <w:proofErr w:type="spellStart"/>
      <w:r w:rsidRPr="00BD7CDA">
        <w:rPr>
          <w:rFonts w:ascii="Times New Roman" w:eastAsia="Times New Roman" w:hAnsi="Times New Roman" w:cs="Times New Roman"/>
          <w:bCs/>
          <w:color w:val="000000"/>
          <w:sz w:val="28"/>
          <w:szCs w:val="28"/>
        </w:rPr>
        <w:t>ксенобиотических</w:t>
      </w:r>
      <w:proofErr w:type="spellEnd"/>
      <w:r w:rsidRPr="00BD7CDA">
        <w:rPr>
          <w:rFonts w:ascii="Times New Roman" w:eastAsia="Times New Roman" w:hAnsi="Times New Roman" w:cs="Times New Roman"/>
          <w:bCs/>
          <w:color w:val="000000"/>
          <w:sz w:val="28"/>
          <w:szCs w:val="28"/>
        </w:rPr>
        <w:t>, в том числе, лекарственных соединений.</w:t>
      </w:r>
    </w:p>
    <w:p w14:paraId="3A36DBCD" w14:textId="38E1086F" w:rsidR="000003BD" w:rsidRPr="00BD7CDA" w:rsidRDefault="000003BD" w:rsidP="00AC4691">
      <w:pPr>
        <w:pStyle w:val="LO-normal"/>
        <w:spacing w:after="0" w:line="240" w:lineRule="auto"/>
        <w:ind w:right="-1"/>
        <w:jc w:val="both"/>
        <w:rPr>
          <w:rFonts w:ascii="Times New Roman" w:eastAsia="Times New Roman" w:hAnsi="Times New Roman" w:cs="Times New Roman"/>
          <w:bCs/>
          <w:color w:val="000000"/>
          <w:sz w:val="28"/>
          <w:szCs w:val="28"/>
        </w:rPr>
      </w:pPr>
      <w:proofErr w:type="spellStart"/>
      <w:r w:rsidRPr="00BD7CDA">
        <w:rPr>
          <w:rFonts w:ascii="Times New Roman" w:eastAsia="Times New Roman" w:hAnsi="Times New Roman" w:cs="Times New Roman"/>
          <w:b/>
          <w:color w:val="000000"/>
          <w:sz w:val="28"/>
          <w:szCs w:val="28"/>
        </w:rPr>
        <w:t>Carboxylesterase</w:t>
      </w:r>
      <w:proofErr w:type="spellEnd"/>
      <w:r w:rsidRPr="00BD7CDA">
        <w:rPr>
          <w:rFonts w:ascii="Times New Roman" w:eastAsia="Times New Roman" w:hAnsi="Times New Roman" w:cs="Times New Roman"/>
          <w:b/>
          <w:color w:val="000000"/>
          <w:sz w:val="28"/>
          <w:szCs w:val="28"/>
        </w:rPr>
        <w:t xml:space="preserve"> 1 (CES1)</w:t>
      </w:r>
      <w:r w:rsidRPr="00BD7CDA">
        <w:rPr>
          <w:rFonts w:ascii="Times New Roman" w:eastAsia="Times New Roman" w:hAnsi="Times New Roman" w:cs="Times New Roman"/>
          <w:bCs/>
          <w:color w:val="000000"/>
          <w:sz w:val="28"/>
          <w:szCs w:val="28"/>
        </w:rPr>
        <w:t xml:space="preserve"> – ген, кодирующий </w:t>
      </w:r>
      <w:proofErr w:type="spellStart"/>
      <w:r w:rsidRPr="00BD7CDA">
        <w:rPr>
          <w:rFonts w:ascii="Times New Roman" w:eastAsia="Times New Roman" w:hAnsi="Times New Roman" w:cs="Times New Roman"/>
          <w:bCs/>
          <w:color w:val="000000"/>
          <w:sz w:val="28"/>
          <w:szCs w:val="28"/>
        </w:rPr>
        <w:t>карбоксилэстеразу</w:t>
      </w:r>
      <w:proofErr w:type="spellEnd"/>
      <w:r w:rsidRPr="00BD7CDA">
        <w:rPr>
          <w:rFonts w:ascii="Times New Roman" w:eastAsia="Times New Roman" w:hAnsi="Times New Roman" w:cs="Times New Roman"/>
          <w:bCs/>
          <w:color w:val="000000"/>
          <w:sz w:val="28"/>
          <w:szCs w:val="28"/>
        </w:rPr>
        <w:t xml:space="preserve">, участвующую в </w:t>
      </w:r>
      <w:proofErr w:type="spellStart"/>
      <w:r w:rsidRPr="00BD7CDA">
        <w:rPr>
          <w:rFonts w:ascii="Times New Roman" w:eastAsia="Times New Roman" w:hAnsi="Times New Roman" w:cs="Times New Roman"/>
          <w:bCs/>
          <w:color w:val="000000"/>
          <w:sz w:val="28"/>
          <w:szCs w:val="28"/>
        </w:rPr>
        <w:t>биотрансформации</w:t>
      </w:r>
      <w:proofErr w:type="spellEnd"/>
      <w:r w:rsidRPr="00BD7CDA">
        <w:rPr>
          <w:rFonts w:ascii="Times New Roman" w:eastAsia="Times New Roman" w:hAnsi="Times New Roman" w:cs="Times New Roman"/>
          <w:bCs/>
          <w:color w:val="000000"/>
          <w:sz w:val="28"/>
          <w:szCs w:val="28"/>
        </w:rPr>
        <w:t xml:space="preserve"> эндогенных и экзогенных веществ, в том числе лекарственных средств и </w:t>
      </w:r>
      <w:proofErr w:type="spellStart"/>
      <w:r w:rsidRPr="00BD7CDA">
        <w:rPr>
          <w:rFonts w:ascii="Times New Roman" w:eastAsia="Times New Roman" w:hAnsi="Times New Roman" w:cs="Times New Roman"/>
          <w:bCs/>
          <w:color w:val="000000"/>
          <w:sz w:val="28"/>
          <w:szCs w:val="28"/>
        </w:rPr>
        <w:t>пролекарств</w:t>
      </w:r>
      <w:proofErr w:type="spellEnd"/>
      <w:r w:rsidRPr="00BD7CDA">
        <w:rPr>
          <w:rFonts w:ascii="Times New Roman" w:eastAsia="Times New Roman" w:hAnsi="Times New Roman" w:cs="Times New Roman"/>
          <w:bCs/>
          <w:color w:val="000000"/>
          <w:sz w:val="28"/>
          <w:szCs w:val="28"/>
        </w:rPr>
        <w:t xml:space="preserve">, и в </w:t>
      </w:r>
      <w:proofErr w:type="spellStart"/>
      <w:r w:rsidRPr="00BD7CDA">
        <w:rPr>
          <w:rFonts w:ascii="Times New Roman" w:eastAsia="Times New Roman" w:hAnsi="Times New Roman" w:cs="Times New Roman"/>
          <w:bCs/>
          <w:color w:val="000000"/>
          <w:sz w:val="28"/>
          <w:szCs w:val="28"/>
        </w:rPr>
        <w:t>биоинактивации</w:t>
      </w:r>
      <w:proofErr w:type="spellEnd"/>
      <w:r w:rsidRPr="00BD7CDA">
        <w:rPr>
          <w:rFonts w:ascii="Times New Roman" w:eastAsia="Times New Roman" w:hAnsi="Times New Roman" w:cs="Times New Roman"/>
          <w:bCs/>
          <w:color w:val="000000"/>
          <w:sz w:val="28"/>
          <w:szCs w:val="28"/>
        </w:rPr>
        <w:t xml:space="preserve"> эфиров, амидов, </w:t>
      </w:r>
      <w:proofErr w:type="spellStart"/>
      <w:r w:rsidRPr="00BD7CDA">
        <w:rPr>
          <w:rFonts w:ascii="Times New Roman" w:eastAsia="Times New Roman" w:hAnsi="Times New Roman" w:cs="Times New Roman"/>
          <w:bCs/>
          <w:color w:val="000000"/>
          <w:sz w:val="28"/>
          <w:szCs w:val="28"/>
        </w:rPr>
        <w:t>карбаматов</w:t>
      </w:r>
      <w:proofErr w:type="spellEnd"/>
      <w:r w:rsidRPr="00BD7CDA">
        <w:rPr>
          <w:rFonts w:ascii="Times New Roman" w:eastAsia="Times New Roman" w:hAnsi="Times New Roman" w:cs="Times New Roman"/>
          <w:bCs/>
          <w:color w:val="000000"/>
          <w:sz w:val="28"/>
          <w:szCs w:val="28"/>
        </w:rPr>
        <w:t xml:space="preserve"> </w:t>
      </w:r>
      <w:proofErr w:type="spellStart"/>
      <w:r w:rsidRPr="00BD7CDA">
        <w:rPr>
          <w:rFonts w:ascii="Times New Roman" w:eastAsia="Times New Roman" w:hAnsi="Times New Roman" w:cs="Times New Roman"/>
          <w:bCs/>
          <w:color w:val="000000"/>
          <w:sz w:val="28"/>
          <w:szCs w:val="28"/>
        </w:rPr>
        <w:t>тиоэфиров</w:t>
      </w:r>
      <w:proofErr w:type="spellEnd"/>
      <w:r w:rsidRPr="00BD7CDA">
        <w:rPr>
          <w:rFonts w:ascii="Times New Roman" w:eastAsia="Times New Roman" w:hAnsi="Times New Roman" w:cs="Times New Roman"/>
          <w:bCs/>
          <w:color w:val="000000"/>
          <w:sz w:val="28"/>
          <w:szCs w:val="28"/>
        </w:rPr>
        <w:t xml:space="preserve"> и локально-стабильных соединений.</w:t>
      </w:r>
    </w:p>
    <w:p w14:paraId="16C5E815" w14:textId="15CEC7D4" w:rsidR="000003BD" w:rsidRPr="000003BD" w:rsidRDefault="000003BD" w:rsidP="00AC4691">
      <w:pPr>
        <w:pStyle w:val="LO-normal"/>
        <w:spacing w:after="0" w:line="240" w:lineRule="auto"/>
        <w:ind w:right="-1"/>
        <w:jc w:val="both"/>
        <w:rPr>
          <w:rFonts w:ascii="Times New Roman" w:eastAsia="Times New Roman" w:hAnsi="Times New Roman" w:cs="Times New Roman"/>
          <w:bCs/>
          <w:color w:val="000000"/>
          <w:sz w:val="28"/>
          <w:szCs w:val="28"/>
        </w:rPr>
      </w:pPr>
      <w:r w:rsidRPr="000003BD">
        <w:rPr>
          <w:rFonts w:ascii="Times New Roman" w:eastAsia="Times New Roman" w:hAnsi="Times New Roman" w:cs="Times New Roman"/>
          <w:b/>
          <w:color w:val="000000"/>
          <w:sz w:val="28"/>
          <w:szCs w:val="28"/>
          <w:lang w:val="en-US"/>
        </w:rPr>
        <w:t>Single</w:t>
      </w:r>
      <w:r w:rsidRPr="000003BD">
        <w:rPr>
          <w:rFonts w:ascii="Times New Roman" w:eastAsia="Times New Roman" w:hAnsi="Times New Roman" w:cs="Times New Roman"/>
          <w:b/>
          <w:color w:val="000000"/>
          <w:sz w:val="28"/>
          <w:szCs w:val="28"/>
        </w:rPr>
        <w:t xml:space="preserve"> </w:t>
      </w:r>
      <w:r w:rsidRPr="000003BD">
        <w:rPr>
          <w:rFonts w:ascii="Times New Roman" w:eastAsia="Times New Roman" w:hAnsi="Times New Roman" w:cs="Times New Roman"/>
          <w:b/>
          <w:color w:val="000000"/>
          <w:sz w:val="28"/>
          <w:szCs w:val="28"/>
          <w:lang w:val="en-US"/>
        </w:rPr>
        <w:t>Nucleotide</w:t>
      </w:r>
      <w:r w:rsidRPr="000003BD">
        <w:rPr>
          <w:rFonts w:ascii="Times New Roman" w:eastAsia="Times New Roman" w:hAnsi="Times New Roman" w:cs="Times New Roman"/>
          <w:b/>
          <w:color w:val="000000"/>
          <w:sz w:val="28"/>
          <w:szCs w:val="28"/>
        </w:rPr>
        <w:t xml:space="preserve"> </w:t>
      </w:r>
      <w:r w:rsidRPr="000003BD">
        <w:rPr>
          <w:rFonts w:ascii="Times New Roman" w:eastAsia="Times New Roman" w:hAnsi="Times New Roman" w:cs="Times New Roman"/>
          <w:b/>
          <w:color w:val="000000"/>
          <w:sz w:val="28"/>
          <w:szCs w:val="28"/>
          <w:lang w:val="en-US"/>
        </w:rPr>
        <w:t>Variant</w:t>
      </w:r>
      <w:r w:rsidRPr="000003BD">
        <w:rPr>
          <w:rFonts w:ascii="Times New Roman" w:eastAsia="Times New Roman" w:hAnsi="Times New Roman" w:cs="Times New Roman"/>
          <w:b/>
          <w:color w:val="000000"/>
          <w:sz w:val="28"/>
          <w:szCs w:val="28"/>
        </w:rPr>
        <w:t xml:space="preserve"> (</w:t>
      </w:r>
      <w:r w:rsidRPr="000003BD">
        <w:rPr>
          <w:rFonts w:ascii="Times New Roman" w:eastAsia="Times New Roman" w:hAnsi="Times New Roman" w:cs="Times New Roman"/>
          <w:b/>
          <w:color w:val="000000"/>
          <w:sz w:val="28"/>
          <w:szCs w:val="28"/>
          <w:lang w:val="en-US"/>
        </w:rPr>
        <w:t>SNV</w:t>
      </w:r>
      <w:r w:rsidRPr="000003BD">
        <w:rPr>
          <w:rFonts w:ascii="Times New Roman" w:eastAsia="Times New Roman" w:hAnsi="Times New Roman" w:cs="Times New Roman"/>
          <w:b/>
          <w:color w:val="000000"/>
          <w:sz w:val="28"/>
          <w:szCs w:val="28"/>
        </w:rPr>
        <w:t>)</w:t>
      </w:r>
      <w:r w:rsidRPr="000003BD">
        <w:rPr>
          <w:rFonts w:ascii="Times New Roman" w:eastAsia="Times New Roman" w:hAnsi="Times New Roman" w:cs="Times New Roman"/>
          <w:bCs/>
          <w:color w:val="000000"/>
          <w:sz w:val="28"/>
          <w:szCs w:val="28"/>
        </w:rPr>
        <w:t xml:space="preserve"> – </w:t>
      </w:r>
      <w:r>
        <w:rPr>
          <w:rFonts w:ascii="Times New Roman" w:eastAsia="Times New Roman" w:hAnsi="Times New Roman" w:cs="Times New Roman"/>
          <w:bCs/>
          <w:color w:val="000000"/>
          <w:sz w:val="28"/>
          <w:szCs w:val="28"/>
        </w:rPr>
        <w:t xml:space="preserve">отличия последовательности ДНК размером в один нуклеотид (А, Т, </w:t>
      </w:r>
      <w:r>
        <w:rPr>
          <w:rFonts w:ascii="Times New Roman" w:eastAsia="Times New Roman" w:hAnsi="Times New Roman" w:cs="Times New Roman"/>
          <w:bCs/>
          <w:color w:val="000000"/>
          <w:sz w:val="28"/>
          <w:szCs w:val="28"/>
          <w:lang w:val="en-US"/>
        </w:rPr>
        <w:t>G</w:t>
      </w:r>
      <w:r w:rsidRPr="000003B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en-US"/>
        </w:rPr>
        <w:t>C</w:t>
      </w:r>
      <w:r>
        <w:rPr>
          <w:rFonts w:ascii="Times New Roman" w:eastAsia="Times New Roman" w:hAnsi="Times New Roman" w:cs="Times New Roman"/>
          <w:bCs/>
          <w:color w:val="000000"/>
          <w:sz w:val="28"/>
          <w:szCs w:val="28"/>
        </w:rPr>
        <w:t>)</w:t>
      </w:r>
      <w:r w:rsidRPr="000003B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в геноме (или в другой сравниваемой последовательности) представителей одного вида или между гомологичными участками гомологичных хромосом. Применяется в качестве генетических маркеров для изучения неравновесного сцепления локусов и полногеномного поиска ассоциаций (</w:t>
      </w:r>
      <w:r>
        <w:rPr>
          <w:rFonts w:ascii="Times New Roman" w:eastAsia="Times New Roman" w:hAnsi="Times New Roman" w:cs="Times New Roman"/>
          <w:bCs/>
          <w:color w:val="000000"/>
          <w:sz w:val="28"/>
          <w:szCs w:val="28"/>
          <w:lang w:val="en-US"/>
        </w:rPr>
        <w:t>GWAS</w:t>
      </w:r>
      <w:r>
        <w:rPr>
          <w:rFonts w:ascii="Times New Roman" w:eastAsia="Times New Roman" w:hAnsi="Times New Roman" w:cs="Times New Roman"/>
          <w:bCs/>
          <w:color w:val="000000"/>
          <w:sz w:val="28"/>
          <w:szCs w:val="28"/>
        </w:rPr>
        <w:t>)</w:t>
      </w:r>
      <w:r w:rsidRPr="000003BD">
        <w:rPr>
          <w:rFonts w:ascii="Times New Roman" w:eastAsia="Times New Roman" w:hAnsi="Times New Roman" w:cs="Times New Roman"/>
          <w:bCs/>
          <w:color w:val="000000"/>
          <w:sz w:val="28"/>
          <w:szCs w:val="28"/>
        </w:rPr>
        <w:t>.</w:t>
      </w:r>
    </w:p>
    <w:p w14:paraId="55E6843D" w14:textId="2D93B445" w:rsidR="000003BD" w:rsidRDefault="000003BD" w:rsidP="00AC4691">
      <w:pPr>
        <w:pStyle w:val="LO-normal"/>
        <w:spacing w:after="0" w:line="240" w:lineRule="auto"/>
        <w:ind w:right="-1"/>
        <w:jc w:val="both"/>
        <w:rPr>
          <w:rFonts w:ascii="Times New Roman" w:eastAsia="Times New Roman" w:hAnsi="Times New Roman" w:cs="Times New Roman"/>
          <w:bCs/>
          <w:color w:val="000000"/>
          <w:sz w:val="28"/>
          <w:szCs w:val="28"/>
        </w:rPr>
      </w:pPr>
      <w:r w:rsidRPr="000003BD">
        <w:rPr>
          <w:rFonts w:ascii="Times New Roman" w:eastAsia="Times New Roman" w:hAnsi="Times New Roman" w:cs="Times New Roman"/>
          <w:b/>
          <w:color w:val="000000"/>
          <w:sz w:val="28"/>
          <w:szCs w:val="28"/>
        </w:rPr>
        <w:t>Полногеномный поиск ассоциаций (</w:t>
      </w:r>
      <w:r w:rsidRPr="000003BD">
        <w:rPr>
          <w:rFonts w:ascii="Times New Roman" w:eastAsia="Times New Roman" w:hAnsi="Times New Roman" w:cs="Times New Roman"/>
          <w:b/>
          <w:color w:val="000000"/>
          <w:sz w:val="28"/>
          <w:szCs w:val="28"/>
          <w:lang w:val="en-US"/>
        </w:rPr>
        <w:t>GWAS</w:t>
      </w:r>
      <w:r w:rsidRPr="000003BD">
        <w:rPr>
          <w:rFonts w:ascii="Times New Roman" w:eastAsia="Times New Roman" w:hAnsi="Times New Roman" w:cs="Times New Roman"/>
          <w:b/>
          <w:color w:val="000000"/>
          <w:sz w:val="28"/>
          <w:szCs w:val="28"/>
        </w:rPr>
        <w:t>)</w:t>
      </w:r>
      <w:r>
        <w:rPr>
          <w:rFonts w:ascii="Times New Roman" w:eastAsia="Times New Roman" w:hAnsi="Times New Roman" w:cs="Times New Roman"/>
          <w:bCs/>
          <w:color w:val="000000"/>
          <w:sz w:val="28"/>
          <w:szCs w:val="28"/>
        </w:rPr>
        <w:t xml:space="preserve"> – направление биологических (как правило, биомедицинских) исследований, связанных с исследованием ассоциаций между геномными вариантами и фенотипическими признаками.</w:t>
      </w:r>
    </w:p>
    <w:p w14:paraId="004B6B7D" w14:textId="697AA4B2" w:rsidR="000003BD" w:rsidRPr="000003BD" w:rsidRDefault="000003BD" w:rsidP="00AC4691">
      <w:pPr>
        <w:pStyle w:val="LO-normal"/>
        <w:spacing w:after="0" w:line="240" w:lineRule="auto"/>
        <w:ind w:right="-1"/>
        <w:jc w:val="both"/>
        <w:rPr>
          <w:rFonts w:ascii="Times New Roman" w:eastAsia="Times New Roman" w:hAnsi="Times New Roman" w:cs="Times New Roman"/>
          <w:bCs/>
          <w:color w:val="000000"/>
          <w:sz w:val="28"/>
          <w:szCs w:val="28"/>
        </w:rPr>
      </w:pPr>
      <w:r w:rsidRPr="000003BD">
        <w:rPr>
          <w:rFonts w:ascii="Times New Roman" w:eastAsia="Times New Roman" w:hAnsi="Times New Roman" w:cs="Times New Roman"/>
          <w:b/>
          <w:color w:val="000000"/>
          <w:sz w:val="28"/>
          <w:szCs w:val="28"/>
        </w:rPr>
        <w:t>Равновесие Хайди-Вайнберга (</w:t>
      </w:r>
      <w:r w:rsidRPr="000003BD">
        <w:rPr>
          <w:rFonts w:ascii="Times New Roman" w:eastAsia="Times New Roman" w:hAnsi="Times New Roman" w:cs="Times New Roman"/>
          <w:b/>
          <w:color w:val="000000"/>
          <w:sz w:val="28"/>
          <w:szCs w:val="28"/>
          <w:lang w:val="en-US"/>
        </w:rPr>
        <w:t>HWE</w:t>
      </w:r>
      <w:r w:rsidRPr="000003BD">
        <w:rPr>
          <w:rFonts w:ascii="Times New Roman" w:eastAsia="Times New Roman" w:hAnsi="Times New Roman" w:cs="Times New Roman"/>
          <w:b/>
          <w:color w:val="000000"/>
          <w:sz w:val="28"/>
          <w:szCs w:val="28"/>
        </w:rPr>
        <w:t>)</w:t>
      </w:r>
      <w:r>
        <w:rPr>
          <w:rFonts w:ascii="Times New Roman" w:eastAsia="Times New Roman" w:hAnsi="Times New Roman" w:cs="Times New Roman"/>
          <w:bCs/>
          <w:color w:val="000000"/>
          <w:sz w:val="28"/>
          <w:szCs w:val="28"/>
        </w:rPr>
        <w:t xml:space="preserve"> – представляет собой математическую модель, объясняющую, каким образом в генофонде популяции сохраняется генетическое равновесие.</w:t>
      </w:r>
    </w:p>
    <w:p w14:paraId="39927654" w14:textId="77777777" w:rsidR="00AD39E9" w:rsidRPr="000003BD" w:rsidRDefault="00AD39E9" w:rsidP="00274A67">
      <w:pPr>
        <w:pStyle w:val="LO-normal"/>
        <w:spacing w:after="0"/>
        <w:ind w:right="-188"/>
        <w:rPr>
          <w:rFonts w:ascii="Times New Roman" w:eastAsia="Times New Roman" w:hAnsi="Times New Roman" w:cs="Times New Roman"/>
          <w:bCs/>
          <w:color w:val="000000"/>
          <w:sz w:val="28"/>
          <w:szCs w:val="28"/>
          <w:lang w:val="kk-KZ"/>
        </w:rPr>
      </w:pPr>
    </w:p>
    <w:p w14:paraId="0B668863" w14:textId="3EC52438" w:rsidR="00274A67" w:rsidRPr="000003BD" w:rsidRDefault="00274A67" w:rsidP="00B43379">
      <w:pPr>
        <w:pStyle w:val="LO-normal"/>
        <w:spacing w:after="0"/>
        <w:ind w:right="-188"/>
        <w:rPr>
          <w:rFonts w:ascii="Times New Roman" w:eastAsia="Times New Roman" w:hAnsi="Times New Roman" w:cs="Times New Roman"/>
          <w:bCs/>
          <w:color w:val="000000"/>
          <w:sz w:val="28"/>
          <w:szCs w:val="28"/>
          <w:lang w:val="kk-KZ"/>
        </w:rPr>
      </w:pPr>
    </w:p>
    <w:p w14:paraId="2D82A7AC" w14:textId="77777777" w:rsidR="00362FCB" w:rsidRPr="000003BD" w:rsidRDefault="00362FCB" w:rsidP="00362FCB">
      <w:pPr>
        <w:pStyle w:val="LO-normal"/>
        <w:jc w:val="center"/>
        <w:rPr>
          <w:lang w:val="kk-KZ"/>
        </w:rPr>
      </w:pPr>
    </w:p>
    <w:p w14:paraId="341F9866" w14:textId="440013E4" w:rsidR="00124829" w:rsidRPr="000003BD" w:rsidRDefault="00124829" w:rsidP="00124829">
      <w:pPr>
        <w:pStyle w:val="LO-normal"/>
        <w:rPr>
          <w:rFonts w:ascii="Times New Roman" w:eastAsia="Times New Roman" w:hAnsi="Times New Roman" w:cs="Times New Roman"/>
          <w:b/>
          <w:sz w:val="28"/>
          <w:szCs w:val="28"/>
          <w:shd w:val="clear" w:color="auto" w:fill="FFFF00"/>
          <w:lang w:val="kk-KZ"/>
        </w:rPr>
      </w:pPr>
    </w:p>
    <w:p w14:paraId="3A90119A" w14:textId="77777777" w:rsidR="00124829" w:rsidRPr="000003BD" w:rsidRDefault="00124829" w:rsidP="00124829">
      <w:pPr>
        <w:pStyle w:val="LO-normal"/>
        <w:rPr>
          <w:rFonts w:ascii="Times New Roman" w:eastAsia="Times New Roman" w:hAnsi="Times New Roman" w:cs="Times New Roman"/>
          <w:b/>
          <w:color w:val="000000" w:themeColor="text1"/>
          <w:sz w:val="28"/>
          <w:szCs w:val="28"/>
          <w:shd w:val="clear" w:color="auto" w:fill="FFFF00"/>
          <w:lang w:val="kk-KZ"/>
        </w:rPr>
      </w:pPr>
    </w:p>
    <w:p w14:paraId="53D4A4C6" w14:textId="7ECFDD29" w:rsidR="00124829" w:rsidRPr="000003BD" w:rsidRDefault="00124829" w:rsidP="00124829">
      <w:pPr>
        <w:pStyle w:val="LO-normal"/>
        <w:spacing w:after="0" w:line="240" w:lineRule="auto"/>
        <w:ind w:firstLine="567"/>
        <w:jc w:val="center"/>
        <w:rPr>
          <w:rFonts w:ascii="Times New Roman" w:eastAsia="Times New Roman" w:hAnsi="Times New Roman" w:cs="Times New Roman"/>
          <w:b/>
          <w:sz w:val="28"/>
          <w:szCs w:val="28"/>
          <w:shd w:val="clear" w:color="auto" w:fill="FFFF00"/>
          <w:lang w:val="kk-KZ"/>
        </w:rPr>
      </w:pPr>
    </w:p>
    <w:p w14:paraId="667BA0F0" w14:textId="75D6ED7D" w:rsidR="00124829" w:rsidRDefault="00124829" w:rsidP="00FA7B43">
      <w:pPr>
        <w:spacing w:after="160" w:line="278" w:lineRule="auto"/>
        <w:textAlignment w:val="auto"/>
        <w:outlineLvl w:val="9"/>
        <w:rPr>
          <w:rFonts w:ascii="Times New Roman" w:eastAsia="Times New Roman" w:hAnsi="Times New Roman"/>
          <w:b/>
          <w:sz w:val="28"/>
          <w:szCs w:val="28"/>
          <w:shd w:val="clear" w:color="auto" w:fill="FFFF00"/>
          <w:lang w:val="kk-KZ"/>
        </w:rPr>
      </w:pPr>
    </w:p>
    <w:p w14:paraId="30A7E279" w14:textId="77777777" w:rsidR="00FA7B43" w:rsidRDefault="00FA7B43" w:rsidP="00FA7B43">
      <w:pPr>
        <w:pStyle w:val="LO-normal"/>
        <w:rPr>
          <w:lang w:val="kk-KZ" w:bidi="ar-SA"/>
        </w:rPr>
      </w:pPr>
    </w:p>
    <w:p w14:paraId="1C4E3A40" w14:textId="62FF211F" w:rsidR="00FA7B43" w:rsidRDefault="00FA7B43" w:rsidP="00FA7B43">
      <w:pPr>
        <w:pStyle w:val="LO-normal"/>
        <w:spacing w:after="0" w:line="240" w:lineRule="auto"/>
        <w:rPr>
          <w:lang w:val="kk-KZ" w:bidi="ar-SA"/>
        </w:rPr>
      </w:pPr>
    </w:p>
    <w:p w14:paraId="19EDE0F6" w14:textId="77777777" w:rsidR="00FA7B43" w:rsidRDefault="00FA7B43" w:rsidP="00FA7B43">
      <w:pPr>
        <w:pStyle w:val="LO-normal"/>
        <w:spacing w:after="0" w:line="240" w:lineRule="auto"/>
        <w:rPr>
          <w:lang w:val="kk-KZ" w:bidi="ar-SA"/>
        </w:rPr>
      </w:pPr>
    </w:p>
    <w:p w14:paraId="71B36023" w14:textId="14B31AA7" w:rsidR="00D45AA4" w:rsidRDefault="00D45AA4">
      <w:pPr>
        <w:spacing w:after="160" w:line="278" w:lineRule="auto"/>
        <w:textAlignment w:val="auto"/>
        <w:outlineLvl w:val="9"/>
        <w:rPr>
          <w:rFonts w:ascii="Times New Roman" w:eastAsia="Calibri" w:hAnsi="Times New Roman"/>
          <w:b/>
          <w:bCs/>
          <w:sz w:val="28"/>
          <w:szCs w:val="28"/>
          <w:lang w:val="kk-KZ"/>
        </w:rPr>
      </w:pPr>
      <w:r>
        <w:rPr>
          <w:rFonts w:ascii="Times New Roman" w:hAnsi="Times New Roman"/>
          <w:b/>
          <w:bCs/>
          <w:sz w:val="28"/>
          <w:szCs w:val="28"/>
          <w:lang w:val="kk-KZ"/>
        </w:rPr>
        <w:br w:type="page"/>
      </w:r>
    </w:p>
    <w:p w14:paraId="79A9AFE4" w14:textId="6DD0E4AA" w:rsidR="00FA7B43" w:rsidRPr="002F1BA4" w:rsidRDefault="00FA7B43" w:rsidP="002F1BA4">
      <w:pPr>
        <w:pStyle w:val="LO-normal"/>
        <w:spacing w:after="0" w:line="240" w:lineRule="auto"/>
        <w:jc w:val="center"/>
        <w:rPr>
          <w:rFonts w:ascii="Times New Roman" w:hAnsi="Times New Roman" w:cs="Times New Roman"/>
          <w:b/>
          <w:bCs/>
          <w:sz w:val="28"/>
          <w:szCs w:val="28"/>
          <w:lang w:val="kk-KZ" w:bidi="ar-SA"/>
        </w:rPr>
      </w:pPr>
      <w:r w:rsidRPr="002F1BA4">
        <w:rPr>
          <w:rFonts w:ascii="Times New Roman" w:hAnsi="Times New Roman" w:cs="Times New Roman"/>
          <w:b/>
          <w:bCs/>
          <w:sz w:val="28"/>
          <w:szCs w:val="28"/>
          <w:lang w:val="kk-KZ" w:bidi="ar-SA"/>
        </w:rPr>
        <w:t>ОБОЗНАЧЕНИЯ И СОКРАЩЕНИЯ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7522"/>
      </w:tblGrid>
      <w:tr w:rsidR="00FA7B43" w:rsidRPr="002F1BA4" w14:paraId="358528E6" w14:textId="77777777" w:rsidTr="00F87B08">
        <w:tc>
          <w:tcPr>
            <w:tcW w:w="1539" w:type="dxa"/>
          </w:tcPr>
          <w:p w14:paraId="3B4AABB7" w14:textId="278ACEFB"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АВК</w:t>
            </w:r>
          </w:p>
        </w:tc>
        <w:tc>
          <w:tcPr>
            <w:tcW w:w="7522" w:type="dxa"/>
          </w:tcPr>
          <w:p w14:paraId="3AAA622D" w14:textId="03373DD7"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Антагонисты витамина К</w:t>
            </w:r>
          </w:p>
        </w:tc>
      </w:tr>
      <w:tr w:rsidR="00FA7B43" w:rsidRPr="002F1BA4" w14:paraId="7595DD64" w14:textId="77777777" w:rsidTr="00F87B08">
        <w:tc>
          <w:tcPr>
            <w:tcW w:w="1539" w:type="dxa"/>
          </w:tcPr>
          <w:p w14:paraId="507EBD25" w14:textId="4924D2A7"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АВСВ1</w:t>
            </w:r>
          </w:p>
        </w:tc>
        <w:tc>
          <w:tcPr>
            <w:tcW w:w="7522" w:type="dxa"/>
          </w:tcPr>
          <w:p w14:paraId="292B1A1F" w14:textId="39B34A49"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АТФ-зависимый белок-транспортер</w:t>
            </w:r>
          </w:p>
        </w:tc>
      </w:tr>
      <w:tr w:rsidR="00FA7B43" w:rsidRPr="002F1BA4" w14:paraId="5381BBA6" w14:textId="77777777" w:rsidTr="00F87B08">
        <w:tc>
          <w:tcPr>
            <w:tcW w:w="1539" w:type="dxa"/>
          </w:tcPr>
          <w:p w14:paraId="115B4622" w14:textId="055C874D"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АЛТ</w:t>
            </w:r>
          </w:p>
        </w:tc>
        <w:tc>
          <w:tcPr>
            <w:tcW w:w="7522" w:type="dxa"/>
          </w:tcPr>
          <w:p w14:paraId="759E431E" w14:textId="1C7E3CE5"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Аланинаминотрансфераза</w:t>
            </w:r>
          </w:p>
        </w:tc>
      </w:tr>
      <w:tr w:rsidR="00FA7B43" w:rsidRPr="002F1BA4" w14:paraId="0A2E2289" w14:textId="77777777" w:rsidTr="00F87B08">
        <w:tc>
          <w:tcPr>
            <w:tcW w:w="1539" w:type="dxa"/>
          </w:tcPr>
          <w:p w14:paraId="3308C2C5" w14:textId="5C91D452"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АСТ</w:t>
            </w:r>
          </w:p>
        </w:tc>
        <w:tc>
          <w:tcPr>
            <w:tcW w:w="7522" w:type="dxa"/>
          </w:tcPr>
          <w:p w14:paraId="7224D5E2" w14:textId="52BE547E"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Аспартатаминотрасфераза</w:t>
            </w:r>
          </w:p>
        </w:tc>
      </w:tr>
      <w:tr w:rsidR="00FA7B43" w:rsidRPr="002F1BA4" w14:paraId="7BA18426" w14:textId="77777777" w:rsidTr="00F87B08">
        <w:tc>
          <w:tcPr>
            <w:tcW w:w="1539" w:type="dxa"/>
          </w:tcPr>
          <w:p w14:paraId="26EF96BF" w14:textId="100B711F"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АЧТВ</w:t>
            </w:r>
          </w:p>
        </w:tc>
        <w:tc>
          <w:tcPr>
            <w:tcW w:w="7522" w:type="dxa"/>
          </w:tcPr>
          <w:p w14:paraId="5076E0F9" w14:textId="5C1E110E"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Активированное частичное тромбопластиновое время</w:t>
            </w:r>
          </w:p>
        </w:tc>
      </w:tr>
      <w:tr w:rsidR="00FA7B43" w:rsidRPr="002F1BA4" w14:paraId="72929E88" w14:textId="77777777" w:rsidTr="00F87B08">
        <w:tc>
          <w:tcPr>
            <w:tcW w:w="1539" w:type="dxa"/>
          </w:tcPr>
          <w:p w14:paraId="7E57A1E2" w14:textId="6CB7ABC9"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ВТЭО</w:t>
            </w:r>
          </w:p>
        </w:tc>
        <w:tc>
          <w:tcPr>
            <w:tcW w:w="7522" w:type="dxa"/>
          </w:tcPr>
          <w:p w14:paraId="02EA5384" w14:textId="04BC1651"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Венозные тромбоэмболические осложнения</w:t>
            </w:r>
          </w:p>
        </w:tc>
      </w:tr>
      <w:tr w:rsidR="00FA7B43" w:rsidRPr="002F1BA4" w14:paraId="0289A5B6" w14:textId="77777777" w:rsidTr="00F87B08">
        <w:tc>
          <w:tcPr>
            <w:tcW w:w="1539" w:type="dxa"/>
          </w:tcPr>
          <w:p w14:paraId="7DD8AE5B" w14:textId="1FC67076"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ДИ</w:t>
            </w:r>
          </w:p>
        </w:tc>
        <w:tc>
          <w:tcPr>
            <w:tcW w:w="7522" w:type="dxa"/>
          </w:tcPr>
          <w:p w14:paraId="7CA5DFDA" w14:textId="7184AFB8"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Доверительный интервал</w:t>
            </w:r>
          </w:p>
        </w:tc>
      </w:tr>
      <w:tr w:rsidR="00FA7B43" w:rsidRPr="002F1BA4" w14:paraId="68E17CE3" w14:textId="77777777" w:rsidTr="00F87B08">
        <w:tc>
          <w:tcPr>
            <w:tcW w:w="1539" w:type="dxa"/>
          </w:tcPr>
          <w:p w14:paraId="75A6DFCD" w14:textId="1311E4B3"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ДНК</w:t>
            </w:r>
          </w:p>
        </w:tc>
        <w:tc>
          <w:tcPr>
            <w:tcW w:w="7522" w:type="dxa"/>
          </w:tcPr>
          <w:p w14:paraId="1DE4AD85" w14:textId="140BD284"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Дезоксирибонуклеиновая кислота</w:t>
            </w:r>
          </w:p>
        </w:tc>
      </w:tr>
      <w:tr w:rsidR="00FA7B43" w:rsidRPr="002F1BA4" w14:paraId="267B83AB" w14:textId="77777777" w:rsidTr="00F87B08">
        <w:tc>
          <w:tcPr>
            <w:tcW w:w="1539" w:type="dxa"/>
          </w:tcPr>
          <w:p w14:paraId="5536A914" w14:textId="0CDB65C6"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ДЭ</w:t>
            </w:r>
          </w:p>
        </w:tc>
        <w:tc>
          <w:tcPr>
            <w:tcW w:w="7522" w:type="dxa"/>
          </w:tcPr>
          <w:p w14:paraId="2D01508A" w14:textId="70E880B3"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Дабигатрана этексилат</w:t>
            </w:r>
          </w:p>
        </w:tc>
      </w:tr>
      <w:tr w:rsidR="00FA7B43" w:rsidRPr="002F1BA4" w14:paraId="5C7CBC01" w14:textId="77777777" w:rsidTr="00F87B08">
        <w:tc>
          <w:tcPr>
            <w:tcW w:w="1539" w:type="dxa"/>
          </w:tcPr>
          <w:p w14:paraId="3A58AADB" w14:textId="2A01AD90"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ЖКК</w:t>
            </w:r>
          </w:p>
        </w:tc>
        <w:tc>
          <w:tcPr>
            <w:tcW w:w="7522" w:type="dxa"/>
          </w:tcPr>
          <w:p w14:paraId="769F6899" w14:textId="655C64F6"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Желудочно-кишечное кровотечение</w:t>
            </w:r>
          </w:p>
        </w:tc>
      </w:tr>
      <w:tr w:rsidR="00FA7B43" w:rsidRPr="002F1BA4" w14:paraId="12CEC8B7" w14:textId="77777777" w:rsidTr="00F87B08">
        <w:tc>
          <w:tcPr>
            <w:tcW w:w="1539" w:type="dxa"/>
          </w:tcPr>
          <w:p w14:paraId="722A70BA" w14:textId="4BAF66A3"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ИМТ</w:t>
            </w:r>
          </w:p>
        </w:tc>
        <w:tc>
          <w:tcPr>
            <w:tcW w:w="7522" w:type="dxa"/>
          </w:tcPr>
          <w:p w14:paraId="61339457" w14:textId="46621DF6"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Индекс массы тела</w:t>
            </w:r>
          </w:p>
        </w:tc>
      </w:tr>
      <w:tr w:rsidR="00FA7B43" w:rsidRPr="002F1BA4" w14:paraId="1C6FCBA3" w14:textId="77777777" w:rsidTr="00F87B08">
        <w:tc>
          <w:tcPr>
            <w:tcW w:w="1539" w:type="dxa"/>
          </w:tcPr>
          <w:p w14:paraId="0FA732D4" w14:textId="5629A6C4"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К2ЭДТА</w:t>
            </w:r>
          </w:p>
        </w:tc>
        <w:tc>
          <w:tcPr>
            <w:tcW w:w="7522" w:type="dxa"/>
          </w:tcPr>
          <w:p w14:paraId="1C55A38B" w14:textId="6E2CB1C0"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Дикал этилендиаминтетрауксусная кислота</w:t>
            </w:r>
          </w:p>
        </w:tc>
      </w:tr>
      <w:tr w:rsidR="009C40E7" w:rsidRPr="002F1BA4" w14:paraId="51431FF4" w14:textId="77777777" w:rsidTr="00F87B08">
        <w:tc>
          <w:tcPr>
            <w:tcW w:w="1539" w:type="dxa"/>
          </w:tcPr>
          <w:p w14:paraId="7C365C8D" w14:textId="5028650D" w:rsidR="009C40E7" w:rsidRPr="002F1BA4" w:rsidRDefault="009C40E7"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ЛЖ</w:t>
            </w:r>
          </w:p>
        </w:tc>
        <w:tc>
          <w:tcPr>
            <w:tcW w:w="7522" w:type="dxa"/>
          </w:tcPr>
          <w:p w14:paraId="4C897B11" w14:textId="37ABFF7E" w:rsidR="009C40E7" w:rsidRPr="002F1BA4" w:rsidRDefault="009C40E7"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Левый желудочек</w:t>
            </w:r>
          </w:p>
        </w:tc>
      </w:tr>
      <w:tr w:rsidR="00FA7B43" w:rsidRPr="002F1BA4" w14:paraId="07518F4B" w14:textId="77777777" w:rsidTr="00F87B08">
        <w:tc>
          <w:tcPr>
            <w:tcW w:w="1539" w:type="dxa"/>
          </w:tcPr>
          <w:p w14:paraId="40DB04B6" w14:textId="3CC89792"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МНО</w:t>
            </w:r>
          </w:p>
        </w:tc>
        <w:tc>
          <w:tcPr>
            <w:tcW w:w="7522" w:type="dxa"/>
          </w:tcPr>
          <w:p w14:paraId="2D50942F" w14:textId="213B5B90"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Международное нормализованное отношение</w:t>
            </w:r>
          </w:p>
        </w:tc>
      </w:tr>
      <w:tr w:rsidR="00FA7B43" w:rsidRPr="002F1BA4" w14:paraId="778676DF" w14:textId="77777777" w:rsidTr="00F87B08">
        <w:tc>
          <w:tcPr>
            <w:tcW w:w="1539" w:type="dxa"/>
          </w:tcPr>
          <w:p w14:paraId="36246F98" w14:textId="30E324C6"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ННКЦ</w:t>
            </w:r>
          </w:p>
        </w:tc>
        <w:tc>
          <w:tcPr>
            <w:tcW w:w="7522" w:type="dxa"/>
          </w:tcPr>
          <w:p w14:paraId="2ED9E081" w14:textId="7A43A5BD"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Национальный научный кардиохирургический центр</w:t>
            </w:r>
          </w:p>
        </w:tc>
      </w:tr>
      <w:tr w:rsidR="00FA7B43" w:rsidRPr="002F1BA4" w14:paraId="2F59B9D7" w14:textId="77777777" w:rsidTr="00F87B08">
        <w:tc>
          <w:tcPr>
            <w:tcW w:w="1539" w:type="dxa"/>
          </w:tcPr>
          <w:p w14:paraId="4B7C2B7E" w14:textId="1D33BC59"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ПОАК</w:t>
            </w:r>
          </w:p>
        </w:tc>
        <w:tc>
          <w:tcPr>
            <w:tcW w:w="7522" w:type="dxa"/>
          </w:tcPr>
          <w:p w14:paraId="759D51D8" w14:textId="1D3CE4DD"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 xml:space="preserve">Прямые </w:t>
            </w:r>
            <w:r w:rsidR="00C9342A">
              <w:rPr>
                <w:rFonts w:ascii="Times New Roman" w:hAnsi="Times New Roman" w:cs="Times New Roman"/>
                <w:sz w:val="28"/>
                <w:szCs w:val="28"/>
                <w:lang w:val="kk-KZ" w:bidi="ar-SA"/>
              </w:rPr>
              <w:t>пер</w:t>
            </w:r>
            <w:r w:rsidRPr="002F1BA4">
              <w:rPr>
                <w:rFonts w:ascii="Times New Roman" w:hAnsi="Times New Roman" w:cs="Times New Roman"/>
                <w:sz w:val="28"/>
                <w:szCs w:val="28"/>
                <w:lang w:val="kk-KZ" w:bidi="ar-SA"/>
              </w:rPr>
              <w:t>оральные антикоагулянты</w:t>
            </w:r>
          </w:p>
        </w:tc>
      </w:tr>
      <w:tr w:rsidR="00FA7B43" w:rsidRPr="002F1BA4" w14:paraId="5D054C22" w14:textId="77777777" w:rsidTr="00F87B08">
        <w:tc>
          <w:tcPr>
            <w:tcW w:w="1539" w:type="dxa"/>
          </w:tcPr>
          <w:p w14:paraId="0063F86B" w14:textId="1B22E587"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ПЦР</w:t>
            </w:r>
          </w:p>
        </w:tc>
        <w:tc>
          <w:tcPr>
            <w:tcW w:w="7522" w:type="dxa"/>
          </w:tcPr>
          <w:p w14:paraId="163DD446" w14:textId="083A4E30"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Полимеразная цепная реакция</w:t>
            </w:r>
          </w:p>
        </w:tc>
      </w:tr>
      <w:tr w:rsidR="009C40E7" w:rsidRPr="002F1BA4" w14:paraId="1E165DCC" w14:textId="77777777" w:rsidTr="00F87B08">
        <w:tc>
          <w:tcPr>
            <w:tcW w:w="1539" w:type="dxa"/>
          </w:tcPr>
          <w:p w14:paraId="642046CD" w14:textId="265BF55A" w:rsidR="009C40E7" w:rsidRPr="002F1BA4" w:rsidRDefault="009C40E7"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ТИА</w:t>
            </w:r>
          </w:p>
        </w:tc>
        <w:tc>
          <w:tcPr>
            <w:tcW w:w="7522" w:type="dxa"/>
          </w:tcPr>
          <w:p w14:paraId="45490A21" w14:textId="5555E481" w:rsidR="009C40E7" w:rsidRPr="002F1BA4" w:rsidRDefault="009C40E7"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Транзиторная ишемическая атака</w:t>
            </w:r>
          </w:p>
        </w:tc>
      </w:tr>
      <w:tr w:rsidR="009C40E7" w:rsidRPr="002F1BA4" w14:paraId="5C26DC6D" w14:textId="77777777" w:rsidTr="00F87B08">
        <w:tc>
          <w:tcPr>
            <w:tcW w:w="1539" w:type="dxa"/>
          </w:tcPr>
          <w:p w14:paraId="269D8DE7" w14:textId="77D73269" w:rsidR="009C40E7" w:rsidRPr="002F1BA4" w:rsidRDefault="009C40E7"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ФВ</w:t>
            </w:r>
          </w:p>
        </w:tc>
        <w:tc>
          <w:tcPr>
            <w:tcW w:w="7522" w:type="dxa"/>
          </w:tcPr>
          <w:p w14:paraId="0559ABF7" w14:textId="4FB9D14E" w:rsidR="009C40E7" w:rsidRPr="002F1BA4" w:rsidRDefault="009C40E7"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Фракция выброса</w:t>
            </w:r>
          </w:p>
        </w:tc>
      </w:tr>
      <w:tr w:rsidR="00FA7B43" w:rsidRPr="002F1BA4" w14:paraId="642677F0" w14:textId="77777777" w:rsidTr="00F87B08">
        <w:tc>
          <w:tcPr>
            <w:tcW w:w="1539" w:type="dxa"/>
          </w:tcPr>
          <w:p w14:paraId="10C24743" w14:textId="163AB03B"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ФП</w:t>
            </w:r>
          </w:p>
        </w:tc>
        <w:tc>
          <w:tcPr>
            <w:tcW w:w="7522" w:type="dxa"/>
          </w:tcPr>
          <w:p w14:paraId="08349435" w14:textId="63881AF9" w:rsidR="009C40E7"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Фибрилляция предсердий</w:t>
            </w:r>
          </w:p>
        </w:tc>
      </w:tr>
      <w:tr w:rsidR="00FA7B43" w:rsidRPr="002F1BA4" w14:paraId="1C32A239" w14:textId="77777777" w:rsidTr="00F87B08">
        <w:tc>
          <w:tcPr>
            <w:tcW w:w="1539" w:type="dxa"/>
          </w:tcPr>
          <w:p w14:paraId="6D6A353E" w14:textId="79FF24F6"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ЦОГ</w:t>
            </w:r>
          </w:p>
        </w:tc>
        <w:tc>
          <w:tcPr>
            <w:tcW w:w="7522" w:type="dxa"/>
          </w:tcPr>
          <w:p w14:paraId="1E898150" w14:textId="7A27378B"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Циклооксигеназа</w:t>
            </w:r>
          </w:p>
        </w:tc>
      </w:tr>
      <w:tr w:rsidR="00FA7B43" w:rsidRPr="002F1BA4" w14:paraId="146F8877" w14:textId="77777777" w:rsidTr="00F87B08">
        <w:tc>
          <w:tcPr>
            <w:tcW w:w="1539" w:type="dxa"/>
          </w:tcPr>
          <w:p w14:paraId="3394C88E" w14:textId="6300C856"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ЧПЭХОКГ</w:t>
            </w:r>
          </w:p>
        </w:tc>
        <w:tc>
          <w:tcPr>
            <w:tcW w:w="7522" w:type="dxa"/>
          </w:tcPr>
          <w:p w14:paraId="6DDEB917" w14:textId="11BCD321"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Чреспищеводная эхокардиография</w:t>
            </w:r>
          </w:p>
        </w:tc>
      </w:tr>
      <w:tr w:rsidR="00FA7B43" w:rsidRPr="002F1BA4" w14:paraId="4BE2D4DC" w14:textId="77777777" w:rsidTr="00F87B08">
        <w:tc>
          <w:tcPr>
            <w:tcW w:w="1539" w:type="dxa"/>
          </w:tcPr>
          <w:p w14:paraId="7A427094" w14:textId="234FA6D7"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ЭКГ</w:t>
            </w:r>
          </w:p>
        </w:tc>
        <w:tc>
          <w:tcPr>
            <w:tcW w:w="7522" w:type="dxa"/>
          </w:tcPr>
          <w:p w14:paraId="61E5E72F" w14:textId="31A63562"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Электрокардиография</w:t>
            </w:r>
          </w:p>
        </w:tc>
      </w:tr>
      <w:tr w:rsidR="00FA7B43" w:rsidRPr="002F1BA4" w14:paraId="45908C09" w14:textId="77777777" w:rsidTr="00F87B08">
        <w:tc>
          <w:tcPr>
            <w:tcW w:w="1539" w:type="dxa"/>
          </w:tcPr>
          <w:p w14:paraId="39F75BF1" w14:textId="7F9B3CCE" w:rsidR="00FA7B43" w:rsidRPr="002F1BA4" w:rsidRDefault="00FA7B43"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ЭХОКГ</w:t>
            </w:r>
          </w:p>
        </w:tc>
        <w:tc>
          <w:tcPr>
            <w:tcW w:w="7522" w:type="dxa"/>
          </w:tcPr>
          <w:p w14:paraId="618EFD19" w14:textId="0D633426" w:rsidR="00FA7B43" w:rsidRPr="009C40E7" w:rsidRDefault="00FA7B43" w:rsidP="00FA7B43">
            <w:pPr>
              <w:pStyle w:val="LO-normal"/>
              <w:spacing w:after="0" w:line="240" w:lineRule="auto"/>
              <w:rPr>
                <w:rFonts w:ascii="Times New Roman" w:hAnsi="Times New Roman" w:cs="Times New Roman"/>
                <w:sz w:val="28"/>
                <w:szCs w:val="28"/>
                <w:lang w:bidi="ar-SA"/>
              </w:rPr>
            </w:pPr>
            <w:r w:rsidRPr="002F1BA4">
              <w:rPr>
                <w:rFonts w:ascii="Times New Roman" w:hAnsi="Times New Roman" w:cs="Times New Roman"/>
                <w:sz w:val="28"/>
                <w:szCs w:val="28"/>
                <w:lang w:val="kk-KZ" w:bidi="ar-SA"/>
              </w:rPr>
              <w:t>Эхокардиография</w:t>
            </w:r>
          </w:p>
        </w:tc>
      </w:tr>
      <w:tr w:rsidR="00FA7B43" w:rsidRPr="002F1BA4" w14:paraId="1F3DBA45" w14:textId="77777777" w:rsidTr="00F87B08">
        <w:tc>
          <w:tcPr>
            <w:tcW w:w="1539" w:type="dxa"/>
          </w:tcPr>
          <w:p w14:paraId="5F0AE34E" w14:textId="2CC353AD"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BCRP</w:t>
            </w:r>
          </w:p>
        </w:tc>
        <w:tc>
          <w:tcPr>
            <w:tcW w:w="7522" w:type="dxa"/>
          </w:tcPr>
          <w:p w14:paraId="3FBF0C0A" w14:textId="649728B0" w:rsidR="00FA7B43" w:rsidRPr="002F1BA4" w:rsidRDefault="00C648E1" w:rsidP="00FA7B43">
            <w:pPr>
              <w:pStyle w:val="LO-normal"/>
              <w:spacing w:after="0" w:line="240" w:lineRule="auto"/>
              <w:rPr>
                <w:rFonts w:ascii="Times New Roman" w:hAnsi="Times New Roman" w:cs="Times New Roman"/>
                <w:sz w:val="28"/>
                <w:szCs w:val="28"/>
                <w:lang w:bidi="ar-SA"/>
              </w:rPr>
            </w:pPr>
            <w:r w:rsidRPr="002F1BA4">
              <w:rPr>
                <w:rFonts w:ascii="Times New Roman" w:hAnsi="Times New Roman" w:cs="Times New Roman"/>
                <w:sz w:val="28"/>
                <w:szCs w:val="28"/>
                <w:lang w:bidi="ar-SA"/>
              </w:rPr>
              <w:t>Белок устойчивости к раку молочной железы</w:t>
            </w:r>
          </w:p>
        </w:tc>
      </w:tr>
      <w:tr w:rsidR="00FA7B43" w:rsidRPr="002F1BA4" w14:paraId="6159E1A3" w14:textId="77777777" w:rsidTr="00F87B08">
        <w:tc>
          <w:tcPr>
            <w:tcW w:w="1539" w:type="dxa"/>
          </w:tcPr>
          <w:p w14:paraId="0892A279" w14:textId="632FD4AE"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CES1</w:t>
            </w:r>
          </w:p>
        </w:tc>
        <w:tc>
          <w:tcPr>
            <w:tcW w:w="7522" w:type="dxa"/>
          </w:tcPr>
          <w:p w14:paraId="7C6F9FFF" w14:textId="18631DAC" w:rsidR="00FA7B43"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Карбоксилэстераза 1</w:t>
            </w:r>
          </w:p>
        </w:tc>
      </w:tr>
      <w:tr w:rsidR="00FA7B43" w:rsidRPr="002F1BA4" w14:paraId="099507DC" w14:textId="77777777" w:rsidTr="00F87B08">
        <w:tc>
          <w:tcPr>
            <w:tcW w:w="1539" w:type="dxa"/>
          </w:tcPr>
          <w:p w14:paraId="4A825CED" w14:textId="57278CD1"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CES2</w:t>
            </w:r>
          </w:p>
        </w:tc>
        <w:tc>
          <w:tcPr>
            <w:tcW w:w="7522" w:type="dxa"/>
          </w:tcPr>
          <w:p w14:paraId="0633BAE1" w14:textId="648081B3" w:rsidR="00FA7B43"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Карбоксилэстераза 2</w:t>
            </w:r>
          </w:p>
        </w:tc>
      </w:tr>
      <w:tr w:rsidR="00FA7B43" w:rsidRPr="002F1BA4" w14:paraId="0F5EA162" w14:textId="77777777" w:rsidTr="00F87B08">
        <w:tc>
          <w:tcPr>
            <w:tcW w:w="1539" w:type="dxa"/>
          </w:tcPr>
          <w:p w14:paraId="48EE8C97" w14:textId="6E518666"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Cssmax</w:t>
            </w:r>
          </w:p>
        </w:tc>
        <w:tc>
          <w:tcPr>
            <w:tcW w:w="7522" w:type="dxa"/>
          </w:tcPr>
          <w:p w14:paraId="029453C7" w14:textId="2D0CF249" w:rsidR="00FA7B43"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Максимальная стационарная концентрация</w:t>
            </w:r>
          </w:p>
        </w:tc>
      </w:tr>
      <w:tr w:rsidR="00FA7B43" w:rsidRPr="002F1BA4" w14:paraId="2EA5B25F" w14:textId="77777777" w:rsidTr="00F87B08">
        <w:tc>
          <w:tcPr>
            <w:tcW w:w="1539" w:type="dxa"/>
          </w:tcPr>
          <w:p w14:paraId="6EC3F6FB" w14:textId="0D1E048D"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Cssmin</w:t>
            </w:r>
          </w:p>
        </w:tc>
        <w:tc>
          <w:tcPr>
            <w:tcW w:w="7522" w:type="dxa"/>
          </w:tcPr>
          <w:p w14:paraId="6EE6FDDB" w14:textId="526FD4C8" w:rsidR="00FA7B43"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Минимальная стационарная концентрация</w:t>
            </w:r>
          </w:p>
        </w:tc>
      </w:tr>
      <w:tr w:rsidR="00FA7B43" w:rsidRPr="002F1BA4" w14:paraId="1BA8687C" w14:textId="77777777" w:rsidTr="00F87B08">
        <w:tc>
          <w:tcPr>
            <w:tcW w:w="1539" w:type="dxa"/>
          </w:tcPr>
          <w:p w14:paraId="1B899861" w14:textId="05A451B5"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FDA</w:t>
            </w:r>
          </w:p>
        </w:tc>
        <w:tc>
          <w:tcPr>
            <w:tcW w:w="7522" w:type="dxa"/>
          </w:tcPr>
          <w:p w14:paraId="08A777B7" w14:textId="686CD317" w:rsidR="00FA7B43"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Управление по санитарному надзору за качеством пищевых продуктов и медикаментов США</w:t>
            </w:r>
          </w:p>
        </w:tc>
      </w:tr>
      <w:tr w:rsidR="00FA7B43" w:rsidRPr="002F1BA4" w14:paraId="20592C32" w14:textId="77777777" w:rsidTr="00F87B08">
        <w:tc>
          <w:tcPr>
            <w:tcW w:w="1539" w:type="dxa"/>
          </w:tcPr>
          <w:p w14:paraId="1C392CE3" w14:textId="6BE17110"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GWAS</w:t>
            </w:r>
          </w:p>
        </w:tc>
        <w:tc>
          <w:tcPr>
            <w:tcW w:w="7522" w:type="dxa"/>
          </w:tcPr>
          <w:p w14:paraId="587BCC4B" w14:textId="2E5E5F8F" w:rsidR="00FA7B43"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Полногеномный поиск ассоциаций</w:t>
            </w:r>
          </w:p>
        </w:tc>
      </w:tr>
      <w:tr w:rsidR="00FA7B43" w:rsidRPr="002F1BA4" w14:paraId="215FAEE2" w14:textId="77777777" w:rsidTr="00F87B08">
        <w:tc>
          <w:tcPr>
            <w:tcW w:w="1539" w:type="dxa"/>
          </w:tcPr>
          <w:p w14:paraId="15C3D484" w14:textId="7D3602B1" w:rsidR="00FA7B43"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HWE</w:t>
            </w:r>
          </w:p>
        </w:tc>
        <w:tc>
          <w:tcPr>
            <w:tcW w:w="7522" w:type="dxa"/>
          </w:tcPr>
          <w:p w14:paraId="14BC92FD" w14:textId="135B69D2" w:rsidR="00FA7B43"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Равновесие Хайди-Вайнберга</w:t>
            </w:r>
          </w:p>
        </w:tc>
      </w:tr>
      <w:tr w:rsidR="00C648E1" w:rsidRPr="002F1BA4" w14:paraId="31918BAB" w14:textId="77777777" w:rsidTr="00F87B08">
        <w:tc>
          <w:tcPr>
            <w:tcW w:w="1539" w:type="dxa"/>
          </w:tcPr>
          <w:p w14:paraId="6855F898" w14:textId="07CE8B7B"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MAF</w:t>
            </w:r>
          </w:p>
        </w:tc>
        <w:tc>
          <w:tcPr>
            <w:tcW w:w="7522" w:type="dxa"/>
          </w:tcPr>
          <w:p w14:paraId="452EDAED" w14:textId="1DF2537E" w:rsidR="00C648E1" w:rsidRPr="002F1BA4" w:rsidRDefault="00C9342A"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Частота минорного аллеля</w:t>
            </w:r>
          </w:p>
        </w:tc>
      </w:tr>
      <w:tr w:rsidR="00C648E1" w:rsidRPr="002F1BA4" w14:paraId="53220566" w14:textId="77777777" w:rsidTr="00F87B08">
        <w:tc>
          <w:tcPr>
            <w:tcW w:w="1539" w:type="dxa"/>
          </w:tcPr>
          <w:p w14:paraId="7CD5B4C3" w14:textId="290952ED"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MPR</w:t>
            </w:r>
          </w:p>
        </w:tc>
        <w:tc>
          <w:tcPr>
            <w:tcW w:w="7522" w:type="dxa"/>
          </w:tcPr>
          <w:p w14:paraId="2D849A59" w14:textId="694DB9C4" w:rsidR="00C648E1" w:rsidRPr="002F1BA4" w:rsidRDefault="00C9342A"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Коэффициент обеспечения лекарством</w:t>
            </w:r>
          </w:p>
        </w:tc>
      </w:tr>
      <w:tr w:rsidR="00C648E1" w:rsidRPr="002F1BA4" w14:paraId="12BAB50F" w14:textId="77777777" w:rsidTr="00F87B08">
        <w:tc>
          <w:tcPr>
            <w:tcW w:w="1539" w:type="dxa"/>
          </w:tcPr>
          <w:p w14:paraId="197DF435" w14:textId="3D6152B3"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NICE</w:t>
            </w:r>
          </w:p>
        </w:tc>
        <w:tc>
          <w:tcPr>
            <w:tcW w:w="7522" w:type="dxa"/>
          </w:tcPr>
          <w:p w14:paraId="100E6162" w14:textId="328C8610" w:rsidR="00C648E1"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Национальный институт здоровья и клинического совершенствования Великобритании</w:t>
            </w:r>
          </w:p>
        </w:tc>
      </w:tr>
      <w:tr w:rsidR="00C648E1" w:rsidRPr="002F1BA4" w14:paraId="3DFC248B" w14:textId="77777777" w:rsidTr="00F87B08">
        <w:tc>
          <w:tcPr>
            <w:tcW w:w="1539" w:type="dxa"/>
          </w:tcPr>
          <w:p w14:paraId="092D4C89" w14:textId="79BF83B4"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PDC</w:t>
            </w:r>
          </w:p>
        </w:tc>
        <w:tc>
          <w:tcPr>
            <w:tcW w:w="7522" w:type="dxa"/>
          </w:tcPr>
          <w:p w14:paraId="29DDD333" w14:textId="09AF3FF4" w:rsidR="00C648E1" w:rsidRPr="002F1BA4" w:rsidRDefault="00C9342A" w:rsidP="00FA7B43">
            <w:pPr>
              <w:pStyle w:val="LO-normal"/>
              <w:spacing w:after="0" w:line="240" w:lineRule="auto"/>
              <w:rPr>
                <w:rFonts w:ascii="Times New Roman" w:hAnsi="Times New Roman" w:cs="Times New Roman"/>
                <w:sz w:val="28"/>
                <w:szCs w:val="28"/>
                <w:lang w:val="kk-KZ" w:bidi="ar-SA"/>
              </w:rPr>
            </w:pPr>
            <w:r>
              <w:rPr>
                <w:rFonts w:ascii="Times New Roman" w:hAnsi="Times New Roman" w:cs="Times New Roman"/>
                <w:sz w:val="28"/>
                <w:szCs w:val="28"/>
                <w:lang w:val="kk-KZ" w:bidi="ar-SA"/>
              </w:rPr>
              <w:t>Плазменная концентрация дабигатрана этексилата</w:t>
            </w:r>
          </w:p>
        </w:tc>
      </w:tr>
      <w:tr w:rsidR="00C648E1" w:rsidRPr="002F1BA4" w14:paraId="564FFB68" w14:textId="77777777" w:rsidTr="00F87B08">
        <w:tc>
          <w:tcPr>
            <w:tcW w:w="1539" w:type="dxa"/>
          </w:tcPr>
          <w:p w14:paraId="35C47879" w14:textId="1431A76A"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PIVKA</w:t>
            </w:r>
          </w:p>
        </w:tc>
        <w:tc>
          <w:tcPr>
            <w:tcW w:w="7522" w:type="dxa"/>
          </w:tcPr>
          <w:p w14:paraId="4D4E779F" w14:textId="324A0838" w:rsidR="00C648E1"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 xml:space="preserve">Частично карбоксилированные формы факторов свертывания </w:t>
            </w:r>
          </w:p>
        </w:tc>
      </w:tr>
      <w:tr w:rsidR="00C648E1" w:rsidRPr="002F1BA4" w14:paraId="7475544F" w14:textId="77777777" w:rsidTr="00F87B08">
        <w:tc>
          <w:tcPr>
            <w:tcW w:w="1539" w:type="dxa"/>
          </w:tcPr>
          <w:p w14:paraId="0EAB9286" w14:textId="2BCC67FB"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SNP</w:t>
            </w:r>
          </w:p>
        </w:tc>
        <w:tc>
          <w:tcPr>
            <w:tcW w:w="7522" w:type="dxa"/>
          </w:tcPr>
          <w:p w14:paraId="6720E81B" w14:textId="336DD659" w:rsidR="00C648E1"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Однонуклеотидные полиморфизмы</w:t>
            </w:r>
          </w:p>
        </w:tc>
      </w:tr>
      <w:tr w:rsidR="00C648E1" w:rsidRPr="002F1BA4" w14:paraId="19CE4F92" w14:textId="77777777" w:rsidTr="00F87B08">
        <w:tc>
          <w:tcPr>
            <w:tcW w:w="1539" w:type="dxa"/>
          </w:tcPr>
          <w:p w14:paraId="4C72F0ED" w14:textId="56D7EAB2"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SNV</w:t>
            </w:r>
          </w:p>
        </w:tc>
        <w:tc>
          <w:tcPr>
            <w:tcW w:w="7522" w:type="dxa"/>
          </w:tcPr>
          <w:p w14:paraId="709185FE" w14:textId="1A5EBDBF" w:rsidR="00C648E1" w:rsidRPr="00C9342A" w:rsidRDefault="00C9342A" w:rsidP="00FA7B43">
            <w:pPr>
              <w:pStyle w:val="LO-normal"/>
              <w:spacing w:after="0" w:line="240" w:lineRule="auto"/>
              <w:rPr>
                <w:rFonts w:ascii="Times New Roman" w:hAnsi="Times New Roman" w:cs="Times New Roman"/>
                <w:sz w:val="28"/>
                <w:szCs w:val="28"/>
                <w:lang w:bidi="ar-SA"/>
              </w:rPr>
            </w:pPr>
            <w:r>
              <w:rPr>
                <w:rFonts w:ascii="Times New Roman" w:hAnsi="Times New Roman" w:cs="Times New Roman"/>
                <w:sz w:val="28"/>
                <w:szCs w:val="28"/>
                <w:lang w:bidi="ar-SA"/>
              </w:rPr>
              <w:t>Однонуклеотидный вариант</w:t>
            </w:r>
          </w:p>
        </w:tc>
      </w:tr>
      <w:tr w:rsidR="00457339" w:rsidRPr="00457339" w14:paraId="352CE733" w14:textId="77777777" w:rsidTr="00F87B08">
        <w:tc>
          <w:tcPr>
            <w:tcW w:w="1539" w:type="dxa"/>
          </w:tcPr>
          <w:p w14:paraId="1E667D5D" w14:textId="05F76E53" w:rsidR="00457339" w:rsidRPr="00457339" w:rsidRDefault="00457339" w:rsidP="00FA7B43">
            <w:pPr>
              <w:pStyle w:val="LO-normal"/>
              <w:spacing w:after="0" w:line="240" w:lineRule="auto"/>
              <w:rPr>
                <w:rFonts w:ascii="Times New Roman" w:hAnsi="Times New Roman" w:cs="Times New Roman"/>
                <w:sz w:val="28"/>
                <w:szCs w:val="28"/>
                <w:lang w:val="en-US" w:bidi="ar-SA"/>
              </w:rPr>
            </w:pPr>
            <w:r>
              <w:rPr>
                <w:rFonts w:ascii="Times New Roman" w:hAnsi="Times New Roman" w:cs="Times New Roman"/>
                <w:sz w:val="28"/>
                <w:szCs w:val="28"/>
                <w:lang w:val="en-US" w:bidi="ar-SA"/>
              </w:rPr>
              <w:t>TTR</w:t>
            </w:r>
          </w:p>
        </w:tc>
        <w:tc>
          <w:tcPr>
            <w:tcW w:w="7522" w:type="dxa"/>
          </w:tcPr>
          <w:p w14:paraId="5CE41600" w14:textId="0394EE70" w:rsidR="00457339" w:rsidRPr="00457339" w:rsidRDefault="00457339" w:rsidP="00FA7B43">
            <w:pPr>
              <w:pStyle w:val="LO-normal"/>
              <w:spacing w:after="0" w:line="240" w:lineRule="auto"/>
              <w:rPr>
                <w:rFonts w:ascii="Times New Roman" w:hAnsi="Times New Roman" w:cs="Times New Roman"/>
                <w:sz w:val="28"/>
                <w:szCs w:val="28"/>
                <w:lang w:val="ru-KZ" w:bidi="ar-SA"/>
              </w:rPr>
            </w:pPr>
            <w:r>
              <w:rPr>
                <w:rFonts w:ascii="Times New Roman" w:hAnsi="Times New Roman" w:cs="Times New Roman"/>
                <w:sz w:val="28"/>
                <w:szCs w:val="28"/>
                <w:lang w:val="ru-KZ" w:bidi="ar-SA"/>
              </w:rPr>
              <w:t xml:space="preserve">Time in therapeutic range </w:t>
            </w:r>
          </w:p>
        </w:tc>
      </w:tr>
      <w:tr w:rsidR="00C648E1" w:rsidRPr="002F1BA4" w14:paraId="48FF47FC" w14:textId="77777777" w:rsidTr="00F87B08">
        <w:tc>
          <w:tcPr>
            <w:tcW w:w="1539" w:type="dxa"/>
          </w:tcPr>
          <w:p w14:paraId="48FA25C2" w14:textId="57A6C0C1" w:rsidR="00C648E1" w:rsidRPr="002F1BA4" w:rsidRDefault="00C648E1" w:rsidP="00FA7B43">
            <w:pPr>
              <w:pStyle w:val="LO-normal"/>
              <w:spacing w:after="0" w:line="240" w:lineRule="auto"/>
              <w:rPr>
                <w:rFonts w:ascii="Times New Roman" w:hAnsi="Times New Roman" w:cs="Times New Roman"/>
                <w:sz w:val="28"/>
                <w:szCs w:val="28"/>
                <w:lang w:val="en-US" w:bidi="ar-SA"/>
              </w:rPr>
            </w:pPr>
            <w:r w:rsidRPr="002F1BA4">
              <w:rPr>
                <w:rFonts w:ascii="Times New Roman" w:hAnsi="Times New Roman" w:cs="Times New Roman"/>
                <w:sz w:val="28"/>
                <w:szCs w:val="28"/>
                <w:lang w:val="en-US" w:bidi="ar-SA"/>
              </w:rPr>
              <w:t>VKOR</w:t>
            </w:r>
          </w:p>
        </w:tc>
        <w:tc>
          <w:tcPr>
            <w:tcW w:w="7522" w:type="dxa"/>
          </w:tcPr>
          <w:p w14:paraId="3F876A21" w14:textId="4C46FB2B" w:rsidR="00C648E1" w:rsidRPr="002F1BA4" w:rsidRDefault="00C648E1" w:rsidP="00FA7B43">
            <w:pPr>
              <w:pStyle w:val="LO-normal"/>
              <w:spacing w:after="0" w:line="240" w:lineRule="auto"/>
              <w:rPr>
                <w:rFonts w:ascii="Times New Roman" w:hAnsi="Times New Roman" w:cs="Times New Roman"/>
                <w:sz w:val="28"/>
                <w:szCs w:val="28"/>
                <w:lang w:val="kk-KZ" w:bidi="ar-SA"/>
              </w:rPr>
            </w:pPr>
            <w:r w:rsidRPr="002F1BA4">
              <w:rPr>
                <w:rFonts w:ascii="Times New Roman" w:hAnsi="Times New Roman" w:cs="Times New Roman"/>
                <w:sz w:val="28"/>
                <w:szCs w:val="28"/>
                <w:lang w:val="kk-KZ" w:bidi="ar-SA"/>
              </w:rPr>
              <w:t>Эпоксидредуктаза витамина К</w:t>
            </w:r>
          </w:p>
        </w:tc>
      </w:tr>
    </w:tbl>
    <w:p w14:paraId="39A91803" w14:textId="103C5313" w:rsidR="002F1BA4" w:rsidRPr="0079144C" w:rsidRDefault="002F1BA4" w:rsidP="0079144C">
      <w:pPr>
        <w:spacing w:after="160" w:line="278" w:lineRule="auto"/>
        <w:jc w:val="center"/>
        <w:textAlignment w:val="auto"/>
        <w:outlineLvl w:val="9"/>
        <w:rPr>
          <w:rFonts w:ascii="Times New Roman" w:eastAsia="Calibri" w:hAnsi="Times New Roman"/>
          <w:sz w:val="28"/>
          <w:szCs w:val="28"/>
        </w:rPr>
      </w:pPr>
      <w:r w:rsidRPr="002F1BA4">
        <w:rPr>
          <w:rFonts w:ascii="Times New Roman" w:hAnsi="Times New Roman"/>
          <w:sz w:val="28"/>
          <w:szCs w:val="28"/>
        </w:rPr>
        <w:br w:type="page"/>
      </w:r>
      <w:r w:rsidRPr="002F1BA4">
        <w:rPr>
          <w:rFonts w:ascii="Times New Roman" w:hAnsi="Times New Roman"/>
          <w:b/>
          <w:bCs/>
          <w:sz w:val="28"/>
          <w:szCs w:val="28"/>
        </w:rPr>
        <w:t>ВВЕДЕНИЕ</w:t>
      </w:r>
    </w:p>
    <w:p w14:paraId="49DAEB08" w14:textId="21E418DD" w:rsidR="002F1BA4" w:rsidRPr="00D45AA4" w:rsidRDefault="002F1BA4" w:rsidP="009B0CEF">
      <w:pPr>
        <w:pStyle w:val="LO-normal"/>
        <w:spacing w:after="0" w:line="240" w:lineRule="auto"/>
        <w:ind w:firstLine="567"/>
        <w:rPr>
          <w:rFonts w:ascii="Times New Roman" w:hAnsi="Times New Roman" w:cs="Times New Roman"/>
          <w:b/>
          <w:bCs/>
          <w:sz w:val="28"/>
          <w:szCs w:val="28"/>
          <w:lang w:bidi="ar-SA"/>
        </w:rPr>
      </w:pPr>
      <w:r w:rsidRPr="00D45AA4">
        <w:rPr>
          <w:rFonts w:ascii="Times New Roman" w:hAnsi="Times New Roman" w:cs="Times New Roman"/>
          <w:b/>
          <w:bCs/>
          <w:sz w:val="28"/>
          <w:szCs w:val="28"/>
          <w:lang w:bidi="ar-SA"/>
        </w:rPr>
        <w:t>Актуальность темы</w:t>
      </w:r>
    </w:p>
    <w:p w14:paraId="34782EEC" w14:textId="0837CA5D" w:rsidR="002F1BA4" w:rsidRPr="0070134E" w:rsidRDefault="002F1BA4" w:rsidP="004467D0">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Фибрилляция предсердий (ФП) – преобладающая клинически значимая аритмия, на долю которой приходится до 40% нарушений ритма, которая ассоциируется с увеличением риска развития тромбоэмболических осложнений, самым грозным среди которых считается кардиоэмболический инсульт</w:t>
      </w:r>
      <w:r w:rsidR="00AE670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PJFqDIGj","properties":{"unsorted":false,"formattedCitation":"[1\\uc0\\u8211{}3]","plainCitation":"[1–3]","noteIndex":0},"citationItems":[{"id":289,"uris":["http://zotero.org/users/14784094/items/8LVD6QNF"],"itemData":{"id":289,"type":"article-journal","abstract":"OBJECTIVES: Though atrial fibrillation (AF) is an important cause of cardiovascular morbidity, there are few large epidemiological studies of its prevalence, incidence, and risk factors. The epidemiological features of AF are described in one of the largest population cohorts ever studied.\nMETHODS: The prevalence and incidence of AF were studied in the Renfrew/Paisley population cohort of 15 406 men and women aged 45-64 years living in the west of Scotland. This cohort was initially screened between 1972 and 1976 and again between 1977 and 1979. Incident hospitalisations with AF in the 20 year period following initial screening were also studied.\nRESULTS: The population prevalence of AF in this cohort was 6.5 cases/1000 examinations. Prevalence was higher in men and older subjects. In those who were rescreened, the four year incidence of AF was 0.54 cases/1000 person years. Radiological cardiomegaly was the most powerful predictor of new AF (adjusted odds ratio 14.0). During 20 year follow up, 3.5% of this cohort was discharged from hospital with a diagnosis of AF; the rate of incident hospitalisation for AF was 1.9 cases/1000 person years. Radiological cardiomegaly (adjusted odds ratio 1.46) and systolic blood pressure (adjusted odds ratio 2.1 for &gt;/= 169 mm Hg) were independent predictors of this outcome.\nCONCLUSIONS: Data from one of the largest epidemiological studies ever undertaken confirm that AF has a large population prevalence and incidence, even in middle aged people. More important, it was shown that the long term incidence of hospitalisation related to AF is high and that two simple clinical measurements are highly predictive of incident AF. These findings have important implications for the prevention of AF.","container-title":"Heart (British Cardiac Society)","DOI":"10.1136/heart.86.5.516","ISSN":"1468-201X","issue":"5","journalAbbreviation":"Heart","language":"eng","page":"516-521","PMID":"11602543","PMCID":"PMC1729985","source":"PubMed","title":"Population prevalence, incidence, and predictors of atrial fibrillation in the Renfrew/Paisley study","volume":"86","author":[{"family":"Stewart","given":"S."},{"family":"Hart","given":"C. L."},{"family":"Hole","given":"D. J."},{"family":"McMurray","given":"J. J."}],"issued":{"date-parts":[["2001",11]]}}},{"id":637,"uris":["http://zotero.org/users/14784094/items/4DCSD8H7"],"itemData":{"id":637,"type":"webpage","title":"Эпидемиология фибрилляции предсердий","URL":"https://cyberleninka.ru/article/n/epidemiologiya-fibrillyatsii-predserdiy/viewer","accessed":{"date-parts":[["2024",9,8]]}}},{"id":644,"uris":["http://zotero.org/users/14784094/items/EEE3GMVY"],"itemData":{"id":644,"type":"webpage","title":"ВЛИЯНИЯ ФП (ФИБРИЛЛЯЦИЯ ПРЕДСЕРДИЙ) НА РАЗВИТИЕ ИШЕМИЧЕСКОГО ИНСУЛЬТА","URL":"https://cyberleninka.ru/article/n/vliyaniya-fp-fibrillyatsiya-predserdiy-na-razvitie-ishemicheskogo-insulta/viewer","accessed":{"date-parts":[["2024",9,8]]}}}],"schema":"https://github.com/citation-style-language/schema/raw/master/csl-citation.json"} </w:instrText>
      </w:r>
      <w:r w:rsidR="00AE6701">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[1–3]</w:t>
      </w:r>
      <w:r w:rsidR="00AE6701">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Распространенность ФП в общей популяции составляет </w:t>
      </w:r>
      <w:r w:rsidR="004467D0">
        <w:rPr>
          <w:rFonts w:ascii="Times New Roman" w:hAnsi="Times New Roman" w:cs="Times New Roman"/>
          <w:sz w:val="28"/>
          <w:szCs w:val="28"/>
          <w:lang w:val="en-US" w:bidi="ar-SA"/>
        </w:rPr>
        <w:t xml:space="preserve">          </w:t>
      </w:r>
      <w:r w:rsidRPr="004467D0">
        <w:rPr>
          <w:rFonts w:ascii="Times New Roman" w:hAnsi="Times New Roman" w:cs="Times New Roman"/>
          <w:sz w:val="28"/>
          <w:szCs w:val="28"/>
          <w:lang w:val="en-US" w:bidi="ar-SA"/>
        </w:rPr>
        <w:t>1-2%</w:t>
      </w:r>
      <w:r w:rsidR="00AE6701">
        <w:rPr>
          <w:rFonts w:ascii="Times New Roman" w:hAnsi="Times New Roman" w:cs="Times New Roman"/>
          <w:sz w:val="28"/>
          <w:szCs w:val="28"/>
          <w:lang w:bidi="ar-SA"/>
        </w:rPr>
        <w:fldChar w:fldCharType="begin"/>
      </w:r>
      <w:r w:rsidR="00171CCC">
        <w:rPr>
          <w:rFonts w:ascii="Times New Roman" w:hAnsi="Times New Roman" w:cs="Times New Roman"/>
          <w:sz w:val="28"/>
          <w:szCs w:val="28"/>
          <w:lang w:val="en-US" w:bidi="ar-SA"/>
        </w:rPr>
        <w:instrText xml:space="preserve"> ADDIN ZOTERO_ITEM CSL_CITATION {"citationID":"bUABeDoC","properties":{"unsorted":false,"formattedCitation":"[1,4]","plainCitation":"[1,4]","noteIndex":0},"citationItems":[{"id":289,"uris":["http://zotero.org/users/14784094/items/8LVD6QNF"],"itemData":{"id":289,"type":"article-journal","abstract":"OBJECTIVES: Though atrial fibrillation (AF) is an important cause of cardiovascular morbidity, there are few large epidemiological studies of its prevalence, incidence, and risk factors. The epidemiological features of AF are described in one of the largest population cohorts ever studied.\nMETHODS: The prevalence and incidence of AF were studied in the Renfrew/Paisley population cohort of 15 406 men and women aged 45-64 years living in the west of Scotland. This cohort was initially screened between 1972 and 1976 and again between 1977 and 1979. Incident hospitalisations with AF in the 20 year period following initial screening were also studied.\nRESULTS: The population prevalence of AF in this cohort was 6.5 cases/1000 examinations. Prevalence was higher in men and older subjects. In those who were rescreened, the four year incidence of AF was 0.54 cases/1000 person years. Radiological cardiomegaly was the most powerful predictor of new AF (adjusted odds ratio 14.0). During 20 year follow up, 3.5% of this cohort was discharged from hospital with a diagnosis of AF; the rate of incident hospitalisation for AF was 1.9 cases/1000 person years. Radiological cardiomegaly (adjusted odds ratio 1.46) and systolic blood pressure (adjusted odds ratio 2.1 for &gt;/= 169 mm Hg) were independent predictors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this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outcome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nCONCLUSIONS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Data</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from</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one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largest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epidemiological</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studies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ever</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undertaken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confirm</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that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has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large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population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prevalence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and</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incidence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even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middle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aged</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people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More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important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was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shown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that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long</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term</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incidence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hospitalisation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related</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to</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high</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and</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that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two</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simple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clinical</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measurements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are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highly</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predictive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incident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These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findings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have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important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implications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for</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prevention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AF</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container</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title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Heart</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British</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Cardiac</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Society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DOI</w:instrText>
      </w:r>
      <w:r w:rsidR="00171CCC" w:rsidRPr="00FF489D">
        <w:rPr>
          <w:rFonts w:ascii="Times New Roman" w:hAnsi="Times New Roman" w:cs="Times New Roman"/>
          <w:sz w:val="28"/>
          <w:szCs w:val="28"/>
          <w:lang w:bidi="ar-SA"/>
        </w:rPr>
        <w:instrText>":"10.1136/</w:instrText>
      </w:r>
      <w:r w:rsidR="00171CCC">
        <w:rPr>
          <w:rFonts w:ascii="Times New Roman" w:hAnsi="Times New Roman" w:cs="Times New Roman"/>
          <w:sz w:val="28"/>
          <w:szCs w:val="28"/>
          <w:lang w:val="en-US" w:bidi="ar-SA"/>
        </w:rPr>
        <w:instrText>heart</w:instrText>
      </w:r>
      <w:r w:rsidR="00171CCC" w:rsidRPr="00FF489D">
        <w:rPr>
          <w:rFonts w:ascii="Times New Roman" w:hAnsi="Times New Roman" w:cs="Times New Roman"/>
          <w:sz w:val="28"/>
          <w:szCs w:val="28"/>
          <w:lang w:bidi="ar-SA"/>
        </w:rPr>
        <w:instrText>.86.5.516","</w:instrText>
      </w:r>
      <w:r w:rsidR="00171CCC">
        <w:rPr>
          <w:rFonts w:ascii="Times New Roman" w:hAnsi="Times New Roman" w:cs="Times New Roman"/>
          <w:sz w:val="28"/>
          <w:szCs w:val="28"/>
          <w:lang w:val="en-US" w:bidi="ar-SA"/>
        </w:rPr>
        <w:instrText>ISSN</w:instrText>
      </w:r>
      <w:r w:rsidR="00171CCC" w:rsidRPr="00FF489D">
        <w:rPr>
          <w:rFonts w:ascii="Times New Roman" w:hAnsi="Times New Roman" w:cs="Times New Roman"/>
          <w:sz w:val="28"/>
          <w:szCs w:val="28"/>
          <w:lang w:bidi="ar-SA"/>
        </w:rPr>
        <w:instrText>":"1468-201</w:instrText>
      </w:r>
      <w:r w:rsidR="00171CCC">
        <w:rPr>
          <w:rFonts w:ascii="Times New Roman" w:hAnsi="Times New Roman" w:cs="Times New Roman"/>
          <w:sz w:val="28"/>
          <w:szCs w:val="28"/>
          <w:lang w:val="en-US" w:bidi="ar-SA"/>
        </w:rPr>
        <w:instrText>X</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issue</w:instrText>
      </w:r>
      <w:r w:rsidR="00171CCC" w:rsidRPr="00FF489D">
        <w:rPr>
          <w:rFonts w:ascii="Times New Roman" w:hAnsi="Times New Roman" w:cs="Times New Roman"/>
          <w:sz w:val="28"/>
          <w:szCs w:val="28"/>
          <w:lang w:bidi="ar-SA"/>
        </w:rPr>
        <w:instrText>":"5","</w:instrText>
      </w:r>
      <w:r w:rsidR="00171CCC">
        <w:rPr>
          <w:rFonts w:ascii="Times New Roman" w:hAnsi="Times New Roman" w:cs="Times New Roman"/>
          <w:sz w:val="28"/>
          <w:szCs w:val="28"/>
          <w:lang w:val="en-US" w:bidi="ar-SA"/>
        </w:rPr>
        <w:instrText>journalAbbreviation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Heart</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language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eng</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page</w:instrText>
      </w:r>
      <w:r w:rsidR="00171CCC" w:rsidRPr="00FF489D">
        <w:rPr>
          <w:rFonts w:ascii="Times New Roman" w:hAnsi="Times New Roman" w:cs="Times New Roman"/>
          <w:sz w:val="28"/>
          <w:szCs w:val="28"/>
          <w:lang w:bidi="ar-SA"/>
        </w:rPr>
        <w:instrText>":"516-521","</w:instrText>
      </w:r>
      <w:r w:rsidR="00171CCC">
        <w:rPr>
          <w:rFonts w:ascii="Times New Roman" w:hAnsi="Times New Roman" w:cs="Times New Roman"/>
          <w:sz w:val="28"/>
          <w:szCs w:val="28"/>
          <w:lang w:val="en-US" w:bidi="ar-SA"/>
        </w:rPr>
        <w:instrText>PMID</w:instrText>
      </w:r>
      <w:r w:rsidR="00171CCC" w:rsidRPr="00FF489D">
        <w:rPr>
          <w:rFonts w:ascii="Times New Roman" w:hAnsi="Times New Roman" w:cs="Times New Roman"/>
          <w:sz w:val="28"/>
          <w:szCs w:val="28"/>
          <w:lang w:bidi="ar-SA"/>
        </w:rPr>
        <w:instrText>":"11602543","</w:instrText>
      </w:r>
      <w:r w:rsidR="00171CCC">
        <w:rPr>
          <w:rFonts w:ascii="Times New Roman" w:hAnsi="Times New Roman" w:cs="Times New Roman"/>
          <w:sz w:val="28"/>
          <w:szCs w:val="28"/>
          <w:lang w:val="en-US" w:bidi="ar-SA"/>
        </w:rPr>
        <w:instrText>PMCID</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PMC</w:instrText>
      </w:r>
      <w:r w:rsidR="00171CCC" w:rsidRPr="00FF489D">
        <w:rPr>
          <w:rFonts w:ascii="Times New Roman" w:hAnsi="Times New Roman" w:cs="Times New Roman"/>
          <w:sz w:val="28"/>
          <w:szCs w:val="28"/>
          <w:lang w:bidi="ar-SA"/>
        </w:rPr>
        <w:instrText>1729985","</w:instrText>
      </w:r>
      <w:r w:rsidR="00171CCC">
        <w:rPr>
          <w:rFonts w:ascii="Times New Roman" w:hAnsi="Times New Roman" w:cs="Times New Roman"/>
          <w:sz w:val="28"/>
          <w:szCs w:val="28"/>
          <w:lang w:val="en-US" w:bidi="ar-SA"/>
        </w:rPr>
        <w:instrText>source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PubMed</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title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Population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prevalence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incidence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and</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predictors</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of</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atrial</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fibrillation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in</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the</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Renfrew</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Paisley</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study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volume</w:instrText>
      </w:r>
      <w:r w:rsidR="00171CCC" w:rsidRPr="00FF489D">
        <w:rPr>
          <w:rFonts w:ascii="Times New Roman" w:hAnsi="Times New Roman" w:cs="Times New Roman"/>
          <w:sz w:val="28"/>
          <w:szCs w:val="28"/>
          <w:lang w:bidi="ar-SA"/>
        </w:rPr>
        <w:instrText>":"86","</w:instrText>
      </w:r>
      <w:r w:rsidR="00171CCC">
        <w:rPr>
          <w:rFonts w:ascii="Times New Roman" w:hAnsi="Times New Roman" w:cs="Times New Roman"/>
          <w:sz w:val="28"/>
          <w:szCs w:val="28"/>
          <w:lang w:val="en-US" w:bidi="ar-SA"/>
        </w:rPr>
        <w:instrText>author</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family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Stewart</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given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S</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family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Hart</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given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C</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L</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family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Hole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given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D</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J</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family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McMurray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given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J</w:instrText>
      </w:r>
      <w:r w:rsidR="00171CCC" w:rsidRPr="00FF489D">
        <w:rPr>
          <w:rFonts w:ascii="Times New Roman" w:hAnsi="Times New Roman" w:cs="Times New Roman"/>
          <w:sz w:val="28"/>
          <w:szCs w:val="28"/>
          <w:lang w:bidi="ar-SA"/>
        </w:rPr>
        <w:instrText xml:space="preserve">. </w:instrText>
      </w:r>
      <w:r w:rsidR="00171CCC">
        <w:rPr>
          <w:rFonts w:ascii="Times New Roman" w:hAnsi="Times New Roman" w:cs="Times New Roman"/>
          <w:sz w:val="28"/>
          <w:szCs w:val="28"/>
          <w:lang w:val="en-US" w:bidi="ar-SA"/>
        </w:rPr>
        <w:instrText>J</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issued</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date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parts</w:instrText>
      </w:r>
      <w:r w:rsidR="00171CCC" w:rsidRPr="00FF489D">
        <w:rPr>
          <w:rFonts w:ascii="Times New Roman" w:hAnsi="Times New Roman" w:cs="Times New Roman"/>
          <w:sz w:val="28"/>
          <w:szCs w:val="28"/>
          <w:lang w:bidi="ar-SA"/>
        </w:rPr>
        <w:instrText>":[["2001",11]]}}},{"</w:instrText>
      </w:r>
      <w:r w:rsidR="00171CCC">
        <w:rPr>
          <w:rFonts w:ascii="Times New Roman" w:hAnsi="Times New Roman" w:cs="Times New Roman"/>
          <w:sz w:val="28"/>
          <w:szCs w:val="28"/>
          <w:lang w:val="en-US" w:bidi="ar-SA"/>
        </w:rPr>
        <w:instrText>id</w:instrText>
      </w:r>
      <w:r w:rsidR="00171CCC" w:rsidRPr="00FF489D">
        <w:rPr>
          <w:rFonts w:ascii="Times New Roman" w:hAnsi="Times New Roman" w:cs="Times New Roman"/>
          <w:sz w:val="28"/>
          <w:szCs w:val="28"/>
          <w:lang w:bidi="ar-SA"/>
        </w:rPr>
        <w:instrText>":635,"</w:instrText>
      </w:r>
      <w:r w:rsidR="00171CCC">
        <w:rPr>
          <w:rFonts w:ascii="Times New Roman" w:hAnsi="Times New Roman" w:cs="Times New Roman"/>
          <w:sz w:val="28"/>
          <w:szCs w:val="28"/>
          <w:lang w:val="en-US" w:bidi="ar-SA"/>
        </w:rPr>
        <w:instrText>uris</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http</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zotero</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org</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users</w:instrText>
      </w:r>
      <w:r w:rsidR="00171CCC" w:rsidRPr="00FF489D">
        <w:rPr>
          <w:rFonts w:ascii="Times New Roman" w:hAnsi="Times New Roman" w:cs="Times New Roman"/>
          <w:sz w:val="28"/>
          <w:szCs w:val="28"/>
          <w:lang w:bidi="ar-SA"/>
        </w:rPr>
        <w:instrText>/14784094/</w:instrText>
      </w:r>
      <w:r w:rsidR="00171CCC">
        <w:rPr>
          <w:rFonts w:ascii="Times New Roman" w:hAnsi="Times New Roman" w:cs="Times New Roman"/>
          <w:sz w:val="28"/>
          <w:szCs w:val="28"/>
          <w:lang w:val="en-US" w:bidi="ar-SA"/>
        </w:rPr>
        <w:instrText>items</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PNQRT</w:instrText>
      </w:r>
      <w:r w:rsidR="00171CCC" w:rsidRPr="00FF489D">
        <w:rPr>
          <w:rFonts w:ascii="Times New Roman" w:hAnsi="Times New Roman" w:cs="Times New Roman"/>
          <w:sz w:val="28"/>
          <w:szCs w:val="28"/>
          <w:lang w:bidi="ar-SA"/>
        </w:rPr>
        <w:instrText>99</w:instrText>
      </w:r>
      <w:r w:rsidR="00171CCC">
        <w:rPr>
          <w:rFonts w:ascii="Times New Roman" w:hAnsi="Times New Roman" w:cs="Times New Roman"/>
          <w:sz w:val="28"/>
          <w:szCs w:val="28"/>
          <w:lang w:val="en-US" w:bidi="ar-SA"/>
        </w:rPr>
        <w:instrText>X</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itemData</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id</w:instrText>
      </w:r>
      <w:r w:rsidR="00171CCC" w:rsidRPr="00FF489D">
        <w:rPr>
          <w:rFonts w:ascii="Times New Roman" w:hAnsi="Times New Roman" w:cs="Times New Roman"/>
          <w:sz w:val="28"/>
          <w:szCs w:val="28"/>
          <w:lang w:bidi="ar-SA"/>
        </w:rPr>
        <w:instrText>":635,"</w:instrText>
      </w:r>
      <w:r w:rsidR="00171CCC">
        <w:rPr>
          <w:rFonts w:ascii="Times New Roman" w:hAnsi="Times New Roman" w:cs="Times New Roman"/>
          <w:sz w:val="28"/>
          <w:szCs w:val="28"/>
          <w:lang w:val="en-US" w:bidi="ar-SA"/>
        </w:rPr>
        <w:instrText>type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webpage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title</w:instrText>
      </w:r>
      <w:r w:rsidR="00171CCC" w:rsidRPr="00FF489D">
        <w:rPr>
          <w:rFonts w:ascii="Times New Roman" w:hAnsi="Times New Roman" w:cs="Times New Roman"/>
          <w:sz w:val="28"/>
          <w:szCs w:val="28"/>
          <w:lang w:bidi="ar-SA"/>
        </w:rPr>
        <w:instrText>":"Контроль за антикоагулянтной терапией и качество жизни больных с фибрилляцией предсердий (обзор)","</w:instrText>
      </w:r>
      <w:r w:rsidR="00171CCC">
        <w:rPr>
          <w:rFonts w:ascii="Times New Roman" w:hAnsi="Times New Roman" w:cs="Times New Roman"/>
          <w:sz w:val="28"/>
          <w:szCs w:val="28"/>
          <w:lang w:val="en-US" w:bidi="ar-SA"/>
        </w:rPr>
        <w:instrText>URL</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https</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cyberleninka</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ru</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article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kontrol</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za</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antikoagulyantnoy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terapiey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i</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kachestvo</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zhizni</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bolnyh</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s</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fibrillyatsiey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predserdiy</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obzor</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viewer</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accessed</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date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parts</w:instrText>
      </w:r>
      <w:r w:rsidR="00171CCC" w:rsidRPr="00FF489D">
        <w:rPr>
          <w:rFonts w:ascii="Times New Roman" w:hAnsi="Times New Roman" w:cs="Times New Roman"/>
          <w:sz w:val="28"/>
          <w:szCs w:val="28"/>
          <w:lang w:bidi="ar-SA"/>
        </w:rPr>
        <w:instrText>":[["2024",9,8]]}}}],"</w:instrText>
      </w:r>
      <w:r w:rsidR="00171CCC">
        <w:rPr>
          <w:rFonts w:ascii="Times New Roman" w:hAnsi="Times New Roman" w:cs="Times New Roman"/>
          <w:sz w:val="28"/>
          <w:szCs w:val="28"/>
          <w:lang w:val="en-US" w:bidi="ar-SA"/>
        </w:rPr>
        <w:instrText>schema</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https</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github</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com</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citation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style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language</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schema</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raw</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master</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csl</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citation</w:instrText>
      </w:r>
      <w:r w:rsidR="00171CCC" w:rsidRPr="00FF489D">
        <w:rPr>
          <w:rFonts w:ascii="Times New Roman" w:hAnsi="Times New Roman" w:cs="Times New Roman"/>
          <w:sz w:val="28"/>
          <w:szCs w:val="28"/>
          <w:lang w:bidi="ar-SA"/>
        </w:rPr>
        <w:instrText>.</w:instrText>
      </w:r>
      <w:r w:rsidR="00171CCC">
        <w:rPr>
          <w:rFonts w:ascii="Times New Roman" w:hAnsi="Times New Roman" w:cs="Times New Roman"/>
          <w:sz w:val="28"/>
          <w:szCs w:val="28"/>
          <w:lang w:val="en-US" w:bidi="ar-SA"/>
        </w:rPr>
        <w:instrText>json</w:instrText>
      </w:r>
      <w:r w:rsidR="00171CCC" w:rsidRPr="00FF489D">
        <w:rPr>
          <w:rFonts w:ascii="Times New Roman" w:hAnsi="Times New Roman" w:cs="Times New Roman"/>
          <w:sz w:val="28"/>
          <w:szCs w:val="28"/>
          <w:lang w:bidi="ar-SA"/>
        </w:rPr>
        <w:instrText xml:space="preserve">"} </w:instrText>
      </w:r>
      <w:r w:rsidR="00AE670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[1,4]</w:t>
      </w:r>
      <w:r w:rsidR="00AE6701">
        <w:rPr>
          <w:rFonts w:ascii="Times New Roman" w:hAnsi="Times New Roman" w:cs="Times New Roman"/>
          <w:sz w:val="28"/>
          <w:szCs w:val="28"/>
          <w:lang w:bidi="ar-SA"/>
        </w:rPr>
        <w:fldChar w:fldCharType="end"/>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в</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Казахстане</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по</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результатам</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исследования</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опубликованным</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в</w:t>
      </w:r>
      <w:r w:rsidRPr="004467D0">
        <w:rPr>
          <w:rFonts w:ascii="Times New Roman" w:hAnsi="Times New Roman" w:cs="Times New Roman"/>
          <w:sz w:val="28"/>
          <w:szCs w:val="28"/>
          <w:lang w:bidi="ar-SA"/>
        </w:rPr>
        <w:t xml:space="preserve"> 2019 </w:t>
      </w:r>
      <w:r>
        <w:rPr>
          <w:rFonts w:ascii="Times New Roman" w:hAnsi="Times New Roman" w:cs="Times New Roman"/>
          <w:sz w:val="28"/>
          <w:szCs w:val="28"/>
          <w:lang w:bidi="ar-SA"/>
        </w:rPr>
        <w:t>году</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распространенность</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ФП</w:t>
      </w:r>
      <w:r w:rsidRPr="004467D0">
        <w:rPr>
          <w:rFonts w:ascii="Times New Roman" w:hAnsi="Times New Roman" w:cs="Times New Roman"/>
          <w:sz w:val="28"/>
          <w:szCs w:val="28"/>
          <w:lang w:bidi="ar-SA"/>
        </w:rPr>
        <w:t xml:space="preserve"> </w:t>
      </w:r>
      <w:r>
        <w:rPr>
          <w:rFonts w:ascii="Times New Roman" w:hAnsi="Times New Roman" w:cs="Times New Roman"/>
          <w:sz w:val="28"/>
          <w:szCs w:val="28"/>
          <w:lang w:bidi="ar-SA"/>
        </w:rPr>
        <w:t>составила</w:t>
      </w:r>
      <w:r w:rsidRPr="004467D0">
        <w:rPr>
          <w:rFonts w:ascii="Times New Roman" w:hAnsi="Times New Roman" w:cs="Times New Roman"/>
          <w:sz w:val="28"/>
          <w:szCs w:val="28"/>
          <w:lang w:bidi="ar-SA"/>
        </w:rPr>
        <w:t xml:space="preserve"> 4,7%</w:t>
      </w:r>
      <w:r w:rsidR="00A10444">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{"citationID":"a6cxXUuZ","properties":{"unsorted":false,"formattedCitation":"[5]","plainCitation":"[5]","noteIndex":0},"citationItems":[{"id":288,"uris":["http://zotero.org/users/14784094/items/R6JMYY29"],"itemData":{"id":288,"type":"article-journal","abstract":"Atrial fibrillation is the most common arrhythmia that physicians face in their clinical practice. Atrial fibrillation is associated with a higher risk of thromboembolic events, all-cause mortality, frequent hospitalizations, decreased quality of life. Early detection of atrial fibrillation is important for optimal management and improvement the prognosis of atrial fibrillation patients. Evidence on new methods of atrial fibrillation screening discussed in this review, allows considering them more accurate than simple pulse palpation.","container-title":"Journal of Clinical Medicine of Kazakhstan","DOI":"10.23950/1812-2892-JCMK-00542","ISSN":"1812-2892, 2313-1519","issue":"47","journalAbbreviation":"J CLIN MED KAZ","language":"english","page":"18-24","publisher":"JSC National Scientific Medical Center","source":"www.clinmedkaz.org","title":"Screening for atrial fibrillation","volume":"1","author":[{"family":"Tlegenova","given":"Zhenisgul"},{"family":"Kudaiberdieva","given":"Gulmira"},{"family":"Zholdin","given":"Bekbolat"},{"family":"Abdrakhmanov","given":"Ayan"}],"issued":{"date-parts":[["2018",3,15]]}}}],"schema":"https://github.com/citation-style-language/schema/raw/master/csl-citation.json"} </w:instrText>
      </w:r>
      <w:r w:rsidR="00A10444">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w:t>
      </w:r>
      <w:r w:rsidR="00A10444">
        <w:rPr>
          <w:rFonts w:ascii="Times New Roman" w:hAnsi="Times New Roman" w:cs="Times New Roman"/>
          <w:sz w:val="28"/>
          <w:szCs w:val="28"/>
          <w:lang w:bidi="ar-SA"/>
        </w:rPr>
        <w:fldChar w:fldCharType="end"/>
      </w:r>
      <w:r>
        <w:rPr>
          <w:rFonts w:ascii="Times New Roman" w:hAnsi="Times New Roman" w:cs="Times New Roman"/>
          <w:sz w:val="28"/>
          <w:szCs w:val="28"/>
          <w:lang w:bidi="ar-SA"/>
        </w:rPr>
        <w:t>.</w:t>
      </w:r>
    </w:p>
    <w:p w14:paraId="61CEA289" w14:textId="7D25376C" w:rsidR="002F1BA4" w:rsidRPr="00A1683C" w:rsidRDefault="002F1BA4"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При неклапанной ФП традиционно назначают длительный или пожизненный прием пероральных антикоагулянтов для профилактики инсульта</w:t>
      </w:r>
      <w:r w:rsidR="00A10444">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LUv5t9Gc","properties":{"unsorted":false,"formattedCitation":"[6\\uc0\\u8211{}9]","plainCitation":"[6–9]","noteIndex":0},"citationItems":[{"id":251,"uris":["http://zotero.org/users/14784094/items/QUQT6BUW"],"itemData":{"id":251,"type":"article-journal","abstract":"В обзоре современной литературы анализируются актуальные проблемы лечения больных фибрилляцией предсердий, а именно тромбопрофилактика и применение антикоагулянтной терапии. В статье описываются современные возможности профилактики тромбоэмболических осложнений у больных фибрилляцией предсердий высокого риска. Демонстрируется факт недостаточного использования профилактической антитромботической терапии у пациентов при фибрилляции предсердий с высоким тромботическим риском, что связано как с неполным выполнением клинических рекомендаций врачом, так и с низкой приверженностью пациентов к приему назначенных антикоагулянтов. В обзоре литературы обсуждаются трудности применения оральных антикоагулянтов, в частности препаратов прямого действия и их высокое финансовое бремя, а также антикоагулянтов непрямого действия и нестабильность их фармакологического эффекта. В статье демонстрируются трудности терапии варфарином, такие как недостаточная приверженность лечению, генетические особенности пациента, алиментарные и лекарственные взаимодействия. Показано, что данные по приверженности к лекарственной терапии не отличаются однородностью и не в полной мере учитывают влияние пациентзависимых характеристик. Отдельно обсуждается разработка индивидуализированного алгоритма по выбору антикоагулянта для длительного применения у больных фибрилляцией предсердий с позиции пациентоориентированного подхода.","container-title":"Annals of the Russian academy of medical sciences","DOI":"10.15690/vramn1116","ISSN":"2414-3545","issue":"2","language":"ru","license":"\"Paediatrician\" Publishers LLC, 2019","note":"number: 2","page":"98-107","source":"vestnikramn.spr-journal.ru","title":"Anticoagulant Therapy for Atrial Fibrillation in Real Practice: Problems and Prospects","title-short":"Anticoagulant Therapy for Atrial Fibrillation in Real Practice","volume":"74","author":[{"family":"Skirdenko","given":"Yuliya P."},{"family":"Петровна","given":"Скирденко Юлия"},{"family":"Nikolaev","given":"Nikolay A."},{"family":"Анатольевич","given":"Николаев Николай"},{"family":"Livzan","given":"Maria А."},{"family":"Анатольевна","given":"Ливзан Мария"},{"family":"Ershov","given":"Anton V."},{"family":"Валерьевич","given":"Ершов Антон"}],"issued":{"date-parts":[["2019",5,20]]}}},{"id":655,"uris":["http://zotero.org/users/14784094/items/CVEK76WZ"],"itemData":{"id":655,"type":"article-journal","abstract":"Atrial fibrillation (AF) is the commonest sustained cardiac rhythm disorder associated with an increased risk of stroke and systemic embolic events. The prevention of stroke using oral anticoagulants has been a pivotal component of AF management. The purpose of this review is to summarize recent advances in the treatment and prevention of stroke in AF over the last 5 years. We performed a comprehensive structured literature search using MEDLINE for publications from 11th March 2015 through to 31st December 2020. We focused mainly on primarily published research articles and systematic reviews including updates in different international guidelines. We found that improved awareness and detection of AF and use of clinical risk stratification are central to the identification of patients at risk of stroke who would benefit from oral anticoagulation. The recommendation of non-vitamin K antagonist oral anticoagulants over warfarin in both efficacy and safety perspective is represented in all international guidelines. Beyond stroke prevention, there is a move to more holistic or integrated care management of AF, which has been shown to improve outcomes. We conclude that stroke prevention remains a dominant part of the management of patients with AF. Not all stroke risk factors carry equal weight, and many require additional scrutiny (e.g. severity of CAD, type of diabetes, duration of hypertension). The utilization of clinical risk scores to help decision-making should take into account that these scores are mere simplification tools to aid decision-making and the additional clinical benefit with more complex risk scores and addition of biomarkers is limited. Also, stroke and bleeding risks are dynamic and require regular review. Instead of arbitrarily categorizing patients into (artificial) low, moderate, and high stroke risk strata, anticoagulation should be offered to all patients with AF unless they are low risk with no risk factors for stroke. Stroke prevention is also part of the proactive, integrated care approach to holistic management of patients with AF, which can be simplified in the ABC (Atrial fibrillation Better Care) pathway: ‘A’ Avoid stroke/Anticoagulation; ‘B’ Better symptom management emphasising patient-centred symptom directed decisions on rate or rhythm control strategies; and ‘C’ refers to Cardiovascular risk and comorbidity optimization, including lifestyle changes and attention to patient values and preferences, as well as the psychological morbidity associated with AF.","container-title":"Trends in Cardiovascular Medicine","DOI":"10.1016/j.tcm.2021.10.001","ISSN":"1050-1738","issue":"8","journalAbbreviation":"Trends in Cardiovascular Medicine","page":"501-510","source":"ScienceDirect","title":"Stroke prevention in atrial fibrillation","volume":"32","author":[{"family":"Lip","given":"Gregory Y. H."},{"family":"Gue","given":"Ying"},{"family":"Zhang","given":"Juqian"},{"family":"Chao","given":"Tze-Fan"},{"family":"Calkins","given":"Hugh"},{"family":"Potpara","given":"Tatjana"}],"issued":{"date-parts":[["2022",11,1]]}}},{"id":609,"uris":["http://zotero.org/users/14784094/items/BERE4X8H"],"itemData":{"id":609,"type":"webpage","title":"ФАРМАКОДИНАМИКА ОРАЛЬНЫХ АНТИКОАГУЛЯНТОВ У БОЛЬНЫХ С ФИБРИЛЛЯЦИЕЙ ПРЕДСЕРДИЙ В ОСТРОМ ПЕРИОДЕ ИШЕМИЧЕСКОГО ИНСУЛЬТА","URL":"https://cyberleninka.ru/article/n/farmakodinamika-oralnyh-antikoagulyantov-u-bolnyh-s-fibrillyatsiey-predserdiy-v-ostrom-periode-ishemicheskogo-insulta/viewer","accessed":{"date-parts":[["2024",9,8]]}}},{"id":640,"uris":["http://zotero.org/users/14784094/items/UHIJI4CT"],"itemData":{"id":640,"type":"webpage","title":"РОЛЬ ФИБРИЛЛЯЦИИ ПРЕДСЕРДИЙ НА ИСХОД ИНСУЛЬТА","URL":"https://cyberleninka.ru/article/n/rol-fibrillyatsii-predserdiy-na-ishod-insulta/viewer","accessed":{"date-parts":[["2024",9,8]]}}}],"schema":"https://github.com/citation-style-language/schema/raw/master/csl-citation.json"} </w:instrText>
      </w:r>
      <w:r w:rsidR="00A10444">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[6–9]</w:t>
      </w:r>
      <w:r w:rsidR="00A10444">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Антагонисты витамина К (АВК) длительное время были основой антикоагулянтной терапии. Однако предыдущие рандомизированные клинические испытания показали, </w:t>
      </w:r>
      <w:r w:rsidR="00BF07F7">
        <w:rPr>
          <w:rFonts w:ascii="Times New Roman" w:hAnsi="Times New Roman" w:cs="Times New Roman"/>
          <w:sz w:val="28"/>
          <w:szCs w:val="28"/>
          <w:lang w:bidi="ar-SA"/>
        </w:rPr>
        <w:t>что прямые пероральные антикоагулянты (ПОАК) имеют более высокую эффективность по сравнению с АВК (варфарином) в снижении риска развития инсульта и геморрагических осложнений при неклапанной фибрилляции предсердий (</w:t>
      </w:r>
      <w:r w:rsidR="00BF07F7">
        <w:rPr>
          <w:rFonts w:ascii="Times New Roman" w:hAnsi="Times New Roman" w:cs="Times New Roman"/>
          <w:sz w:val="28"/>
          <w:szCs w:val="28"/>
          <w:lang w:val="en-US" w:bidi="ar-SA"/>
        </w:rPr>
        <w:t>RE</w:t>
      </w:r>
      <w:r w:rsidR="00BF07F7" w:rsidRPr="00BF07F7">
        <w:rPr>
          <w:rFonts w:ascii="Times New Roman" w:hAnsi="Times New Roman" w:cs="Times New Roman"/>
          <w:sz w:val="28"/>
          <w:szCs w:val="28"/>
          <w:lang w:bidi="ar-SA"/>
        </w:rPr>
        <w:t>-</w:t>
      </w:r>
      <w:r w:rsidR="00BF07F7">
        <w:rPr>
          <w:rFonts w:ascii="Times New Roman" w:hAnsi="Times New Roman" w:cs="Times New Roman"/>
          <w:sz w:val="28"/>
          <w:szCs w:val="28"/>
          <w:lang w:val="en-US" w:bidi="ar-SA"/>
        </w:rPr>
        <w:t>LY</w:t>
      </w:r>
      <w:r w:rsidR="00BF07F7" w:rsidRPr="00BF07F7">
        <w:rPr>
          <w:rFonts w:ascii="Times New Roman" w:hAnsi="Times New Roman" w:cs="Times New Roman"/>
          <w:sz w:val="28"/>
          <w:szCs w:val="28"/>
          <w:lang w:bidi="ar-SA"/>
        </w:rPr>
        <w:t xml:space="preserve">, </w:t>
      </w:r>
      <w:r w:rsidR="00BF07F7">
        <w:rPr>
          <w:rFonts w:ascii="Times New Roman" w:hAnsi="Times New Roman" w:cs="Times New Roman"/>
          <w:sz w:val="28"/>
          <w:szCs w:val="28"/>
          <w:lang w:val="en-US" w:bidi="ar-SA"/>
        </w:rPr>
        <w:t>ROCKET</w:t>
      </w:r>
      <w:r w:rsidR="00BF07F7" w:rsidRPr="00BF07F7">
        <w:rPr>
          <w:rFonts w:ascii="Times New Roman" w:hAnsi="Times New Roman" w:cs="Times New Roman"/>
          <w:sz w:val="28"/>
          <w:szCs w:val="28"/>
          <w:lang w:bidi="ar-SA"/>
        </w:rPr>
        <w:t>-</w:t>
      </w:r>
      <w:r w:rsidR="00BF07F7">
        <w:rPr>
          <w:rFonts w:ascii="Times New Roman" w:hAnsi="Times New Roman" w:cs="Times New Roman"/>
          <w:sz w:val="28"/>
          <w:szCs w:val="28"/>
          <w:lang w:val="en-US" w:bidi="ar-SA"/>
        </w:rPr>
        <w:t>AF</w:t>
      </w:r>
      <w:r w:rsidR="00BF07F7" w:rsidRPr="00BF07F7">
        <w:rPr>
          <w:rFonts w:ascii="Times New Roman" w:hAnsi="Times New Roman" w:cs="Times New Roman"/>
          <w:sz w:val="28"/>
          <w:szCs w:val="28"/>
          <w:lang w:bidi="ar-SA"/>
        </w:rPr>
        <w:t xml:space="preserve">, </w:t>
      </w:r>
      <w:r w:rsidR="00BF07F7">
        <w:rPr>
          <w:rFonts w:ascii="Times New Roman" w:hAnsi="Times New Roman" w:cs="Times New Roman"/>
          <w:sz w:val="28"/>
          <w:szCs w:val="28"/>
          <w:lang w:val="en-US" w:bidi="ar-SA"/>
        </w:rPr>
        <w:t>ARISTOTLE</w:t>
      </w:r>
      <w:r w:rsidR="00BF07F7" w:rsidRPr="00BF07F7">
        <w:rPr>
          <w:rFonts w:ascii="Times New Roman" w:hAnsi="Times New Roman" w:cs="Times New Roman"/>
          <w:sz w:val="28"/>
          <w:szCs w:val="28"/>
          <w:lang w:bidi="ar-SA"/>
        </w:rPr>
        <w:t xml:space="preserve">, </w:t>
      </w:r>
      <w:r w:rsidR="00BF07F7">
        <w:rPr>
          <w:rFonts w:ascii="Times New Roman" w:hAnsi="Times New Roman" w:cs="Times New Roman"/>
          <w:sz w:val="28"/>
          <w:szCs w:val="28"/>
          <w:lang w:val="en-US" w:bidi="ar-SA"/>
        </w:rPr>
        <w:t>ENGAGE</w:t>
      </w:r>
      <w:r w:rsidR="00BF07F7" w:rsidRPr="00BF07F7">
        <w:rPr>
          <w:rFonts w:ascii="Times New Roman" w:hAnsi="Times New Roman" w:cs="Times New Roman"/>
          <w:sz w:val="28"/>
          <w:szCs w:val="28"/>
          <w:lang w:bidi="ar-SA"/>
        </w:rPr>
        <w:t xml:space="preserve"> </w:t>
      </w:r>
      <w:r w:rsidR="00BF07F7">
        <w:rPr>
          <w:rFonts w:ascii="Times New Roman" w:hAnsi="Times New Roman" w:cs="Times New Roman"/>
          <w:sz w:val="28"/>
          <w:szCs w:val="28"/>
          <w:lang w:val="en-US" w:bidi="ar-SA"/>
        </w:rPr>
        <w:t>AF</w:t>
      </w:r>
      <w:r w:rsidR="00BF07F7" w:rsidRPr="00BF07F7">
        <w:rPr>
          <w:rFonts w:ascii="Times New Roman" w:hAnsi="Times New Roman" w:cs="Times New Roman"/>
          <w:sz w:val="28"/>
          <w:szCs w:val="28"/>
          <w:lang w:bidi="ar-SA"/>
        </w:rPr>
        <w:t xml:space="preserve"> </w:t>
      </w:r>
      <w:r w:rsidR="00BF07F7">
        <w:rPr>
          <w:rFonts w:ascii="Times New Roman" w:hAnsi="Times New Roman" w:cs="Times New Roman"/>
          <w:sz w:val="28"/>
          <w:szCs w:val="28"/>
          <w:lang w:val="en-US" w:bidi="ar-SA"/>
        </w:rPr>
        <w:t>TIMI</w:t>
      </w:r>
      <w:r w:rsidR="00BF07F7" w:rsidRPr="00BF07F7">
        <w:rPr>
          <w:rFonts w:ascii="Times New Roman" w:hAnsi="Times New Roman" w:cs="Times New Roman"/>
          <w:sz w:val="28"/>
          <w:szCs w:val="28"/>
          <w:lang w:bidi="ar-SA"/>
        </w:rPr>
        <w:t>48</w:t>
      </w:r>
      <w:r w:rsidR="00BF07F7">
        <w:rPr>
          <w:rFonts w:ascii="Times New Roman" w:hAnsi="Times New Roman" w:cs="Times New Roman"/>
          <w:sz w:val="28"/>
          <w:szCs w:val="28"/>
          <w:lang w:bidi="ar-SA"/>
        </w:rPr>
        <w:t>)</w:t>
      </w:r>
      <w:r w:rsidR="003B576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{"citationID":"gAIOA74g","properties":{"unsorted":false,"formattedCitation":"[10]","plainCitation":"[10]","noteIndex":0},"citationItems":[{"id":249,"uris":["http://zotero.org/users/14784094/items/EFGCFX5S"],"itemData":{"id":249,"type":"article-journal","abstract":"The vitamin K antagonist warfarin is an essential medicine from a group of anticoagulants, which is used to treat antiphospholipid syndrome (APS). However, it has a number of disadvantages especially in patients who need longterm and frequently lifetime prevention of thromboses. New oral anticoagulants, such as dabigatran etexilate (Pradaxa®), rivaroxaban (Xarelto®), apixaban (Eliquis) and others, have been recently synthesized. Unlike warfarin, they are administered at fixed doses, require neither routine monitoring nor diet, and interact with drugs only in small amounts. The new oral anticoagulants have been approved for certain indications, but the data of performed trials are inapplicable to patients with APS. These medicines are expected to improve quality of life in patients with this condition.","container-title":"Rheumatology Science and Practice","DOI":"10.14412/1995-4484-2016-219-226","ISSN":"1995-4492","issue":"2","language":"ru","license":"Authors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).","note":"number: 2","page":"219-226","section":"REVIEW","source":"rsp.mediar-press.net","title":"NEW ORAL ANTICOAGULANTS IN THE THERAPY OF ANTIPHOSPHOLIPID SYNDROME","volume":"54","author":[{"family":"Satybaldyeva","given":"M. A."},{"family":"Reshetnyak","given":"T. M."}],"issued":{"date-parts":[["2016",7,19]]}}}],"schema":"https://github.com/citation-style-language/schema/raw/master/csl-citation.json"} </w:instrText>
      </w:r>
      <w:r w:rsidR="003B576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w:t>
      </w:r>
      <w:r w:rsidR="003B5761">
        <w:rPr>
          <w:rFonts w:ascii="Times New Roman" w:hAnsi="Times New Roman" w:cs="Times New Roman"/>
          <w:sz w:val="28"/>
          <w:szCs w:val="28"/>
          <w:lang w:bidi="ar-SA"/>
        </w:rPr>
        <w:fldChar w:fldCharType="end"/>
      </w:r>
      <w:r w:rsidR="00BF07F7" w:rsidRPr="00BF07F7">
        <w:rPr>
          <w:rFonts w:ascii="Times New Roman" w:hAnsi="Times New Roman" w:cs="Times New Roman"/>
          <w:sz w:val="28"/>
          <w:szCs w:val="28"/>
          <w:lang w:bidi="ar-SA"/>
        </w:rPr>
        <w:t>.</w:t>
      </w:r>
      <w:r w:rsidR="00BF07F7">
        <w:rPr>
          <w:rFonts w:ascii="Times New Roman" w:hAnsi="Times New Roman" w:cs="Times New Roman"/>
          <w:sz w:val="28"/>
          <w:szCs w:val="28"/>
          <w:lang w:bidi="ar-SA"/>
        </w:rPr>
        <w:t xml:space="preserve"> Более того ПОАК имеют ряд преимуществ перед варфарином, поскольку имеют широкий терапевтический диапазон, предсказуемую фармакокинетику, не требующую титрации дозы. В Казахстане, как и глобально, ингибиторы фактора Ха (апиксабан, ривароксабан, эдоксабан) и тромбина (дабигатран) стали стандартом антикоагуляции при неклапанной ФП</w:t>
      </w:r>
      <w:r w:rsidR="003B576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DKKvoLO1","properties":{"unsorted":false,"formattedCitation":"[2,11\\uc0\\u8211{}13]","plainCitation":"[2,11–13]","noteIndex":0},"citationItems":[{"id":637,"uris":["http://zotero.org/users/14784094/items/4DCSD8H7"],"itemData":{"id":637,"type":"webpage","title":"Эпидемиология фибрилляции предсердий","URL":"https://cyberleninka.ru/article/n/epidemiologiya-fibrillyatsii-predserdiy/viewer","accessed":{"date-parts":[["2024",9,8]]}}},{"id":641,"uris":["http://zotero.org/users/14784094/items/ZZY36EHJ"],"itemData":{"id":641,"type":"webpage","title":"СОВРЕМЕННАЯ АНТИКОАГУЛЯНТНАЯ ТЕРАПИЯПРИ ФИБРИЛЛЯЦИИ ПРЕДСЕРДИЙ","URL":"https://cyberleninka.ru/article/n/sovremennaya-antikoagulyantnaya-terapiyapri-fibrillyatsii-predserdiy/viewer","accessed":{"date-parts":[["2024",9,8]]}}},{"id":643,"uris":["http://zotero.org/users/14784094/items/VVTGWNZL"],"itemData":{"id":643,"type":"webpage","title":"ПАЦИЕНТ-ОРИЕНТИРОВАННОЕ ЛЕЧЕНИЕ ФИБРИЛЛЯЦИИ ПРЕДСЕРДИЙ","URL":"https://cyberleninka.ru/article/n/patsient-orientirovannoe-lechenie-fibrillyatsii-predserdiy/viewer","accessed":{"date-parts":[["2024",9,8]]}}},{"id":636,"uris":["http://zotero.org/users/14784094/items/MAVA4XDX"],"itemData":{"id":636,"type":"webpage","title":"Алгоритм выбора антикоагулянта для больных фибрилляцией предсердий","URL":"https://cyberleninka.ru/article/n/algoritm-vybora-antikoagulyanta-dlya-bolnyh-fibrillyatsiey-predserdiy/viewer","accessed":{"date-parts":[["2024",9,8]]}}}],"schema":"https://github.com/citation-style-language/schema/raw/master/csl-citation.json"} </w:instrText>
      </w:r>
      <w:r w:rsidR="003B5761">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[2,11–13]</w:t>
      </w:r>
      <w:r w:rsidR="003B5761">
        <w:rPr>
          <w:rFonts w:ascii="Times New Roman" w:hAnsi="Times New Roman" w:cs="Times New Roman"/>
          <w:sz w:val="28"/>
          <w:szCs w:val="28"/>
          <w:lang w:bidi="ar-SA"/>
        </w:rPr>
        <w:fldChar w:fldCharType="end"/>
      </w:r>
      <w:r w:rsidR="00BF07F7">
        <w:rPr>
          <w:rFonts w:ascii="Times New Roman" w:hAnsi="Times New Roman" w:cs="Times New Roman"/>
          <w:sz w:val="28"/>
          <w:szCs w:val="28"/>
          <w:lang w:bidi="ar-SA"/>
        </w:rPr>
        <w:t>, однако невозможность рутинного мониторинга коагуляции при приеме данных препаратов могут повышать риск тромбоэмболических и геморрагических осложнений</w:t>
      </w:r>
      <w:r w:rsidR="003B576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{"citationID":"detlyrtW","properties":{"unsorted":false,"formattedCitation":"[2]","plainCitation":"[2]","noteIndex":0},"citationItems":[{"id":637,"uris":["http://zotero.org/users/14784094/items/4DCSD8H7"],"itemData":{"id":637,"type":"webpage","title":"Эпидемиология фибрилляции предсердий","URL":"https://cyberleninka.ru/article/n/epidemiologiya-fibrillyatsii-predserdiy/viewer","accessed":{"date-parts":[["2024",9,8]]}}}],"schema":"https://github.com/citation-style-language/schema/raw/master/csl-citation.json"} </w:instrText>
      </w:r>
      <w:r w:rsidR="003B576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w:t>
      </w:r>
      <w:r w:rsidR="003B5761">
        <w:rPr>
          <w:rFonts w:ascii="Times New Roman" w:hAnsi="Times New Roman" w:cs="Times New Roman"/>
          <w:sz w:val="28"/>
          <w:szCs w:val="28"/>
          <w:lang w:bidi="ar-SA"/>
        </w:rPr>
        <w:fldChar w:fldCharType="end"/>
      </w:r>
      <w:r w:rsidR="00BF07F7">
        <w:rPr>
          <w:rFonts w:ascii="Times New Roman" w:hAnsi="Times New Roman" w:cs="Times New Roman"/>
          <w:sz w:val="28"/>
          <w:szCs w:val="28"/>
          <w:lang w:bidi="ar-SA"/>
        </w:rPr>
        <w:t>. В предыдущих исследованиях выявлена индивидуальная вариабельность уровней ПОАК в плазме, которая может быть связана как с различными клинико-демографическими факторами (пол, возраст, масса тела, патология печени и почек, взаимодействие с другими препаратами) так и с генетическими факторами</w:t>
      </w:r>
      <w:r w:rsidR="003B576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cAYaiePY","properties":{"unsorted":false,"formattedCitation":"[14\\uc0\\u8211{}16]","plainCitation":"[14–16]","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P."}],"issued":{"date-parts":[["2019",1,17]]}}},{"id":727,"uris":["http://zotero.org/users/14784094/items/A5RFIEWD"],"itemData":{"id":727,"type":"article-journal","abstract":"Dabigatran, rivaroxaban, apixaban, and edoxaban are direct oral anticoagulants (DOACs) that are increasingly used worldwide. Taking into account their widespread use for the prevention of thromboembolism in cardiology, neurology, orthopedics, and coronavirus disease 2019 (COVID 19) as well as their different pharmacokinetics and pharmacogenetics dependence, it is critical to explore new opportunities for DOACs administration and predict their dosage when used as monotherapy or in combination with other drugs. In this review, we describe the details of the relative pharmacogenetics on the pharmacokinetics of DOACs as well as new data concerning the clinical characteristics that predetermine the needed dosage and the risk of adverse drug reactions (ADRs). The usefulness of genetic information before and shortly after the initiation of DOACs is also discussed. The reasons for particular attention to these issues are not only new genetic knowledge and genotyping possibilities, but also the risk of serious ADRs (primarily, gastrointestinal bleeding). Taking into account the effect of the carriership of single nucleotide variants (SNVs) of genes encoding biotransformation enzymes and DOACs metabolism, the use of these measures is important to predict changes in pharmacokinetics and the risk of ADRs in patients with a high risk of thromboembolism who receive anticoagulant therapy.","container-title":"Biomedicines","DOI":"10.3390/biomedicines9050451","ISSN":"2227-9059","issue":"5","journalAbbreviation":"Biomedicines","language":"en","license":"https://creativecommons.org/licenses/by/4.0/","page":"451","source":"DOI.org (Crossref)","title":"Using Pharmacogenetics of Direct Oral Anticoagulants to Predict Changes in Their Pharmacokinetics and the Risk of Adverse Drug Reactions","volume":"9","author":[{"family":"Shnayder","given":"Natalia A."},{"family":"Petrova","given":"Marina M."},{"family":"Shesternya","given":"Pavel A."},{"family":"Savinova","given":"Alina V."},{"family":"Bochanova","given":"Elena N."},{"family":"Zimnitskaya","given":"Olga V."},{"family":"Pozhilenkova","given":"Elena A."},{"family":"Nasyrova","given":"Regina F."}],"issued":{"date-parts":[["2021",4,22]]}}},{"id":730,"uris":["http://zotero.org/users/14784094/items/FFTTVT9G"],"itemData":{"id":730,"type":"article-journal","abstract":"Dabigatran, rivaroxaban, apixaban, edoxaban, and betrixaban are direct oral anticoagulants (DOACs). Their inter-individual variability in pharmacodynamics and pharmacokinetics (transport and metabolism) is high, and could result from genetic polymorphisms. As recommended by the French Network of Pharmacogenetics (RNPGx), the management of some treatments in cardiovascular diseases (as antiplatelet agents, oral vitamin K antagonists, and statins) can rely on genetic testing in order to improve healthcare by reducing therapeutic resistance or toxicity. This paper is a review of association studies between single nucleotide polymorphisms (SNPs) and systemic exposure variation of DOACs. Most of the results presented here have a lot to do with some SNPs of CES1 (rs2244613, rs8192935, and rs71647871) and ABCB1 (rs1128503, rs2032582, rs1045642, and rs4148738) genes, and dabigatran, rivaroxaban, and apixaban. Regarding edoxaban and betrixaban, as well as SNPs in the CYP3A4 and CYP3A5 genes, literature is scarce, and further studies are needed.","container-title":"Journal of Personalized Medicine","DOI":"10.3390/jpm11010037","ISSN":"2075-4426","issue":"1","journalAbbreviation":"JPM","language":"en","license":"https://creativecommons.org/licenses/by/4.0/","page":"37","source":"DOI.org (Crossref)","title":"Pharmacogenetics of Direct Oral Anticoagulants: A Systematic Review","title-short":"Pharmacogenetics of Direct Oral Anticoagulants","volume":"11","author":[{"family":"Raymond","given":"Johanna"},{"family":"Imbert","given":"Laurent"},{"family":"Cousin","given":"Thibault"},{"family":"Duflot","given":"Thomas"},{"family":"Varin","given":"Rémi"},{"family":"Wils","given":"Julien"},{"family":"Lamoureux","given":"Fabien"}],"issued":{"date-parts":[["2021",1,11]]}}}],"schema":"https://github.com/citation-style-language/schema/raw/master/csl-citation.json"} </w:instrText>
      </w:r>
      <w:r w:rsidR="003B5761">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[14–16]</w:t>
      </w:r>
      <w:r w:rsidR="003B5761">
        <w:rPr>
          <w:rFonts w:ascii="Times New Roman" w:hAnsi="Times New Roman" w:cs="Times New Roman"/>
          <w:sz w:val="28"/>
          <w:szCs w:val="28"/>
          <w:lang w:bidi="ar-SA"/>
        </w:rPr>
        <w:fldChar w:fldCharType="end"/>
      </w:r>
      <w:r w:rsidR="00BF07F7">
        <w:rPr>
          <w:rFonts w:ascii="Times New Roman" w:hAnsi="Times New Roman" w:cs="Times New Roman"/>
          <w:sz w:val="28"/>
          <w:szCs w:val="28"/>
          <w:lang w:bidi="ar-SA"/>
        </w:rPr>
        <w:t>. Однонуклеотидные полиморфизмы (</w:t>
      </w:r>
      <w:r w:rsidR="00BF07F7">
        <w:rPr>
          <w:rFonts w:ascii="Times New Roman" w:hAnsi="Times New Roman" w:cs="Times New Roman"/>
          <w:sz w:val="28"/>
          <w:szCs w:val="28"/>
          <w:lang w:val="en-US" w:bidi="ar-SA"/>
        </w:rPr>
        <w:t>SNP</w:t>
      </w:r>
      <w:r w:rsidR="00BF07F7">
        <w:rPr>
          <w:rFonts w:ascii="Times New Roman" w:hAnsi="Times New Roman" w:cs="Times New Roman"/>
          <w:sz w:val="28"/>
          <w:szCs w:val="28"/>
          <w:lang w:bidi="ar-SA"/>
        </w:rPr>
        <w:t xml:space="preserve">), кодирующие ферменты, участвующие в их метаболизме, могут играть важную роль, ведь активность переносчиков лекарств и метаболизирующих ферментов приводят к недостаточной или чрезмерной экспозиции ПОАК, тем самым может возрастать риск нежелательных осложнений при приеме ингибиторов Ха фактора, таких как кровотечение </w:t>
      </w:r>
      <w:r w:rsidR="003D4504">
        <w:rPr>
          <w:rFonts w:ascii="Times New Roman" w:hAnsi="Times New Roman" w:cs="Times New Roman"/>
          <w:sz w:val="28"/>
          <w:szCs w:val="28"/>
          <w:lang w:bidi="ar-SA"/>
        </w:rPr>
        <w:t>или тромбоэмболические осложнения</w:t>
      </w:r>
      <w:r w:rsidR="003B576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{"citationID":"lhipslHt","properties":{"unsorted":false,"formattedCitation":"[17]","plainCitation":"[17]","noteIndex":0},"citationItems":[{"id":744,"uris":["http://zotero.org/users/14784094/items/Y77X6HFD"],"itemData":{"id":744,"type":"article-journal","abstract":"Apixaban and rivaroxaban are the two most prescribed direct factor Xa inhibitors. With the increased use of DOACs in real-world settings, safety and efﬁcacy concerns have emerged, particularly regarding their concomitant use with other drugs. Increasing evidence highlights drug–drug interactions with CYP3A/P-gp modulators leading to adverse events. However, current recommendations for dose adjustment do not consider CYP3A/P-gp genotype and phenotype. We aimed to determine their impact on apixaban and rivaroxaban blood exposure. Three-hundred hospitalized patients were included. CYP3A and P-gp phenotypic activities were assessed by the metabolic ratio of midazolam and AUC0–6h of fexofenadine, respectively. Relevant CYP3A and ABCB1 genetic polymorphisms were also tested. Capillary blood samples collected at four time-points after apixaban or rivaroxaban administration allowed the calculation of pharmacokinetic parameters. According to the developed multivariable linear regression models, P-gp activity (p &lt; 0.001) and creatinine clearance (CrCl) (p = 0.01) signiﬁcantly affected apixaban AUC0–6h. P-gp activity (p &lt; 0.001) also signiﬁcantly impacted rivaroxaban AUC0–6h. The phenotypic switch (from normal to poor metabolizer) of P-gp led to an increase of apixaban and rivaroxaban AUC0–6h by 16% and 25%, respectively, equivalent to a decrease of 38 mL/min in CrCl according to the apixaban model. CYP3A phenotype and tested SNPs of CYP3A/P-gp had no signiﬁcant impact. In conclusion, P-gp phenotypic activity, rather than known CYP3A/P-gp polymorphisms, could be relevant for dose adjustment.","container-title":"Journal of Personalized Medicine","DOI":"10.3390/jpm12040526","ISSN":"2075-4426","issue":"4","journalAbbreviation":"JPM","language":"en","license":"https://creativecommons.org/licenses/by/4.0/","page":"526","source":"DOI.org (Crossref)","title":"Impact of the Genotype and Phenotype of CYP3A and P-gp on the Apixaban and Rivaroxaban Exposure in a Real-World Setting","volume":"12","author":[{"family":"Lenoir","given":"Camille"},{"family":"Terrier","given":"Jean"},{"family":"Gloor","given":"Yvonne"},{"family":"Gosselin","given":"Pauline"},{"family":"Daali","given":"Youssef"},{"family":"Combescure","given":"Christophe"},{"family":"Desmeules","given":"Jules Alexandre"},{"family":"Samer","given":"Caroline Flora"},{"family":"Reny","given":"Jean-Luc"},{"family":"Rollason","given":"Victoria"}],"issued":{"date-parts":[["2022",3,24]]}}}],"schema":"https://github.com/citation-style-language/schema/raw/master/csl-citation.json"} </w:instrText>
      </w:r>
      <w:r w:rsidR="003B576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[17]</w:t>
      </w:r>
      <w:r w:rsidR="003B5761">
        <w:rPr>
          <w:rFonts w:ascii="Times New Roman" w:hAnsi="Times New Roman" w:cs="Times New Roman"/>
          <w:sz w:val="28"/>
          <w:szCs w:val="28"/>
          <w:lang w:bidi="ar-SA"/>
        </w:rPr>
        <w:fldChar w:fldCharType="end"/>
      </w:r>
      <w:r w:rsidR="003D4504">
        <w:rPr>
          <w:rFonts w:ascii="Times New Roman" w:hAnsi="Times New Roman" w:cs="Times New Roman"/>
          <w:sz w:val="28"/>
          <w:szCs w:val="28"/>
          <w:lang w:bidi="ar-SA"/>
        </w:rPr>
        <w:t>. Изучение полиморфизмов генов, влияющих на вариабельность концентраций представленных препаратов, может помочь в персонализации терапии ПОАК. Согласно представленным данным наиболее значимыми для изучения влияния генетической предрасположенности на фармакокинетические параметры ПОАК являются аллельные варианты системы эстераз (</w:t>
      </w:r>
      <w:r w:rsidR="003D4504">
        <w:rPr>
          <w:rFonts w:ascii="Times New Roman" w:hAnsi="Times New Roman" w:cs="Times New Roman"/>
          <w:sz w:val="28"/>
          <w:szCs w:val="28"/>
          <w:lang w:val="en-US" w:bidi="ar-SA"/>
        </w:rPr>
        <w:t>CES</w:t>
      </w:r>
      <w:r w:rsidR="003D4504" w:rsidRPr="003D4504">
        <w:rPr>
          <w:rFonts w:ascii="Times New Roman" w:hAnsi="Times New Roman" w:cs="Times New Roman"/>
          <w:sz w:val="28"/>
          <w:szCs w:val="28"/>
          <w:lang w:bidi="ar-SA"/>
        </w:rPr>
        <w:t>1</w:t>
      </w:r>
      <w:r w:rsidR="003D4504">
        <w:rPr>
          <w:rFonts w:ascii="Times New Roman" w:hAnsi="Times New Roman" w:cs="Times New Roman"/>
          <w:sz w:val="28"/>
          <w:szCs w:val="28"/>
          <w:lang w:bidi="ar-SA"/>
        </w:rPr>
        <w:t>) и р-гликопротеина</w:t>
      </w:r>
      <w:r w:rsidR="003D4504" w:rsidRPr="003D4504">
        <w:rPr>
          <w:rFonts w:ascii="Times New Roman" w:hAnsi="Times New Roman" w:cs="Times New Roman"/>
          <w:sz w:val="28"/>
          <w:szCs w:val="28"/>
          <w:lang w:bidi="ar-SA"/>
        </w:rPr>
        <w:t xml:space="preserve"> (</w:t>
      </w:r>
      <w:r w:rsidR="003D4504">
        <w:rPr>
          <w:rFonts w:ascii="Times New Roman" w:hAnsi="Times New Roman" w:cs="Times New Roman"/>
          <w:sz w:val="28"/>
          <w:szCs w:val="28"/>
          <w:lang w:val="en-US" w:bidi="ar-SA"/>
        </w:rPr>
        <w:t>ABCB</w:t>
      </w:r>
      <w:r w:rsidR="003D4504" w:rsidRPr="003D4504">
        <w:rPr>
          <w:rFonts w:ascii="Times New Roman" w:hAnsi="Times New Roman" w:cs="Times New Roman"/>
          <w:sz w:val="28"/>
          <w:szCs w:val="28"/>
          <w:lang w:bidi="ar-SA"/>
        </w:rPr>
        <w:t>1)</w:t>
      </w:r>
      <w:r w:rsidR="003D4504">
        <w:rPr>
          <w:rFonts w:ascii="Times New Roman" w:hAnsi="Times New Roman" w:cs="Times New Roman"/>
          <w:sz w:val="28"/>
          <w:szCs w:val="28"/>
          <w:lang w:bidi="ar-SA"/>
        </w:rPr>
        <w:t>, которые могут изменять метаболизм и фармакокинетику препаратов и следовательно выступать в роли определяющего фактора в развитии побочных эффектов, в особенности кровотечения</w:t>
      </w:r>
      <w:r w:rsidR="003B576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7TOZGEU8","properties":{"unsorted":false,"formattedCitation":"[18\\uc0\\u8211{}20]","plainCitation":"[18–20]","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id":682,"uris":["http://zotero.org/users/14784094/items/L3TI6FF7"],"itemData":{"id":682,"type":"article-journal","abstract":"Background—Fixed-dose unmonitored treatment with dabigatran etexilate is effective and has a favorable safety profile in the prevention of stroke in atrial fibrillation patients compared with warfarin. We hypothesized that genetic variants could contribute to interindividual variability in blood concentrations of the active metabolite of dabigatran etexilate and influence the safety and efficacy of dabigatran.\nMethods and Results—We successfully conducted a genome-wide association study in 2944 Randomized Evaluation of Long-term Anticoagulation Therapy (RE-LY) participants. The CES1 single-nucleotide polymorphism rs2244613 was associated with trough concentrations, and the ABCB1 single-nucleotide polymorphism rs4148738 and the CES1 singlenucleotide polymorphism rs8192935 were associated with peak concentrations at genome-wide significance (P&lt;9×10−8) with a gene-dose effect. Each minor allele of the CES1 single-nucleotide polymorphism rs2244613 was associated with lower trough concentrations (15% decrease per allele; 95% confidence interval, 10–19; P=1.2×10−8) and a lower risk of any bleeding (odds ratio, 0.67; 95% confidence interval, 0.55–0.82; P=7×10−5) in dabigatran-treated participants, with a consistent but nonsignificant lower risk of major bleeding (odds ratio, 0.66; 95% confidence interval, 0.43–1.01). The interaction between treatment (warfarin versus all dabigatran) and carrier status was statistically significant (P=0.002), with carriers having less bleeding with dabigatran than warfarin (hazard ratio, 0.59; 95% confidence interval, 0.46–0.76; P=5.2×10−5) in contrast to no difference in noncarriers (hazard ratio, 0.96; 95% confidence interval, 0.81–1.14; P=0.65). There was no association with ischemic events, and neither rs4148738 nor rs8192935 was associated with bleeding or ischemic events.\nConclusions—Genome-wide association analysis identified that carriage of the CES1 rs2244613 minor allele occurred in 32.8% of patients in RE-LY and was associated with lower exposure to active dabigatran metabolite. The presence of the polymorphism was associated with a lower risk of bleeding.","container-title":"Circulation","DOI":"10.1161/CIRCULATIONAHA.112.001233","ISSN":"0009-7322, 1524-4539","issue":"13","journalAbbreviation":"Circulation","language":"en","page":"1404-1412","source":"DOI.org (Crossref)","title":"Genetic Determinants of Dabigatran Plasma Levels and Their Relation to Bleeding","volume":"127","author":[{"family":"Paré","given":"Guillaume"},{"family":"Eriksson","given":"Niclas"},{"family":"Lehr","given":"Thorsten"},{"family":"Connolly","given":"Stuart"},{"family":"Eikelboom","given":"John"},{"family":"Ezekowitz","given":"Michael D."},{"family":"Axelsson","given":"Tomas"},{"family":"Haertter","given":"Sebastian"},{"family":"Oldgren","given":"Jonas"},{"family":"Reilly","given":"Paul"},{"family":"Siegbahn","given":"Agneta"},{"family":"Syvanen","given":"Ann-Christine"},{"family":"Wadelius","given":"Claes"},{"family":"Wadelius","given":"Mia"},{"family":"Zimdahl-Gelling","given":"Heike"},{"family":"Yusuf","given":"Salim"},{"family":"Wallentin","given":"Lars"}],"issued":{"date-parts":[["2013",4,2]]}}},{"id":247,"uris":["http://zotero.org/users/14784094/items/LSU25GPU"],"itemData":{"id":247,"type":"article-journal","container-title":"Journal of Thrombosis and Haemostasis","DOI":"10.1111/jth.13577","ISSN":"1538-7836, 1538-7933","issue":"2","journalAbbreviation":"Journal of Thrombosis and Haemostasis","language":"English","page":"273-283","PMID":"27893182","publisher":"Elsevier","source":"www.jthjournal.org","title":"Interindividual variability in dabigatran and rivaroxaban exposure: contribution of ABCB1 genetic polymorphisms and interaction with clarithromycin","title-short":"Interindividual variability in dabigatran and rivaroxaban exposure","volume":"15","author":[{"family":"Gouin‐Thibault","given":"I."},{"family":"Delavenne","given":"X."},{"family":"Blanchard","given":"A."},{"family":"Siguret","given":"V."},{"family":"Salem","given":"J. E."},{"family":"Narjoz","given":"C."},{"family":"Gaussem","given":"P."},{"family":"Beaune","given":"P."},{"family":"Funck‐Brentano","given":"C."},{"family":"Azizi","given":"M."},{"family":"Mismetti","given":"P."},{"family":"Loriot","given":"M. A."}],"issued":{"date-parts":[["2017",2,1]]}}}],"schema":"https://github.com/citation-style-language/schema/raw/master/csl-citation.json"} </w:instrText>
      </w:r>
      <w:r w:rsidR="003B5761">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[18–20]</w:t>
      </w:r>
      <w:r w:rsidR="003B5761">
        <w:rPr>
          <w:rFonts w:ascii="Times New Roman" w:hAnsi="Times New Roman" w:cs="Times New Roman"/>
          <w:sz w:val="28"/>
          <w:szCs w:val="28"/>
          <w:lang w:bidi="ar-SA"/>
        </w:rPr>
        <w:fldChar w:fldCharType="end"/>
      </w:r>
      <w:r w:rsidR="003D4504">
        <w:rPr>
          <w:rFonts w:ascii="Times New Roman" w:hAnsi="Times New Roman" w:cs="Times New Roman"/>
          <w:sz w:val="28"/>
          <w:szCs w:val="28"/>
          <w:lang w:bidi="ar-SA"/>
        </w:rPr>
        <w:t xml:space="preserve">. Наиболее перспективными генетическими вариантами для </w:t>
      </w:r>
      <w:r w:rsidR="003D4504">
        <w:rPr>
          <w:rFonts w:ascii="Times New Roman" w:hAnsi="Times New Roman" w:cs="Times New Roman"/>
          <w:sz w:val="28"/>
          <w:szCs w:val="28"/>
          <w:lang w:val="en-US" w:bidi="ar-SA"/>
        </w:rPr>
        <w:t>CES</w:t>
      </w:r>
      <w:r w:rsidR="003D4504" w:rsidRPr="003D4504">
        <w:rPr>
          <w:rFonts w:ascii="Times New Roman" w:hAnsi="Times New Roman" w:cs="Times New Roman"/>
          <w:sz w:val="28"/>
          <w:szCs w:val="28"/>
          <w:lang w:bidi="ar-SA"/>
        </w:rPr>
        <w:t xml:space="preserve">1 </w:t>
      </w:r>
      <w:r w:rsidR="003D4504">
        <w:rPr>
          <w:rFonts w:ascii="Times New Roman" w:hAnsi="Times New Roman" w:cs="Times New Roman"/>
          <w:sz w:val="28"/>
          <w:szCs w:val="28"/>
          <w:lang w:bidi="ar-SA"/>
        </w:rPr>
        <w:t xml:space="preserve">выступают </w:t>
      </w:r>
      <w:r w:rsidR="003D4504">
        <w:rPr>
          <w:rFonts w:ascii="Times New Roman" w:hAnsi="Times New Roman" w:cs="Times New Roman"/>
          <w:sz w:val="28"/>
          <w:szCs w:val="28"/>
          <w:lang w:val="en-US" w:bidi="ar-SA"/>
        </w:rPr>
        <w:t>rs</w:t>
      </w:r>
      <w:r w:rsidR="003D4504" w:rsidRPr="003D4504">
        <w:rPr>
          <w:rFonts w:ascii="Times New Roman" w:hAnsi="Times New Roman" w:cs="Times New Roman"/>
          <w:sz w:val="28"/>
          <w:szCs w:val="28"/>
          <w:lang w:bidi="ar-SA"/>
        </w:rPr>
        <w:t xml:space="preserve">8192935, </w:t>
      </w:r>
      <w:r w:rsidR="003D4504">
        <w:rPr>
          <w:rFonts w:ascii="Times New Roman" w:hAnsi="Times New Roman" w:cs="Times New Roman"/>
          <w:sz w:val="28"/>
          <w:szCs w:val="28"/>
          <w:lang w:val="en-US" w:bidi="ar-SA"/>
        </w:rPr>
        <w:t>rs</w:t>
      </w:r>
      <w:r w:rsidR="003D4504" w:rsidRPr="003D4504">
        <w:rPr>
          <w:rFonts w:ascii="Times New Roman" w:hAnsi="Times New Roman" w:cs="Times New Roman"/>
          <w:sz w:val="28"/>
          <w:szCs w:val="28"/>
          <w:lang w:bidi="ar-SA"/>
        </w:rPr>
        <w:t xml:space="preserve">2244613, </w:t>
      </w:r>
      <w:r w:rsidR="003D4504">
        <w:rPr>
          <w:rFonts w:ascii="Times New Roman" w:hAnsi="Times New Roman" w:cs="Times New Roman"/>
          <w:sz w:val="28"/>
          <w:szCs w:val="28"/>
          <w:lang w:val="en-US" w:bidi="ar-SA"/>
        </w:rPr>
        <w:t>rs</w:t>
      </w:r>
      <w:r w:rsidR="003D4504" w:rsidRPr="003D4504">
        <w:rPr>
          <w:rFonts w:ascii="Times New Roman" w:hAnsi="Times New Roman" w:cs="Times New Roman"/>
          <w:sz w:val="28"/>
          <w:szCs w:val="28"/>
          <w:lang w:bidi="ar-SA"/>
        </w:rPr>
        <w:t>71647871,</w:t>
      </w:r>
      <w:r w:rsidR="003D4504">
        <w:rPr>
          <w:rFonts w:ascii="Times New Roman" w:hAnsi="Times New Roman" w:cs="Times New Roman"/>
          <w:sz w:val="28"/>
          <w:szCs w:val="28"/>
          <w:lang w:bidi="ar-SA"/>
        </w:rPr>
        <w:t xml:space="preserve"> для р-гликопротеина (АВСВ1) –</w:t>
      </w:r>
      <w:r w:rsidR="003D4504" w:rsidRPr="003D4504">
        <w:rPr>
          <w:rFonts w:ascii="Times New Roman" w:hAnsi="Times New Roman" w:cs="Times New Roman"/>
          <w:sz w:val="28"/>
          <w:szCs w:val="28"/>
          <w:lang w:bidi="ar-SA"/>
        </w:rPr>
        <w:t xml:space="preserve"> </w:t>
      </w:r>
      <w:r w:rsidR="003D4504">
        <w:rPr>
          <w:rFonts w:ascii="Times New Roman" w:hAnsi="Times New Roman" w:cs="Times New Roman"/>
          <w:sz w:val="28"/>
          <w:szCs w:val="28"/>
          <w:lang w:val="en-US" w:bidi="ar-SA"/>
        </w:rPr>
        <w:t>rs</w:t>
      </w:r>
      <w:r w:rsidR="003D4504" w:rsidRPr="003D4504">
        <w:rPr>
          <w:rFonts w:ascii="Times New Roman" w:hAnsi="Times New Roman" w:cs="Times New Roman"/>
          <w:sz w:val="28"/>
          <w:szCs w:val="28"/>
          <w:lang w:bidi="ar-SA"/>
        </w:rPr>
        <w:t xml:space="preserve">4148738, </w:t>
      </w:r>
      <w:r w:rsidR="003D4504">
        <w:rPr>
          <w:rFonts w:ascii="Times New Roman" w:hAnsi="Times New Roman" w:cs="Times New Roman"/>
          <w:sz w:val="28"/>
          <w:szCs w:val="28"/>
          <w:lang w:val="en-US" w:bidi="ar-SA"/>
        </w:rPr>
        <w:t>rs</w:t>
      </w:r>
      <w:r w:rsidR="003D4504" w:rsidRPr="003D4504">
        <w:rPr>
          <w:rFonts w:ascii="Times New Roman" w:hAnsi="Times New Roman" w:cs="Times New Roman"/>
          <w:sz w:val="28"/>
          <w:szCs w:val="28"/>
          <w:lang w:bidi="ar-SA"/>
        </w:rPr>
        <w:t xml:space="preserve">1045642, </w:t>
      </w:r>
      <w:r w:rsidR="003D4504">
        <w:rPr>
          <w:rFonts w:ascii="Times New Roman" w:hAnsi="Times New Roman" w:cs="Times New Roman"/>
          <w:sz w:val="28"/>
          <w:szCs w:val="28"/>
          <w:lang w:val="en-US" w:bidi="ar-SA"/>
        </w:rPr>
        <w:t>rs</w:t>
      </w:r>
      <w:r w:rsidR="003D4504" w:rsidRPr="003D4504">
        <w:rPr>
          <w:rFonts w:ascii="Times New Roman" w:hAnsi="Times New Roman" w:cs="Times New Roman"/>
          <w:sz w:val="28"/>
          <w:szCs w:val="28"/>
          <w:lang w:bidi="ar-SA"/>
        </w:rPr>
        <w:t xml:space="preserve">2032582, </w:t>
      </w:r>
      <w:r w:rsidR="003D4504">
        <w:rPr>
          <w:rFonts w:ascii="Times New Roman" w:hAnsi="Times New Roman" w:cs="Times New Roman"/>
          <w:sz w:val="28"/>
          <w:szCs w:val="28"/>
          <w:lang w:val="en-US" w:bidi="ar-SA"/>
        </w:rPr>
        <w:t>rs</w:t>
      </w:r>
      <w:r w:rsidR="003D4504" w:rsidRPr="003D4504">
        <w:rPr>
          <w:rFonts w:ascii="Times New Roman" w:hAnsi="Times New Roman" w:cs="Times New Roman"/>
          <w:sz w:val="28"/>
          <w:szCs w:val="28"/>
          <w:lang w:bidi="ar-SA"/>
        </w:rPr>
        <w:t>1128503</w:t>
      </w:r>
      <w:r w:rsidR="00EB62B8">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li6Fb0xV","properties":{"unsorted":false,"formattedCitation":"[16,21,22]","plainCitation":"[16,21,22]","noteIndex":0},"citationItems":[{"id":730,"uris":["http://zotero.org/users/14784094/items/FFTTVT9G"],"itemData":{"id":730,"type":"article-journal","abstract":"Dabigatran, rivaroxaban, apixaban, edoxaban, and betrixaban are direct oral anticoagulants (DOACs). Their inter-individual variability in pharmacodynamics and pharmacokinetics (transport and metabolism) is high, and could result from genetic polymorphisms. As recommended by the French Network of Pharmacogenetics (RNPGx), the management of some treatments in cardiovascular diseases (as antiplatelet agents, oral vitamin K antagonists, and statins) can rely on genetic testing in order to improve healthcare by reducing therapeutic resistance or toxicity. This paper is a review of association studies between single nucleotide polymorphisms (SNPs) and systemic exposure variation of DOACs. Most of the results presented here have a lot to do with some SNPs of CES1 (rs2244613, rs8192935, and rs71647871) and ABCB1 (rs1128503, rs2032582, rs1045642, and rs4148738) genes, and dabigatran, rivaroxaban, and apixaban. Regarding edoxaban and betrixaban, as well as SNPs in the CYP3A4 and CYP3A5 genes, literature is scarce, and further studies are needed.","container-title":"Journal of Personalized Medicine","DOI":"10.3390/jpm11010037","ISSN":"2075-4426","issue":"1","journalAbbreviation":"JPM","language":"en","license":"https://creativecommons.org/licenses/by/4.0/","page":"37","source":"DOI.org (Crossref)","title":"Pharmacogenetics of Direct Oral Anticoagulants: A Systematic Review","title-short":"Pharmacogenetics of Direct Oral Anticoagulants","volume":"11","author":[{"family":"Raymond","given":"Johanna"},{"family":"Imbert","given":"Laurent"},{"family":"Cousin","given":"Thibault"},{"family":"Duflot","given":"Thomas"},{"family":"Varin","given":"Rémi"},{"family":"Wils","given":"Julien"},{"family":"Lamoureux","given":"Fabien"}],"issued":{"date-parts":[["2021",1,11]]}}},{"id":729,"uris":["http://zotero.org/users/14784094/items/AL6T3PNH"],"itemData":{"id":729,"type":"article-journal","abstract":"Objectives: The purpose of our study is to investigate the effects of apolipoprotein B (APOB) and APOE gene polymorphisms on bleeding complications in patients receiving direct oral anticoagulants (DOACs). Methods: A total of 16 single nucleotide polymorphisms (SNPs) in 468 patients were genotyped. Six SNPs of ABCB1 (rs3842, rs1045642, rs2032582, rs1128503, rs3213619, and rs3747802), one SNP of CYP3A5 (rs776746), seven SNPs of APOB (rs1042034, rs2163204, rs693, rs679899, rs13306194, rs13306198, and rs1367117), and two SNPs of APOE (rs429358 and rs7412) were analyzed by a TaqMan genotyping assay. Multivariable logistic regression analysis with selected variables was performed for the construction of a risk scoring system. Two risk scoring systems were compared (demographic factors only vs. demographic factors and genetic factors). Results: In the multivariable analyses, two models were constructed; only demographic factors were included in Model I and both demographic factors and genetic factors in Model II. Rivaroxaban and anemia showed signiﬁcant association with bleeding in both models. Additionally, ABCB1 rs3842 variant homozygote carriers (CC) and APOB rs13306198 variant allele carriers (AG, AA) had a higher risk of bleeding risk compared with that of wild-type allele carriers (TT, TC) and wild-type homozygote carriers (GG), respectively. Whereas the area under the receiver operating characteristic curve (AUROC) value using demographic factors only was 0.65 (95% conﬁdence interval (CI): 0.56–0.74), the AUROC increased to 0.72 by adding genetic factors (95% CI: 0.65–0.80). The predicted bleeding risks of bleeding in patients with 0, 1, 2, 3, 4, 5, 6, 7 and 8 points from the logistic regression curve were 0.8%, 2.0%, 5.4%, 5.2%, 12.5%, 26.9%, 47.0%, 64.3% and 82.3%, respectively. Conclusions: The study results can be used for enhancing individualized treatment strategies in patients taking DOACs, helping clinicians predict the bleeding risk.","container-title":"Pharmaceutics","DOI":"10.3390/pharmaceutics14091889","ISSN":"1999-4923","issue":"9","journalAbbreviation":"Pharmaceutics","language":"en","license":"https://creativecommons.org/licenses/by/4.0/","page":"1889","source":"DOI.org (Crossref)","title":"Association between Genetic Polymorphisms and Bleeding in Patients on Direct Oral Anticoagulants","volume":"14","author":[{"family":"Yoon","given":"Ha-Young"},{"family":"Song","given":"Tae-Jin"},{"family":"Yee","given":"Jeong"},{"family":"Park","given":"Junbeom"},{"family":"Gwak","given":"Hye-Sun"}],"issued":{"date-parts":[["2022",9,7]]}}},{"id":728,"uris":["http://zotero.org/users/14784094/items/4M7BUGNC"],"itemData":{"id":728,"type":"article-journal","container-title":"Rational Pharmacotherapy in Cardiology","DOI":"10.20996/1819-6446-2017-13-3-416-421","ISSN":"2225-3653, 1819-6446","issue":"3","journalAbbreviation":"Racionalʹnaâ farmakoterapiâ v kardiologii","language":"ru","page":"416-421","source":"DOI.org (Crossref)","title":"PHARMACOGENETIC ASPECTS OF NEW ORAL ANTICOAGULANTS APPLICATION","volume":"13","author":[{"family":"Kryukov","given":"A. V."},{"family":"Sychev","given":"D. A."},{"family":"Tereshchenko","given":"O. V."}],"issued":{"date-parts":[["2017",1,1]]}}}],"schema":"https://github.com/citation-style-language/schema/raw/master/csl-citation.json"} </w:instrText>
      </w:r>
      <w:r w:rsidR="00EB62B8">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[16,21,22]</w:t>
      </w:r>
      <w:r w:rsidR="00EB62B8">
        <w:rPr>
          <w:rFonts w:ascii="Times New Roman" w:hAnsi="Times New Roman" w:cs="Times New Roman"/>
          <w:sz w:val="28"/>
          <w:szCs w:val="28"/>
          <w:lang w:bidi="ar-SA"/>
        </w:rPr>
        <w:fldChar w:fldCharType="end"/>
      </w:r>
      <w:r w:rsidR="003D4504" w:rsidRPr="003D4504">
        <w:rPr>
          <w:rFonts w:ascii="Times New Roman" w:hAnsi="Times New Roman" w:cs="Times New Roman"/>
          <w:sz w:val="28"/>
          <w:szCs w:val="28"/>
          <w:lang w:bidi="ar-SA"/>
        </w:rPr>
        <w:t xml:space="preserve">. </w:t>
      </w:r>
      <w:r w:rsidR="003D4504">
        <w:rPr>
          <w:rFonts w:ascii="Times New Roman" w:hAnsi="Times New Roman" w:cs="Times New Roman"/>
          <w:sz w:val="28"/>
          <w:szCs w:val="28"/>
          <w:lang w:bidi="ar-SA"/>
        </w:rPr>
        <w:t xml:space="preserve">На сегодняшний день создана </w:t>
      </w:r>
      <w:proofErr w:type="spellStart"/>
      <w:r w:rsidR="003D4504">
        <w:rPr>
          <w:rFonts w:ascii="Times New Roman" w:hAnsi="Times New Roman" w:cs="Times New Roman"/>
          <w:sz w:val="28"/>
          <w:szCs w:val="28"/>
          <w:lang w:bidi="ar-SA"/>
        </w:rPr>
        <w:t>фармакогеномная</w:t>
      </w:r>
      <w:proofErr w:type="spellEnd"/>
      <w:r w:rsidR="003D4504">
        <w:rPr>
          <w:rFonts w:ascii="Times New Roman" w:hAnsi="Times New Roman" w:cs="Times New Roman"/>
          <w:sz w:val="28"/>
          <w:szCs w:val="28"/>
          <w:lang w:bidi="ar-SA"/>
        </w:rPr>
        <w:t xml:space="preserve"> база данных </w:t>
      </w:r>
      <w:r w:rsidR="003D4504">
        <w:rPr>
          <w:rFonts w:ascii="Times New Roman" w:hAnsi="Times New Roman" w:cs="Times New Roman"/>
          <w:sz w:val="28"/>
          <w:szCs w:val="28"/>
          <w:lang w:val="en-US" w:bidi="ar-SA"/>
        </w:rPr>
        <w:t>Pharmacogenomics</w:t>
      </w:r>
      <w:r w:rsidR="003D4504" w:rsidRPr="003D4504">
        <w:rPr>
          <w:rFonts w:ascii="Times New Roman" w:hAnsi="Times New Roman" w:cs="Times New Roman"/>
          <w:sz w:val="28"/>
          <w:szCs w:val="28"/>
          <w:lang w:bidi="ar-SA"/>
        </w:rPr>
        <w:t xml:space="preserve"> </w:t>
      </w:r>
      <w:r w:rsidR="003D4504">
        <w:rPr>
          <w:rFonts w:ascii="Times New Roman" w:hAnsi="Times New Roman" w:cs="Times New Roman"/>
          <w:sz w:val="28"/>
          <w:szCs w:val="28"/>
          <w:lang w:val="en-US" w:bidi="ar-SA"/>
        </w:rPr>
        <w:t>Knowledge</w:t>
      </w:r>
      <w:r w:rsidR="003D4504" w:rsidRPr="003D4504">
        <w:rPr>
          <w:rFonts w:ascii="Times New Roman" w:hAnsi="Times New Roman" w:cs="Times New Roman"/>
          <w:sz w:val="28"/>
          <w:szCs w:val="28"/>
          <w:lang w:bidi="ar-SA"/>
        </w:rPr>
        <w:t xml:space="preserve"> </w:t>
      </w:r>
      <w:r w:rsidR="003D4504">
        <w:rPr>
          <w:rFonts w:ascii="Times New Roman" w:hAnsi="Times New Roman" w:cs="Times New Roman"/>
          <w:sz w:val="28"/>
          <w:szCs w:val="28"/>
          <w:lang w:val="en-US" w:bidi="ar-SA"/>
        </w:rPr>
        <w:t>Implementation</w:t>
      </w:r>
      <w:r w:rsidR="003D4504" w:rsidRPr="003D4504">
        <w:rPr>
          <w:rFonts w:ascii="Times New Roman" w:hAnsi="Times New Roman" w:cs="Times New Roman"/>
          <w:sz w:val="28"/>
          <w:szCs w:val="28"/>
          <w:lang w:bidi="ar-SA"/>
        </w:rPr>
        <w:t xml:space="preserve"> (</w:t>
      </w:r>
      <w:hyperlink r:id="rId8" w:history="1">
        <w:r w:rsidR="003D4504" w:rsidRPr="00F014B5">
          <w:rPr>
            <w:rStyle w:val="af0"/>
            <w:rFonts w:ascii="Times New Roman" w:hAnsi="Times New Roman" w:cs="Times New Roman"/>
            <w:sz w:val="28"/>
            <w:szCs w:val="28"/>
            <w:lang w:val="en-US" w:bidi="ar-SA"/>
          </w:rPr>
          <w:t>http</w:t>
        </w:r>
        <w:r w:rsidR="003D4504" w:rsidRPr="00F014B5">
          <w:rPr>
            <w:rStyle w:val="af0"/>
            <w:rFonts w:ascii="Times New Roman" w:hAnsi="Times New Roman" w:cs="Times New Roman"/>
            <w:sz w:val="28"/>
            <w:szCs w:val="28"/>
            <w:lang w:bidi="ar-SA"/>
          </w:rPr>
          <w:t>://</w:t>
        </w:r>
        <w:r w:rsidR="003D4504" w:rsidRPr="00F014B5">
          <w:rPr>
            <w:rStyle w:val="af0"/>
            <w:rFonts w:ascii="Times New Roman" w:hAnsi="Times New Roman" w:cs="Times New Roman"/>
            <w:sz w:val="28"/>
            <w:szCs w:val="28"/>
            <w:lang w:val="en-US" w:bidi="ar-SA"/>
          </w:rPr>
          <w:t>www</w:t>
        </w:r>
        <w:r w:rsidR="003D4504" w:rsidRPr="00F014B5">
          <w:rPr>
            <w:rStyle w:val="af0"/>
            <w:rFonts w:ascii="Times New Roman" w:hAnsi="Times New Roman" w:cs="Times New Roman"/>
            <w:sz w:val="28"/>
            <w:szCs w:val="28"/>
            <w:lang w:bidi="ar-SA"/>
          </w:rPr>
          <w:t>.</w:t>
        </w:r>
        <w:proofErr w:type="spellStart"/>
        <w:r w:rsidR="003D4504" w:rsidRPr="00F014B5">
          <w:rPr>
            <w:rStyle w:val="af0"/>
            <w:rFonts w:ascii="Times New Roman" w:hAnsi="Times New Roman" w:cs="Times New Roman"/>
            <w:sz w:val="28"/>
            <w:szCs w:val="28"/>
            <w:lang w:val="en-US" w:bidi="ar-SA"/>
          </w:rPr>
          <w:t>pharmgkb</w:t>
        </w:r>
        <w:proofErr w:type="spellEnd"/>
        <w:r w:rsidR="003D4504" w:rsidRPr="00F014B5">
          <w:rPr>
            <w:rStyle w:val="af0"/>
            <w:rFonts w:ascii="Times New Roman" w:hAnsi="Times New Roman" w:cs="Times New Roman"/>
            <w:sz w:val="28"/>
            <w:szCs w:val="28"/>
            <w:lang w:bidi="ar-SA"/>
          </w:rPr>
          <w:t>.</w:t>
        </w:r>
        <w:r w:rsidR="003D4504" w:rsidRPr="00F014B5">
          <w:rPr>
            <w:rStyle w:val="af0"/>
            <w:rFonts w:ascii="Times New Roman" w:hAnsi="Times New Roman" w:cs="Times New Roman"/>
            <w:sz w:val="28"/>
            <w:szCs w:val="28"/>
            <w:lang w:val="en-US" w:bidi="ar-SA"/>
          </w:rPr>
          <w:t>org</w:t>
        </w:r>
      </w:hyperlink>
      <w:r w:rsidR="003D4504" w:rsidRPr="003D4504">
        <w:rPr>
          <w:rFonts w:ascii="Times New Roman" w:hAnsi="Times New Roman" w:cs="Times New Roman"/>
          <w:sz w:val="28"/>
          <w:szCs w:val="28"/>
          <w:lang w:bidi="ar-SA"/>
        </w:rPr>
        <w:t>)</w:t>
      </w:r>
      <w:r w:rsidR="003D4504">
        <w:rPr>
          <w:rFonts w:ascii="Times New Roman" w:hAnsi="Times New Roman" w:cs="Times New Roman"/>
          <w:sz w:val="28"/>
          <w:szCs w:val="28"/>
          <w:lang w:bidi="ar-SA"/>
        </w:rPr>
        <w:t>, в которую вносятся сведения об ассоциации лекарственных средств с определенными полиморфизмами. Управление контроля продуктов и лекарств США (</w:t>
      </w:r>
      <w:r w:rsidR="003D4504">
        <w:rPr>
          <w:rFonts w:ascii="Times New Roman" w:hAnsi="Times New Roman" w:cs="Times New Roman"/>
          <w:sz w:val="28"/>
          <w:szCs w:val="28"/>
          <w:lang w:val="en-US" w:bidi="ar-SA"/>
        </w:rPr>
        <w:t>FDA</w:t>
      </w:r>
      <w:r w:rsidR="003D4504">
        <w:rPr>
          <w:rFonts w:ascii="Times New Roman" w:hAnsi="Times New Roman" w:cs="Times New Roman"/>
          <w:sz w:val="28"/>
          <w:szCs w:val="28"/>
          <w:lang w:bidi="ar-SA"/>
        </w:rPr>
        <w:t xml:space="preserve">) постоянно отслеживает </w:t>
      </w:r>
      <w:r w:rsidR="00BF5274">
        <w:rPr>
          <w:rFonts w:ascii="Times New Roman" w:hAnsi="Times New Roman" w:cs="Times New Roman"/>
          <w:sz w:val="28"/>
          <w:szCs w:val="28"/>
          <w:lang w:bidi="ar-SA"/>
        </w:rPr>
        <w:t xml:space="preserve">исследования в данном направлении. Периодически появляются фармакогенетические рекомендации, одобренные </w:t>
      </w:r>
      <w:r w:rsidR="00BF5274">
        <w:rPr>
          <w:rFonts w:ascii="Times New Roman" w:hAnsi="Times New Roman" w:cs="Times New Roman"/>
          <w:sz w:val="28"/>
          <w:szCs w:val="28"/>
          <w:lang w:val="en-US" w:bidi="ar-SA"/>
        </w:rPr>
        <w:t>FDA</w:t>
      </w:r>
      <w:r w:rsidR="00BF5274" w:rsidRPr="00A1683C">
        <w:rPr>
          <w:rFonts w:ascii="Times New Roman" w:hAnsi="Times New Roman" w:cs="Times New Roman"/>
          <w:sz w:val="28"/>
          <w:szCs w:val="28"/>
          <w:lang w:bidi="ar-SA"/>
        </w:rPr>
        <w:t>.</w:t>
      </w:r>
    </w:p>
    <w:p w14:paraId="584ADAD1" w14:textId="5339D896" w:rsidR="00EB62B8" w:rsidRDefault="00EB62B8"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Выраженные межрасовые и межэтнические различия в чувствительности к лекарственным средствам могут отразиться на выборе стратегии фармакотерапии и персонализации режимов дозирования препаратов</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{"citationID":"R63NVA9u","properties":{"unsorted":false,"formattedCitation":"[14]","plainCitation":"[14]","noteIndex":0},"citationItems":[{"id":248,"uris":["http://zotero.org/users/14784094/items/3QLQY7JC"],"itemData":{"id":248,"type":"article-journal","abstract":"Direct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[14]</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Проведен ряд исследований по изучению полиморфизмов данных генов в различных этнических группах (</w:t>
      </w:r>
      <w:r>
        <w:rPr>
          <w:rFonts w:ascii="Times New Roman" w:hAnsi="Times New Roman" w:cs="Times New Roman"/>
          <w:sz w:val="28"/>
          <w:szCs w:val="28"/>
          <w:lang w:val="en-US" w:bidi="ar-SA"/>
        </w:rPr>
        <w:t>Dimatteo</w:t>
      </w:r>
      <w:r w:rsidRPr="00EB62B8">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Ueshima</w:t>
      </w:r>
      <w:r w:rsidRPr="00EB62B8">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Сычев, Крюков и др.). По данным исследования </w:t>
      </w:r>
      <w:r>
        <w:rPr>
          <w:rFonts w:ascii="Times New Roman" w:hAnsi="Times New Roman" w:cs="Times New Roman"/>
          <w:sz w:val="28"/>
          <w:szCs w:val="28"/>
          <w:lang w:val="en-US" w:bidi="ar-SA"/>
        </w:rPr>
        <w:t>Qiuyi</w:t>
      </w:r>
      <w:r w:rsidRPr="00EB62B8">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Ji</w:t>
      </w:r>
      <w:r w:rsidRPr="00EB62B8">
        <w:rPr>
          <w:rFonts w:ascii="Times New Roman" w:hAnsi="Times New Roman" w:cs="Times New Roman"/>
          <w:sz w:val="28"/>
          <w:szCs w:val="28"/>
          <w:lang w:bidi="ar-SA"/>
        </w:rPr>
        <w:t xml:space="preserve"> </w:t>
      </w:r>
      <w:r>
        <w:rPr>
          <w:rFonts w:ascii="Times New Roman" w:hAnsi="Times New Roman" w:cs="Times New Roman"/>
          <w:sz w:val="28"/>
          <w:szCs w:val="28"/>
          <w:lang w:bidi="ar-SA"/>
        </w:rPr>
        <w:t>и соавторов (2019г.) распределение генотипов в китайской популяции сильно отличалось от европейского, что позволило предположить, что чувствительность к дабигатрану выше у европейской популяции в сравнении с китайской</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{"citationID":"mOvWnUjE","properties":{"unsorted":false,"formattedCitation":"[23]","plainCitation":"[23]","noteIndex":0},"citationItems":[{"id":684,"uris":["http://zotero.org/users/14784094/items/6697HAB8"],"itemData":{"id":684,"type":"article-journal","abstract":"Methods: We conducted a prospective study and enrolled NVAF patients treated with dabigatran. Blood samples were obtained from each patient and used for genotyping and determination of plasma dabigatran concentration (PDC) and coagulation parameters including activated partial thromboplastin time (APTT) and thrombin time. Patients' demographics and clinical outcomes from scheduled followup visits were all recorded. Statistical analysis was performed to identify the impact of genetic polymorphisms on the PK/PD and bleeding risk of dabigatran.\nResults: A total of 198 patients were included in analysis. For the ABCB1 polymorphisms rs4148738 and rs1045642, no significant association was found with dabigatran PK/PD. For the CES1 polymorphism rs8192935, the minor allele(C) was associated with increased trough PDCs (ANOVA: P &lt; .001; CC vs. TT genotype, P &lt; .001; CT vs. TT genotype, P = .014) and with APTT values at trough level (P = .015). For the CES1 polymorphism rs2244613, the minor allele(A) carriers had higher levels of trough PDC than noncarriers (ANOVA: P &lt; .001; AA vs. CC genotype, P &lt; .001; CA vs. CC genotype, P = .004) and increased risk for minor bleeding (P = .034; odds ratio = 2.71, 95% confidence interval 1.05–7.00).\nConclusion: Our study indicated that the minor allele(C) on the CES1 SNP rs8192935 was associated with PDCs and APTT values at trough level. The minor allele(A) on the CES1 SNP rs2244613 was associated with increased trough PDCs and higher risk for minor bleeding in NVAF patients treated with dabigatran.","container-title":"British Journal of Clinical Pharmacology","DOI":"10.1111/bcp.14646","ISSN":"0306-5251, 1365-2125","issue":"5","journalAbbreviation":"Brit J Clinical Pharma","language":"en","license":"http://onlinelibrary.wiley.com/termsAndConditions#vor","page":"2247-2255","source":"DOI.org (Crossref)","title":"The impact of &lt;i&gt;ABCB1&lt;/i&gt; and &lt;i&gt;CES1&lt;/i&gt; polymorphisms on dabigatran pharmacokinetics and pharmacodynamics in patients with atrial fibrillation","volume":"87","author":[{"family":"Ji","given":"Qiuyi"},{"family":"Zhang","given":"Chunyu"},{"family":"Xu","given":"Qing"},{"family":"Wang","given":"Zi"},{"family":"Li","given":"Xiaoye"},{"family":"Lv","given":"Qianzhou"}],"issued":{"date-parts":[["2021",5]]}}}],"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[23]</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p>
    <w:p w14:paraId="4604416C" w14:textId="34803375" w:rsidR="00EB62B8" w:rsidRDefault="00EB62B8"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Межрасовые и межэтнические различия в чувствительности к пероральным антикоагулянтам прямого действия стали основанием для проведения данного исследования в казахской популяции, поскольку ранее аналогичные работы </w:t>
      </w:r>
      <w:r w:rsidR="000B3A46">
        <w:rPr>
          <w:rFonts w:ascii="Times New Roman" w:hAnsi="Times New Roman" w:cs="Times New Roman"/>
          <w:sz w:val="28"/>
          <w:szCs w:val="28"/>
          <w:lang w:bidi="ar-SA"/>
        </w:rPr>
        <w:t xml:space="preserve">в Казахстане не проводились; кроме того, в настоящее время в странах Центральной Азии, включая Казахстан, отсутствуют опубликованные исследования, посвященные изучению связи полиморфизма генов с фармакокинетикой прямых пероральных антикоагулянтов у пациентов с неклапанной фибрилляцией предсердий. Значение воздействия фармакогенетических факторов в формировании рисков антикоагулянтной терапии и возможность оптимизации антикоагулянтной терапии с их учетом среди казахской популяции пациентов с ФП не изучены. </w:t>
      </w:r>
    </w:p>
    <w:p w14:paraId="60FEFDA9" w14:textId="0143AE1E" w:rsidR="000B3A46" w:rsidRDefault="000B3A46" w:rsidP="009B0CEF">
      <w:pPr>
        <w:pStyle w:val="LO-normal"/>
        <w:spacing w:after="0" w:line="240" w:lineRule="auto"/>
        <w:ind w:firstLine="567"/>
        <w:jc w:val="both"/>
        <w:rPr>
          <w:rFonts w:ascii="Times New Roman" w:hAnsi="Times New Roman" w:cs="Times New Roman"/>
          <w:sz w:val="28"/>
          <w:szCs w:val="28"/>
          <w:lang w:val="kk-KZ" w:bidi="ar-SA"/>
        </w:rPr>
      </w:pPr>
      <w:r>
        <w:rPr>
          <w:rFonts w:ascii="Times New Roman" w:hAnsi="Times New Roman" w:cs="Times New Roman"/>
          <w:sz w:val="28"/>
          <w:szCs w:val="28"/>
          <w:lang w:bidi="ar-SA"/>
        </w:rPr>
        <w:t xml:space="preserve">Подход к геморрагическим, тромбоэмболическим осложнениям у пациентов, получающих прямые пероральные антикоагулянты, представляет собой важную проблему в клинической практике. Выявление частот аллелей </w:t>
      </w:r>
      <w:r>
        <w:rPr>
          <w:rFonts w:ascii="Times New Roman" w:hAnsi="Times New Roman" w:cs="Times New Roman"/>
          <w:sz w:val="28"/>
          <w:szCs w:val="28"/>
          <w:lang w:val="en-US" w:bidi="ar-SA"/>
        </w:rPr>
        <w:t>CES</w:t>
      </w:r>
      <w:r w:rsidRPr="000B3A46">
        <w:rPr>
          <w:rFonts w:ascii="Times New Roman" w:hAnsi="Times New Roman" w:cs="Times New Roman"/>
          <w:sz w:val="28"/>
          <w:szCs w:val="28"/>
          <w:lang w:bidi="ar-SA"/>
        </w:rPr>
        <w:t>1 (</w:t>
      </w:r>
      <w:r>
        <w:rPr>
          <w:rFonts w:ascii="Times New Roman" w:hAnsi="Times New Roman" w:cs="Times New Roman"/>
          <w:sz w:val="28"/>
          <w:szCs w:val="28"/>
          <w:lang w:val="en-US" w:bidi="ar-SA"/>
        </w:rPr>
        <w:t>rs</w:t>
      </w:r>
      <w:r w:rsidRPr="000B3A46">
        <w:rPr>
          <w:rFonts w:ascii="Times New Roman" w:hAnsi="Times New Roman" w:cs="Times New Roman"/>
          <w:sz w:val="28"/>
          <w:szCs w:val="28"/>
          <w:lang w:bidi="ar-SA"/>
        </w:rPr>
        <w:t xml:space="preserve">8192935, </w:t>
      </w:r>
      <w:r>
        <w:rPr>
          <w:rFonts w:ascii="Times New Roman" w:hAnsi="Times New Roman" w:cs="Times New Roman"/>
          <w:sz w:val="28"/>
          <w:szCs w:val="28"/>
          <w:lang w:val="en-US" w:bidi="ar-SA"/>
        </w:rPr>
        <w:t>rs</w:t>
      </w:r>
      <w:r w:rsidRPr="000B3A46">
        <w:rPr>
          <w:rFonts w:ascii="Times New Roman" w:hAnsi="Times New Roman" w:cs="Times New Roman"/>
          <w:sz w:val="28"/>
          <w:szCs w:val="28"/>
          <w:lang w:bidi="ar-SA"/>
        </w:rPr>
        <w:t xml:space="preserve">2244613, </w:t>
      </w:r>
      <w:r>
        <w:rPr>
          <w:rFonts w:ascii="Times New Roman" w:hAnsi="Times New Roman" w:cs="Times New Roman"/>
          <w:sz w:val="28"/>
          <w:szCs w:val="28"/>
          <w:lang w:val="en-US" w:bidi="ar-SA"/>
        </w:rPr>
        <w:t>rs</w:t>
      </w:r>
      <w:r w:rsidRPr="000B3A46">
        <w:rPr>
          <w:rFonts w:ascii="Times New Roman" w:hAnsi="Times New Roman" w:cs="Times New Roman"/>
          <w:sz w:val="28"/>
          <w:szCs w:val="28"/>
          <w:lang w:bidi="ar-SA"/>
        </w:rPr>
        <w:t xml:space="preserve">71647871)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ABCB</w:t>
      </w:r>
      <w:r w:rsidRPr="000B3A46">
        <w:rPr>
          <w:rFonts w:ascii="Times New Roman" w:hAnsi="Times New Roman" w:cs="Times New Roman"/>
          <w:sz w:val="28"/>
          <w:szCs w:val="28"/>
          <w:lang w:bidi="ar-SA"/>
        </w:rPr>
        <w:t>1 (</w:t>
      </w:r>
      <w:r>
        <w:rPr>
          <w:rFonts w:ascii="Times New Roman" w:hAnsi="Times New Roman" w:cs="Times New Roman"/>
          <w:sz w:val="28"/>
          <w:szCs w:val="28"/>
          <w:lang w:val="en-US" w:bidi="ar-SA"/>
        </w:rPr>
        <w:t>rs</w:t>
      </w:r>
      <w:r w:rsidRPr="000B3A46">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0B3A46">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0B3A46">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0B3A46">
        <w:rPr>
          <w:rFonts w:ascii="Times New Roman" w:hAnsi="Times New Roman" w:cs="Times New Roman"/>
          <w:sz w:val="28"/>
          <w:szCs w:val="28"/>
          <w:lang w:bidi="ar-SA"/>
        </w:rPr>
        <w:t xml:space="preserve">1128503) </w:t>
      </w:r>
      <w:r>
        <w:rPr>
          <w:rFonts w:ascii="Times New Roman" w:hAnsi="Times New Roman" w:cs="Times New Roman"/>
          <w:sz w:val="28"/>
          <w:szCs w:val="28"/>
          <w:lang w:bidi="ar-SA"/>
        </w:rPr>
        <w:t>в казахской когорте и анализ их связи с плазменными концентрациями ПОАК/исходами – ключевой шаг к разработке первых фармакогенетических алгоритмов дозирования в казахской популяции для повышения безопасности и эффективности использования пероральных антикоагулянтов прямого действия.</w:t>
      </w:r>
    </w:p>
    <w:p w14:paraId="2C1497ED" w14:textId="77777777" w:rsidR="00A619A4" w:rsidRPr="00A619A4" w:rsidRDefault="00A619A4" w:rsidP="009B0CEF">
      <w:pPr>
        <w:pStyle w:val="LO-normal"/>
        <w:spacing w:after="0" w:line="240" w:lineRule="auto"/>
        <w:ind w:firstLine="567"/>
        <w:jc w:val="both"/>
        <w:rPr>
          <w:rFonts w:ascii="Times New Roman" w:hAnsi="Times New Roman" w:cs="Times New Roman"/>
          <w:sz w:val="28"/>
          <w:szCs w:val="28"/>
          <w:lang w:val="kk-KZ" w:bidi="ar-SA"/>
        </w:rPr>
      </w:pPr>
    </w:p>
    <w:p w14:paraId="2DBAD5BF" w14:textId="327955F5" w:rsidR="00CB54B9" w:rsidRDefault="00CB54B9" w:rsidP="009B0CEF">
      <w:pPr>
        <w:pStyle w:val="LO-normal"/>
        <w:spacing w:after="0" w:line="240" w:lineRule="auto"/>
        <w:ind w:firstLine="567"/>
        <w:jc w:val="both"/>
        <w:rPr>
          <w:rFonts w:ascii="Times New Roman" w:hAnsi="Times New Roman" w:cs="Times New Roman"/>
          <w:b/>
          <w:bCs/>
          <w:sz w:val="28"/>
          <w:szCs w:val="28"/>
          <w:lang w:bidi="ar-SA"/>
        </w:rPr>
      </w:pPr>
      <w:r>
        <w:rPr>
          <w:rFonts w:ascii="Times New Roman" w:hAnsi="Times New Roman" w:cs="Times New Roman"/>
          <w:b/>
          <w:bCs/>
          <w:sz w:val="28"/>
          <w:szCs w:val="28"/>
          <w:lang w:bidi="ar-SA"/>
        </w:rPr>
        <w:t>Цель исследования</w:t>
      </w:r>
    </w:p>
    <w:p w14:paraId="77204250" w14:textId="2F5014E8" w:rsidR="00CB54B9" w:rsidRDefault="00CB54B9"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Изучить ассоциацию полиморфизма генов, кодирующих ферменты биотрансформации и белков-переносчиков </w:t>
      </w:r>
      <w:r w:rsidR="008C6821">
        <w:rPr>
          <w:rFonts w:ascii="Times New Roman" w:hAnsi="Times New Roman" w:cs="Times New Roman"/>
          <w:sz w:val="28"/>
          <w:szCs w:val="28"/>
          <w:lang w:bidi="ar-SA"/>
        </w:rPr>
        <w:t xml:space="preserve">прямых </w:t>
      </w:r>
      <w:r w:rsidR="00333D46">
        <w:rPr>
          <w:rFonts w:ascii="Times New Roman" w:hAnsi="Times New Roman" w:cs="Times New Roman"/>
          <w:sz w:val="28"/>
          <w:szCs w:val="28"/>
          <w:lang w:bidi="ar-SA"/>
        </w:rPr>
        <w:t>пер</w:t>
      </w:r>
      <w:r w:rsidR="008C6821">
        <w:rPr>
          <w:rFonts w:ascii="Times New Roman" w:hAnsi="Times New Roman" w:cs="Times New Roman"/>
          <w:sz w:val="28"/>
          <w:szCs w:val="28"/>
          <w:lang w:bidi="ar-SA"/>
        </w:rPr>
        <w:t xml:space="preserve">оральных антикоагулянтов, с фармакокинетикой дабигатрана этексилата и апиксабана у пациентов с неклапанной фибрилляцией предсердий в казахской популяции для внедрения персонализированного подхода антикоагулянтной терапии. </w:t>
      </w:r>
    </w:p>
    <w:p w14:paraId="5032F64C" w14:textId="77777777" w:rsidR="008C6821" w:rsidRDefault="008C6821" w:rsidP="009B0CEF">
      <w:pPr>
        <w:pStyle w:val="LO-normal"/>
        <w:spacing w:after="0" w:line="240" w:lineRule="auto"/>
        <w:ind w:firstLine="567"/>
        <w:jc w:val="both"/>
        <w:rPr>
          <w:rFonts w:ascii="Times New Roman" w:hAnsi="Times New Roman" w:cs="Times New Roman"/>
          <w:sz w:val="28"/>
          <w:szCs w:val="28"/>
          <w:lang w:bidi="ar-SA"/>
        </w:rPr>
      </w:pPr>
    </w:p>
    <w:p w14:paraId="73DF023D" w14:textId="005C8084" w:rsidR="008C6821" w:rsidRDefault="008C6821" w:rsidP="009B0CEF">
      <w:pPr>
        <w:pStyle w:val="LO-normal"/>
        <w:spacing w:after="0" w:line="240" w:lineRule="auto"/>
        <w:ind w:firstLine="567"/>
        <w:jc w:val="both"/>
        <w:rPr>
          <w:rFonts w:ascii="Times New Roman" w:hAnsi="Times New Roman" w:cs="Times New Roman"/>
          <w:b/>
          <w:bCs/>
          <w:sz w:val="28"/>
          <w:szCs w:val="28"/>
          <w:lang w:bidi="ar-SA"/>
        </w:rPr>
      </w:pPr>
      <w:r>
        <w:rPr>
          <w:rFonts w:ascii="Times New Roman" w:hAnsi="Times New Roman" w:cs="Times New Roman"/>
          <w:b/>
          <w:bCs/>
          <w:sz w:val="28"/>
          <w:szCs w:val="28"/>
          <w:lang w:bidi="ar-SA"/>
        </w:rPr>
        <w:t>Задачи исследования</w:t>
      </w:r>
    </w:p>
    <w:p w14:paraId="5A104ADC" w14:textId="3684C520" w:rsidR="008C6821" w:rsidRPr="008C6821" w:rsidRDefault="008C6821" w:rsidP="009B0CEF">
      <w:pPr>
        <w:pStyle w:val="LO-normal"/>
        <w:numPr>
          <w:ilvl w:val="0"/>
          <w:numId w:val="1"/>
        </w:numPr>
        <w:spacing w:after="0" w:line="240" w:lineRule="auto"/>
        <w:ind w:left="0" w:firstLine="0"/>
        <w:jc w:val="both"/>
        <w:rPr>
          <w:rFonts w:ascii="Times New Roman" w:hAnsi="Times New Roman" w:cs="Times New Roman"/>
          <w:b/>
          <w:bCs/>
          <w:sz w:val="28"/>
          <w:szCs w:val="28"/>
          <w:lang w:bidi="ar-SA"/>
        </w:rPr>
      </w:pPr>
      <w:r>
        <w:rPr>
          <w:rFonts w:ascii="Times New Roman" w:hAnsi="Times New Roman" w:cs="Times New Roman"/>
          <w:sz w:val="28"/>
          <w:szCs w:val="28"/>
          <w:lang w:bidi="ar-SA"/>
        </w:rPr>
        <w:t xml:space="preserve">Определить частоту встречаемости полиморфизма генов </w:t>
      </w:r>
      <w:r>
        <w:rPr>
          <w:rFonts w:ascii="Times New Roman" w:hAnsi="Times New Roman" w:cs="Times New Roman"/>
          <w:sz w:val="28"/>
          <w:szCs w:val="28"/>
          <w:lang w:val="en-US" w:bidi="ar-SA"/>
        </w:rPr>
        <w:t>CES</w:t>
      </w:r>
      <w:r w:rsidRPr="008C6821">
        <w:rPr>
          <w:rFonts w:ascii="Times New Roman" w:hAnsi="Times New Roman" w:cs="Times New Roman"/>
          <w:sz w:val="28"/>
          <w:szCs w:val="28"/>
          <w:lang w:bidi="ar-SA"/>
        </w:rPr>
        <w:t>1</w:t>
      </w:r>
      <w:r>
        <w:rPr>
          <w:rFonts w:ascii="Times New Roman" w:hAnsi="Times New Roman" w:cs="Times New Roman"/>
          <w:sz w:val="28"/>
          <w:szCs w:val="28"/>
          <w:lang w:bidi="ar-SA"/>
        </w:rPr>
        <w:t xml:space="preserve"> и </w:t>
      </w:r>
      <w:r>
        <w:rPr>
          <w:rFonts w:ascii="Times New Roman" w:hAnsi="Times New Roman" w:cs="Times New Roman"/>
          <w:sz w:val="28"/>
          <w:szCs w:val="28"/>
          <w:lang w:val="en-US" w:bidi="ar-SA"/>
        </w:rPr>
        <w:t>ABCB</w:t>
      </w:r>
      <w:r w:rsidRPr="008C6821">
        <w:rPr>
          <w:rFonts w:ascii="Times New Roman" w:hAnsi="Times New Roman" w:cs="Times New Roman"/>
          <w:sz w:val="28"/>
          <w:szCs w:val="28"/>
          <w:lang w:bidi="ar-SA"/>
        </w:rPr>
        <w:t>1</w:t>
      </w:r>
      <w:r>
        <w:rPr>
          <w:rFonts w:ascii="Times New Roman" w:hAnsi="Times New Roman" w:cs="Times New Roman"/>
          <w:sz w:val="28"/>
          <w:szCs w:val="28"/>
          <w:lang w:bidi="ar-SA"/>
        </w:rPr>
        <w:t xml:space="preserve"> у пациентов с неклапанной ФП.</w:t>
      </w:r>
    </w:p>
    <w:p w14:paraId="5B008412" w14:textId="2EF881DE" w:rsidR="008C6821" w:rsidRPr="008C6821" w:rsidRDefault="008C6821" w:rsidP="009B0CEF">
      <w:pPr>
        <w:pStyle w:val="LO-normal"/>
        <w:numPr>
          <w:ilvl w:val="0"/>
          <w:numId w:val="1"/>
        </w:numPr>
        <w:spacing w:after="0" w:line="240" w:lineRule="auto"/>
        <w:ind w:left="0" w:firstLine="0"/>
        <w:jc w:val="both"/>
        <w:rPr>
          <w:rFonts w:ascii="Times New Roman" w:hAnsi="Times New Roman" w:cs="Times New Roman"/>
          <w:b/>
          <w:bCs/>
          <w:sz w:val="28"/>
          <w:szCs w:val="28"/>
          <w:lang w:bidi="ar-SA"/>
        </w:rPr>
      </w:pPr>
      <w:r>
        <w:rPr>
          <w:rFonts w:ascii="Times New Roman" w:hAnsi="Times New Roman" w:cs="Times New Roman"/>
          <w:sz w:val="28"/>
          <w:szCs w:val="28"/>
          <w:lang w:bidi="ar-SA"/>
        </w:rPr>
        <w:t>Изучить индивидуальную вариабельность концентрации прямых пероральных антикоагулянтов у пациентов с неклапанной ФП.</w:t>
      </w:r>
    </w:p>
    <w:p w14:paraId="6881152B" w14:textId="53004BC3" w:rsidR="008C6821" w:rsidRPr="008C6821" w:rsidRDefault="008C6821" w:rsidP="009B0CEF">
      <w:pPr>
        <w:pStyle w:val="LO-normal"/>
        <w:numPr>
          <w:ilvl w:val="0"/>
          <w:numId w:val="1"/>
        </w:numPr>
        <w:spacing w:after="0" w:line="240" w:lineRule="auto"/>
        <w:ind w:left="0" w:firstLine="0"/>
        <w:jc w:val="both"/>
        <w:rPr>
          <w:rFonts w:ascii="Times New Roman" w:hAnsi="Times New Roman" w:cs="Times New Roman"/>
          <w:b/>
          <w:bCs/>
          <w:sz w:val="28"/>
          <w:szCs w:val="28"/>
          <w:lang w:bidi="ar-SA"/>
        </w:rPr>
      </w:pPr>
      <w:r>
        <w:rPr>
          <w:rFonts w:ascii="Times New Roman" w:hAnsi="Times New Roman" w:cs="Times New Roman"/>
          <w:sz w:val="28"/>
          <w:szCs w:val="28"/>
          <w:lang w:bidi="ar-SA"/>
        </w:rPr>
        <w:t xml:space="preserve">Оценить взаимосвязь между полиморфизмами генов </w:t>
      </w:r>
      <w:r>
        <w:rPr>
          <w:rFonts w:ascii="Times New Roman" w:hAnsi="Times New Roman" w:cs="Times New Roman"/>
          <w:sz w:val="28"/>
          <w:szCs w:val="28"/>
          <w:lang w:val="en-US" w:bidi="ar-SA"/>
        </w:rPr>
        <w:t>ABCB</w:t>
      </w:r>
      <w:r w:rsidRPr="008C6821">
        <w:rPr>
          <w:rFonts w:ascii="Times New Roman" w:hAnsi="Times New Roman" w:cs="Times New Roman"/>
          <w:sz w:val="28"/>
          <w:szCs w:val="28"/>
          <w:lang w:bidi="ar-SA"/>
        </w:rPr>
        <w:t xml:space="preserve">1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CES</w:t>
      </w:r>
      <w:r w:rsidRPr="008C6821">
        <w:rPr>
          <w:rFonts w:ascii="Times New Roman" w:hAnsi="Times New Roman" w:cs="Times New Roman"/>
          <w:sz w:val="28"/>
          <w:szCs w:val="28"/>
          <w:lang w:bidi="ar-SA"/>
        </w:rPr>
        <w:t>1</w:t>
      </w:r>
      <w:r>
        <w:rPr>
          <w:rFonts w:ascii="Times New Roman" w:hAnsi="Times New Roman" w:cs="Times New Roman"/>
          <w:sz w:val="28"/>
          <w:szCs w:val="28"/>
          <w:lang w:bidi="ar-SA"/>
        </w:rPr>
        <w:t xml:space="preserve"> и плазменной концентрацией дабигатрана этексилата и апиксабана у пациентов с неклапанной ФП.</w:t>
      </w:r>
    </w:p>
    <w:p w14:paraId="0FFD2EA7" w14:textId="123D4513" w:rsidR="008C6821" w:rsidRPr="008C6821" w:rsidRDefault="008C6821" w:rsidP="009B0CEF">
      <w:pPr>
        <w:pStyle w:val="LO-normal"/>
        <w:numPr>
          <w:ilvl w:val="0"/>
          <w:numId w:val="1"/>
        </w:numPr>
        <w:spacing w:after="0" w:line="240" w:lineRule="auto"/>
        <w:ind w:left="0" w:firstLine="0"/>
        <w:jc w:val="both"/>
        <w:rPr>
          <w:rFonts w:ascii="Times New Roman" w:hAnsi="Times New Roman" w:cs="Times New Roman"/>
          <w:b/>
          <w:bCs/>
          <w:sz w:val="28"/>
          <w:szCs w:val="28"/>
          <w:lang w:bidi="ar-SA"/>
        </w:rPr>
      </w:pPr>
      <w:r>
        <w:rPr>
          <w:rFonts w:ascii="Times New Roman" w:hAnsi="Times New Roman" w:cs="Times New Roman"/>
          <w:sz w:val="28"/>
          <w:szCs w:val="28"/>
          <w:lang w:bidi="ar-SA"/>
        </w:rPr>
        <w:t>Определить частоту неблагоприятных исходов у пациентов, имеющих вариабельность концентраций прямых пероральных антикоагулянтов.</w:t>
      </w:r>
    </w:p>
    <w:p w14:paraId="49DFC987" w14:textId="551F2616" w:rsidR="008C6821" w:rsidRPr="00F93A37" w:rsidRDefault="008C6821" w:rsidP="009B0CEF">
      <w:pPr>
        <w:pStyle w:val="LO-normal"/>
        <w:numPr>
          <w:ilvl w:val="0"/>
          <w:numId w:val="1"/>
        </w:numPr>
        <w:spacing w:after="0" w:line="240" w:lineRule="auto"/>
        <w:ind w:left="0" w:firstLine="0"/>
        <w:jc w:val="both"/>
        <w:rPr>
          <w:rFonts w:ascii="Times New Roman" w:hAnsi="Times New Roman" w:cs="Times New Roman"/>
          <w:b/>
          <w:bCs/>
          <w:sz w:val="28"/>
          <w:szCs w:val="28"/>
          <w:lang w:bidi="ar-SA"/>
        </w:rPr>
      </w:pPr>
      <w:r>
        <w:rPr>
          <w:rFonts w:ascii="Times New Roman" w:hAnsi="Times New Roman" w:cs="Times New Roman"/>
          <w:sz w:val="28"/>
          <w:szCs w:val="28"/>
          <w:lang w:bidi="ar-SA"/>
        </w:rPr>
        <w:t>Разработать персонализированный подход при назначении дабигатрана этексилата и апиксабана у пациентов с неклапанной ФП.</w:t>
      </w:r>
    </w:p>
    <w:p w14:paraId="46C399AC" w14:textId="77777777" w:rsidR="00C00064" w:rsidRPr="0083435A" w:rsidRDefault="00C00064" w:rsidP="009B0CEF">
      <w:pPr>
        <w:pStyle w:val="LO-normal"/>
        <w:spacing w:after="0" w:line="240" w:lineRule="auto"/>
        <w:jc w:val="both"/>
        <w:rPr>
          <w:rFonts w:ascii="Times New Roman" w:hAnsi="Times New Roman" w:cs="Times New Roman"/>
          <w:sz w:val="28"/>
          <w:szCs w:val="28"/>
          <w:lang w:bidi="ar-SA"/>
        </w:rPr>
      </w:pPr>
    </w:p>
    <w:p w14:paraId="556060AE" w14:textId="7511CA70" w:rsidR="00C00064" w:rsidRDefault="00C00064" w:rsidP="009B0CEF">
      <w:pPr>
        <w:pStyle w:val="LO-normal"/>
        <w:spacing w:after="0" w:line="240" w:lineRule="auto"/>
        <w:ind w:firstLine="567"/>
        <w:jc w:val="both"/>
        <w:rPr>
          <w:rFonts w:ascii="Times New Roman" w:hAnsi="Times New Roman" w:cs="Times New Roman"/>
          <w:sz w:val="28"/>
          <w:szCs w:val="28"/>
          <w:lang w:bidi="ar-SA"/>
        </w:rPr>
      </w:pPr>
      <w:r w:rsidRPr="00C00064">
        <w:rPr>
          <w:rFonts w:ascii="Times New Roman" w:hAnsi="Times New Roman" w:cs="Times New Roman"/>
          <w:b/>
          <w:bCs/>
          <w:sz w:val="28"/>
          <w:szCs w:val="28"/>
          <w:lang w:bidi="ar-SA"/>
        </w:rPr>
        <w:t>Научная новизна исследования.</w:t>
      </w:r>
      <w:r>
        <w:rPr>
          <w:rFonts w:ascii="Times New Roman" w:hAnsi="Times New Roman" w:cs="Times New Roman"/>
          <w:sz w:val="28"/>
          <w:szCs w:val="28"/>
          <w:lang w:bidi="ar-SA"/>
        </w:rPr>
        <w:t xml:space="preserve"> В рамках исследования:</w:t>
      </w:r>
    </w:p>
    <w:p w14:paraId="625DF240" w14:textId="6A74A8EE" w:rsidR="00B16F1F" w:rsidRDefault="00C00064" w:rsidP="009B0CEF">
      <w:pPr>
        <w:pStyle w:val="LO-normal"/>
        <w:numPr>
          <w:ilvl w:val="0"/>
          <w:numId w:val="2"/>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Впервые на казахской популяции исследованы полиморфизмы генов </w:t>
      </w:r>
      <w:r>
        <w:rPr>
          <w:rFonts w:ascii="Times New Roman" w:hAnsi="Times New Roman" w:cs="Times New Roman"/>
          <w:sz w:val="28"/>
          <w:szCs w:val="28"/>
          <w:lang w:val="en-US" w:bidi="ar-SA"/>
        </w:rPr>
        <w:t>CES</w:t>
      </w:r>
      <w:r w:rsidRPr="00C00064">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ABCB</w:t>
      </w:r>
      <w:r w:rsidRPr="00C00064">
        <w:rPr>
          <w:rFonts w:ascii="Times New Roman" w:hAnsi="Times New Roman" w:cs="Times New Roman"/>
          <w:sz w:val="28"/>
          <w:szCs w:val="28"/>
          <w:lang w:bidi="ar-SA"/>
        </w:rPr>
        <w:t xml:space="preserve">1, </w:t>
      </w:r>
      <w:r>
        <w:rPr>
          <w:rFonts w:ascii="Times New Roman" w:hAnsi="Times New Roman" w:cs="Times New Roman"/>
          <w:sz w:val="28"/>
          <w:szCs w:val="28"/>
          <w:lang w:bidi="ar-SA"/>
        </w:rPr>
        <w:t>кодирую</w:t>
      </w:r>
      <w:r w:rsidR="00CC56FC">
        <w:rPr>
          <w:rFonts w:ascii="Times New Roman" w:hAnsi="Times New Roman" w:cs="Times New Roman"/>
          <w:sz w:val="28"/>
          <w:szCs w:val="28"/>
          <w:lang w:bidi="ar-SA"/>
        </w:rPr>
        <w:t xml:space="preserve">щих ферменты, участвующие в метаболизме прямых оральных </w:t>
      </w:r>
      <w:r w:rsidR="00B16F1F">
        <w:rPr>
          <w:rFonts w:ascii="Times New Roman" w:hAnsi="Times New Roman" w:cs="Times New Roman"/>
          <w:sz w:val="28"/>
          <w:szCs w:val="28"/>
          <w:lang w:bidi="ar-SA"/>
        </w:rPr>
        <w:t>антикоагулянтов.</w:t>
      </w:r>
    </w:p>
    <w:p w14:paraId="2D06F6E7" w14:textId="5500829F" w:rsidR="00C00064" w:rsidRDefault="00B16F1F" w:rsidP="009B0CEF">
      <w:pPr>
        <w:pStyle w:val="LO-normal"/>
        <w:numPr>
          <w:ilvl w:val="0"/>
          <w:numId w:val="2"/>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Впервые была оценена чувствительность к дабигатрану этексилата и апиксабана у пациентов с неклапанной ФП в казахской популяции.</w:t>
      </w:r>
    </w:p>
    <w:p w14:paraId="13B3CCE7" w14:textId="732B6A2B" w:rsidR="00B16F1F" w:rsidRPr="00967295" w:rsidRDefault="00B16F1F" w:rsidP="00967295">
      <w:pPr>
        <w:pStyle w:val="LO-normal"/>
        <w:numPr>
          <w:ilvl w:val="0"/>
          <w:numId w:val="2"/>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Впервые была исследована ассоциация полиморфизма генов </w:t>
      </w:r>
      <w:r>
        <w:rPr>
          <w:rFonts w:ascii="Times New Roman" w:hAnsi="Times New Roman" w:cs="Times New Roman"/>
          <w:sz w:val="28"/>
          <w:szCs w:val="28"/>
          <w:lang w:val="en-US" w:bidi="ar-SA"/>
        </w:rPr>
        <w:t>CES</w:t>
      </w:r>
      <w:r w:rsidRPr="00B16F1F">
        <w:rPr>
          <w:rFonts w:ascii="Times New Roman" w:hAnsi="Times New Roman" w:cs="Times New Roman"/>
          <w:sz w:val="28"/>
          <w:szCs w:val="28"/>
          <w:lang w:bidi="ar-SA"/>
        </w:rPr>
        <w:t xml:space="preserve">1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ABCB</w:t>
      </w:r>
      <w:r w:rsidRPr="00B16F1F">
        <w:rPr>
          <w:rFonts w:ascii="Times New Roman" w:hAnsi="Times New Roman" w:cs="Times New Roman"/>
          <w:sz w:val="28"/>
          <w:szCs w:val="28"/>
          <w:lang w:bidi="ar-SA"/>
        </w:rPr>
        <w:t>1</w:t>
      </w:r>
      <w:r>
        <w:rPr>
          <w:rFonts w:ascii="Times New Roman" w:hAnsi="Times New Roman" w:cs="Times New Roman"/>
          <w:sz w:val="28"/>
          <w:szCs w:val="28"/>
          <w:lang w:bidi="ar-SA"/>
        </w:rPr>
        <w:t xml:space="preserve">, кодирующих ферменты, участвующие </w:t>
      </w:r>
      <w:r w:rsidR="000F03FB">
        <w:rPr>
          <w:rFonts w:ascii="Times New Roman" w:hAnsi="Times New Roman" w:cs="Times New Roman"/>
          <w:sz w:val="28"/>
          <w:szCs w:val="28"/>
          <w:lang w:bidi="ar-SA"/>
        </w:rPr>
        <w:t xml:space="preserve">в метаболизме прямых </w:t>
      </w:r>
      <w:r w:rsidR="00402B40">
        <w:rPr>
          <w:rFonts w:ascii="Times New Roman" w:hAnsi="Times New Roman" w:cs="Times New Roman"/>
          <w:sz w:val="28"/>
          <w:szCs w:val="28"/>
          <w:lang w:bidi="ar-SA"/>
        </w:rPr>
        <w:t>пер</w:t>
      </w:r>
      <w:r w:rsidR="000F03FB">
        <w:rPr>
          <w:rFonts w:ascii="Times New Roman" w:hAnsi="Times New Roman" w:cs="Times New Roman"/>
          <w:sz w:val="28"/>
          <w:szCs w:val="28"/>
          <w:lang w:bidi="ar-SA"/>
        </w:rPr>
        <w:t>оральных антикоагулянтов, с фармакокинетикой дабигатрана этексилата и апиксабана у пациентов с неклапанной фибрилляцией предсердий в казахской популяции</w:t>
      </w:r>
      <w:r w:rsidR="00A619A4">
        <w:rPr>
          <w:rFonts w:ascii="Times New Roman" w:hAnsi="Times New Roman" w:cs="Times New Roman"/>
          <w:sz w:val="28"/>
          <w:szCs w:val="28"/>
          <w:lang w:val="kk-KZ" w:bidi="ar-SA"/>
        </w:rPr>
        <w:t xml:space="preserve"> </w:t>
      </w:r>
      <w:r w:rsidR="00A619A4" w:rsidRPr="00A619A4">
        <w:rPr>
          <w:rFonts w:ascii="Times New Roman" w:hAnsi="Times New Roman" w:cs="Times New Roman"/>
          <w:sz w:val="28"/>
          <w:szCs w:val="28"/>
          <w:lang w:bidi="ar-SA"/>
        </w:rPr>
        <w:t>(</w:t>
      </w:r>
      <w:r w:rsidR="00967295">
        <w:rPr>
          <w:rFonts w:ascii="Times New Roman" w:hAnsi="Times New Roman" w:cs="Times New Roman"/>
          <w:sz w:val="28"/>
          <w:szCs w:val="28"/>
          <w:lang w:bidi="ar-SA"/>
        </w:rPr>
        <w:t xml:space="preserve">авторское свидетельство </w:t>
      </w:r>
      <w:r w:rsidR="00A619A4">
        <w:rPr>
          <w:rFonts w:ascii="Times New Roman" w:hAnsi="Times New Roman" w:cs="Times New Roman"/>
          <w:sz w:val="28"/>
          <w:szCs w:val="28"/>
          <w:lang w:bidi="ar-SA"/>
        </w:rPr>
        <w:t>№42075 от 16 января 2024г.</w:t>
      </w:r>
      <w:r w:rsidR="00A619A4" w:rsidRPr="00A619A4">
        <w:rPr>
          <w:rFonts w:ascii="Times New Roman" w:hAnsi="Times New Roman" w:cs="Times New Roman"/>
          <w:sz w:val="28"/>
          <w:szCs w:val="28"/>
          <w:lang w:bidi="ar-SA"/>
        </w:rPr>
        <w:t>)</w:t>
      </w:r>
      <w:r w:rsidR="00967295">
        <w:rPr>
          <w:rFonts w:ascii="Times New Roman" w:hAnsi="Times New Roman" w:cs="Times New Roman"/>
          <w:sz w:val="28"/>
          <w:szCs w:val="28"/>
          <w:lang w:bidi="ar-SA"/>
        </w:rPr>
        <w:t xml:space="preserve">     </w:t>
      </w:r>
      <w:r w:rsidR="00967295" w:rsidRPr="00967295">
        <w:rPr>
          <w:rFonts w:ascii="Times New Roman" w:hAnsi="Times New Roman" w:cs="Times New Roman"/>
          <w:sz w:val="28"/>
          <w:szCs w:val="28"/>
          <w:lang w:bidi="ar-SA"/>
        </w:rPr>
        <w:t>(Приложение А)</w:t>
      </w:r>
      <w:r w:rsidR="000F03FB" w:rsidRPr="00967295">
        <w:rPr>
          <w:rFonts w:ascii="Times New Roman" w:hAnsi="Times New Roman" w:cs="Times New Roman"/>
          <w:sz w:val="28"/>
          <w:szCs w:val="28"/>
          <w:lang w:bidi="ar-SA"/>
        </w:rPr>
        <w:t>.</w:t>
      </w:r>
    </w:p>
    <w:p w14:paraId="1CCED627" w14:textId="25F6C4CB" w:rsidR="000F03FB" w:rsidRPr="00A619A4" w:rsidRDefault="000F03FB" w:rsidP="009B0CEF">
      <w:pPr>
        <w:pStyle w:val="LO-normal"/>
        <w:numPr>
          <w:ilvl w:val="0"/>
          <w:numId w:val="2"/>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Генетические вариации, определенные в ходе исследования, впервые использованы для создания большого кластера данных</w:t>
      </w:r>
      <w:r w:rsidR="00A619A4" w:rsidRPr="00A619A4">
        <w:rPr>
          <w:rFonts w:ascii="Times New Roman" w:hAnsi="Times New Roman" w:cs="Times New Roman"/>
          <w:sz w:val="28"/>
          <w:szCs w:val="28"/>
          <w:lang w:bidi="ar-SA"/>
        </w:rPr>
        <w:t xml:space="preserve"> </w:t>
      </w:r>
      <w:r w:rsidR="00A619A4">
        <w:rPr>
          <w:rFonts w:ascii="Times New Roman" w:hAnsi="Times New Roman" w:cs="Times New Roman"/>
          <w:sz w:val="28"/>
          <w:szCs w:val="28"/>
          <w:lang w:val="kk-KZ" w:bidi="ar-SA"/>
        </w:rPr>
        <w:t xml:space="preserve">вариантов полиморфизма </w:t>
      </w:r>
      <w:r w:rsidR="00A619A4">
        <w:rPr>
          <w:rFonts w:ascii="Times New Roman" w:hAnsi="Times New Roman" w:cs="Times New Roman"/>
          <w:sz w:val="28"/>
          <w:szCs w:val="28"/>
          <w:lang w:val="en-US" w:bidi="ar-SA"/>
        </w:rPr>
        <w:t>ABCB</w:t>
      </w:r>
      <w:r w:rsidR="00A619A4" w:rsidRPr="00A619A4">
        <w:rPr>
          <w:rFonts w:ascii="Times New Roman" w:hAnsi="Times New Roman" w:cs="Times New Roman"/>
          <w:sz w:val="28"/>
          <w:szCs w:val="28"/>
          <w:lang w:bidi="ar-SA"/>
        </w:rPr>
        <w:t>1</w:t>
      </w:r>
      <w:r w:rsidR="00A619A4">
        <w:rPr>
          <w:rFonts w:ascii="Times New Roman" w:hAnsi="Times New Roman" w:cs="Times New Roman"/>
          <w:sz w:val="28"/>
          <w:szCs w:val="28"/>
          <w:lang w:val="kk-KZ" w:bidi="ar-SA"/>
        </w:rPr>
        <w:t xml:space="preserve"> и</w:t>
      </w:r>
      <w:r w:rsidR="00A619A4" w:rsidRPr="00A619A4">
        <w:rPr>
          <w:rFonts w:ascii="Times New Roman" w:hAnsi="Times New Roman" w:cs="Times New Roman"/>
          <w:sz w:val="28"/>
          <w:szCs w:val="28"/>
          <w:lang w:bidi="ar-SA"/>
        </w:rPr>
        <w:t xml:space="preserve"> </w:t>
      </w:r>
      <w:r w:rsidR="00A619A4">
        <w:rPr>
          <w:rFonts w:ascii="Times New Roman" w:hAnsi="Times New Roman" w:cs="Times New Roman"/>
          <w:sz w:val="28"/>
          <w:szCs w:val="28"/>
          <w:lang w:val="en-US" w:bidi="ar-SA"/>
        </w:rPr>
        <w:t>CES</w:t>
      </w:r>
      <w:r w:rsidR="00A619A4" w:rsidRPr="00A619A4">
        <w:rPr>
          <w:rFonts w:ascii="Times New Roman" w:hAnsi="Times New Roman" w:cs="Times New Roman"/>
          <w:sz w:val="28"/>
          <w:szCs w:val="28"/>
          <w:lang w:bidi="ar-SA"/>
        </w:rPr>
        <w:t>1</w:t>
      </w:r>
      <w:r w:rsidR="00A619A4">
        <w:rPr>
          <w:rFonts w:ascii="Times New Roman" w:hAnsi="Times New Roman" w:cs="Times New Roman"/>
          <w:sz w:val="28"/>
          <w:szCs w:val="28"/>
          <w:lang w:val="kk-KZ" w:bidi="ar-SA"/>
        </w:rPr>
        <w:t>.</w:t>
      </w:r>
    </w:p>
    <w:p w14:paraId="1D5F9A41" w14:textId="43D8D907" w:rsidR="00A619A4" w:rsidRDefault="00A619A4" w:rsidP="009B0CEF">
      <w:pPr>
        <w:pStyle w:val="LO-normal"/>
        <w:numPr>
          <w:ilvl w:val="0"/>
          <w:numId w:val="2"/>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val="kk-KZ" w:bidi="ar-SA"/>
        </w:rPr>
        <w:t xml:space="preserve">Разработан алгоритм персонифицированного подхода в ведении пациентов с неклапанной фибрилляцией предсердий с тромботическими/гемогррагическими осложнениями антикоагулянтной терапии </w:t>
      </w:r>
      <w:r w:rsidRPr="00A619A4">
        <w:rPr>
          <w:rFonts w:ascii="Times New Roman" w:hAnsi="Times New Roman" w:cs="Times New Roman"/>
          <w:sz w:val="28"/>
          <w:szCs w:val="28"/>
          <w:lang w:bidi="ar-SA"/>
        </w:rPr>
        <w:t>(</w:t>
      </w:r>
      <w:r w:rsidR="00967295">
        <w:rPr>
          <w:rFonts w:ascii="Times New Roman" w:hAnsi="Times New Roman" w:cs="Times New Roman"/>
          <w:sz w:val="28"/>
          <w:szCs w:val="28"/>
          <w:lang w:bidi="ar-SA"/>
        </w:rPr>
        <w:t xml:space="preserve">авторское свидетельство </w:t>
      </w:r>
      <w:r w:rsidR="00402B40" w:rsidRPr="00F87B08">
        <w:rPr>
          <w:rFonts w:ascii="Times New Roman" w:hAnsi="Times New Roman" w:cs="Times New Roman"/>
          <w:sz w:val="28"/>
          <w:szCs w:val="28"/>
        </w:rPr>
        <w:t>№ 68185 от 2 марта 2026</w:t>
      </w:r>
      <w:r w:rsidRPr="00A619A4">
        <w:rPr>
          <w:rFonts w:ascii="Times New Roman" w:hAnsi="Times New Roman" w:cs="Times New Roman"/>
          <w:sz w:val="28"/>
          <w:szCs w:val="28"/>
          <w:lang w:bidi="ar-SA"/>
        </w:rPr>
        <w:t>)</w:t>
      </w:r>
      <w:r w:rsidR="00402B40">
        <w:rPr>
          <w:rFonts w:ascii="Times New Roman" w:hAnsi="Times New Roman" w:cs="Times New Roman"/>
          <w:sz w:val="28"/>
          <w:szCs w:val="28"/>
          <w:lang w:bidi="ar-SA"/>
        </w:rPr>
        <w:t>.</w:t>
      </w:r>
      <w:r w:rsidR="00967295" w:rsidRPr="00967295">
        <w:rPr>
          <w:rFonts w:ascii="Times New Roman" w:hAnsi="Times New Roman" w:cs="Times New Roman"/>
          <w:sz w:val="28"/>
          <w:szCs w:val="28"/>
          <w:lang w:bidi="ar-SA"/>
        </w:rPr>
        <w:t xml:space="preserve"> (Приложение А).</w:t>
      </w:r>
    </w:p>
    <w:p w14:paraId="5041731A" w14:textId="77777777" w:rsidR="000F03FB" w:rsidRPr="000F03FB" w:rsidRDefault="000F03FB" w:rsidP="009B0CEF">
      <w:pPr>
        <w:pStyle w:val="LO-normal"/>
        <w:spacing w:after="0" w:line="240" w:lineRule="auto"/>
        <w:jc w:val="both"/>
        <w:rPr>
          <w:rFonts w:ascii="Times New Roman" w:hAnsi="Times New Roman" w:cs="Times New Roman"/>
          <w:b/>
          <w:bCs/>
          <w:sz w:val="28"/>
          <w:szCs w:val="28"/>
          <w:lang w:bidi="ar-SA"/>
        </w:rPr>
      </w:pPr>
    </w:p>
    <w:p w14:paraId="125527B7" w14:textId="1B758707" w:rsidR="000F03FB" w:rsidRPr="000F03FB" w:rsidRDefault="000F03FB" w:rsidP="009B0CEF">
      <w:pPr>
        <w:pStyle w:val="LO-normal"/>
        <w:spacing w:after="0" w:line="240" w:lineRule="auto"/>
        <w:ind w:firstLine="567"/>
        <w:jc w:val="both"/>
        <w:rPr>
          <w:rFonts w:ascii="Times New Roman" w:hAnsi="Times New Roman" w:cs="Times New Roman"/>
          <w:b/>
          <w:bCs/>
          <w:sz w:val="28"/>
          <w:szCs w:val="28"/>
          <w:lang w:bidi="ar-SA"/>
        </w:rPr>
      </w:pPr>
      <w:r w:rsidRPr="000F03FB">
        <w:rPr>
          <w:rFonts w:ascii="Times New Roman" w:hAnsi="Times New Roman" w:cs="Times New Roman"/>
          <w:b/>
          <w:bCs/>
          <w:sz w:val="28"/>
          <w:szCs w:val="28"/>
          <w:lang w:bidi="ar-SA"/>
        </w:rPr>
        <w:t>Практическая значимость полученных результатов</w:t>
      </w:r>
    </w:p>
    <w:p w14:paraId="0A7D7FE1" w14:textId="77777777" w:rsidR="000F03FB" w:rsidRDefault="000F03FB" w:rsidP="009B0CEF">
      <w:pPr>
        <w:pStyle w:val="LO-normal"/>
        <w:numPr>
          <w:ilvl w:val="0"/>
          <w:numId w:val="4"/>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 казахской популяции определены полиморфизмы генов </w:t>
      </w:r>
      <w:r>
        <w:rPr>
          <w:rFonts w:ascii="Times New Roman" w:hAnsi="Times New Roman" w:cs="Times New Roman"/>
          <w:sz w:val="28"/>
          <w:szCs w:val="28"/>
          <w:lang w:val="en-US" w:bidi="ar-SA"/>
        </w:rPr>
        <w:t>CES</w:t>
      </w:r>
      <w:r w:rsidRPr="000F03FB">
        <w:rPr>
          <w:rFonts w:ascii="Times New Roman" w:hAnsi="Times New Roman" w:cs="Times New Roman"/>
          <w:sz w:val="28"/>
          <w:szCs w:val="28"/>
          <w:lang w:bidi="ar-SA"/>
        </w:rPr>
        <w:t xml:space="preserve">1 </w:t>
      </w:r>
      <w:r>
        <w:rPr>
          <w:rFonts w:ascii="Times New Roman" w:hAnsi="Times New Roman" w:cs="Times New Roman"/>
          <w:sz w:val="28"/>
          <w:szCs w:val="28"/>
          <w:lang w:bidi="ar-SA"/>
        </w:rPr>
        <w:t>и</w:t>
      </w:r>
      <w:r w:rsidRPr="000F03F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ABCB</w:t>
      </w:r>
      <w:r w:rsidRPr="000F03FB">
        <w:rPr>
          <w:rFonts w:ascii="Times New Roman" w:hAnsi="Times New Roman" w:cs="Times New Roman"/>
          <w:sz w:val="28"/>
          <w:szCs w:val="28"/>
          <w:lang w:bidi="ar-SA"/>
        </w:rPr>
        <w:t>1</w:t>
      </w:r>
      <w:r>
        <w:rPr>
          <w:rFonts w:ascii="Times New Roman" w:hAnsi="Times New Roman" w:cs="Times New Roman"/>
          <w:sz w:val="28"/>
          <w:szCs w:val="28"/>
          <w:lang w:bidi="ar-SA"/>
        </w:rPr>
        <w:t xml:space="preserve"> и выявлена их частота встречаемости, что поможет составить представление о распространенности генетического влияния на концентрацию прямых антикоагулянтов в крови.</w:t>
      </w:r>
    </w:p>
    <w:p w14:paraId="72887EB0" w14:textId="77777777" w:rsidR="000F03FB" w:rsidRDefault="000F03FB" w:rsidP="009B0CEF">
      <w:pPr>
        <w:pStyle w:val="LO-normal"/>
        <w:numPr>
          <w:ilvl w:val="0"/>
          <w:numId w:val="4"/>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Получена возможность определять индивидуальную вариабельность концентраций ПОАК и прогнозировать развитие системных эмболических осложнений у приверженных пациентов с неклапанной ФП.</w:t>
      </w:r>
    </w:p>
    <w:p w14:paraId="2C8B46C5" w14:textId="6E1B411E" w:rsidR="00660695" w:rsidRDefault="000F03FB" w:rsidP="009B0CEF">
      <w:pPr>
        <w:pStyle w:val="LO-normal"/>
        <w:numPr>
          <w:ilvl w:val="0"/>
          <w:numId w:val="4"/>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Установлена взаимосвязь </w:t>
      </w:r>
      <w:r w:rsidR="00660695">
        <w:rPr>
          <w:rFonts w:ascii="Times New Roman" w:hAnsi="Times New Roman" w:cs="Times New Roman"/>
          <w:sz w:val="28"/>
          <w:szCs w:val="28"/>
          <w:lang w:bidi="ar-SA"/>
        </w:rPr>
        <w:t xml:space="preserve">между полиморфизмами генов </w:t>
      </w:r>
      <w:r w:rsidR="00660695">
        <w:rPr>
          <w:rFonts w:ascii="Times New Roman" w:hAnsi="Times New Roman" w:cs="Times New Roman"/>
          <w:sz w:val="28"/>
          <w:szCs w:val="28"/>
          <w:lang w:val="en-US" w:bidi="ar-SA"/>
        </w:rPr>
        <w:t>ABCB</w:t>
      </w:r>
      <w:r w:rsidR="00660695" w:rsidRPr="00660695">
        <w:rPr>
          <w:rFonts w:ascii="Times New Roman" w:hAnsi="Times New Roman" w:cs="Times New Roman"/>
          <w:sz w:val="28"/>
          <w:szCs w:val="28"/>
          <w:lang w:bidi="ar-SA"/>
        </w:rPr>
        <w:t xml:space="preserve">1 </w:t>
      </w:r>
      <w:r w:rsidR="00660695">
        <w:rPr>
          <w:rFonts w:ascii="Times New Roman" w:hAnsi="Times New Roman" w:cs="Times New Roman"/>
          <w:sz w:val="28"/>
          <w:szCs w:val="28"/>
          <w:lang w:bidi="ar-SA"/>
        </w:rPr>
        <w:t xml:space="preserve">и </w:t>
      </w:r>
      <w:r w:rsidR="00660695">
        <w:rPr>
          <w:rFonts w:ascii="Times New Roman" w:hAnsi="Times New Roman" w:cs="Times New Roman"/>
          <w:sz w:val="28"/>
          <w:szCs w:val="28"/>
          <w:lang w:val="en-US" w:bidi="ar-SA"/>
        </w:rPr>
        <w:t>CES</w:t>
      </w:r>
      <w:r w:rsidR="00660695" w:rsidRPr="00660695">
        <w:rPr>
          <w:rFonts w:ascii="Times New Roman" w:hAnsi="Times New Roman" w:cs="Times New Roman"/>
          <w:sz w:val="28"/>
          <w:szCs w:val="28"/>
          <w:lang w:bidi="ar-SA"/>
        </w:rPr>
        <w:t>1</w:t>
      </w:r>
      <w:r w:rsidR="00660695">
        <w:rPr>
          <w:rFonts w:ascii="Times New Roman" w:hAnsi="Times New Roman" w:cs="Times New Roman"/>
          <w:sz w:val="28"/>
          <w:szCs w:val="28"/>
          <w:lang w:bidi="ar-SA"/>
        </w:rPr>
        <w:t xml:space="preserve"> и плазменной концентрацией дабигатрана этексилата и апиксабана, являющимися предикторами системных эмболических или геморрагических осложнений у пациентов с неклапанной ФП.</w:t>
      </w:r>
    </w:p>
    <w:p w14:paraId="759B0AF8" w14:textId="77777777" w:rsidR="00660695" w:rsidRDefault="00660695" w:rsidP="009B0CEF">
      <w:pPr>
        <w:pStyle w:val="LO-normal"/>
        <w:numPr>
          <w:ilvl w:val="0"/>
          <w:numId w:val="4"/>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С учетом вышеуказанных пунктов разработан алгоритм персонализированного подхода для ведения пациентов с неклапанной ФП, принимающих дабигатрана этексилат или апиксабан и имеющих системные эмболические и/или геморрагические осложнения.</w:t>
      </w:r>
    </w:p>
    <w:p w14:paraId="1416E168" w14:textId="4CA3D79C" w:rsidR="00660695" w:rsidRPr="00566203" w:rsidRDefault="00566203" w:rsidP="009B0CEF">
      <w:pPr>
        <w:pStyle w:val="LO-normal"/>
        <w:spacing w:after="0" w:line="240" w:lineRule="auto"/>
        <w:jc w:val="both"/>
        <w:rPr>
          <w:rFonts w:ascii="Times New Roman" w:hAnsi="Times New Roman" w:cs="Times New Roman"/>
          <w:b/>
          <w:bCs/>
          <w:sz w:val="28"/>
          <w:szCs w:val="28"/>
          <w:lang w:val="kk-KZ" w:bidi="ar-SA"/>
        </w:rPr>
      </w:pPr>
      <w:r>
        <w:rPr>
          <w:rFonts w:ascii="Times New Roman" w:hAnsi="Times New Roman" w:cs="Times New Roman"/>
          <w:b/>
          <w:bCs/>
          <w:sz w:val="28"/>
          <w:szCs w:val="28"/>
          <w:lang w:val="kk-KZ" w:bidi="ar-SA"/>
        </w:rPr>
        <w:t xml:space="preserve">                                                                                                                                                                                                                                                                                                                                                                                                                                                               </w:t>
      </w:r>
    </w:p>
    <w:p w14:paraId="79A6B7AA" w14:textId="77777777" w:rsidR="00660695" w:rsidRPr="00660695" w:rsidRDefault="00660695" w:rsidP="009B0CEF">
      <w:pPr>
        <w:pStyle w:val="LO-normal"/>
        <w:spacing w:after="0" w:line="240" w:lineRule="auto"/>
        <w:ind w:firstLine="567"/>
        <w:jc w:val="both"/>
        <w:rPr>
          <w:rFonts w:ascii="Times New Roman" w:hAnsi="Times New Roman" w:cs="Times New Roman"/>
          <w:b/>
          <w:bCs/>
          <w:sz w:val="28"/>
          <w:szCs w:val="28"/>
          <w:lang w:bidi="ar-SA"/>
        </w:rPr>
      </w:pPr>
      <w:r w:rsidRPr="00660695">
        <w:rPr>
          <w:rFonts w:ascii="Times New Roman" w:hAnsi="Times New Roman" w:cs="Times New Roman"/>
          <w:b/>
          <w:bCs/>
          <w:sz w:val="28"/>
          <w:szCs w:val="28"/>
          <w:lang w:bidi="ar-SA"/>
        </w:rPr>
        <w:t>Основные положения диссертации, выносимые на защиту:</w:t>
      </w:r>
    </w:p>
    <w:p w14:paraId="00F7BB40" w14:textId="5BA19A88" w:rsidR="00660695" w:rsidRDefault="00660695" w:rsidP="009B0CEF">
      <w:pPr>
        <w:pStyle w:val="LO-normal"/>
        <w:numPr>
          <w:ilvl w:val="0"/>
          <w:numId w:val="5"/>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 казахской популяции пациентов с неклапанной ФП был выявлен полиморфизм </w:t>
      </w:r>
      <w:r>
        <w:rPr>
          <w:rFonts w:ascii="Times New Roman" w:hAnsi="Times New Roman" w:cs="Times New Roman"/>
          <w:sz w:val="28"/>
          <w:szCs w:val="28"/>
          <w:lang w:val="en-US" w:bidi="ar-SA"/>
        </w:rPr>
        <w:t>rs</w:t>
      </w:r>
      <w:r w:rsidRPr="00660695">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660695">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660695">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660695">
        <w:rPr>
          <w:rFonts w:ascii="Times New Roman" w:hAnsi="Times New Roman" w:cs="Times New Roman"/>
          <w:sz w:val="28"/>
          <w:szCs w:val="28"/>
          <w:lang w:bidi="ar-SA"/>
        </w:rPr>
        <w:t xml:space="preserve">1128503 </w:t>
      </w:r>
      <w:r>
        <w:rPr>
          <w:rFonts w:ascii="Times New Roman" w:hAnsi="Times New Roman" w:cs="Times New Roman"/>
          <w:sz w:val="28"/>
          <w:szCs w:val="28"/>
          <w:lang w:bidi="ar-SA"/>
        </w:rPr>
        <w:t xml:space="preserve">в гене </w:t>
      </w:r>
      <w:r>
        <w:rPr>
          <w:rFonts w:ascii="Times New Roman" w:hAnsi="Times New Roman" w:cs="Times New Roman"/>
          <w:sz w:val="28"/>
          <w:szCs w:val="28"/>
          <w:lang w:val="en-US" w:bidi="ar-SA"/>
        </w:rPr>
        <w:t>ABCB</w:t>
      </w:r>
      <w:r w:rsidRPr="00660695">
        <w:rPr>
          <w:rFonts w:ascii="Times New Roman" w:hAnsi="Times New Roman" w:cs="Times New Roman"/>
          <w:sz w:val="28"/>
          <w:szCs w:val="28"/>
          <w:lang w:bidi="ar-SA"/>
        </w:rPr>
        <w:t>1</w:t>
      </w:r>
      <w:r>
        <w:rPr>
          <w:rFonts w:ascii="Times New Roman" w:hAnsi="Times New Roman" w:cs="Times New Roman"/>
          <w:sz w:val="28"/>
          <w:szCs w:val="28"/>
          <w:lang w:bidi="ar-SA"/>
        </w:rPr>
        <w:t xml:space="preserve"> и</w:t>
      </w:r>
      <w:r w:rsidRPr="00660695">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660695">
        <w:rPr>
          <w:rFonts w:ascii="Times New Roman" w:hAnsi="Times New Roman" w:cs="Times New Roman"/>
          <w:sz w:val="28"/>
          <w:szCs w:val="28"/>
          <w:lang w:bidi="ar-SA"/>
        </w:rPr>
        <w:t xml:space="preserve">8192935, </w:t>
      </w:r>
      <w:r>
        <w:rPr>
          <w:rFonts w:ascii="Times New Roman" w:hAnsi="Times New Roman" w:cs="Times New Roman"/>
          <w:sz w:val="28"/>
          <w:szCs w:val="28"/>
          <w:lang w:val="en-US" w:bidi="ar-SA"/>
        </w:rPr>
        <w:t>rs</w:t>
      </w:r>
      <w:r w:rsidRPr="00660695">
        <w:rPr>
          <w:rFonts w:ascii="Times New Roman" w:hAnsi="Times New Roman" w:cs="Times New Roman"/>
          <w:sz w:val="28"/>
          <w:szCs w:val="28"/>
          <w:lang w:bidi="ar-SA"/>
        </w:rPr>
        <w:t xml:space="preserve">2244613, </w:t>
      </w:r>
      <w:r>
        <w:rPr>
          <w:rFonts w:ascii="Times New Roman" w:hAnsi="Times New Roman" w:cs="Times New Roman"/>
          <w:sz w:val="28"/>
          <w:szCs w:val="28"/>
          <w:lang w:val="en-US" w:bidi="ar-SA"/>
        </w:rPr>
        <w:t>rs</w:t>
      </w:r>
      <w:r w:rsidRPr="00660695">
        <w:rPr>
          <w:rFonts w:ascii="Times New Roman" w:hAnsi="Times New Roman" w:cs="Times New Roman"/>
          <w:sz w:val="28"/>
          <w:szCs w:val="28"/>
          <w:lang w:bidi="ar-SA"/>
        </w:rPr>
        <w:t>7164787</w:t>
      </w:r>
      <w:r>
        <w:rPr>
          <w:rFonts w:ascii="Times New Roman" w:hAnsi="Times New Roman" w:cs="Times New Roman"/>
          <w:sz w:val="28"/>
          <w:szCs w:val="28"/>
          <w:lang w:bidi="ar-SA"/>
        </w:rPr>
        <w:t>1 в гене</w:t>
      </w:r>
      <w:r w:rsidRPr="00660695">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660695">
        <w:rPr>
          <w:rFonts w:ascii="Times New Roman" w:hAnsi="Times New Roman" w:cs="Times New Roman"/>
          <w:sz w:val="28"/>
          <w:szCs w:val="28"/>
          <w:lang w:bidi="ar-SA"/>
        </w:rPr>
        <w:t>1</w:t>
      </w:r>
      <w:r>
        <w:rPr>
          <w:rFonts w:ascii="Times New Roman" w:hAnsi="Times New Roman" w:cs="Times New Roman"/>
          <w:sz w:val="28"/>
          <w:szCs w:val="28"/>
          <w:lang w:bidi="ar-SA"/>
        </w:rPr>
        <w:t xml:space="preserve">, не имеющих гендерных различий. Частотное распределение аллелей </w:t>
      </w:r>
      <w:r w:rsidR="00566203">
        <w:rPr>
          <w:rFonts w:ascii="Times New Roman" w:hAnsi="Times New Roman" w:cs="Times New Roman"/>
          <w:sz w:val="28"/>
          <w:szCs w:val="28"/>
          <w:lang w:val="kk-KZ" w:bidi="ar-SA"/>
        </w:rPr>
        <w:t>полиморфизмов</w:t>
      </w:r>
      <w:r w:rsidR="00566203" w:rsidRPr="00566203">
        <w:rPr>
          <w:rFonts w:ascii="Times New Roman" w:hAnsi="Times New Roman" w:cs="Times New Roman"/>
          <w:sz w:val="28"/>
          <w:szCs w:val="28"/>
          <w:lang w:bidi="ar-SA"/>
        </w:rPr>
        <w:t xml:space="preserve"> </w:t>
      </w:r>
      <w:r w:rsidR="00566203">
        <w:rPr>
          <w:rFonts w:ascii="Times New Roman" w:hAnsi="Times New Roman" w:cs="Times New Roman"/>
          <w:sz w:val="28"/>
          <w:szCs w:val="28"/>
          <w:lang w:val="en-US" w:bidi="ar-SA"/>
        </w:rPr>
        <w:t>rs</w:t>
      </w:r>
      <w:r w:rsidR="00566203" w:rsidRPr="00566203">
        <w:rPr>
          <w:rFonts w:ascii="Times New Roman" w:hAnsi="Times New Roman" w:cs="Times New Roman"/>
          <w:sz w:val="28"/>
          <w:szCs w:val="28"/>
          <w:lang w:bidi="ar-SA"/>
        </w:rPr>
        <w:t>4148738 (</w:t>
      </w:r>
      <w:r w:rsidR="00566203">
        <w:rPr>
          <w:rFonts w:ascii="Times New Roman" w:hAnsi="Times New Roman" w:cs="Times New Roman"/>
          <w:sz w:val="28"/>
          <w:szCs w:val="28"/>
          <w:lang w:val="kk-KZ" w:bidi="ar-SA"/>
        </w:rPr>
        <w:t>С:Т</w:t>
      </w:r>
      <w:r w:rsidR="00566203" w:rsidRPr="00566203">
        <w:rPr>
          <w:rFonts w:ascii="Times New Roman" w:hAnsi="Times New Roman" w:cs="Times New Roman"/>
          <w:sz w:val="28"/>
          <w:szCs w:val="28"/>
          <w:lang w:bidi="ar-SA"/>
        </w:rPr>
        <w:t>=0,43:0,57)</w:t>
      </w:r>
      <w:r>
        <w:rPr>
          <w:rFonts w:ascii="Times New Roman" w:hAnsi="Times New Roman" w:cs="Times New Roman"/>
          <w:sz w:val="28"/>
          <w:szCs w:val="28"/>
          <w:lang w:bidi="ar-SA"/>
        </w:rPr>
        <w:t xml:space="preserve"> </w:t>
      </w:r>
      <w:r w:rsidR="00566203">
        <w:rPr>
          <w:rFonts w:ascii="Times New Roman" w:hAnsi="Times New Roman" w:cs="Times New Roman"/>
          <w:sz w:val="28"/>
          <w:szCs w:val="28"/>
          <w:lang w:val="kk-KZ" w:bidi="ar-SA"/>
        </w:rPr>
        <w:t xml:space="preserve">и </w:t>
      </w:r>
      <w:r w:rsidR="00566203">
        <w:rPr>
          <w:rFonts w:ascii="Times New Roman" w:hAnsi="Times New Roman" w:cs="Times New Roman"/>
          <w:sz w:val="28"/>
          <w:szCs w:val="28"/>
          <w:lang w:val="en-US" w:bidi="ar-SA"/>
        </w:rPr>
        <w:t>rs</w:t>
      </w:r>
      <w:r w:rsidR="00566203" w:rsidRPr="00566203">
        <w:rPr>
          <w:rFonts w:ascii="Times New Roman" w:hAnsi="Times New Roman" w:cs="Times New Roman"/>
          <w:sz w:val="28"/>
          <w:szCs w:val="28"/>
          <w:lang w:bidi="ar-SA"/>
        </w:rPr>
        <w:t>8192935 (</w:t>
      </w:r>
      <w:r w:rsidR="00566203">
        <w:rPr>
          <w:rFonts w:ascii="Times New Roman" w:hAnsi="Times New Roman" w:cs="Times New Roman"/>
          <w:sz w:val="28"/>
          <w:szCs w:val="28"/>
          <w:lang w:val="en-US" w:bidi="ar-SA"/>
        </w:rPr>
        <w:t>A</w:t>
      </w:r>
      <w:r w:rsidR="00566203" w:rsidRPr="00566203">
        <w:rPr>
          <w:rFonts w:ascii="Times New Roman" w:hAnsi="Times New Roman" w:cs="Times New Roman"/>
          <w:sz w:val="28"/>
          <w:szCs w:val="28"/>
          <w:lang w:bidi="ar-SA"/>
        </w:rPr>
        <w:t>:</w:t>
      </w:r>
      <w:r w:rsidR="00566203">
        <w:rPr>
          <w:rFonts w:ascii="Times New Roman" w:hAnsi="Times New Roman" w:cs="Times New Roman"/>
          <w:sz w:val="28"/>
          <w:szCs w:val="28"/>
          <w:lang w:val="en-US" w:bidi="ar-SA"/>
        </w:rPr>
        <w:t>G</w:t>
      </w:r>
      <w:r w:rsidR="00566203" w:rsidRPr="00566203">
        <w:rPr>
          <w:rFonts w:ascii="Times New Roman" w:hAnsi="Times New Roman" w:cs="Times New Roman"/>
          <w:sz w:val="28"/>
          <w:szCs w:val="28"/>
          <w:lang w:bidi="ar-SA"/>
        </w:rPr>
        <w:t xml:space="preserve">=0,62:0,38) </w:t>
      </w:r>
      <w:r>
        <w:rPr>
          <w:rFonts w:ascii="Times New Roman" w:hAnsi="Times New Roman" w:cs="Times New Roman"/>
          <w:sz w:val="28"/>
          <w:szCs w:val="28"/>
          <w:lang w:bidi="ar-SA"/>
        </w:rPr>
        <w:t>в казахстанской выборке в значительной степени соответствует показателям, характерным для азиатских</w:t>
      </w:r>
      <w:r w:rsidR="00566203" w:rsidRPr="00566203">
        <w:rPr>
          <w:rFonts w:ascii="Times New Roman" w:hAnsi="Times New Roman" w:cs="Times New Roman"/>
          <w:sz w:val="28"/>
          <w:szCs w:val="28"/>
          <w:lang w:bidi="ar-SA"/>
        </w:rPr>
        <w:t xml:space="preserve"> (</w:t>
      </w:r>
      <w:r w:rsidR="00566203">
        <w:rPr>
          <w:rFonts w:ascii="Times New Roman" w:hAnsi="Times New Roman" w:cs="Times New Roman"/>
          <w:sz w:val="28"/>
          <w:szCs w:val="28"/>
          <w:lang w:val="kk-KZ" w:bidi="ar-SA"/>
        </w:rPr>
        <w:t>С:Т</w:t>
      </w:r>
      <w:r w:rsidR="00566203" w:rsidRPr="00566203">
        <w:rPr>
          <w:rFonts w:ascii="Times New Roman" w:hAnsi="Times New Roman" w:cs="Times New Roman"/>
          <w:sz w:val="28"/>
          <w:szCs w:val="28"/>
          <w:lang w:bidi="ar-SA"/>
        </w:rPr>
        <w:t>=0,4:0,6</w:t>
      </w:r>
      <w:r w:rsidR="00566203">
        <w:rPr>
          <w:rFonts w:ascii="Times New Roman" w:hAnsi="Times New Roman" w:cs="Times New Roman"/>
          <w:sz w:val="28"/>
          <w:szCs w:val="28"/>
          <w:lang w:val="kk-KZ" w:bidi="ar-SA"/>
        </w:rPr>
        <w:t xml:space="preserve">; </w:t>
      </w:r>
      <w:r w:rsidR="00566203">
        <w:rPr>
          <w:rFonts w:ascii="Times New Roman" w:hAnsi="Times New Roman" w:cs="Times New Roman"/>
          <w:sz w:val="28"/>
          <w:szCs w:val="28"/>
          <w:lang w:val="en-US" w:bidi="ar-SA"/>
        </w:rPr>
        <w:t>A</w:t>
      </w:r>
      <w:r w:rsidR="00566203" w:rsidRPr="00566203">
        <w:rPr>
          <w:rFonts w:ascii="Times New Roman" w:hAnsi="Times New Roman" w:cs="Times New Roman"/>
          <w:sz w:val="28"/>
          <w:szCs w:val="28"/>
          <w:lang w:bidi="ar-SA"/>
        </w:rPr>
        <w:t>:</w:t>
      </w:r>
      <w:r w:rsidR="00566203">
        <w:rPr>
          <w:rFonts w:ascii="Times New Roman" w:hAnsi="Times New Roman" w:cs="Times New Roman"/>
          <w:sz w:val="28"/>
          <w:szCs w:val="28"/>
          <w:lang w:val="en-US" w:bidi="ar-SA"/>
        </w:rPr>
        <w:t>G</w:t>
      </w:r>
      <w:r w:rsidR="00566203" w:rsidRPr="00566203">
        <w:rPr>
          <w:rFonts w:ascii="Times New Roman" w:hAnsi="Times New Roman" w:cs="Times New Roman"/>
          <w:sz w:val="28"/>
          <w:szCs w:val="28"/>
          <w:lang w:bidi="ar-SA"/>
        </w:rPr>
        <w:t>=0,61:0,39)</w:t>
      </w:r>
      <w:r w:rsidR="00566203">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 и восточноазиатских популяций</w:t>
      </w:r>
      <w:r w:rsidR="00566203" w:rsidRPr="00566203">
        <w:rPr>
          <w:rFonts w:ascii="Times New Roman" w:hAnsi="Times New Roman" w:cs="Times New Roman"/>
          <w:sz w:val="28"/>
          <w:szCs w:val="28"/>
          <w:lang w:bidi="ar-SA"/>
        </w:rPr>
        <w:t xml:space="preserve"> (</w:t>
      </w:r>
      <w:r w:rsidR="00566203">
        <w:rPr>
          <w:rFonts w:ascii="Times New Roman" w:hAnsi="Times New Roman" w:cs="Times New Roman"/>
          <w:sz w:val="28"/>
          <w:szCs w:val="28"/>
          <w:lang w:val="kk-KZ" w:bidi="ar-SA"/>
        </w:rPr>
        <w:t>С:Т</w:t>
      </w:r>
      <w:r w:rsidR="00566203" w:rsidRPr="00566203">
        <w:rPr>
          <w:rFonts w:ascii="Times New Roman" w:hAnsi="Times New Roman" w:cs="Times New Roman"/>
          <w:sz w:val="28"/>
          <w:szCs w:val="28"/>
          <w:lang w:bidi="ar-SA"/>
        </w:rPr>
        <w:t xml:space="preserve">=0,43:0,57; </w:t>
      </w:r>
      <w:r w:rsidR="00566203">
        <w:rPr>
          <w:rFonts w:ascii="Times New Roman" w:hAnsi="Times New Roman" w:cs="Times New Roman"/>
          <w:sz w:val="28"/>
          <w:szCs w:val="28"/>
          <w:lang w:val="en-US" w:bidi="ar-SA"/>
        </w:rPr>
        <w:t>A</w:t>
      </w:r>
      <w:r w:rsidR="00566203" w:rsidRPr="00566203">
        <w:rPr>
          <w:rFonts w:ascii="Times New Roman" w:hAnsi="Times New Roman" w:cs="Times New Roman"/>
          <w:sz w:val="28"/>
          <w:szCs w:val="28"/>
          <w:lang w:bidi="ar-SA"/>
        </w:rPr>
        <w:t>:</w:t>
      </w:r>
      <w:r w:rsidR="00566203">
        <w:rPr>
          <w:rFonts w:ascii="Times New Roman" w:hAnsi="Times New Roman" w:cs="Times New Roman"/>
          <w:sz w:val="28"/>
          <w:szCs w:val="28"/>
          <w:lang w:val="en-US" w:bidi="ar-SA"/>
        </w:rPr>
        <w:t>G</w:t>
      </w:r>
      <w:r w:rsidR="00566203" w:rsidRPr="00566203">
        <w:rPr>
          <w:rFonts w:ascii="Times New Roman" w:hAnsi="Times New Roman" w:cs="Times New Roman"/>
          <w:sz w:val="28"/>
          <w:szCs w:val="28"/>
          <w:lang w:bidi="ar-SA"/>
        </w:rPr>
        <w:t>=0,63:0,37)</w:t>
      </w:r>
      <w:r>
        <w:rPr>
          <w:rFonts w:ascii="Times New Roman" w:hAnsi="Times New Roman" w:cs="Times New Roman"/>
          <w:sz w:val="28"/>
          <w:szCs w:val="28"/>
          <w:lang w:bidi="ar-SA"/>
        </w:rPr>
        <w:t>.</w:t>
      </w:r>
    </w:p>
    <w:p w14:paraId="416A6F61" w14:textId="5674BBC4" w:rsidR="00AC5A6E" w:rsidRDefault="00660695" w:rsidP="009B0CEF">
      <w:pPr>
        <w:pStyle w:val="LO-normal"/>
        <w:numPr>
          <w:ilvl w:val="0"/>
          <w:numId w:val="5"/>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Индивидуальная вариабельность концентраций дабигатрана этексилата и апиксабана не выходили за пределы стандартного отклонения, описанного в мировых мета-анализах; средняя пиковая концентрация </w:t>
      </w:r>
      <w:r w:rsidR="00566203">
        <w:rPr>
          <w:rFonts w:ascii="Times New Roman" w:hAnsi="Times New Roman" w:cs="Times New Roman"/>
          <w:sz w:val="28"/>
          <w:szCs w:val="28"/>
          <w:lang w:val="kk-KZ" w:bidi="ar-SA"/>
        </w:rPr>
        <w:t xml:space="preserve">дабигатрана </w:t>
      </w:r>
      <w:r>
        <w:rPr>
          <w:rFonts w:ascii="Times New Roman" w:hAnsi="Times New Roman" w:cs="Times New Roman"/>
          <w:sz w:val="28"/>
          <w:szCs w:val="28"/>
          <w:lang w:bidi="ar-SA"/>
        </w:rPr>
        <w:t>была</w:t>
      </w:r>
      <w:r w:rsidR="00566203">
        <w:rPr>
          <w:rFonts w:ascii="Times New Roman" w:hAnsi="Times New Roman" w:cs="Times New Roman"/>
          <w:sz w:val="28"/>
          <w:szCs w:val="28"/>
          <w:lang w:bidi="ar-SA"/>
        </w:rPr>
        <w:t xml:space="preserve"> на 32,8%</w:t>
      </w:r>
      <w:r w:rsidR="00566203" w:rsidRPr="00566203">
        <w:rPr>
          <w:rFonts w:ascii="Times New Roman" w:hAnsi="Times New Roman" w:cs="Times New Roman"/>
          <w:sz w:val="28"/>
          <w:szCs w:val="28"/>
          <w:lang w:bidi="ar-SA"/>
        </w:rPr>
        <w:t xml:space="preserve">, </w:t>
      </w:r>
      <w:r w:rsidR="00566203">
        <w:rPr>
          <w:rFonts w:ascii="Times New Roman" w:hAnsi="Times New Roman" w:cs="Times New Roman"/>
          <w:sz w:val="28"/>
          <w:szCs w:val="28"/>
          <w:lang w:bidi="ar-SA"/>
        </w:rPr>
        <w:t xml:space="preserve">а минимальная концентрация была на 29,2% </w:t>
      </w:r>
      <w:r>
        <w:rPr>
          <w:rFonts w:ascii="Times New Roman" w:hAnsi="Times New Roman" w:cs="Times New Roman"/>
          <w:sz w:val="28"/>
          <w:szCs w:val="28"/>
          <w:lang w:bidi="ar-SA"/>
        </w:rPr>
        <w:t>выше у женщин</w:t>
      </w:r>
      <w:r w:rsidR="00566203" w:rsidRPr="00566203">
        <w:rPr>
          <w:rFonts w:ascii="Times New Roman" w:hAnsi="Times New Roman" w:cs="Times New Roman"/>
          <w:sz w:val="28"/>
          <w:szCs w:val="28"/>
          <w:lang w:bidi="ar-SA"/>
        </w:rPr>
        <w:t xml:space="preserve"> (</w:t>
      </w:r>
      <w:r w:rsidR="00566203">
        <w:rPr>
          <w:rFonts w:ascii="Times New Roman" w:hAnsi="Times New Roman" w:cs="Times New Roman"/>
          <w:sz w:val="28"/>
          <w:szCs w:val="28"/>
          <w:lang w:val="en-US" w:bidi="ar-SA"/>
        </w:rPr>
        <w:t>p</w:t>
      </w:r>
      <w:r w:rsidR="00566203" w:rsidRPr="00566203">
        <w:rPr>
          <w:rFonts w:ascii="Times New Roman" w:hAnsi="Times New Roman" w:cs="Times New Roman"/>
          <w:sz w:val="28"/>
          <w:szCs w:val="28"/>
          <w:lang w:bidi="ar-SA"/>
        </w:rPr>
        <w:t>&lt;0,01</w:t>
      </w:r>
      <w:r w:rsidR="00566203">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r w:rsidR="00566203">
        <w:rPr>
          <w:rFonts w:ascii="Times New Roman" w:hAnsi="Times New Roman" w:cs="Times New Roman"/>
          <w:sz w:val="28"/>
          <w:szCs w:val="28"/>
          <w:lang w:bidi="ar-SA"/>
        </w:rPr>
        <w:t xml:space="preserve">минимальная концентрация апиксабана была достоверно выше у женщин на 23% </w:t>
      </w:r>
      <w:r w:rsidR="00566203" w:rsidRPr="00566203">
        <w:rPr>
          <w:rFonts w:ascii="Times New Roman" w:hAnsi="Times New Roman" w:cs="Times New Roman"/>
          <w:sz w:val="28"/>
          <w:szCs w:val="28"/>
          <w:lang w:bidi="ar-SA"/>
        </w:rPr>
        <w:t>(</w:t>
      </w:r>
      <w:r w:rsidR="00566203">
        <w:rPr>
          <w:rFonts w:ascii="Times New Roman" w:hAnsi="Times New Roman" w:cs="Times New Roman"/>
          <w:sz w:val="28"/>
          <w:szCs w:val="28"/>
          <w:lang w:val="en-US" w:bidi="ar-SA"/>
        </w:rPr>
        <w:t>p</w:t>
      </w:r>
      <w:r w:rsidR="00566203" w:rsidRPr="00566203">
        <w:rPr>
          <w:rFonts w:ascii="Times New Roman" w:hAnsi="Times New Roman" w:cs="Times New Roman"/>
          <w:sz w:val="28"/>
          <w:szCs w:val="28"/>
          <w:lang w:bidi="ar-SA"/>
        </w:rPr>
        <w:t>=0,01)</w:t>
      </w:r>
      <w:r w:rsidR="00566203">
        <w:rPr>
          <w:rFonts w:ascii="Times New Roman" w:hAnsi="Times New Roman" w:cs="Times New Roman"/>
          <w:sz w:val="28"/>
          <w:szCs w:val="28"/>
          <w:lang w:bidi="ar-SA"/>
        </w:rPr>
        <w:t>.</w:t>
      </w:r>
      <w:r w:rsidR="00566203" w:rsidRPr="00566203">
        <w:rPr>
          <w:rFonts w:ascii="Times New Roman" w:hAnsi="Times New Roman" w:cs="Times New Roman"/>
          <w:sz w:val="28"/>
          <w:szCs w:val="28"/>
          <w:lang w:bidi="ar-SA"/>
        </w:rPr>
        <w:t xml:space="preserve"> П</w:t>
      </w:r>
      <w:r w:rsidR="00AC5A6E" w:rsidRPr="00566203">
        <w:rPr>
          <w:rFonts w:ascii="Times New Roman" w:hAnsi="Times New Roman" w:cs="Times New Roman"/>
          <w:sz w:val="28"/>
          <w:szCs w:val="28"/>
          <w:lang w:bidi="ar-SA"/>
        </w:rPr>
        <w:t>овышенная концентрация дабигатрана этексилата был</w:t>
      </w:r>
      <w:r w:rsidR="00402B40">
        <w:rPr>
          <w:rFonts w:ascii="Times New Roman" w:hAnsi="Times New Roman" w:cs="Times New Roman"/>
          <w:sz w:val="28"/>
          <w:szCs w:val="28"/>
          <w:lang w:bidi="ar-SA"/>
        </w:rPr>
        <w:t>а</w:t>
      </w:r>
      <w:r w:rsidR="00AC5A6E" w:rsidRPr="00566203">
        <w:rPr>
          <w:rFonts w:ascii="Times New Roman" w:hAnsi="Times New Roman" w:cs="Times New Roman"/>
          <w:sz w:val="28"/>
          <w:szCs w:val="28"/>
          <w:lang w:bidi="ar-SA"/>
        </w:rPr>
        <w:t xml:space="preserve"> зафиксирован</w:t>
      </w:r>
      <w:r w:rsidR="00402B40">
        <w:rPr>
          <w:rFonts w:ascii="Times New Roman" w:hAnsi="Times New Roman" w:cs="Times New Roman"/>
          <w:sz w:val="28"/>
          <w:szCs w:val="28"/>
          <w:lang w:bidi="ar-SA"/>
        </w:rPr>
        <w:t>а</w:t>
      </w:r>
      <w:r w:rsidR="00AC5A6E" w:rsidRPr="00566203">
        <w:rPr>
          <w:rFonts w:ascii="Times New Roman" w:hAnsi="Times New Roman" w:cs="Times New Roman"/>
          <w:sz w:val="28"/>
          <w:szCs w:val="28"/>
          <w:lang w:bidi="ar-SA"/>
        </w:rPr>
        <w:t xml:space="preserve"> у пациентов с </w:t>
      </w:r>
      <w:r w:rsidR="00402B40">
        <w:rPr>
          <w:rFonts w:ascii="Times New Roman" w:hAnsi="Times New Roman" w:cs="Times New Roman"/>
          <w:sz w:val="28"/>
          <w:szCs w:val="28"/>
          <w:lang w:bidi="ar-SA"/>
        </w:rPr>
        <w:t>недостаточной</w:t>
      </w:r>
      <w:r w:rsidR="00AC5A6E" w:rsidRPr="00566203">
        <w:rPr>
          <w:rFonts w:ascii="Times New Roman" w:hAnsi="Times New Roman" w:cs="Times New Roman"/>
          <w:sz w:val="28"/>
          <w:szCs w:val="28"/>
          <w:lang w:bidi="ar-SA"/>
        </w:rPr>
        <w:t xml:space="preserve"> массой тела</w:t>
      </w:r>
      <w:r w:rsidR="00566203" w:rsidRPr="00566203">
        <w:rPr>
          <w:rFonts w:ascii="Times New Roman" w:hAnsi="Times New Roman" w:cs="Times New Roman"/>
          <w:sz w:val="28"/>
          <w:szCs w:val="28"/>
          <w:lang w:bidi="ar-SA"/>
        </w:rPr>
        <w:t xml:space="preserve"> (</w:t>
      </w:r>
      <w:r w:rsidR="00402B40">
        <w:rPr>
          <w:rFonts w:ascii="Times New Roman" w:hAnsi="Times New Roman" w:cs="Times New Roman"/>
          <w:sz w:val="28"/>
          <w:szCs w:val="28"/>
          <w:lang w:bidi="ar-SA"/>
        </w:rPr>
        <w:t>49</w:t>
      </w:r>
      <w:r w:rsidR="00566203" w:rsidRPr="00566203">
        <w:rPr>
          <w:rFonts w:ascii="Times New Roman" w:hAnsi="Times New Roman" w:cs="Times New Roman"/>
          <w:sz w:val="28"/>
          <w:szCs w:val="28"/>
          <w:lang w:bidi="ar-SA"/>
        </w:rPr>
        <w:t>кг</w:t>
      </w:r>
      <w:r w:rsidR="00402B40">
        <w:rPr>
          <w:rFonts w:ascii="Times New Roman" w:hAnsi="Times New Roman" w:cs="Times New Roman"/>
          <w:sz w:val="28"/>
          <w:szCs w:val="28"/>
          <w:lang w:bidi="ar-SA"/>
        </w:rPr>
        <w:t>, ИМТ 18</w:t>
      </w:r>
      <w:r w:rsidR="00566203" w:rsidRPr="00566203">
        <w:rPr>
          <w:rFonts w:ascii="Times New Roman" w:hAnsi="Times New Roman" w:cs="Times New Roman"/>
          <w:sz w:val="28"/>
          <w:szCs w:val="28"/>
          <w:lang w:bidi="ar-SA"/>
        </w:rPr>
        <w:t>)</w:t>
      </w:r>
      <w:r w:rsidR="00AC5A6E" w:rsidRPr="00566203">
        <w:rPr>
          <w:rFonts w:ascii="Times New Roman" w:hAnsi="Times New Roman" w:cs="Times New Roman"/>
          <w:sz w:val="28"/>
          <w:szCs w:val="28"/>
          <w:lang w:bidi="ar-SA"/>
        </w:rPr>
        <w:t xml:space="preserve"> и минимальная концентрация у пожилых</w:t>
      </w:r>
      <w:r w:rsidR="00566203" w:rsidRPr="00566203">
        <w:rPr>
          <w:rFonts w:ascii="Times New Roman" w:hAnsi="Times New Roman" w:cs="Times New Roman"/>
          <w:sz w:val="28"/>
          <w:szCs w:val="28"/>
          <w:lang w:bidi="ar-SA"/>
        </w:rPr>
        <w:t xml:space="preserve"> старше 65 лет была </w:t>
      </w:r>
      <w:r w:rsidR="00566203">
        <w:rPr>
          <w:rFonts w:ascii="Times New Roman" w:hAnsi="Times New Roman" w:cs="Times New Roman"/>
          <w:sz w:val="28"/>
          <w:szCs w:val="28"/>
          <w:lang w:bidi="ar-SA"/>
        </w:rPr>
        <w:t xml:space="preserve">на 11,2% выше чем у лиц младше 65 лет </w:t>
      </w:r>
      <w:r w:rsidR="00566203" w:rsidRPr="00566203">
        <w:rPr>
          <w:rFonts w:ascii="Times New Roman" w:hAnsi="Times New Roman" w:cs="Times New Roman"/>
          <w:sz w:val="28"/>
          <w:szCs w:val="28"/>
          <w:lang w:bidi="ar-SA"/>
        </w:rPr>
        <w:t>(</w:t>
      </w:r>
      <w:r w:rsidR="00566203" w:rsidRPr="00566203">
        <w:rPr>
          <w:rFonts w:ascii="Times New Roman" w:hAnsi="Times New Roman" w:cs="Times New Roman"/>
          <w:sz w:val="28"/>
          <w:szCs w:val="28"/>
          <w:lang w:val="en-US" w:bidi="ar-SA"/>
        </w:rPr>
        <w:t>p</w:t>
      </w:r>
      <w:r w:rsidR="00566203" w:rsidRPr="00566203">
        <w:rPr>
          <w:rFonts w:ascii="Times New Roman" w:hAnsi="Times New Roman" w:cs="Times New Roman"/>
          <w:sz w:val="28"/>
          <w:szCs w:val="28"/>
          <w:lang w:bidi="ar-SA"/>
        </w:rPr>
        <w:t>=0,05)</w:t>
      </w:r>
      <w:r w:rsidR="00AC5A6E">
        <w:rPr>
          <w:rFonts w:ascii="Times New Roman" w:hAnsi="Times New Roman" w:cs="Times New Roman"/>
          <w:sz w:val="28"/>
          <w:szCs w:val="28"/>
          <w:lang w:bidi="ar-SA"/>
        </w:rPr>
        <w:t xml:space="preserve">, в то время как при приеме апиксабана у пожилых пациентов </w:t>
      </w:r>
      <w:r w:rsidR="00566203">
        <w:rPr>
          <w:rFonts w:ascii="Times New Roman" w:hAnsi="Times New Roman" w:cs="Times New Roman"/>
          <w:sz w:val="28"/>
          <w:szCs w:val="28"/>
          <w:lang w:bidi="ar-SA"/>
        </w:rPr>
        <w:t xml:space="preserve">старше 65 лет </w:t>
      </w:r>
      <w:r w:rsidR="00AC5A6E">
        <w:rPr>
          <w:rFonts w:ascii="Times New Roman" w:hAnsi="Times New Roman" w:cs="Times New Roman"/>
          <w:sz w:val="28"/>
          <w:szCs w:val="28"/>
          <w:lang w:bidi="ar-SA"/>
        </w:rPr>
        <w:t>и минимальная, и максимальная концентрации</w:t>
      </w:r>
      <w:r w:rsidR="00566203">
        <w:rPr>
          <w:rFonts w:ascii="Times New Roman" w:hAnsi="Times New Roman" w:cs="Times New Roman"/>
          <w:sz w:val="28"/>
          <w:szCs w:val="28"/>
          <w:lang w:bidi="ar-SA"/>
        </w:rPr>
        <w:t xml:space="preserve"> были выше группы младше 65 лет на 15,6% и 23,3% соответственно (</w:t>
      </w:r>
      <w:r w:rsidR="00566203">
        <w:rPr>
          <w:rFonts w:ascii="Times New Roman" w:hAnsi="Times New Roman" w:cs="Times New Roman"/>
          <w:sz w:val="28"/>
          <w:szCs w:val="28"/>
          <w:lang w:val="en-US" w:bidi="ar-SA"/>
        </w:rPr>
        <w:t>p</w:t>
      </w:r>
      <w:r w:rsidR="00566203" w:rsidRPr="00566203">
        <w:rPr>
          <w:rFonts w:ascii="Times New Roman" w:hAnsi="Times New Roman" w:cs="Times New Roman"/>
          <w:sz w:val="28"/>
          <w:szCs w:val="28"/>
          <w:lang w:bidi="ar-SA"/>
        </w:rPr>
        <w:t>&lt;0,05</w:t>
      </w:r>
      <w:r w:rsidR="00566203">
        <w:rPr>
          <w:rFonts w:ascii="Times New Roman" w:hAnsi="Times New Roman" w:cs="Times New Roman"/>
          <w:sz w:val="28"/>
          <w:szCs w:val="28"/>
          <w:lang w:bidi="ar-SA"/>
        </w:rPr>
        <w:t>)</w:t>
      </w:r>
      <w:r w:rsidR="00AC5A6E">
        <w:rPr>
          <w:rFonts w:ascii="Times New Roman" w:hAnsi="Times New Roman" w:cs="Times New Roman"/>
          <w:sz w:val="28"/>
          <w:szCs w:val="28"/>
          <w:lang w:bidi="ar-SA"/>
        </w:rPr>
        <w:t>.</w:t>
      </w:r>
    </w:p>
    <w:p w14:paraId="232C259D" w14:textId="0B3B9225" w:rsidR="00C00064" w:rsidRDefault="00AC5A6E" w:rsidP="009B0CEF">
      <w:pPr>
        <w:pStyle w:val="LO-normal"/>
        <w:numPr>
          <w:ilvl w:val="0"/>
          <w:numId w:val="5"/>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Полиморфизм </w:t>
      </w:r>
      <w:r>
        <w:rPr>
          <w:rFonts w:ascii="Times New Roman" w:hAnsi="Times New Roman" w:cs="Times New Roman"/>
          <w:sz w:val="28"/>
          <w:szCs w:val="28"/>
          <w:lang w:val="en-US" w:bidi="ar-SA"/>
        </w:rPr>
        <w:t>rs</w:t>
      </w:r>
      <w:r w:rsidRPr="00AC5A6E">
        <w:rPr>
          <w:rFonts w:ascii="Times New Roman" w:hAnsi="Times New Roman" w:cs="Times New Roman"/>
          <w:sz w:val="28"/>
          <w:szCs w:val="28"/>
          <w:lang w:bidi="ar-SA"/>
        </w:rPr>
        <w:t>8192935</w:t>
      </w:r>
      <w:r>
        <w:rPr>
          <w:rFonts w:ascii="Times New Roman" w:hAnsi="Times New Roman" w:cs="Times New Roman"/>
          <w:sz w:val="28"/>
          <w:szCs w:val="28"/>
          <w:lang w:bidi="ar-SA"/>
        </w:rPr>
        <w:t xml:space="preserve"> в гене</w:t>
      </w:r>
      <w:r w:rsidRPr="00AC5A6E">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AC5A6E">
        <w:rPr>
          <w:rFonts w:ascii="Times New Roman" w:hAnsi="Times New Roman" w:cs="Times New Roman"/>
          <w:sz w:val="28"/>
          <w:szCs w:val="28"/>
          <w:lang w:bidi="ar-SA"/>
        </w:rPr>
        <w:t>1</w:t>
      </w:r>
      <w:r w:rsidR="00660695" w:rsidRPr="00AC5A6E">
        <w:rPr>
          <w:rFonts w:ascii="Times New Roman" w:hAnsi="Times New Roman" w:cs="Times New Roman"/>
          <w:sz w:val="28"/>
          <w:szCs w:val="28"/>
          <w:lang w:bidi="ar-SA"/>
        </w:rPr>
        <w:t xml:space="preserve"> </w:t>
      </w:r>
      <w:r>
        <w:rPr>
          <w:rFonts w:ascii="Times New Roman" w:hAnsi="Times New Roman" w:cs="Times New Roman"/>
          <w:sz w:val="28"/>
          <w:szCs w:val="28"/>
          <w:lang w:bidi="ar-SA"/>
        </w:rPr>
        <w:t>может быть предиктором пика концентрации дабигатрана в плазме (95% ДИ: 0,26-47,7, р=0,05) и предиктором минимума (95% ДИ: 0,91-24,7, р=0,04) концентрации препарата в плазме, тогда как для апиксабана взаимосвязи полиморфизма генов и плазменной концентрации выявлено не было.</w:t>
      </w:r>
    </w:p>
    <w:p w14:paraId="5E52768A" w14:textId="77028989" w:rsidR="00AC5A6E" w:rsidRDefault="00402B40" w:rsidP="009B0CEF">
      <w:pPr>
        <w:pStyle w:val="LO-normal"/>
        <w:numPr>
          <w:ilvl w:val="0"/>
          <w:numId w:val="5"/>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 проспективном наблюдении частота тромбоэмболических осложнений в общей когорте пациентов в течение 36 месяцев составила 6,0%. Среди пациентов с вариабельной концентрацией дабигатрана кумулятивная частота тромбоэмболических событий составила 13,6%. Статистически значимой ассоциации между аллелями полиморфизма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8192935</w:t>
      </w:r>
      <w:r>
        <w:rPr>
          <w:rFonts w:ascii="Times New Roman" w:hAnsi="Times New Roman" w:cs="Times New Roman"/>
          <w:sz w:val="28"/>
          <w:szCs w:val="28"/>
          <w:lang w:bidi="ar-SA"/>
        </w:rPr>
        <w:t xml:space="preserve"> гена</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402B40">
        <w:rPr>
          <w:rFonts w:ascii="Times New Roman" w:hAnsi="Times New Roman" w:cs="Times New Roman"/>
          <w:sz w:val="28"/>
          <w:szCs w:val="28"/>
          <w:lang w:bidi="ar-SA"/>
        </w:rPr>
        <w:t>1</w:t>
      </w:r>
      <w:r>
        <w:rPr>
          <w:rFonts w:ascii="Times New Roman" w:hAnsi="Times New Roman" w:cs="Times New Roman"/>
          <w:sz w:val="28"/>
          <w:szCs w:val="28"/>
          <w:lang w:bidi="ar-SA"/>
        </w:rPr>
        <w:t xml:space="preserve"> и развитием тромбоэмболических событий установлено не было. Полученный результат следует интерпретировать с учетом ограниченной статистической мощности исследования, обусловленной низкой частотой клинических исходов. </w:t>
      </w:r>
    </w:p>
    <w:p w14:paraId="3EF3A0EE" w14:textId="3ABBD455" w:rsidR="00AC5A6E" w:rsidRDefault="00AC5A6E" w:rsidP="009B0CEF">
      <w:pPr>
        <w:pStyle w:val="LO-normal"/>
        <w:numPr>
          <w:ilvl w:val="0"/>
          <w:numId w:val="5"/>
        </w:numPr>
        <w:spacing w:after="0" w:line="240" w:lineRule="auto"/>
        <w:ind w:left="0" w:firstLine="0"/>
        <w:jc w:val="both"/>
        <w:rPr>
          <w:rFonts w:ascii="Times New Roman" w:hAnsi="Times New Roman" w:cs="Times New Roman"/>
          <w:sz w:val="28"/>
          <w:szCs w:val="28"/>
          <w:lang w:bidi="ar-SA"/>
        </w:rPr>
      </w:pPr>
      <w:r w:rsidRPr="00402B40">
        <w:rPr>
          <w:rFonts w:ascii="Times New Roman" w:hAnsi="Times New Roman" w:cs="Times New Roman"/>
          <w:sz w:val="28"/>
          <w:szCs w:val="28"/>
          <w:lang w:bidi="ar-SA"/>
        </w:rPr>
        <w:t>С учетом частоты полиморфизма генов метаболизма ПОАК, связи между полиморфизмом и плазменной концентрацией ПОАК, влиянием пола, возраста, массы тела и принимаемого препарата был разработан алгоритм персонализированного подхода для ведения пациентов с неклапанной ФП, принимающих дабигатрана этексилат или апиксабан и имеющих вероятность повторных системных эмболических и/или геморрагических осложнений.</w:t>
      </w:r>
      <w:r w:rsidR="00566203" w:rsidRPr="00402B40">
        <w:rPr>
          <w:rFonts w:ascii="Times New Roman" w:hAnsi="Times New Roman" w:cs="Times New Roman"/>
          <w:sz w:val="28"/>
          <w:szCs w:val="28"/>
          <w:lang w:val="kk-KZ" w:bidi="ar-SA"/>
        </w:rPr>
        <w:t xml:space="preserve"> Алгоритм </w:t>
      </w:r>
      <w:r w:rsidR="00566203" w:rsidRPr="00402B40">
        <w:rPr>
          <w:rFonts w:ascii="Times New Roman" w:hAnsi="Times New Roman" w:cs="Times New Roman"/>
          <w:sz w:val="28"/>
          <w:szCs w:val="28"/>
          <w:lang w:bidi="ar-SA"/>
        </w:rPr>
        <w:t>применим у пациентов после первого эпизода системного эмболического или геморрагического осложнения на фоне приема терапии прямыми пероральными антикоагулянтами</w:t>
      </w:r>
    </w:p>
    <w:p w14:paraId="38AD0807" w14:textId="77777777" w:rsidR="00333D46" w:rsidRPr="00402B40" w:rsidRDefault="00333D46" w:rsidP="00333D46">
      <w:pPr>
        <w:pStyle w:val="LO-normal"/>
        <w:spacing w:after="0" w:line="240" w:lineRule="auto"/>
        <w:jc w:val="both"/>
        <w:rPr>
          <w:rFonts w:ascii="Times New Roman" w:hAnsi="Times New Roman" w:cs="Times New Roman"/>
          <w:sz w:val="28"/>
          <w:szCs w:val="28"/>
          <w:lang w:bidi="ar-SA"/>
        </w:rPr>
      </w:pPr>
    </w:p>
    <w:p w14:paraId="5782A91F" w14:textId="04210970" w:rsidR="00AC5A6E" w:rsidRDefault="00AC5A6E" w:rsidP="009B0CEF">
      <w:pPr>
        <w:pStyle w:val="LO-normal"/>
        <w:spacing w:after="0" w:line="240" w:lineRule="auto"/>
        <w:ind w:firstLine="567"/>
        <w:jc w:val="both"/>
        <w:rPr>
          <w:rFonts w:ascii="Times New Roman" w:hAnsi="Times New Roman" w:cs="Times New Roman"/>
          <w:sz w:val="28"/>
          <w:szCs w:val="28"/>
          <w:lang w:bidi="ar-SA"/>
        </w:rPr>
      </w:pPr>
      <w:r w:rsidRPr="00B7704B">
        <w:rPr>
          <w:rFonts w:ascii="Times New Roman" w:hAnsi="Times New Roman" w:cs="Times New Roman"/>
          <w:b/>
          <w:bCs/>
          <w:sz w:val="28"/>
          <w:szCs w:val="28"/>
          <w:lang w:bidi="ar-SA"/>
        </w:rPr>
        <w:t>Апробация работы.</w:t>
      </w:r>
      <w:r>
        <w:rPr>
          <w:rFonts w:ascii="Times New Roman" w:hAnsi="Times New Roman" w:cs="Times New Roman"/>
          <w:sz w:val="28"/>
          <w:szCs w:val="28"/>
          <w:lang w:bidi="ar-SA"/>
        </w:rPr>
        <w:t xml:space="preserve"> Диссертационная работа апробирована на заседании кафедры внутренних болезней с курсом гастроэнтерологии, эндокринологии и пульмонологии НАО «Медицинский университет Астана», протокол №</w:t>
      </w:r>
      <w:r w:rsidR="00B7704B">
        <w:rPr>
          <w:rFonts w:ascii="Times New Roman" w:hAnsi="Times New Roman" w:cs="Times New Roman"/>
          <w:sz w:val="28"/>
          <w:szCs w:val="28"/>
          <w:lang w:bidi="ar-SA"/>
        </w:rPr>
        <w:t>10А от 27.05.2025г.; на межкафедральном заседании кафедры внутренних болезней с курсом гастроэнтерологии, эндокринологии и пульмонологии и кафедры внутренних болезней с курсом гериатрии НАО «Медицинский университет Астана», протокол №12А от 23.06.2025г.</w:t>
      </w:r>
    </w:p>
    <w:p w14:paraId="2C92A7C5" w14:textId="7A38765F" w:rsidR="00B7704B" w:rsidRDefault="00B7704B"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Результаты работы представлены на:</w:t>
      </w:r>
    </w:p>
    <w:p w14:paraId="2CEC414D" w14:textId="1949DE82" w:rsidR="00B7704B" w:rsidRDefault="00B7704B" w:rsidP="009B0CEF">
      <w:pPr>
        <w:pStyle w:val="LO-normal"/>
        <w:numPr>
          <w:ilvl w:val="0"/>
          <w:numId w:val="6"/>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val="en-US" w:bidi="ar-SA"/>
        </w:rPr>
        <w:t>V</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bidi="ar-SA"/>
        </w:rPr>
        <w:t>международной</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bidi="ar-SA"/>
        </w:rPr>
        <w:t>онлайн</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bidi="ar-SA"/>
        </w:rPr>
        <w:t>конференции</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Nursing</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education</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patient</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safety</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and</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healthcare</w:t>
      </w:r>
      <w:r w:rsidRPr="00B7704B">
        <w:rPr>
          <w:rFonts w:ascii="Times New Roman" w:hAnsi="Times New Roman" w:cs="Times New Roman"/>
          <w:sz w:val="28"/>
          <w:szCs w:val="28"/>
          <w:lang w:bidi="ar-SA"/>
        </w:rPr>
        <w:t xml:space="preserve">» (1 </w:t>
      </w:r>
      <w:r>
        <w:rPr>
          <w:rFonts w:ascii="Times New Roman" w:hAnsi="Times New Roman" w:cs="Times New Roman"/>
          <w:sz w:val="28"/>
          <w:szCs w:val="28"/>
          <w:lang w:bidi="ar-SA"/>
        </w:rPr>
        <w:t>сентября</w:t>
      </w:r>
      <w:r w:rsidRPr="00B7704B">
        <w:rPr>
          <w:rFonts w:ascii="Times New Roman" w:hAnsi="Times New Roman" w:cs="Times New Roman"/>
          <w:sz w:val="28"/>
          <w:szCs w:val="28"/>
          <w:lang w:bidi="ar-SA"/>
        </w:rPr>
        <w:t xml:space="preserve"> 2023</w:t>
      </w:r>
      <w:r>
        <w:rPr>
          <w:rFonts w:ascii="Times New Roman" w:hAnsi="Times New Roman" w:cs="Times New Roman"/>
          <w:sz w:val="28"/>
          <w:szCs w:val="28"/>
          <w:lang w:bidi="ar-SA"/>
        </w:rPr>
        <w:t>г</w:t>
      </w:r>
      <w:r w:rsidRPr="00B7704B">
        <w:rPr>
          <w:rFonts w:ascii="Times New Roman" w:hAnsi="Times New Roman" w:cs="Times New Roman"/>
          <w:sz w:val="28"/>
          <w:szCs w:val="28"/>
          <w:lang w:bidi="ar-SA"/>
        </w:rPr>
        <w:t xml:space="preserve">.), </w:t>
      </w:r>
      <w:r>
        <w:rPr>
          <w:rFonts w:ascii="Times New Roman" w:hAnsi="Times New Roman" w:cs="Times New Roman"/>
          <w:sz w:val="28"/>
          <w:szCs w:val="28"/>
          <w:lang w:bidi="ar-SA"/>
        </w:rPr>
        <w:t>г</w:t>
      </w:r>
      <w:r w:rsidRPr="00B7704B">
        <w:rPr>
          <w:rFonts w:ascii="Times New Roman" w:hAnsi="Times New Roman" w:cs="Times New Roman"/>
          <w:sz w:val="28"/>
          <w:szCs w:val="28"/>
          <w:lang w:bidi="ar-SA"/>
        </w:rPr>
        <w:t>.</w:t>
      </w:r>
      <w:r>
        <w:rPr>
          <w:rFonts w:ascii="Times New Roman" w:hAnsi="Times New Roman" w:cs="Times New Roman"/>
          <w:sz w:val="28"/>
          <w:szCs w:val="28"/>
          <w:lang w:bidi="ar-SA"/>
        </w:rPr>
        <w:t xml:space="preserve"> Лондон.</w:t>
      </w:r>
    </w:p>
    <w:p w14:paraId="4585CD0D" w14:textId="3631B334" w:rsidR="00B7704B" w:rsidRDefault="00B7704B" w:rsidP="009B0CEF">
      <w:pPr>
        <w:pStyle w:val="LO-normal"/>
        <w:numPr>
          <w:ilvl w:val="0"/>
          <w:numId w:val="6"/>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Республиканской научно-практической конференции «Современные тренды агрессивной кардиологии» (31 марта 2023г.), г.Астана.</w:t>
      </w:r>
    </w:p>
    <w:p w14:paraId="4C3E6157" w14:textId="1C0C721E" w:rsidR="00B7704B" w:rsidRDefault="00B7704B" w:rsidP="009B0CEF">
      <w:pPr>
        <w:pStyle w:val="LO-normal"/>
        <w:numPr>
          <w:ilvl w:val="0"/>
          <w:numId w:val="6"/>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Международном научно-практическом форуме «Высокие технологии в современной хирургии» (21-22 сентября 2024г.), г.Астана.</w:t>
      </w:r>
    </w:p>
    <w:p w14:paraId="42933697" w14:textId="4A0131B5" w:rsidR="00B7704B" w:rsidRDefault="00B7704B" w:rsidP="009B0CEF">
      <w:pPr>
        <w:pStyle w:val="LO-normal"/>
        <w:numPr>
          <w:ilvl w:val="0"/>
          <w:numId w:val="6"/>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Международной конференции «Современные концепции и перспективы развития экстренной медицины» (13 мая 2025г.), г. Астана.</w:t>
      </w:r>
    </w:p>
    <w:p w14:paraId="708B001B" w14:textId="3707F053" w:rsidR="00B7704B" w:rsidRDefault="00B7704B" w:rsidP="009B0CEF">
      <w:pPr>
        <w:pStyle w:val="LO-normal"/>
        <w:numPr>
          <w:ilvl w:val="0"/>
          <w:numId w:val="6"/>
        </w:numPr>
        <w:spacing w:after="0" w:line="240" w:lineRule="auto"/>
        <w:ind w:left="0" w:firstLine="0"/>
        <w:jc w:val="both"/>
        <w:rPr>
          <w:rFonts w:ascii="Times New Roman" w:hAnsi="Times New Roman" w:cs="Times New Roman"/>
          <w:sz w:val="28"/>
          <w:szCs w:val="28"/>
          <w:lang w:bidi="ar-SA"/>
        </w:rPr>
      </w:pPr>
      <w:r>
        <w:rPr>
          <w:rFonts w:ascii="Times New Roman" w:hAnsi="Times New Roman" w:cs="Times New Roman"/>
          <w:sz w:val="28"/>
          <w:szCs w:val="28"/>
          <w:lang w:bidi="ar-SA"/>
        </w:rPr>
        <w:t>Научно-практическая конференция «Актуальные вопросы медицины – традиции и инновации», приуроченная к 100-летию ГКП на ПХВ «Многопрофильная городская больница №1» акимата г.Астана (17 октября 2025г.), г.Астана.</w:t>
      </w:r>
    </w:p>
    <w:p w14:paraId="56B7CA87" w14:textId="77777777" w:rsidR="00B7704B" w:rsidRDefault="00B7704B" w:rsidP="009B0CEF">
      <w:pPr>
        <w:pStyle w:val="LO-normal"/>
        <w:spacing w:after="0" w:line="240" w:lineRule="auto"/>
        <w:jc w:val="both"/>
        <w:rPr>
          <w:rFonts w:ascii="Times New Roman" w:hAnsi="Times New Roman" w:cs="Times New Roman"/>
          <w:sz w:val="28"/>
          <w:szCs w:val="28"/>
          <w:lang w:bidi="ar-SA"/>
        </w:rPr>
      </w:pPr>
    </w:p>
    <w:p w14:paraId="5F7D2106" w14:textId="5CD9A40E" w:rsidR="00B7704B" w:rsidRPr="006914B1" w:rsidRDefault="00B7704B" w:rsidP="009B0CEF">
      <w:pPr>
        <w:pStyle w:val="LO-normal"/>
        <w:spacing w:after="0" w:line="240" w:lineRule="auto"/>
        <w:ind w:firstLine="567"/>
        <w:jc w:val="both"/>
        <w:rPr>
          <w:rFonts w:ascii="Times New Roman" w:hAnsi="Times New Roman" w:cs="Times New Roman"/>
          <w:sz w:val="28"/>
          <w:szCs w:val="28"/>
          <w:lang w:bidi="ar-SA"/>
        </w:rPr>
      </w:pPr>
      <w:r w:rsidRPr="00B7704B">
        <w:rPr>
          <w:rFonts w:ascii="Times New Roman" w:hAnsi="Times New Roman" w:cs="Times New Roman"/>
          <w:b/>
          <w:bCs/>
          <w:sz w:val="28"/>
          <w:szCs w:val="28"/>
          <w:lang w:bidi="ar-SA"/>
        </w:rPr>
        <w:t>Публикации по теме диссертации</w:t>
      </w:r>
      <w:r>
        <w:rPr>
          <w:rFonts w:ascii="Times New Roman" w:hAnsi="Times New Roman" w:cs="Times New Roman"/>
          <w:sz w:val="28"/>
          <w:szCs w:val="28"/>
          <w:lang w:bidi="ar-SA"/>
        </w:rPr>
        <w:t xml:space="preserve">. Основные результаты исследования опубликованы в </w:t>
      </w:r>
      <w:r w:rsidR="003622A6">
        <w:rPr>
          <w:rFonts w:ascii="Times New Roman" w:hAnsi="Times New Roman" w:cs="Times New Roman"/>
          <w:sz w:val="28"/>
          <w:szCs w:val="28"/>
          <w:lang w:bidi="ar-SA"/>
        </w:rPr>
        <w:t xml:space="preserve">четырех </w:t>
      </w:r>
      <w:r>
        <w:rPr>
          <w:rFonts w:ascii="Times New Roman" w:hAnsi="Times New Roman" w:cs="Times New Roman"/>
          <w:sz w:val="28"/>
          <w:szCs w:val="28"/>
          <w:lang w:bidi="ar-SA"/>
        </w:rPr>
        <w:t xml:space="preserve">изданиях: 1 статья в издании, рекомендованным Комитетом по </w:t>
      </w:r>
      <w:r w:rsidR="006914B1">
        <w:rPr>
          <w:rFonts w:ascii="Times New Roman" w:hAnsi="Times New Roman" w:cs="Times New Roman"/>
          <w:sz w:val="28"/>
          <w:szCs w:val="28"/>
          <w:lang w:bidi="ar-SA"/>
        </w:rPr>
        <w:t>обеспечению качества в сфере науки и высшего образования Министерства науки и высшего образования Республики Казахстан, 3</w:t>
      </w:r>
      <w:r>
        <w:rPr>
          <w:rFonts w:ascii="Times New Roman" w:hAnsi="Times New Roman" w:cs="Times New Roman"/>
          <w:sz w:val="28"/>
          <w:szCs w:val="28"/>
          <w:lang w:bidi="ar-SA"/>
        </w:rPr>
        <w:t xml:space="preserve"> статьи в издани</w:t>
      </w:r>
      <w:r w:rsidR="006914B1">
        <w:rPr>
          <w:rFonts w:ascii="Times New Roman" w:hAnsi="Times New Roman" w:cs="Times New Roman"/>
          <w:sz w:val="28"/>
          <w:szCs w:val="28"/>
          <w:lang w:bidi="ar-SA"/>
        </w:rPr>
        <w:t>ях</w:t>
      </w:r>
      <w:r>
        <w:rPr>
          <w:rFonts w:ascii="Times New Roman" w:hAnsi="Times New Roman" w:cs="Times New Roman"/>
          <w:sz w:val="28"/>
          <w:szCs w:val="28"/>
          <w:lang w:bidi="ar-SA"/>
        </w:rPr>
        <w:t>,</w:t>
      </w:r>
      <w:r w:rsidR="006914B1">
        <w:rPr>
          <w:rFonts w:ascii="Times New Roman" w:hAnsi="Times New Roman" w:cs="Times New Roman"/>
          <w:sz w:val="28"/>
          <w:szCs w:val="28"/>
          <w:lang w:bidi="ar-SA"/>
        </w:rPr>
        <w:t xml:space="preserve"> индексируемых в базе</w:t>
      </w:r>
      <w:r w:rsidR="006914B1">
        <w:rPr>
          <w:rFonts w:ascii="Times New Roman" w:hAnsi="Times New Roman" w:cs="Times New Roman"/>
          <w:sz w:val="28"/>
          <w:szCs w:val="28"/>
          <w:lang w:val="kk-KZ" w:bidi="ar-SA"/>
        </w:rPr>
        <w:t xml:space="preserve"> </w:t>
      </w:r>
      <w:r w:rsidR="006914B1">
        <w:rPr>
          <w:rFonts w:ascii="Times New Roman" w:hAnsi="Times New Roman" w:cs="Times New Roman"/>
          <w:sz w:val="28"/>
          <w:szCs w:val="28"/>
          <w:lang w:val="en-US" w:bidi="ar-SA"/>
        </w:rPr>
        <w:t>Scopus</w:t>
      </w:r>
      <w:r w:rsidR="006914B1">
        <w:rPr>
          <w:rFonts w:ascii="Times New Roman" w:hAnsi="Times New Roman" w:cs="Times New Roman"/>
          <w:sz w:val="28"/>
          <w:szCs w:val="28"/>
          <w:lang w:bidi="ar-SA"/>
        </w:rPr>
        <w:t xml:space="preserve">, </w:t>
      </w:r>
      <w:r w:rsidR="006914B1">
        <w:rPr>
          <w:rFonts w:ascii="Times New Roman" w:hAnsi="Times New Roman" w:cs="Times New Roman"/>
          <w:sz w:val="28"/>
          <w:szCs w:val="28"/>
          <w:lang w:val="en-US" w:bidi="ar-SA"/>
        </w:rPr>
        <w:t>Web</w:t>
      </w:r>
      <w:r w:rsidR="006914B1" w:rsidRPr="006914B1">
        <w:rPr>
          <w:rFonts w:ascii="Times New Roman" w:hAnsi="Times New Roman" w:cs="Times New Roman"/>
          <w:sz w:val="28"/>
          <w:szCs w:val="28"/>
          <w:lang w:bidi="ar-SA"/>
        </w:rPr>
        <w:t xml:space="preserve"> </w:t>
      </w:r>
      <w:r w:rsidR="006914B1">
        <w:rPr>
          <w:rFonts w:ascii="Times New Roman" w:hAnsi="Times New Roman" w:cs="Times New Roman"/>
          <w:sz w:val="28"/>
          <w:szCs w:val="28"/>
          <w:lang w:val="en-US" w:bidi="ar-SA"/>
        </w:rPr>
        <w:t>of</w:t>
      </w:r>
      <w:r w:rsidR="006914B1" w:rsidRPr="006914B1">
        <w:rPr>
          <w:rFonts w:ascii="Times New Roman" w:hAnsi="Times New Roman" w:cs="Times New Roman"/>
          <w:sz w:val="28"/>
          <w:szCs w:val="28"/>
          <w:lang w:bidi="ar-SA"/>
        </w:rPr>
        <w:t xml:space="preserve"> </w:t>
      </w:r>
      <w:r w:rsidR="006914B1">
        <w:rPr>
          <w:rFonts w:ascii="Times New Roman" w:hAnsi="Times New Roman" w:cs="Times New Roman"/>
          <w:sz w:val="28"/>
          <w:szCs w:val="28"/>
          <w:lang w:val="en-US" w:bidi="ar-SA"/>
        </w:rPr>
        <w:t>Science</w:t>
      </w:r>
      <w:r w:rsidR="00485D49">
        <w:rPr>
          <w:rFonts w:ascii="Times New Roman" w:hAnsi="Times New Roman" w:cs="Times New Roman"/>
          <w:sz w:val="28"/>
          <w:szCs w:val="28"/>
          <w:lang w:bidi="ar-SA"/>
        </w:rPr>
        <w:t>.</w:t>
      </w:r>
      <w:r w:rsidR="006914B1" w:rsidRPr="006914B1">
        <w:rPr>
          <w:rFonts w:ascii="Times New Roman" w:hAnsi="Times New Roman" w:cs="Times New Roman"/>
          <w:sz w:val="28"/>
          <w:szCs w:val="28"/>
          <w:lang w:bidi="ar-SA"/>
        </w:rPr>
        <w:t xml:space="preserve"> </w:t>
      </w:r>
      <w:r w:rsidR="006914B1">
        <w:rPr>
          <w:rFonts w:ascii="Times New Roman" w:hAnsi="Times New Roman" w:cs="Times New Roman"/>
          <w:sz w:val="28"/>
          <w:szCs w:val="28"/>
          <w:lang w:bidi="ar-SA"/>
        </w:rPr>
        <w:t>Опубликован 1 тезис в материалах научно-практической конференции.</w:t>
      </w:r>
      <w:r w:rsidR="00485D49">
        <w:rPr>
          <w:rFonts w:ascii="Times New Roman" w:hAnsi="Times New Roman" w:cs="Times New Roman"/>
          <w:sz w:val="28"/>
          <w:szCs w:val="28"/>
          <w:lang w:bidi="ar-SA"/>
        </w:rPr>
        <w:t xml:space="preserve"> Получено </w:t>
      </w:r>
      <w:r w:rsidR="00F87B08">
        <w:rPr>
          <w:rFonts w:ascii="Times New Roman" w:hAnsi="Times New Roman" w:cs="Times New Roman"/>
          <w:sz w:val="28"/>
          <w:szCs w:val="28"/>
          <w:lang w:bidi="ar-SA"/>
        </w:rPr>
        <w:t>2</w:t>
      </w:r>
      <w:r w:rsidR="00485D49">
        <w:rPr>
          <w:rFonts w:ascii="Times New Roman" w:hAnsi="Times New Roman" w:cs="Times New Roman"/>
          <w:sz w:val="28"/>
          <w:szCs w:val="28"/>
          <w:lang w:bidi="ar-SA"/>
        </w:rPr>
        <w:t xml:space="preserve"> авторск</w:t>
      </w:r>
      <w:r w:rsidR="00F87B08">
        <w:rPr>
          <w:rFonts w:ascii="Times New Roman" w:hAnsi="Times New Roman" w:cs="Times New Roman"/>
          <w:sz w:val="28"/>
          <w:szCs w:val="28"/>
          <w:lang w:bidi="ar-SA"/>
        </w:rPr>
        <w:t>их</w:t>
      </w:r>
      <w:r w:rsidR="00485D49">
        <w:rPr>
          <w:rFonts w:ascii="Times New Roman" w:hAnsi="Times New Roman" w:cs="Times New Roman"/>
          <w:sz w:val="28"/>
          <w:szCs w:val="28"/>
          <w:lang w:bidi="ar-SA"/>
        </w:rPr>
        <w:t xml:space="preserve"> свидетельств</w:t>
      </w:r>
      <w:r w:rsidR="00F87B08">
        <w:rPr>
          <w:rFonts w:ascii="Times New Roman" w:hAnsi="Times New Roman" w:cs="Times New Roman"/>
          <w:sz w:val="28"/>
          <w:szCs w:val="28"/>
          <w:lang w:bidi="ar-SA"/>
        </w:rPr>
        <w:t>а</w:t>
      </w:r>
      <w:r w:rsidR="00485D49">
        <w:rPr>
          <w:rFonts w:ascii="Times New Roman" w:hAnsi="Times New Roman" w:cs="Times New Roman"/>
          <w:sz w:val="28"/>
          <w:szCs w:val="28"/>
          <w:lang w:bidi="ar-SA"/>
        </w:rPr>
        <w:t>, зарегистрированн</w:t>
      </w:r>
      <w:r w:rsidR="00402B40">
        <w:rPr>
          <w:rFonts w:ascii="Times New Roman" w:hAnsi="Times New Roman" w:cs="Times New Roman"/>
          <w:sz w:val="28"/>
          <w:szCs w:val="28"/>
          <w:lang w:bidi="ar-SA"/>
        </w:rPr>
        <w:t>ы</w:t>
      </w:r>
      <w:r w:rsidR="00485D49">
        <w:rPr>
          <w:rFonts w:ascii="Times New Roman" w:hAnsi="Times New Roman" w:cs="Times New Roman"/>
          <w:sz w:val="28"/>
          <w:szCs w:val="28"/>
          <w:lang w:bidi="ar-SA"/>
        </w:rPr>
        <w:t xml:space="preserve">е Национальным институтом интеллектуальной собственности </w:t>
      </w:r>
      <w:r w:rsidR="003622A6">
        <w:rPr>
          <w:rFonts w:ascii="Times New Roman" w:hAnsi="Times New Roman" w:cs="Times New Roman"/>
          <w:sz w:val="28"/>
          <w:szCs w:val="28"/>
          <w:lang w:bidi="ar-SA"/>
        </w:rPr>
        <w:t xml:space="preserve">Министерства Юстиции Республики Казахстан </w:t>
      </w:r>
      <w:r w:rsidR="00485D49" w:rsidRPr="00333D46">
        <w:rPr>
          <w:rFonts w:ascii="Times New Roman" w:hAnsi="Times New Roman" w:cs="Times New Roman"/>
          <w:sz w:val="28"/>
          <w:szCs w:val="28"/>
          <w:lang w:bidi="ar-SA"/>
        </w:rPr>
        <w:t>(Приложение А).</w:t>
      </w:r>
    </w:p>
    <w:p w14:paraId="5E24FEED" w14:textId="77777777" w:rsidR="00496E24" w:rsidRPr="006914B1" w:rsidRDefault="00496E24" w:rsidP="009B0CEF">
      <w:pPr>
        <w:pStyle w:val="LO-normal"/>
        <w:spacing w:after="0" w:line="240" w:lineRule="auto"/>
        <w:ind w:firstLine="567"/>
        <w:jc w:val="both"/>
        <w:rPr>
          <w:rFonts w:ascii="Times New Roman" w:hAnsi="Times New Roman" w:cs="Times New Roman"/>
          <w:sz w:val="28"/>
          <w:szCs w:val="28"/>
          <w:lang w:bidi="ar-SA"/>
        </w:rPr>
      </w:pPr>
    </w:p>
    <w:p w14:paraId="472B39C2" w14:textId="622EDA8D" w:rsidR="00B7704B" w:rsidRDefault="00485D49" w:rsidP="009B0CEF">
      <w:pPr>
        <w:pStyle w:val="LO-normal"/>
        <w:spacing w:after="0" w:line="240" w:lineRule="auto"/>
        <w:ind w:firstLine="567"/>
        <w:jc w:val="both"/>
        <w:rPr>
          <w:rFonts w:ascii="Times New Roman" w:hAnsi="Times New Roman" w:cs="Times New Roman"/>
          <w:sz w:val="28"/>
          <w:szCs w:val="28"/>
          <w:lang w:val="en-US" w:bidi="ar-SA"/>
        </w:rPr>
      </w:pPr>
      <w:r w:rsidRPr="00485D49">
        <w:rPr>
          <w:rFonts w:ascii="Times New Roman" w:hAnsi="Times New Roman" w:cs="Times New Roman"/>
          <w:b/>
          <w:bCs/>
          <w:sz w:val="28"/>
          <w:szCs w:val="28"/>
          <w:lang w:bidi="ar-SA"/>
        </w:rPr>
        <w:t>Внедрение результатов исследования в практику здравоохранения</w:t>
      </w:r>
      <w:r>
        <w:rPr>
          <w:rFonts w:ascii="Times New Roman" w:hAnsi="Times New Roman" w:cs="Times New Roman"/>
          <w:sz w:val="28"/>
          <w:szCs w:val="28"/>
          <w:lang w:bidi="ar-SA"/>
        </w:rPr>
        <w:t xml:space="preserve">: Результаты исследования апробированы и внедрены в работу отделения интервенционной кардиологии ГКП на ПХВ Городская многопрофильная больница №2 акимата г.Астана, </w:t>
      </w:r>
      <w:r w:rsidRPr="00333D46">
        <w:rPr>
          <w:rFonts w:ascii="Times New Roman" w:hAnsi="Times New Roman" w:cs="Times New Roman"/>
          <w:sz w:val="28"/>
          <w:szCs w:val="28"/>
          <w:lang w:bidi="ar-SA"/>
        </w:rPr>
        <w:t>(Приложение Б).</w:t>
      </w:r>
    </w:p>
    <w:p w14:paraId="675B51C3" w14:textId="77777777" w:rsidR="00496E24" w:rsidRPr="00496E24" w:rsidRDefault="00496E24" w:rsidP="009B0CEF">
      <w:pPr>
        <w:pStyle w:val="LO-normal"/>
        <w:spacing w:after="0" w:line="240" w:lineRule="auto"/>
        <w:ind w:firstLine="567"/>
        <w:jc w:val="both"/>
        <w:rPr>
          <w:rFonts w:ascii="Times New Roman" w:hAnsi="Times New Roman" w:cs="Times New Roman"/>
          <w:sz w:val="28"/>
          <w:szCs w:val="28"/>
          <w:lang w:val="en-US" w:bidi="ar-SA"/>
        </w:rPr>
      </w:pPr>
    </w:p>
    <w:p w14:paraId="56788411" w14:textId="72205670" w:rsidR="00485D49" w:rsidRPr="00485D49" w:rsidRDefault="00485D49" w:rsidP="009B0CEF">
      <w:pPr>
        <w:pStyle w:val="LO-normal"/>
        <w:spacing w:after="0" w:line="240" w:lineRule="auto"/>
        <w:ind w:firstLine="567"/>
        <w:jc w:val="both"/>
        <w:rPr>
          <w:rFonts w:ascii="Times New Roman" w:hAnsi="Times New Roman" w:cs="Times New Roman"/>
          <w:b/>
          <w:bCs/>
          <w:sz w:val="28"/>
          <w:szCs w:val="28"/>
          <w:lang w:bidi="ar-SA"/>
        </w:rPr>
      </w:pPr>
      <w:r w:rsidRPr="00485D49">
        <w:rPr>
          <w:rFonts w:ascii="Times New Roman" w:hAnsi="Times New Roman" w:cs="Times New Roman"/>
          <w:b/>
          <w:bCs/>
          <w:sz w:val="28"/>
          <w:szCs w:val="28"/>
          <w:lang w:bidi="ar-SA"/>
        </w:rPr>
        <w:t>Объем и структура работы.</w:t>
      </w:r>
    </w:p>
    <w:p w14:paraId="02C66AB5" w14:textId="002879DF" w:rsidR="00485D49" w:rsidRPr="00B7704B" w:rsidRDefault="00485D49"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Диссертация состоит из введения, обзора литературы, раздела по материалам и методам, результатов собственных исследований, заключения, списка использованной литературы, </w:t>
      </w:r>
      <w:r w:rsidRPr="0003764E">
        <w:rPr>
          <w:rFonts w:ascii="Times New Roman" w:hAnsi="Times New Roman" w:cs="Times New Roman"/>
          <w:sz w:val="28"/>
          <w:szCs w:val="28"/>
          <w:lang w:bidi="ar-SA"/>
        </w:rPr>
        <w:t>включающей 25</w:t>
      </w:r>
      <w:r w:rsidR="0003764E" w:rsidRPr="0003764E">
        <w:rPr>
          <w:rFonts w:ascii="Times New Roman" w:hAnsi="Times New Roman" w:cs="Times New Roman"/>
          <w:sz w:val="28"/>
          <w:szCs w:val="28"/>
          <w:lang w:bidi="ar-SA"/>
        </w:rPr>
        <w:t>2</w:t>
      </w:r>
      <w:r w:rsidRPr="0003764E">
        <w:rPr>
          <w:rFonts w:ascii="Times New Roman" w:hAnsi="Times New Roman" w:cs="Times New Roman"/>
          <w:sz w:val="28"/>
          <w:szCs w:val="28"/>
          <w:lang w:bidi="ar-SA"/>
        </w:rPr>
        <w:t xml:space="preserve"> источник</w:t>
      </w:r>
      <w:r w:rsidR="0003764E" w:rsidRPr="0003764E">
        <w:rPr>
          <w:rFonts w:ascii="Times New Roman" w:hAnsi="Times New Roman" w:cs="Times New Roman"/>
          <w:sz w:val="28"/>
          <w:szCs w:val="28"/>
          <w:lang w:bidi="ar-SA"/>
        </w:rPr>
        <w:t>а</w:t>
      </w:r>
      <w:r w:rsidRPr="0003764E">
        <w:rPr>
          <w:rFonts w:ascii="Times New Roman" w:hAnsi="Times New Roman" w:cs="Times New Roman"/>
          <w:sz w:val="28"/>
          <w:szCs w:val="28"/>
          <w:lang w:bidi="ar-SA"/>
        </w:rPr>
        <w:t>: 2</w:t>
      </w:r>
      <w:r w:rsidR="006914B1" w:rsidRPr="003622A6">
        <w:rPr>
          <w:rFonts w:ascii="Times New Roman" w:hAnsi="Times New Roman" w:cs="Times New Roman"/>
          <w:sz w:val="28"/>
          <w:szCs w:val="28"/>
          <w:lang w:bidi="ar-SA"/>
        </w:rPr>
        <w:t>30</w:t>
      </w:r>
      <w:r w:rsidRPr="0003764E">
        <w:rPr>
          <w:rFonts w:ascii="Times New Roman" w:hAnsi="Times New Roman" w:cs="Times New Roman"/>
          <w:sz w:val="28"/>
          <w:szCs w:val="28"/>
          <w:lang w:bidi="ar-SA"/>
        </w:rPr>
        <w:t xml:space="preserve"> источников на английском и 2</w:t>
      </w:r>
      <w:r w:rsidR="006914B1" w:rsidRPr="006914B1">
        <w:rPr>
          <w:rFonts w:ascii="Times New Roman" w:hAnsi="Times New Roman" w:cs="Times New Roman"/>
          <w:sz w:val="28"/>
          <w:szCs w:val="28"/>
          <w:lang w:bidi="ar-SA"/>
        </w:rPr>
        <w:t>2</w:t>
      </w:r>
      <w:r w:rsidRPr="0003764E">
        <w:rPr>
          <w:rFonts w:ascii="Times New Roman" w:hAnsi="Times New Roman" w:cs="Times New Roman"/>
          <w:sz w:val="28"/>
          <w:szCs w:val="28"/>
          <w:lang w:bidi="ar-SA"/>
        </w:rPr>
        <w:t xml:space="preserve"> источников на русском языке.</w:t>
      </w:r>
      <w:r w:rsidRPr="00EE4DC9">
        <w:rPr>
          <w:rFonts w:ascii="Times New Roman" w:hAnsi="Times New Roman" w:cs="Times New Roman"/>
          <w:sz w:val="28"/>
          <w:szCs w:val="28"/>
          <w:lang w:bidi="ar-SA"/>
        </w:rPr>
        <w:t xml:space="preserve"> Текст диссертации иллюстрирован </w:t>
      </w:r>
      <w:r w:rsidR="00EE4DC9" w:rsidRPr="00EE4DC9">
        <w:rPr>
          <w:rFonts w:ascii="Times New Roman" w:hAnsi="Times New Roman" w:cs="Times New Roman"/>
          <w:sz w:val="28"/>
          <w:szCs w:val="28"/>
          <w:lang w:bidi="ar-SA"/>
        </w:rPr>
        <w:t>13</w:t>
      </w:r>
      <w:r w:rsidRPr="00EE4DC9">
        <w:rPr>
          <w:rFonts w:ascii="Times New Roman" w:hAnsi="Times New Roman" w:cs="Times New Roman"/>
          <w:sz w:val="28"/>
          <w:szCs w:val="28"/>
          <w:lang w:bidi="ar-SA"/>
        </w:rPr>
        <w:t xml:space="preserve"> таблицами и 14 рисунками.</w:t>
      </w:r>
    </w:p>
    <w:p w14:paraId="012934D5" w14:textId="43E60DA8" w:rsidR="00485D49" w:rsidRPr="00496E24" w:rsidRDefault="00485D49" w:rsidP="00496E24">
      <w:pPr>
        <w:spacing w:after="160" w:line="240" w:lineRule="auto"/>
        <w:jc w:val="both"/>
        <w:textAlignment w:val="auto"/>
        <w:outlineLvl w:val="9"/>
        <w:rPr>
          <w:rFonts w:ascii="Times New Roman" w:hAnsi="Times New Roman"/>
          <w:b/>
          <w:bCs/>
          <w:sz w:val="28"/>
          <w:szCs w:val="28"/>
          <w:lang w:val="kk-KZ"/>
        </w:rPr>
      </w:pPr>
      <w:r>
        <w:br w:type="page"/>
      </w:r>
      <w:r w:rsidR="002A6CDB" w:rsidRPr="002A6CDB">
        <w:rPr>
          <w:rFonts w:ascii="Times New Roman" w:hAnsi="Times New Roman"/>
          <w:b/>
          <w:bCs/>
          <w:sz w:val="28"/>
          <w:szCs w:val="28"/>
        </w:rPr>
        <w:t xml:space="preserve">ПОЛИМОРФИЗМ ГЕНОВ И ЧУВСТВИТЕЛЬНОСТЬ К ПРЯМЫМ </w:t>
      </w:r>
      <w:r w:rsidR="00333D46">
        <w:rPr>
          <w:rFonts w:ascii="Times New Roman" w:hAnsi="Times New Roman"/>
          <w:b/>
          <w:bCs/>
          <w:sz w:val="28"/>
          <w:szCs w:val="28"/>
        </w:rPr>
        <w:t>ПЕР</w:t>
      </w:r>
      <w:r w:rsidR="002A6CDB" w:rsidRPr="002A6CDB">
        <w:rPr>
          <w:rFonts w:ascii="Times New Roman" w:hAnsi="Times New Roman"/>
          <w:b/>
          <w:bCs/>
          <w:sz w:val="28"/>
          <w:szCs w:val="28"/>
        </w:rPr>
        <w:t>ОРАЛЬНЫМ АНТИКОАГУЛЯНТАМ У ПАЦИЕНТОВ С НЕКЛАПАННОЙ ФИБРИЛЛЯЦИЕЙ ПРЕДСЕРДИЙ (ОБЗОР ЛИТЕРАТУРЫ)</w:t>
      </w:r>
    </w:p>
    <w:p w14:paraId="538E65AB" w14:textId="58329C1A" w:rsidR="002A6CDB" w:rsidRPr="002A6CDB" w:rsidRDefault="002A6CDB" w:rsidP="009B0CEF">
      <w:pPr>
        <w:pStyle w:val="LO-normal"/>
        <w:spacing w:after="0" w:line="240" w:lineRule="auto"/>
        <w:ind w:left="40" w:firstLine="527"/>
        <w:jc w:val="both"/>
        <w:rPr>
          <w:rFonts w:ascii="Times New Roman" w:hAnsi="Times New Roman" w:cs="Times New Roman"/>
          <w:b/>
          <w:bCs/>
          <w:sz w:val="28"/>
          <w:szCs w:val="28"/>
          <w:lang w:bidi="ar-SA"/>
        </w:rPr>
      </w:pPr>
      <w:r w:rsidRPr="002A6CDB">
        <w:rPr>
          <w:rFonts w:ascii="Times New Roman" w:hAnsi="Times New Roman" w:cs="Times New Roman"/>
          <w:b/>
          <w:bCs/>
          <w:sz w:val="28"/>
          <w:szCs w:val="28"/>
          <w:lang w:bidi="ar-SA"/>
        </w:rPr>
        <w:t>1.1 Фибрилляция предсердий: общие сведения и эпидемиология фибрилляция предсердий</w:t>
      </w:r>
    </w:p>
    <w:p w14:paraId="0AE0E925" w14:textId="2EC1A6BB" w:rsidR="002A6CDB" w:rsidRDefault="002A6CDB" w:rsidP="009B0CEF">
      <w:pPr>
        <w:pStyle w:val="LO-normal"/>
        <w:spacing w:line="240" w:lineRule="auto"/>
        <w:ind w:left="40" w:firstLine="527"/>
        <w:jc w:val="both"/>
        <w:rPr>
          <w:rFonts w:ascii="Times New Roman" w:hAnsi="Times New Roman" w:cs="Times New Roman"/>
          <w:sz w:val="28"/>
          <w:szCs w:val="28"/>
          <w:lang w:bidi="ar-SA"/>
        </w:rPr>
      </w:pPr>
      <w:r w:rsidRPr="002A6CDB">
        <w:rPr>
          <w:rFonts w:ascii="Times New Roman" w:hAnsi="Times New Roman" w:cs="Times New Roman"/>
          <w:sz w:val="28"/>
          <w:szCs w:val="28"/>
          <w:lang w:bidi="ar-SA"/>
        </w:rPr>
        <w:t>Фибрилляция предсердий (ФП)</w:t>
      </w:r>
      <w:r>
        <w:rPr>
          <w:rFonts w:ascii="Times New Roman" w:hAnsi="Times New Roman" w:cs="Times New Roman"/>
          <w:sz w:val="28"/>
          <w:szCs w:val="28"/>
          <w:lang w:bidi="ar-SA"/>
        </w:rPr>
        <w:t xml:space="preserve"> </w:t>
      </w:r>
      <w:r w:rsidR="00434DD7">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r w:rsidR="00434DD7">
        <w:rPr>
          <w:rFonts w:ascii="Times New Roman" w:hAnsi="Times New Roman" w:cs="Times New Roman"/>
          <w:sz w:val="28"/>
          <w:szCs w:val="28"/>
          <w:lang w:bidi="ar-SA"/>
        </w:rPr>
        <w:t>это наджелудочковая тахиаритмия, характеризующаяся дезорганизованной электрической активностью предсердий</w:t>
      </w:r>
      <w:r w:rsidR="00434DD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CawcUhGB","properties":{"unsorted":false,"formattedCitation":"[24]","plainCitation":"[24]","noteIndex":0},"citationItems":[{"id":160,"uris":["http://zotero.org/users/14784094/items/CD25IBRI"],"itemData":{"id":160,"type":"article-journal","container-title":"European Heart Journal","DOI":"10.1093/eurheartj/ehaa612","ISSN":"0195-668X, 1522-9645","issue":"5","language":"en","license":"https://academic.oup.com/journals/pages/open_access/funder_policies/chorus/standard_publication_model","page":"373-498","source":"DOI.org (Crossref)","title":"2020 ESC Guidelines for the diagnosis and management of atrial fibrillation developed in collaboration with the European Association for Cardio-Thoracic Surgery (EACTS)","volume":"42","author":[{"family":"Hindricks","given":"Gerhard"},{"family":"Potpara","given":"Tatjana"},{"family":"Dagres","given":"Nikolaos"},{"family":"Arbelo","given":"Elena"},{"family":"Bax","given":"Jeroen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J"},{"family":"Thomas","given":"G Neil"},{"family":"Valgimigli","given":"Marco"},{"family":"Van Gelder","given":"Isabelle C"},{"family":"Van Putte","given":"Bart P"},{"family":"Watkins","given":"Caroline L"},{"literal":"ESC Scientific Document Group"},{"family":"Kirchhof","given":"Paulus"},{"family":"Kühne","given":"Michael"},{"family":"Aboyans","given":"Victor"},{"family":"Ahlsson","given":"Anders"},{"family":"Balsam","given":"Pawel"},{"family":"Bauersachs","given":"Johann"},{"family":"Benussi","given":"Stefano"},{"family":"Brandes","given":"Axel"},{"family":"Braunschweig","given":"Frieder"},{"family":"Camm","given":"A John"},{"family":"Capodanno","given":"Davide"},{"family":"Casadei","given":"Barbara"},{"family":"Conen","given":"David"},{"family":"Crijns","given":"Harry J G M"},{"family":"Delgado","given":"Victoria"},{"family":"Dobrev","given":"Dobromir"},{"family":"Drexel","given":"Heinz"},{"family":"Eckardt","given":"Lars"},{"family":"Fitzsimons","given":"Donna"},{"family":"Folliguet","given":"Thierry"},{"family":"Gale","given":"Chris P"},{"family":"Gorenek","given":"Bulent"},{"family":"Haeusler","given":"Karl Georg"},{"family":"Heidbuchel","given":"Hein"},{"family":"Iung","given":"Bernard"},{"family":"Katus","given":"Hugo A"},{"family":"Kotecha","given":"Dipak"},{"family":"Landmesser","given":"Ulf"},{"family":"Leclercq","given":"Christophe"},{"family":"Lewis","given":"Basil S"},{"family":"Mascherbauer","given":"Julia"},{"family":"Merino","given":"Jose Luis"},{"family":"Merkely","given":"Béla"},{"family":"Mont","given":"Lluís"},{"family":"Mueller","given":"Christian"},{"family":"Nagy","given":"Klaudia V"},{"family":"Oldgren","given":"Jonas"},{"family":"Pavlović","given":"Nikola"},{"family":"Pedretti","given":"Roberto F E"},{"family":"Petersen","given":"Steffen E"},{"family":"Piccini","given":"Jonathan P"},{"family":"Popescu","given":"Bogdan A"},{"family":"Pürerfellner","given":"Helmut"},{"family":"Richter","given":"Dimitrios J"},{"family":"Roffi","given":"Marco"},{"family":"Rubboli","given":"Andrea"},{"family":"Scherr","given":"Daniel"},{"family":"Schnabel","given":"Renate B"},{"family":"Simpson","given":"Iain A"},{"family":"Shlyakhto","given":"Evgeny"},{"family":"Sinner","given":"Moritz F"},{"family":"Steffel","given":"Jan"},{"family":"Sousa-Uva","given":"Miguel"},{"family":"Suwalski","given":"Piotr"},{"family":"Svetlosak","given":"Martin"},{"family":"Touyz","given":"Rhian M"},{"family":"Dagres","given":"Nikolaos"},{"family":"Arbelo","given":"Elena"},{"family":"Bax","given":"Jeroen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J"},{"family":"Neil Thomas","given":"G"},{"family":"Valgimigli","given":"Marco"},{"family":"Van Gelder","given":"Isabelle C"},{"family":"Watkins","given":"Caroline L"},{"family":"Delassi","given":"Tahar"},{"family":"Sisakian","given":"Hamayak S"},{"family":"Scherr","given":"Daniel"},{"family":"Chasnoits","given":"Alexandr"},{"family":"Pauw","given":"Michel De"},{"family":"Smajić","given":"Elnur"},{"family":"Shalganov","given":"Tchavdar"},{"family":"Avraamides","given":"Panayiotis"},{"family":"Kautzner","given":"Josef"},{"family":"Gerdes","given":"Christian"},{"family":"Alaziz","given":"Ahmad Abd"},{"family":"Kampus","given":"Priit"},{"family":"Raatikainen","given":"Pekka"},{"family":"Boveda","given":"Serge"},{"family":"Papiashvili","given":"Giorgi"},{"family":"Eckardt","given":"Lars"},{"family":"Vassilikos","given":"Vassilios"},{"family":"Csanádi","given":"Zoltán"},{"family":"Arnar","given":"David O"},{"family":"Galvin","given":"Joseph"},{"family":"Barsheshet","given":"Alon"},{"family":"Caldarola","given":"Pasquale"},{"family":"Rakisheva","given":"Amina"},{"family":"Bytyçi","given":"Ibadete"},{"family":"Kerimkulova","given":"Alina"},{"family":"Kalejs","given":"Oskars"},{"family":"Njeim","given":"Mario"},{"family":"Puodziukynas","given":"Aras"},{"family":"Groben","given":"Laurent"},{"family":"Sammut","given":"Mark A"},{"family":"Grosu","given":"Aurel"},{"family":"Boskovic","given":"Aneta"},{"family":"Moustaghfir","given":"Abdelhamid"},{"family":"Groot","given":"Natasja De"},{"family":"Poposka","given":"Lidija"},{"family":"Anfinsen","given":"Ole-Gunnar"},{"family":"Mitkowski","given":"Przemyslaw P"},{"family":"Cavaco","given":"Diogo Magalhães"},{"family":"Siliste","given":"Calin"},{"family":"Mikhaylov","given":"Evgeny N"},{"family":"Bertelli","given":"Luca"},{"family":"Kojic","given":"Dejan"},{"family":"Hatala","given":"Robert"},{"family":"Fras","given":"Zlatko"},{"family":"Arribas","given":"Fernando"},{"family":"Juhlin","given":"Tord"},{"family":"Sticherling","given":"Christian"},{"family":"Abid","given":"Leila"},{"family":"Atar","given":"Ilyas"},{"family":"Sychov","given":"Oleg"},{"family":"Bates","given":"Matthew G D"},{"family":"Zakirov","given":"Nodir U"}],"issued":{"date-parts":[["2021",2,1]]}}}],"schema":"https://github.com/citation-style-language/schema/raw/master/csl-citation.json"} </w:instrText>
      </w:r>
      <w:r w:rsidR="00434DD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[24]</w:t>
      </w:r>
      <w:r w:rsidR="00434DD7">
        <w:rPr>
          <w:rFonts w:ascii="Times New Roman" w:hAnsi="Times New Roman" w:cs="Times New Roman"/>
          <w:sz w:val="28"/>
          <w:szCs w:val="28"/>
          <w:lang w:bidi="ar-SA"/>
        </w:rPr>
        <w:fldChar w:fldCharType="end"/>
      </w:r>
      <w:r w:rsidR="00434DD7">
        <w:rPr>
          <w:rFonts w:ascii="Times New Roman" w:hAnsi="Times New Roman" w:cs="Times New Roman"/>
          <w:sz w:val="28"/>
          <w:szCs w:val="28"/>
          <w:lang w:bidi="ar-SA"/>
        </w:rPr>
        <w:t>. Данное состояние вызывает учащение сокращений предсердий (свыше 350 в минуту) и существенно нарушает насосную функцию сердца</w:t>
      </w:r>
      <w:r w:rsidR="00A36AC0">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t5XtCHY2","properties":{"unsorted":false,"formattedCitation":"[25]","plainCitation":"[25]","noteIndex":0},"citationItems":[{"id":642,"uris":["http://zotero.org/users/14784094/items/VN8GVU5M"],"itemData":{"id":642,"type":"webpage","title":"МОЛЕКУЛЯРНО-ГЕНЕТИЧЕСКИЕ МАРКЕРЫ ФИБРИЛЛЯЦИИ ПРЕДСЕРДИЙ","URL":"https://cyberleninka.ru/article/n/molekulyarno-geneticheskie-markery-fibrillyatsii-predserdiy/viewer","accessed":{"date-parts":[["2024",9,8]]}}}],"schema":"https://github.com/citation-style-language/schema/raw/master/csl-citation.json"} </w:instrText>
      </w:r>
      <w:r w:rsidR="00A36AC0">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[25]</w:t>
      </w:r>
      <w:r w:rsidR="00A36AC0">
        <w:rPr>
          <w:rFonts w:ascii="Times New Roman" w:hAnsi="Times New Roman" w:cs="Times New Roman"/>
          <w:sz w:val="28"/>
          <w:szCs w:val="28"/>
          <w:lang w:bidi="ar-SA"/>
        </w:rPr>
        <w:fldChar w:fldCharType="end"/>
      </w:r>
      <w:r w:rsidR="00A36AC0">
        <w:rPr>
          <w:rFonts w:ascii="Times New Roman" w:hAnsi="Times New Roman" w:cs="Times New Roman"/>
          <w:sz w:val="28"/>
          <w:szCs w:val="28"/>
          <w:lang w:bidi="ar-SA"/>
        </w:rPr>
        <w:t>. Распространенность ФП прогрессивно нарастает с возрастом: в группе 60-70 лет она достигает 4,2%, а среди лиц старше 80 лет – 17%</w:t>
      </w:r>
      <w:r w:rsidR="00A36AC0">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{"citationID":"jkM8hu29","properties":{"unsorted":false,"formattedCitation":"[26]","plainCitation":"[26]","noteIndex":0},"citationItems":[{"id":651,"uris":["http://zotero.org/users/14784094/items/YR2DZ4EP"],"itemData":{"id":651,"type":"article-journal","abstract":"Background: despite a large and growing population of older people with frailty and atrial ﬁbrillation (AF), there is a lack of guidance on optimal AF management in this high-risk group.\nObjective: to synthesise the existing evidence base on the association between frailty, AF and clinical outcomes.\nMethods: a systematic review of studies examining the association between validated measures of frailty, AF and clinical outcomes, and meta-analysis of the association between frailty and oral anticoagulation (OAC) prescription.\nResults: twenty studies (30,883 patients) were included, all observational. Fifteen were in hospital, four in the community, one in nursing care. Risk of bias was low-to-moderate. AF prevalence was 3%–38%. In people with AF, frailty was associated with increased stroke incidence, all-cause mortality, symptom severity and length of hospital stay. Meta-analysis of six studies showed frailty was associated with decreased OAC prescription at hospital admission (pooled adjusted OR 0.45 [95%CI 0.22–0.93], three studies), but not at discharge (pooled adjusted OR 0.40 [95%CI 0.13–1.23], three studies). A community-based study showed increased OAC prescription associated with frailty (OR 2.33 [95%CI 1.03–5.23]).\nConclusion: frailty is common, and associated with adverse clinical outcomes in patients with AF. There is evidence of an association between frailty status and OAC prescription, with different direction of effect in community compared with hospital cohorts. Despite the majority of care for older people being provided in the community, there is a lack of evidence on the association between frailty, AF, anticoagulation and clinical outcomes to guide optimal care in this setting.","container-title":"Age and Ageing","DOI":"10.1093/ageing/afy180","ISSN":"0002-0729, 1468-2834","issue":"2","language":"en","license":"http://creativecommons.org/licenses/by/4.0/","page":"196-203","source":"DOI.org (Crossref)","title":"Management of atrial fibrillation for older people with frailty: a systematic review and meta-analysis","title-short":"Management of atrial fibrillation for older people with frailty","volume":"48","author":[{"family":"Wilkinson","given":"Chris"},{"family":"Todd","given":"Oliver"},{"family":"Clegg","given":"Andrew"},{"family":"Gale","given":"Chris P"},{"family":"Hall","given":"Marlous"}],"issued":{"date-parts":[["2019",3,1]]}}}],"schema":"https://github.com/citation-style-language/schema/raw/master/csl-citation.json"} </w:instrText>
      </w:r>
      <w:r w:rsidR="00A36AC0">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[26]</w:t>
      </w:r>
      <w:r w:rsidR="00A36AC0">
        <w:rPr>
          <w:rFonts w:ascii="Times New Roman" w:hAnsi="Times New Roman" w:cs="Times New Roman"/>
          <w:sz w:val="28"/>
          <w:szCs w:val="28"/>
          <w:lang w:bidi="ar-SA"/>
        </w:rPr>
        <w:fldChar w:fldCharType="end"/>
      </w:r>
      <w:r w:rsidR="00A36AC0">
        <w:rPr>
          <w:rFonts w:ascii="Times New Roman" w:hAnsi="Times New Roman" w:cs="Times New Roman"/>
          <w:sz w:val="28"/>
          <w:szCs w:val="28"/>
          <w:lang w:bidi="ar-SA"/>
        </w:rPr>
        <w:t>. Глобальная заболеваемость ФП неуклонно увеличивается, и на сегодняшний день эта аритмия диагностирована у приблизительно 33,5 миллионов человек во всем мире</w:t>
      </w:r>
      <w:r w:rsidR="00A36AC0">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pOLz6Rar","properties":{"unsorted":false,"formattedCitation":"[25]","plainCitation":"[25]","noteIndex":0},"citationItems":[{"id":642,"uris":["http://zotero.org/users/14784094/items/VN8GVU5M"],"itemData":{"id":642,"type":"webpage","title":"МОЛЕКУЛЯРНО-ГЕНЕТИЧЕСКИЕ МАРКЕРЫ ФИБРИЛЛЯЦИИ ПРЕДСЕРДИЙ","URL":"https://cyberleninka.ru/article/n/molekulyarno-geneticheskie-markery-fibrillyatsii-predserdiy/viewer","accessed":{"date-parts":[["2024",9,8]]}}}],"schema":"https://github.com/citation-style-language/schema/raw/master/csl-citation.json"} </w:instrText>
      </w:r>
      <w:r w:rsidR="00A36AC0">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[25]</w:t>
      </w:r>
      <w:r w:rsidR="00A36AC0">
        <w:rPr>
          <w:rFonts w:ascii="Times New Roman" w:hAnsi="Times New Roman" w:cs="Times New Roman"/>
          <w:sz w:val="28"/>
          <w:szCs w:val="28"/>
          <w:lang w:bidi="ar-SA"/>
        </w:rPr>
        <w:fldChar w:fldCharType="end"/>
      </w:r>
      <w:r w:rsidR="00A36AC0">
        <w:rPr>
          <w:rFonts w:ascii="Times New Roman" w:hAnsi="Times New Roman" w:cs="Times New Roman"/>
          <w:sz w:val="28"/>
          <w:szCs w:val="28"/>
          <w:lang w:bidi="ar-SA"/>
        </w:rPr>
        <w:t>. В Казахстане, согласно региональному эпидемиологическому исследованию, ФП выявлена у 3,3% взрослого населения (</w:t>
      </w:r>
      <w:r w:rsidR="00A36AC0">
        <w:rPr>
          <w:rFonts w:ascii="Times New Roman" w:hAnsi="Times New Roman" w:cs="Times New Roman"/>
          <w:sz w:val="28"/>
          <w:szCs w:val="28"/>
          <w:lang w:bidi="ar-SA"/>
        </w:rPr>
        <w:sym w:font="Symbol" w:char="F0B3"/>
      </w:r>
      <w:r w:rsidR="00A36AC0">
        <w:rPr>
          <w:rFonts w:ascii="Times New Roman" w:hAnsi="Times New Roman" w:cs="Times New Roman"/>
          <w:sz w:val="28"/>
          <w:szCs w:val="28"/>
          <w:lang w:bidi="ar-SA"/>
        </w:rPr>
        <w:t>18 лет)</w:t>
      </w:r>
      <w:r w:rsidR="00A36AC0">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{"citationID":"7DRPkKNn","properties":{"unsorted":false,"formattedCitation":"[27]","plainCitation":"[27]","noteIndex":0},"citationItems":[{"id":542,"uris":["http://zotero.org/users/14784094/items/IS7U5SHQ"],"itemData":{"id":542,"type":"article-journal","abstract":"Atrial fibrillation is the most common persistent heart rhythm disorder, the prevalence of which increases with age. The progressive prevalence of atrial fibrillation is becoming a serious threat to public health throughout the world, as it is associated with high mortality rates. In the review, we analyzed the literature data on the state of knowledge of the genetic nature of atrial fibrillation. To achieve this goal, a systematic search and subsequent analysis of publications and online resources was carried out. All publications are indexed in PubMed, Medline, e-library, Google Scholar. To date, at least 30 loci associated with atrial fibrillation have been identified. At the same time, the research results depend on such factors as ethnicity, concomitant cardiac and extracardiac diseases, inheritance mechanisms, and intergenic interactions. The complexity of etiopathogenesis, the heterogeneity of atrial fibrillation poses the task of researchers to further search for factors that play a leading role in the development of the disease. Significant progress in understanding the genetic basis of atrial fibrillation was achieved with the advent of large-scale genomic GWAS studies, which include genotyping up to a million common variants or single nucleotide polymorphisms. The currently available data on the association of candidate genes with atrial fibrillation in case-control studies are controversial and necessitate more detailed studies on various ethnic groups.","container-title":"Journal of Clinical Medicine of Kazakhstan","DOI":"10.23950/jcmk/9666","ISSN":"18122892, 23131519","issue":"1","journalAbbreviation":"J CLIN MED KAZ","language":"en","page":"19-22","source":"DOI.org (Crossref)","title":"Association of gene polymorphism at atrial fibrillation: A literature review","title-short":"Association of gene polymorphism at atrial fibrillation","volume":"18","author":[{"family":"Taizhanova","given":"Dana"},{"family":"Bazarova","given":"Nazira"},{"family":"Zholdybayeva","given":"Elena"},{"family":"Kalimbetova","given":"Akerke"}],"issued":{"date-parts":[["2021",1,26]]}}}],"schema":"https://github.com/citation-style-language/schema/raw/master/csl-citation.json"} </w:instrText>
      </w:r>
      <w:r w:rsidR="00A36AC0">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[27]</w:t>
      </w:r>
      <w:r w:rsidR="00A36AC0">
        <w:rPr>
          <w:rFonts w:ascii="Times New Roman" w:hAnsi="Times New Roman" w:cs="Times New Roman"/>
          <w:sz w:val="28"/>
          <w:szCs w:val="28"/>
          <w:lang w:bidi="ar-SA"/>
        </w:rPr>
        <w:fldChar w:fldCharType="end"/>
      </w:r>
      <w:r w:rsidR="0011258B">
        <w:rPr>
          <w:rFonts w:ascii="Times New Roman" w:hAnsi="Times New Roman" w:cs="Times New Roman"/>
          <w:sz w:val="28"/>
          <w:szCs w:val="28"/>
          <w:lang w:bidi="ar-SA"/>
        </w:rPr>
        <w:t>. Ожидается, что в ближайшие 30-50 лет частота ФП возрастет вследствие старения популяции и накопления кардиоваскулярных факторов риска</w:t>
      </w:r>
      <w:r w:rsidR="0011258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{"citationID":"EE94Vvkc","properties":{"unsorted":false,"formattedCitation":"[28]","plainCitation":"[28]","noteIndex":0},"citationItems":[{"id":656,"uris":["http://zotero.org/users/14784094/items/UEXZAXWG"],"itemData":{"id":656,"type":"article-journal","abstract":"Stroke prevention in patients with atrial fibrillation (AF) is one pillar of the management of this common arrhythmia. Substantial advances in the epidemiology and associated pathophysiology underlying AF-related stroke and thrombo-embolism are evident. Furthermore, the introduction of the non-vitamin K antagonist oral anticoagulants (also called direct oral anticoagulants) has clearly changed our approach to stroke prevention in AF, such that the default should be to offer oral anticoagulation for stroke prevention, unless the patient is at low risk. A strategy of early rhythm control is also beneficial in reducing strokes in selected patients with recent onset AF, when compared to rate control. Cardiovascular risk factor management, with optimization of comorbidities and attention to lifestyle factors, and the patient’s psychological morbidity are also essential. Finally, in selected patients with absolute contraindications to long-term oral anticoagulation, left atrial appendage occlusion or exclusion may be considered. The aim of this state-of-the-art review article is to provide an overview of the current status of AF-related stroke and prevention strategies. A holistic or integrated care approach to AF management is recommended to minimize the risk of stroke in patients with AF, based on the evidence-based Atrial fibrillation Better Care (ABC) pathway, as follows: A: Avoid stroke with Anticoagulation; B: Better patient-centred, symptom-directed decisions on rate or rhythm control; C: Cardiovascular risk factor and comorbidity optimization, including lifestyle changes.","container-title":"Europace","DOI":"10.1093/europace/euad226","ISSN":"1099-5129","issue":"9","journalAbbreviation":"Europace","page":"euad226","PMID":"37622590","PMCID":"PMC10451006","source":"PubMed Central","title":"Atrial fibrillation and stroke prevention: 25 years of research at EP Europace journal","title-short":"Atrial fibrillation and stroke prevention","volume":"25","author":[{"family":"Lip","given":"Gregory Y H"},{"family":"Proietti","given":"Marco"},{"family":"Potpara","given":"Tatjana"},{"family":"Mansour","given":"Moussa"},{"family":"Savelieva","given":"Irina"},{"family":"Tse","given":"Hung Fat"},{"family":"Goette","given":"Andreas"},{"family":"Camm","given":"A John"},{"family":"Blomstrom-Lundqvist","given":"Carina"},{"family":"Gupta","given":"Dhiraj"},{"family":"Boriani","given":"Giuseppe"}],"issued":{"date-parts":[["2023",8,25]]}}}],"schema":"https://github.com/citation-style-language/schema/raw/master/csl-citation.json"} </w:instrText>
      </w:r>
      <w:r w:rsidR="0011258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[28]</w:t>
      </w:r>
      <w:r w:rsidR="0011258B">
        <w:rPr>
          <w:rFonts w:ascii="Times New Roman" w:hAnsi="Times New Roman" w:cs="Times New Roman"/>
          <w:sz w:val="28"/>
          <w:szCs w:val="28"/>
          <w:lang w:bidi="ar-SA"/>
        </w:rPr>
        <w:fldChar w:fldCharType="end"/>
      </w:r>
      <w:r w:rsidR="0011258B">
        <w:rPr>
          <w:rFonts w:ascii="Times New Roman" w:hAnsi="Times New Roman" w:cs="Times New Roman"/>
          <w:sz w:val="28"/>
          <w:szCs w:val="28"/>
          <w:lang w:bidi="ar-SA"/>
        </w:rPr>
        <w:t>. Данные Фрамингемского исследования свидетельствуют о трехкратном росте заболеваемости ФП за последние 50 лет</w:t>
      </w:r>
      <w:r w:rsidR="0011258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{"citationID":"ZFqVudno","properties":{"unsorted":false,"formattedCitation":"[28]","plainCitation":"[28]","noteIndex":0},"citationItems":[{"id":656,"uris":["http://zotero.org/users/14784094/items/UEXZAXWG"],"itemData":{"id":656,"type":"article-journal","abstract":"Stroke prevention in patients with atrial fibrillation (AF) is one pillar of the management of this common arrhythmia. Substantial advances in the epidemiology and associated pathophysiology underlying AF-related stroke and thrombo-embolism are evident. Furthermore, the introduction of the non-vitamin K antagonist oral anticoagulants (also called direct oral anticoagulants) has clearly changed our approach to stroke prevention in AF, such that the default should be to offer oral anticoagulation for stroke prevention, unless the patient is at low risk. A strategy of early rhythm control is also beneficial in reducing strokes in selected patients with recent onset AF, when compared to rate control. Cardiovascular risk factor management, with optimization of comorbidities and attention to lifestyle factors, and the patient’s psychological morbidity are also essential. Finally, in selected patients with absolute contraindications to long-term oral anticoagulation, left atrial appendage occlusion or exclusion may be considered. The aim of this state-of-the-art review article is to provide an overview of the current status of AF-related stroke and prevention strategies. A holistic or integrated care approach to AF management is recommended to minimize the risk of stroke in patients with AF, based on the evidence-based Atrial fibrillation Better Care (ABC) pathway, as follows: A: Avoid stroke with Anticoagulation; B: Better patient-centred, symptom-directed decisions on rate or rhythm control; C: Cardiovascular risk factor and comorbidity optimization, including lifestyle changes.","container-title":"Europace","DOI":"10.1093/europace/euad226","ISSN":"1099-5129","issue":"9","journalAbbreviation":"Europace","page":"euad226","PMID":"37622590","PMCID":"PMC10451006","source":"PubMed Central","title":"Atrial fibrillation and stroke prevention: 25 years of research at EP Europace journal","title-short":"Atrial fibrillation and stroke prevention","volume":"25","author":[{"family":"Lip","given":"Gregory Y H"},{"family":"Proietti","given":"Marco"},{"family":"Potpara","given":"Tatjana"},{"family":"Mansour","given":"Moussa"},{"family":"Savelieva","given":"Irina"},{"family":"Tse","given":"Hung Fat"},{"family":"Goette","given":"Andreas"},{"family":"Camm","given":"A John"},{"family":"Blomstrom-Lundqvist","given":"Carina"},{"family":"Gupta","given":"Dhiraj"},{"family":"Boriani","given":"Giuseppe"}],"issued":{"date-parts":[["2023",8,25]]}}}],"schema":"https://github.com/citation-style-language/schema/raw/master/csl-citation.json"} </w:instrText>
      </w:r>
      <w:r w:rsidR="0011258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[28]</w:t>
      </w:r>
      <w:r w:rsidR="0011258B">
        <w:rPr>
          <w:rFonts w:ascii="Times New Roman" w:hAnsi="Times New Roman" w:cs="Times New Roman"/>
          <w:sz w:val="28"/>
          <w:szCs w:val="28"/>
          <w:lang w:bidi="ar-SA"/>
        </w:rPr>
        <w:fldChar w:fldCharType="end"/>
      </w:r>
      <w:r w:rsidR="0011258B">
        <w:rPr>
          <w:rFonts w:ascii="Times New Roman" w:hAnsi="Times New Roman" w:cs="Times New Roman"/>
          <w:sz w:val="28"/>
          <w:szCs w:val="28"/>
          <w:lang w:bidi="ar-SA"/>
        </w:rPr>
        <w:t>. Прогнозируемое число пациентов с ФП в Азии к 2050 году составит 72 миллиона (49 млн мужчин и 23 млн женщин)</w:t>
      </w:r>
      <w:r w:rsidR="0011258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{"citationID":"wpctBubI","properties":{"unsorted":false,"formattedCitation":"[29]","plainCitation":"[29]","noteIndex":0},"citationItems":[{"id":171,"uris":["http://zotero.org/users/14784094/items/M3Q6Y7ZI"],"itemData":{"id":171,"type":"article-journal","abstract":"Accompanying the aging of populations worldwide, and increased survival with chronic diseases, the incidence and prevalence of atrial fibrillation (AF) are rising, justifying the term global epidemic. This multifactorial arrhythmia is intertwined with common concomitant cardiovascular diseases, which share classical cardiovascular risk factors. Targeted prevention programs are largely missing. Prevention needs to start at an early age with primordial interventions at the population level. The public health dimension of AF motivates research in modifiable AF risk factors and improved precision in AF prediction and management. In this review, we summarize current knowledge in an attempt to untangle these multifaceted associations from an epidemiological perspective. We discuss disease trends, preventive opportunities offered by underlying risk factors and concomitant disorders, current developments in diagnosis and risk prediction, and prognostic implications of AF and its complications. Finally, we review current technological (eg, eHealth) and methodological (artificial intelligence) advances and their relevance for future prevention and disease management.","container-title":"Circulation Research","DOI":"10.1161/CIRCRESAHA.120.316340","issue":"1","page":"4-20","publisher":"American Heart Association","source":"ahajournals.org (Atypon)","title":"Epidemiology of Atrial Fibrillation in the 21st Century","volume":"127","author":[{"family":"Kornej","given":"Jelena"},{"family":"Börschel","given":"Christin S."},{"family":"Benjamin","given":"Emelia J."},{"family":"Schnabel","given":"Renate B."}],"issued":{"date-parts":[["2020",6,19]]}}}],"schema":"https://github.com/citation-style-language/schema/raw/master/csl-citation.json"} </w:instrText>
      </w:r>
      <w:r w:rsidR="0011258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[29]</w:t>
      </w:r>
      <w:r w:rsidR="0011258B">
        <w:rPr>
          <w:rFonts w:ascii="Times New Roman" w:hAnsi="Times New Roman" w:cs="Times New Roman"/>
          <w:sz w:val="28"/>
          <w:szCs w:val="28"/>
          <w:lang w:bidi="ar-SA"/>
        </w:rPr>
        <w:fldChar w:fldCharType="end"/>
      </w:r>
      <w:r w:rsidR="0011258B">
        <w:rPr>
          <w:rFonts w:ascii="Times New Roman" w:hAnsi="Times New Roman" w:cs="Times New Roman"/>
          <w:sz w:val="28"/>
          <w:szCs w:val="28"/>
          <w:lang w:bidi="ar-SA"/>
        </w:rPr>
        <w:t>. Возраст служит ключевым фактором риска: ФП обнаруживается</w:t>
      </w:r>
      <w:r w:rsidR="00690475">
        <w:rPr>
          <w:rFonts w:ascii="Times New Roman" w:hAnsi="Times New Roman" w:cs="Times New Roman"/>
          <w:sz w:val="28"/>
          <w:szCs w:val="28"/>
          <w:lang w:bidi="ar-SA"/>
        </w:rPr>
        <w:t xml:space="preserve"> лишь у 0,5% лиц моложе 40 лет, тогда как в группе 40-70 лет</w:t>
      </w:r>
      <w:r w:rsidR="00BC6799">
        <w:rPr>
          <w:rFonts w:ascii="Times New Roman" w:hAnsi="Times New Roman" w:cs="Times New Roman"/>
          <w:sz w:val="28"/>
          <w:szCs w:val="28"/>
          <w:lang w:bidi="ar-SA"/>
        </w:rPr>
        <w:t xml:space="preserve"> ее частота возрастает до 25%, а после 70 лет – до 50%</w:t>
      </w:r>
      <w:r w:rsidR="00BC679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dEfptFXS","properties":{"unsorted":false,"formattedCitation":"[30\\uc0\\u8211{}32]","plainCitation":"[30–32]","noteIndex":0},"citationItems":[{"id":169,"uris":["http://zotero.org/users/14784094/items/S7KY5HAV"],"itemData":{"id":169,"type":"article-journal","abstract":"The incidence and prevalence of atrial fibrillation (AF) are projected to increase significantly worldwide, imposing a significant burden on healthcare resources. The disease itself is extremely heterogeneous in its epidemiology, pathophysiology, and treatment options based on individual patient characteristics. Whilst ageing is well recognised to be an independent risk factor for the development of AF, this condition also affects the young in whom the condition is frequently symptomatic and troublesome. Traditional thinking suggests that the causal factors and pathogenesis of the condition in the young with structurally normal atria but electrophysiological \"triggers\" in the form of pulmonary vein ectopics leading to lone AF are in stark contrast to that in the elderly who have AF primarily due to an abnormal substrate consisting of fibrosed and dilated atria acting in concert with the pulmonary vein triggers. However, there can be exceptions to this rule as there is increasing evidence of structural and electrophysiological abnormalities in the atrial substrate in young patients with \"lone AF,\" as well as elderly patients who present with idiopathic AF. These reports seem to be blurring the distinction in the pathophysiology of so-called idiopathic lone AF in the young versus that in the elderly. Moreover with availability of improved and modern investigational and diagnostic techniques, novel causes of AF are being reported thereby seemingly consigning the diagnosis of \"lone AF\" to a rather mythical existence. We shall also elucidate in this paper the differences seen in the epidemiology, causes, pathogenesis, and clinical features of AF in the young versus that seen in the elderly, thereby requiring clearly defined management strategies to tackle this arrhythmia and its associated consequences.","container-title":"Cardiology Research and Practice","DOI":"10.1155/2013/976976","ISSN":"2090-8016","journalAbbreviation":"Cardiol Res Pract","language":"eng","page":"976976","PMID":"23401843","PMCID":"PMC3564268","source":"PubMed","title":"Comparison of Atrial Fibrillation in the Young versus That in the Elderly: A Review","title-short":"Comparison of Atrial Fibrillation in the Young versus That in the Elderly","volume":"2013","author":[{"family":"Sankaranarayanan","given":"Rajiv"},{"family":"Kirkwood","given":"Graeme"},{"family":"Dibb","given":"Katharine"},{"family":"Garratt","given":"Clifford J."}],"issued":{"date-parts":[["2013"]]}}},{"id":168,"uris":["http://zotero.org/users/14784094/items/DWUIUTUN"],"itemData":{"id":168,"type":"article-journal","abstract":"Atrial fibrillation (AF) is the most common sustained cardiac arrhythmia seen in clinical practice with prevalence in excess of 33 million worldwide. Although often asymptomatic and until recently considered a “benign” arrhythmia, it is now appreciated that thromboembolism resulting from AF results in significant morbidity and mortality predominantly due to stroke. Although an arrhythmia more commonly affecting the elderly, AF can also occur in the young. This review focuses on the impact of AF in the younger population and discusses the dilemmas of managing younger patients with AF.","container-title":"Neurology Research International","DOI":"10.1155/2015/374352","ISSN":"2090-1852","journalAbbreviation":"Neurol Res Int","page":"374352","PMID":"25922764","PMCID":"PMC4398952","source":"PubMed Central","title":"Atrial Fibrillation in the Young: A Neurologist's Nightmare","title-short":"Atrial Fibrillation in the Young","volume":"2015","author":[{"family":"Aggarwal","given":"Nikhil"},{"family":"Selvendran","given":"Subothini"},{"family":"Raphael","given":"Claire E."},{"family":"Vassiliou","given":"Vassilios"}],"issued":{"date-parts":[["2015"]]}}},{"id":167,"uris":["http://zotero.org/users/14784094/items/PPZRR9QN"],"itemData":{"id":167,"type":"article-journal","abstract":"See article on page 606","container-title":"Heart","DOI":"10.1136/hrt.2006.110791","ISSN":"1355-6037","issue":"5","journalAbbreviation":"Heart","page":"542-543","PMID":"17435064","PMCID":"PMC1955544","source":"PubMed Central","title":"Atrial fibrillation—the growing epidemic","volume":"93","author":[{"family":"Lip","given":"Gregory Y H"},{"family":"Kakar","given":"Puneet"},{"family":"Watson","given":"Timothy"}],"issued":{"date-parts":[["2007",5]]}}}],"schema":"https://github.com/citation-style-language/schema/raw/master/csl-citation.json"} </w:instrText>
      </w:r>
      <w:r w:rsidR="00BC6799">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[30–32]</w:t>
      </w:r>
      <w:r w:rsidR="00BC6799">
        <w:rPr>
          <w:rFonts w:ascii="Times New Roman" w:hAnsi="Times New Roman" w:cs="Times New Roman"/>
          <w:sz w:val="28"/>
          <w:szCs w:val="28"/>
          <w:lang w:bidi="ar-SA"/>
        </w:rPr>
        <w:fldChar w:fldCharType="end"/>
      </w:r>
      <w:r w:rsidR="00BC6799">
        <w:rPr>
          <w:rFonts w:ascii="Times New Roman" w:hAnsi="Times New Roman" w:cs="Times New Roman"/>
          <w:sz w:val="28"/>
          <w:szCs w:val="28"/>
          <w:lang w:bidi="ar-SA"/>
        </w:rPr>
        <w:t>. У пожилых пациентов с ФП ежегодная частота сердечно-сосудистых осложнений достигает 12,5%</w:t>
      </w:r>
      <w:r w:rsidR="00BC679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6sHokK7w","properties":{"unsorted":false,"formattedCitation":"[25]","plainCitation":"[25]","noteIndex":0},"citationItems":[{"id":642,"uris":["http://zotero.org/users/14784094/items/VN8GVU5M"],"itemData":{"id":642,"type":"webpage","title":"МОЛЕКУЛЯРНО-ГЕНЕТИЧЕСКИЕ МАРКЕРЫ ФИБРИЛЛЯЦИИ ПРЕДСЕРДИЙ","URL":"https://cyberleninka.ru/article/n/molekulyarno-geneticheskie-markery-fibrillyatsii-predserdiy/viewer","accessed":{"date-parts":[["2024",9,8]]}}}],"schema":"https://github.com/citation-style-language/schema/raw/master/csl-citation.json"} </w:instrText>
      </w:r>
      <w:r w:rsidR="00BC679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[25]</w:t>
      </w:r>
      <w:r w:rsidR="00BC6799">
        <w:rPr>
          <w:rFonts w:ascii="Times New Roman" w:hAnsi="Times New Roman" w:cs="Times New Roman"/>
          <w:sz w:val="28"/>
          <w:szCs w:val="28"/>
          <w:lang w:bidi="ar-SA"/>
        </w:rPr>
        <w:fldChar w:fldCharType="end"/>
      </w:r>
      <w:r w:rsidR="00BC6799">
        <w:rPr>
          <w:rFonts w:ascii="Times New Roman" w:hAnsi="Times New Roman" w:cs="Times New Roman"/>
          <w:sz w:val="28"/>
          <w:szCs w:val="28"/>
          <w:lang w:bidi="ar-SA"/>
        </w:rPr>
        <w:t>. Ожидается, что в 2030-2034гг. ФП станет причиной 2,5 миллионов смертей ежегодно, подтверждая статус глобальной медико-социальной проблемы</w:t>
      </w:r>
      <w:r w:rsidR="00BC679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{"citationID":"gFb4pWyJ","properties":{"unsorted":false,"formattedCitation":"[33,34]","plainCitation":"[33,34]","noteIndex":0},"citationItems":[{"id":170,"uris":["http://zotero.org/users/14784094/items/RK9SNVJM"],"itemData":{"id":170,"type":"article-journal","abstract":"Data from the Global Burden of Disease, Injury, and Risk Factor Study 2019 (GBD 2019) was used to assess the burden and change in prevalence, incidence, deaths, disability-adjusted life years, and risk factors for atrial fibrillation/flutter in 204 countries and territories between 1990 and 2019.","container-title":"BMC Public Health","DOI":"10.1186/s12889-022-14403-2","ISSN":"1471-2458","issue":"1","journalAbbreviation":"BMC Public Health","page":"2015","source":"BioMed Central","title":"Global, regional, and national burden of disease study of atrial fibrillation/flutter, 1990–2019: results from a global burden of disease study, 2019","title-short":"Global, regional, and national burden of disease study of atrial fibrillation/flutter, 1990–2019","volume":"22","author":[{"family":"Li","given":"Hong"},{"family":"Song","given":"Xuejing"},{"family":"Liang","given":"Yi"},{"family":"Bai","given":"Xue"},{"family":"Liu-Huo","given":"Wu-Sha"},{"family":"Tang","given":"Chao"},{"family":"Chen","given":"Wen"},{"family":"Zhao","given":"Lizhi"}],"issued":{"date-parts":[["2022",11,3]]}}},{"id":386,"uris":["http://zotero.org/users/14784094/items/59H4FB7L"],"itemData":{"id":386,"type":"article-journal","abstract":"Background\nAlthough older patients with atrial fibrillation are at heightened risk of thromboembolic and bleeding events, their optimal treatment choice remains uncertain.\n\nMethods and Results\nThis meta‐analysis was conducted according to the Preferred Reporting Items for Systematic Reviews and Meta‐Analyses guidelines. We searched the PubMed, EMBASE, and Cochrane databases for randomized controlled trials that compared thromboembolic or bleeding outcomes between a direct oral anticoagulant (DOAC) and a vitamin K antagonist (VKA) and reported outcomes for patients aged ≥75 years with atrial fibrillation. The efficacy outcome was the composite of stroke and systemic embolism. Safety outcomes included major bleeding, any clinically relevant bleeding, and intracranial hemorrhage. Each DOAC and VKA was compared pairwise in a network meta‐analysis. High‐ and low‐dose regimens and factor IIa and Xa inhibitors were also compared. Seven randomized controlled trials were included in the analysis. Stroke and systemic embolism risks did not differ significantly among DOACs. There were no significant differences in major bleeding between each DOAC and VKA. Intracranial hemorrhage risk was significantly lower with dabigatran, apixaban, and edoxaban than with VKA and rivaroxaban, which had similar risks. High‐dose regimens led to lower risks of stroke or systemic embolism compared with VKA and low‐dose regimens, with both doses having similar bleeding risks.\n\nConclusions\nIn patients aged ≥75 years with atrial fibrillation, DOACs were associated with fewer thromboembolic events compared with VKA, whereas dabigatran, apixaban, and edoxaban were associated with lower risks of intracranial hemorrhage compared with VKA and rivaroxaban.\n\nRegistration\nURL: www.crd.york.ac.uk/prospero/. Unique identifier: CRD42022329557.","container-title":"Journal of the American Heart Association: Cardiovascular and Cerebrovascular Disease","DOI":"10.1161/JAHA.123.030380","ISSN":"2047-9980","issue":"23","journalAbbreviation":"J Am Heart Assoc","page":"e030380","PMID":"38014696","PMCID":"PMC10727327","source":"PubMed Central","title":"Efficacy and Safety of Direct Oral Anticoagulants for Stroke Prevention in Older Patients With Atrial Fibrillation: A Network Meta‐Analysis of Randomized Controlled Trials","title-short":"Efficacy and Safety of Direct Oral Anticoagulants for Stroke Prevention in Older Patients With Atrial Fibrillation","volume":"12","author":[{"family":"Lin","given":"Donna Shu‐Han"},{"family":"Lo","given":"Hao‐Yun"},{"family":"Huang","given":"Kuan‐Chih"},{"family":"Lin","given":"Ting‐Tse"},{"family":"Lee","given":"Jen‐Kuang"}],"issued":{"date-parts":[["2023",11,28]]}}}],"schema":"https://github.com/citation-style-language/schema/raw/master/csl-citation.json"} </w:instrText>
      </w:r>
      <w:r w:rsidR="00BC679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[33,34]</w:t>
      </w:r>
      <w:r w:rsidR="00BC6799">
        <w:rPr>
          <w:rFonts w:ascii="Times New Roman" w:hAnsi="Times New Roman" w:cs="Times New Roman"/>
          <w:sz w:val="28"/>
          <w:szCs w:val="28"/>
          <w:lang w:bidi="ar-SA"/>
        </w:rPr>
        <w:fldChar w:fldCharType="end"/>
      </w:r>
      <w:r w:rsidR="00BC6799">
        <w:rPr>
          <w:rFonts w:ascii="Times New Roman" w:hAnsi="Times New Roman" w:cs="Times New Roman"/>
          <w:sz w:val="28"/>
          <w:szCs w:val="28"/>
          <w:lang w:bidi="ar-SA"/>
        </w:rPr>
        <w:t>.</w:t>
      </w:r>
    </w:p>
    <w:p w14:paraId="332C2BDC" w14:textId="215EAB2F" w:rsidR="00BC6799" w:rsidRPr="00BC6799" w:rsidRDefault="00BC6799" w:rsidP="009B0CEF">
      <w:pPr>
        <w:pStyle w:val="LO-normal"/>
        <w:numPr>
          <w:ilvl w:val="1"/>
          <w:numId w:val="8"/>
        </w:numPr>
        <w:spacing w:after="0" w:line="240" w:lineRule="auto"/>
        <w:jc w:val="both"/>
        <w:rPr>
          <w:rFonts w:ascii="Times New Roman" w:hAnsi="Times New Roman" w:cs="Times New Roman"/>
          <w:b/>
          <w:bCs/>
          <w:sz w:val="28"/>
          <w:szCs w:val="28"/>
          <w:lang w:bidi="ar-SA"/>
        </w:rPr>
      </w:pPr>
      <w:r w:rsidRPr="00BC6799">
        <w:rPr>
          <w:rFonts w:ascii="Times New Roman" w:hAnsi="Times New Roman" w:cs="Times New Roman"/>
          <w:b/>
          <w:bCs/>
          <w:sz w:val="28"/>
          <w:szCs w:val="28"/>
          <w:lang w:bidi="ar-SA"/>
        </w:rPr>
        <w:t>Значение ФП как фактора риска инсульта</w:t>
      </w:r>
    </w:p>
    <w:p w14:paraId="5325FF79" w14:textId="31AE7505" w:rsidR="00C24D7B" w:rsidRDefault="00A61AAE" w:rsidP="009B0CEF">
      <w:pPr>
        <w:pStyle w:val="LO-normal"/>
        <w:spacing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Клиническая значимость ФП определяется риском тромбоэмболических осложнений (особенно инсульта), прогрессирующей сердечной недостаточностью, ростом летальности, учащением</w:t>
      </w:r>
      <w:r>
        <w:rPr>
          <w:rFonts w:ascii="Times New Roman" w:hAnsi="Times New Roman" w:cs="Times New Roman"/>
          <w:sz w:val="28"/>
          <w:szCs w:val="28"/>
          <w:lang w:val="kk-KZ" w:bidi="ar-SA"/>
        </w:rPr>
        <w:t xml:space="preserve"> госпитализаций и ухудшением качества жизни</w:t>
      </w:r>
      <w:r>
        <w:rPr>
          <w:rFonts w:ascii="Times New Roman" w:hAnsi="Times New Roman" w:cs="Times New Roman"/>
          <w:sz w:val="28"/>
          <w:szCs w:val="28"/>
          <w:lang w:val="kk-KZ" w:bidi="ar-SA"/>
        </w:rPr>
        <w:fldChar w:fldCharType="begin"/>
      </w:r>
      <w:r w:rsidR="00171CCC">
        <w:rPr>
          <w:rFonts w:ascii="Times New Roman" w:hAnsi="Times New Roman" w:cs="Times New Roman"/>
          <w:sz w:val="28"/>
          <w:szCs w:val="28"/>
          <w:lang w:val="kk-KZ" w:bidi="ar-SA"/>
        </w:rPr>
        <w:instrText xml:space="preserve"> ADDIN ZOTERO_ITEM CSL_CITATION {"citationID":"fldDjzsE","properties":{"unsorted":false,"formattedCitation":"[35]","plainCitation":"[35]","noteIndex":0},"citationItems":[{"id":163,"uris":["http://zotero.org/users/14784094/items/2ZS24PN9"],"itemData":{"id":163,"type":"article-journal","abstract":"Atrial fibrillation is the most common arrhythmia that physicians face in their clinical practice. Atrial fibrillation is associated with a higher risk of thromboembolic events, all-cause mortality, frequent hospitalizations, decreased quality of life. Early detection of atrial fibrillation is important for optimal management and improvement the prognosis of atrial fibrillation patients. Evidence on new methods of atrial fibrillation screening discussed in this review, allows considering them more accurate than simple pulse palpation.","container-title":"Journal of Clinical Medicine of Kazakhstan","ISSN":"1812-2892","issue":"1 (47)","note":"number: 1 (47)\npublisher-place: Республика Казахстан, Астана","page":"18-24","publisher":"Акционерное общество «Национальный научный медицинский центр»","source":"cyberleninka.ru","title":"Скрининг на фибрилляцию предсердий","author":[{"family":"Ш","given":"Тлегенова Ж."},{"family":"З","given":"Кудайбердиева Г."},{"family":"К","given":"Жолдин Б."},{"family":"С","given":"Абдрахманов А."}],"issued":{"date-parts":[["2018"]]}}}],"schema":"https://github.com/citation-style-language/schema/raw/master/csl-citation.json"} </w:instrText>
      </w:r>
      <w:r>
        <w:rPr>
          <w:rFonts w:ascii="Times New Roman" w:hAnsi="Times New Roman" w:cs="Times New Roman"/>
          <w:sz w:val="28"/>
          <w:szCs w:val="28"/>
          <w:lang w:val="kk-KZ" w:bidi="ar-SA"/>
        </w:rPr>
        <w:fldChar w:fldCharType="separate"/>
      </w:r>
      <w:r w:rsidR="00171CCC">
        <w:rPr>
          <w:rFonts w:ascii="Times New Roman" w:hAnsi="Times New Roman" w:cs="Times New Roman"/>
          <w:noProof/>
          <w:sz w:val="28"/>
          <w:szCs w:val="28"/>
          <w:lang w:val="kk-KZ" w:bidi="ar-SA"/>
        </w:rPr>
        <w:t>[35]</w:t>
      </w:r>
      <w:r>
        <w:rPr>
          <w:rFonts w:ascii="Times New Roman" w:hAnsi="Times New Roman" w:cs="Times New Roman"/>
          <w:sz w:val="28"/>
          <w:szCs w:val="28"/>
          <w:lang w:val="kk-KZ" w:bidi="ar-SA"/>
        </w:rPr>
        <w:fldChar w:fldCharType="end"/>
      </w:r>
      <w:r w:rsidR="00C24D7B">
        <w:rPr>
          <w:rFonts w:ascii="Times New Roman" w:hAnsi="Times New Roman" w:cs="Times New Roman"/>
          <w:sz w:val="28"/>
          <w:szCs w:val="28"/>
          <w:lang w:bidi="ar-SA"/>
        </w:rPr>
        <w:t>. Современные клинические рекомендации подчеркивают: своевременная диагностика ФП и ранняя антикоагуляция существенно снижают частоту осложнений. Согласно исследованиям, при впервые диагностированной ФП риск ишемического инсульта достигает 67-90%</w:t>
      </w:r>
      <w:r w:rsidR="00C24D7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QRdWJ31U","properties":{"unsorted":false,"formattedCitation":"[36,37]","plainCitation":"[36,37]","noteIndex":0},"citationItems":[{"id":162,"uris":["http://zotero.org/users/14784094/items/YW8X8TDK"],"itemData":{"id":162,"type":"article-journal","container-title":"Circulation","DOI":"10.1161/CIRCULATIONAHA.115.016713","issue":"15","page":"1498-1503","publisher":"American Heart Association","source":"ahajournals.org (Atypon)","title":"Should Patients With Atrial Fibrillation and 1 Stroke Risk Factor (CHA2DS2-VASc Score 1 in Men, 2 in Women) Be Anticoagulated?","volume":"133","author":[{"family":"Lip","given":"Gregory Y.H."},{"family":"Nielsen","given":"Peter Brønnum"}],"issued":{"date-parts":[["2016",4,12]]}}},{"id":165,"uris":["http://zotero.org/users/14784094/items/NAQGV7D6"],"itemData":{"id":165,"type":"article-journal","abstract":"Atrial fibrillation (AF) is a major risk factor for ischemic stroke and associated with a 5-fold higher risk of stroke. In this retrospective cohort study, the incidence of and risk factors for ischemic stroke in patients with AF were identified. All patients (≥30 years old) without previous stroke who were diagnosed with AF in 2007–2013 were selected from the National Health Insurance Service-National Sample Cohort. To identify factors that influenced ischemic stroke risk, Cox proportional hazard regression analysis was conducted. During a mean follow-up duration of 3.2 years, 1022 (9.6%) patients were diagnosed with ischemic stroke. The overall incidence rate of ischemic stroke was 30.8/1000 person-years. Of all the ischemic stroke that occurred during the follow-up period, 61.0% occurred within 1-year after AF diagnosis. Of the patients with CHA2DS2-VASc score of ≥2, only 13.6% were receiving warfarin therapy within 30 days after AF diagnosis. Relative to no antithrombotic therapy, warfarin treatment for &gt;90 days before the index event (ischemic stroke in stroke patients and death/study end in non-stroke patients) associated with decreased ischemic stroke risk (Hazard Ratio = 0.41, 95%confidence intervals = 0.32–0.53). Heart failure, hypertension, and diabetes mellitus associated with greater ischemic stroke risk. AF patients in Korea had a higher ischemic stroke incidence rate than patients in other countries and ischemic stroke commonly occurred at early phase after AF diagnosis. Long-term (&gt;90 days) continuous warfarin treatment may be beneficial for AF patients. However, warfarin treatment rates were very low. To prevent stroke, programs that actively detect AF and provide anticoagulation therapy are needed.","container-title":"PLoS ONE","DOI":"10.1371/journal.pone.0179687","ISSN":"1932-6203","issue":"6","journalAbbreviation":"PLoS One","page":"e0179687","PMID":"28636620","PMCID":"PMC5479557","source":"PubMed Central","title":"Risk of ischemic stroke after atrial fibrillation diagnosis: A national sample cohort","title-short":"Risk of ischemic stroke after atrial fibrillation diagnosis","volume":"12","author":[{"family":"Son","given":"Mi Kyoung"},{"family":"Lim","given":"Nam-Kyoo"},{"family":"Kim","given":"Hyung Woo"},{"family":"Park","given":"Hyun-Young"}],"issued":{"date-parts":[["2017",6,21]]}}}],"schema":"https://github.com/citation-style-language/schema/raw/master/csl-citation.json"} </w:instrText>
      </w:r>
      <w:r w:rsidR="00C24D7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[36,37]</w:t>
      </w:r>
      <w:r w:rsidR="00C24D7B">
        <w:rPr>
          <w:rFonts w:ascii="Times New Roman" w:hAnsi="Times New Roman" w:cs="Times New Roman"/>
          <w:sz w:val="28"/>
          <w:szCs w:val="28"/>
          <w:lang w:bidi="ar-SA"/>
        </w:rPr>
        <w:fldChar w:fldCharType="end"/>
      </w:r>
      <w:r w:rsidR="00C24D7B">
        <w:rPr>
          <w:rFonts w:ascii="Times New Roman" w:hAnsi="Times New Roman" w:cs="Times New Roman"/>
          <w:sz w:val="28"/>
          <w:szCs w:val="28"/>
          <w:lang w:bidi="ar-SA"/>
        </w:rPr>
        <w:t>. Антикоагулянтная терапия уменьшает вероятность ишемического инсульта на 67% и общую смертность на 26%</w:t>
      </w:r>
      <w:r w:rsidR="00C24D7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{"citationID":"XX470E3P","properties":{"unsorted":false,"formattedCitation":"[38]","plainCitation":"[38]","noteIndex":0},"citationItems":[{"id":236,"uris":["http://zotero.org/users/14784094/items/TQ4ILJTQ"],"itemData":{"id":236,"type":"article-journal","abstract":"BACKGROUND: Atrial fibrillation is a strong independent risk factor for stroke.\nPURPOSE: To characterize the efficacy and safety of antithrombotic agents for stroke prevention in patients who have atrial fibrillation, adding 13 recent randomized trials to a previous meta-analysis.\nDATA SOURCES: Randomized trials identified by using the Cochrane Stroke Group search strategy, 1966 to March 2007, unrestricted by language.\nSTUDY SELECTION: All published randomized trials with a mean follow-up of 3 months or longer that tested antithrombotic agents in patients who have nonvalvular atrial fibrillation.\nDATA EXTRACTION: Two coauthors independently extracted information regarding interventions; participants; and occurrences of ischemic and hemorrhagic stroke, major extracranial bleeding, and death.\nDATA SYNTHESIS: Twenty-nine trials included 28,044 participants (mean age, 71 years; mean follow-up, 1.5 years). Compared with the control, adjusted-dose warfarin (6 trials, 2900 participants) and antiplatelet agents (8 trials, 4876 participants) reduced stroke by 64% (95% CI, 49% to 74%) and 22% (CI, 6% to 35%), respectively. Adjusted-dose warfarin was substantially more efficacious than antiplatelet therapy (relative risk reduction, 39% [CI, 22% to 52%]) (12 trials, 12 963 participants). Other randomized comparisons were inconclusive. Absolute increases in major extracranial hemorrhage were small (&lt; or =0.3% per year) on the basis of meta-analysis.\nLIMITATION: Methodological features and quality varied substantially and often were incompletely reported.\nCONCLUSIONS: Adjusted-dose warfarin and antiplatelet agents reduce stroke by approximately 60% and by approximately 20%, respectively, in patients who have atrial fibrillation. Warfarin is substantially more efficacious (by approximately 40%) than antiplatelet therapy. Absolute increases in major extracranial hemorrhage associated with antithrombotic therapy in participants from the trials included in this meta-analysis were less than the absolute reductions in stroke. Judicious use of antithrombotic therapy importantly reduces stroke for most patients who have atrial fibrillation.","container-title":"Annals of Internal Medicine","DOI":"10.7326/0003-4819-146-12-200706190-00007","ISSN":"1539-3704","issue":"12","journalAbbreviation":"Ann Intern Med","language":"eng","page":"857-867","PMID":"17577005","source":"PubMed","title":"Meta-analysis: antithrombotic therapy to prevent stroke in patients who have nonvalvular atrial fibrillation","title-short":"Meta-analysis","volume":"146","author":[{"family":"Hart","given":"Robert G."},{"family":"Pearce","given":"Lesly A."},{"family":"Aguilar","given":"Maria I."}],"issued":{"date-parts":[["2007",6,19]]}}}],"schema":"https://github.com/citation-style-language/schema/raw/master/csl-citation.json"} </w:instrText>
      </w:r>
      <w:r w:rsidR="00C24D7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[38]</w:t>
      </w:r>
      <w:r w:rsidR="00C24D7B">
        <w:rPr>
          <w:rFonts w:ascii="Times New Roman" w:hAnsi="Times New Roman" w:cs="Times New Roman"/>
          <w:sz w:val="28"/>
          <w:szCs w:val="28"/>
          <w:lang w:bidi="ar-SA"/>
        </w:rPr>
        <w:fldChar w:fldCharType="end"/>
      </w:r>
      <w:r w:rsidR="00C24D7B">
        <w:rPr>
          <w:rFonts w:ascii="Times New Roman" w:hAnsi="Times New Roman" w:cs="Times New Roman"/>
          <w:sz w:val="28"/>
          <w:szCs w:val="28"/>
          <w:lang w:bidi="ar-SA"/>
        </w:rPr>
        <w:t>. Доля ФП-ассоциированных инсультов составляет 20% от общего числа; при этом летальность при таких инсультах вдвое выше, а затраты на лечение в 1,5 раза превышают аналогичные показатели для инсультов иной этиологии</w:t>
      </w:r>
      <w:r w:rsidR="00FF3AD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{"citationID":"AinwmGs3","properties":{"unsorted":false,"formattedCitation":"[39,40]","plainCitation":"[39,40]","noteIndex":0},"citationItems":[{"id":177,"uris":["http://zotero.org/users/14784094/items/2QB65HC7"],"itemData":{"id":177,"type":"article-journal","abstract":"Aims Atrial Fibrillation (AF) is one of the most strongly associated risk factors for stroke. Our study aims to analyze changes in mortality from 1999 to 2020 in patients with AF and stroke. Methods Using the Centre for Disease Control and Prevention Wide-Ranging Online Data for Epidemiologic Research (CDC-WONDER), we retrospectively analyzed annual age-adjusted mortality rates (AAMR) per million from 1999 to 2020 in stroke patients with AF. Temporal trends were analyzed, and Annual Percentage Change (APC) was calculated using the JoinPoint regression model across variations in demographics (sex, race) and regional subgroups. Results Around 490 000 deaths were reported between 1999 and 2020 from stroke and AF across the 25–85+ age group. AAMR initially decreased until 2008 (APC = –0.9), followed by an increase till 2020 (APC = 1.1). Women had a higher AAMR than men throughout the years. Non-Hispanic white patients had a marginally higher AAMR than all other races and ethnicities. The highest AAMR was observed in the western region. States like Vermont, Oregon, Washington, Alaska, Minnesota, and West Virginia were in the top 90th percentile, while Nevada, Louisiana, Florida, New York, New Mexico, and Arizona were in the bottom 10th percentile. Nonmetropolitan areas had consistently higher AAMRs throughout the 2 decades. Conclusion An overall rise in mortality has been observed in stroke and AF patients, with a greater surge in 2019. The need for healthcare policy changes, especially in areas with high mortality and awareness of healthier lifestyle factors, can be an essential preventative measure to help mitigate growing mortality rates.","container-title":"Clinical Cardiology","DOI":"10.1002/clc.70058","ISSN":"1932-8737","issue":"12","language":"en","license":"© 2024 The Author(s). Clinical Cardiology published by Wiley Periodicals LLC.","note":"_eprint: https://onlinelibrary.wiley.com/doi/pdf/10.1002/clc.70058","page":"e70058","source":"Wiley Online Library","title":"Temporal Trends in Mortality Related to Stroke and Atrial Fibrillation in the United States: A 21-Year Retrospective Analysis of CDC-WONDER Database","title-short":"Temporal Trends in Mortality Related to Stroke and Atrial Fibrillation in the United States","volume":"47","author":[{"family":"Ahmad","given":"Owais"},{"family":"Farooqi","given":"Hanzala Ahmed"},{"family":"Ahmed","given":"Isra"},{"family":"Jamil","given":"Adeena"},{"family":"Nabi","given":"Rayyan"},{"family":"Ullah","given":"Irfan"},{"family":"Khan","given":"Abdul Wali"},{"family":"Ahmed","given":"Raheel"},{"family":"Alam","given":"Mahboob"},{"family":"Cortese","given":"Bernardo"},{"family":"Mamas","given":"Mamas A."}],"issued":{"date-parts":[["2024"]]}}},{"id":176,"uris":["http://zotero.org/users/14784094/items/RFP6HUYY"],"itemData":{"id":176,"type":"article-journal","abstract":"Background\nLimited data exist on the economic implications of stroke among patients with atrial fibrillation (AF). This study assesses the impact of AF on healthcare costs associated with ischemic stroke (IS), hemorrhagic stroke (HS), or transient ischemic attack (TIA).\n\nMethods and Results\nA retrospective analysis of MarketScan claims data (2005‐2011) for AF patients ≥18 years old with ≥1 inpatient claim for stroke, or ≥1 ED or inpatient claim for TIA as identified by ICD‐9‐CM codes who had ≥12 months continuous enrollment prior to initial stroke. Initial event‐ and stroke‐related costs 12 months post‐index were compared among patients with AF and without AF. Adjusted costs were estimated, controlling for demographics, comorbidities, anticoagulant use, and baseline resource use. Data from 23 807 AF patients and 136 649 patients without AF were analyzed. Unadjusted mean cost of the index event was $20 933 for IS, $59 054 for HS, $8616 for TIA hospitalization, and $3395 for TIA ED visit. After controlling for potential confounders, adjusted mean incremental costs (index plus 12‐month post‐index) for AF patients were higher than those for non‐AF patients by: $4726, $7824, and $1890 for index IS, HS, TIA (identified by hospitalization), respectively, and $1700 for TIA (identified by ED) (all P&lt;0.01). In multivariate regression analysis, AF was associated with a 20% (IS), 13% (HS), and 18% (TIA) increase in total stroke‐related costs.\n\nConclusion\nStroke‐related care for IS, HS, and TIA is costly, especially among individuals with AF. Reducing the risk of AF‐related stroke is important from both clinical and economic standpoints.","container-title":"Journal of the American Heart Association: Cardiovascular and Cerebrovascular Disease","DOI":"10.1161/JAHA.113.000479","ISSN":"2047-9980","issue":"6","journalAbbreviation":"J Am Heart Assoc","page":"e000479","PMID":"24275631","PMCID":"PMC3886763","source":"PubMed Central","title":"Impact of Atrial Fibrillation on Stroke‐Related Healthcare Costs","volume":"2","author":[{"family":"Sussman","given":"Matthew"},{"family":"Menzin","given":"Joseph"},{"family":"Lin","given":"Iris"},{"family":"Kwong","given":"Winghan J."},{"family":"Munsell","given":"Michael"},{"family":"Friedman","given":"Mark"},{"family":"Selim","given":"Magdy"}],"issued":{"date-parts":[["2013",12,19]]}}}],"schema":"https://github.com/citation-style-language/schema/raw/master/csl-citation.json"} </w:instrText>
      </w:r>
      <w:r w:rsidR="00FF3AD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[39,40]</w:t>
      </w:r>
      <w:r w:rsidR="00FF3AD7">
        <w:rPr>
          <w:rFonts w:ascii="Times New Roman" w:hAnsi="Times New Roman" w:cs="Times New Roman"/>
          <w:sz w:val="28"/>
          <w:szCs w:val="28"/>
          <w:lang w:bidi="ar-SA"/>
        </w:rPr>
        <w:fldChar w:fldCharType="end"/>
      </w:r>
      <w:r w:rsidR="00FF3AD7">
        <w:rPr>
          <w:rFonts w:ascii="Times New Roman" w:hAnsi="Times New Roman" w:cs="Times New Roman"/>
          <w:sz w:val="28"/>
          <w:szCs w:val="28"/>
          <w:lang w:bidi="ar-SA"/>
        </w:rPr>
        <w:t>. Систематический обзор азиатских исследований выявил распространенность ФП у пациентов с ишемическим инсультом в диапазоне 0,36-28,3% в госпитальных и 1,9-6,0% в популяционных когортах</w:t>
      </w:r>
      <w:r w:rsidR="00FF3AD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{"citationID":"Lp9b3uoH","properties":{"unsorted":false,"formattedCitation":"[41]","plainCitation":"[41]","noteIndex":0},"citationItems":[{"id":287,"uris":["http://zotero.org/users/14784094/items/9VKPPHLU"],"itemData":{"id":287,"type":"article-journal","abstract":"BACKGROUND: Our previous review reported great variability in the incidence and prevalence of atrial fibrillation (AF) in non-Western cohorts, especially from Asian countries; in recent years, epidemiologic studies on AF have been increasingly reported from Asia.\nMETHODS: The goal of this updated systematic review was to present the current knowledge base of AF epidemiology in Asian countries since our previous review. We also explored AF incidence and the risk of stroke in AF by using a meta-analysis, with I2 testing the heterogeneity. Third, \"real-world\" antithrombotic drug use for ischemic stroke (IS) prevention associated with AF was studied.\nRESULTS: A total of 58 articles from eight countries in Asia were included in the analysis. The summary annual incidence of AF was 5.38 (95% CI, 4.53-6.24; I2 = 99.5%; n = 10) per 1,000 person-years, and the IS annual risk in AF was 3.0% (1.60%-4.95%; I2 = 99.8%; n = 8) when meta-analysis was performed on hospital- and community-based studies. Hospital- and community-based AF prevalence ranged from 0.37% to 3.56% and 2.8% to 15.8%, respectively. IS prevalence in AF ranged from 1.9% to 6.0% and 0.36% to 28.3% in community- and hospital-based studies. Warfarin use in Chinese subjects is relatively low (1.0%-4.1%) compared with Japanese subjects (49.1%-70.0%) in community-based studies. The rate of warfarin use was &lt; 50% in hospital-based studies.\nCONCLUSIONS: The incidence and prevalence of AF have increased in recent years, although great variability still exists in Asian countries. Variability in annual IS risk in patients with AF was apparent between hospital- and community-based studies. However, the rate of warfarin use was &lt; 50% in hospital studies from Asian countries.","container-title":"Chest","DOI":"10.1016/j.chest.2017.03.048","ISSN":"1931-3543","issue":"4","journalAbbreviation":"Chest","language":"eng","page":"810-820","PMID":"28427968","source":"PubMed","title":"The Global Burden of Atrial Fibrillation and Stroke: A Systematic Review of the Clinical Epidemiology of Atrial Fibrillation in Asia","title-short":"The Global Burden of Atrial Fibrillation and Stroke","volume":"152","author":[{"family":"Bai","given":"Ying"},{"family":"Wang","given":"Yan-Liang"},{"family":"Shantsila","given":"Alena"},{"family":"Lip","given":"Gregory Y. H."}],"issued":{"date-parts":[["2017",10]]}}}],"schema":"https://github.com/citation-style-language/schema/raw/master/csl-citation.json"} </w:instrText>
      </w:r>
      <w:r w:rsidR="00FF3AD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[41]</w:t>
      </w:r>
      <w:r w:rsidR="00FF3AD7">
        <w:rPr>
          <w:rFonts w:ascii="Times New Roman" w:hAnsi="Times New Roman" w:cs="Times New Roman"/>
          <w:sz w:val="28"/>
          <w:szCs w:val="28"/>
          <w:lang w:bidi="ar-SA"/>
        </w:rPr>
        <w:fldChar w:fldCharType="end"/>
      </w:r>
      <w:r w:rsidR="00FF3AD7">
        <w:rPr>
          <w:rFonts w:ascii="Times New Roman" w:hAnsi="Times New Roman" w:cs="Times New Roman"/>
          <w:sz w:val="28"/>
          <w:szCs w:val="28"/>
          <w:lang w:bidi="ar-SA"/>
        </w:rPr>
        <w:t>. В индийском исследовании ФП верифицирована у 25,2% больных острым ишемическим инсультом</w:t>
      </w:r>
      <w:r w:rsidR="00FF3AD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{"citationID":"vztNfdeB","properties":{"unsorted":false,"formattedCitation":"[42]","plainCitation":"[42]","noteIndex":0},"citationItems":[{"id":244,"uris":["http://zotero.org/users/14784094/items/X2DPV68K"],"itemData":{"id":244,"type":"article-journal","abstract":"BACKGROUND: Secondary stroke prevention is as important as the treatment of acute ischemic stroke in regards to halt neurological disability and to lower down mortality due to recurrent episodes. The effective secondary prevention depends on finding the specific risk factors leading to cerebro-vascular insult.\nAIMS AND OBJECTIVES: We aimed this study to find prevalence of persistent/Paroxysmal AF in stroke patients from single center hospital based study.\nMETHODS: Hospital based study enrolled all prospective patients of acute ischemic stroke from January 2016 to December 2018. All patients were subjected to test for risk factors analysis after detail clinical history and examination of these patients. Following variables were recorded; age, gender, stroke territory, stroke severity by NIHSS (National Institute of Health Stroke Scale), LDL-C (Low Density Lipoprotein - cholesterol) of more than 100 mg/dl, HBA1C (Glycosylated Hemoglobin) of more than 6.5, Homocystine of more than 15 Mc Mol/L, 2D-Echocardiographic abnormalities, electrocardiography/24 hour Holter Monitoring, cerebral angiography of brain and neck findings and outcome of patients in 90 days follow-up based on Modified Rankin Scale.\nRESULTS: Total 246 patients (69.5% men and 30.5% women) of Acute Ischemic stroke were recorded during study period. Mean age was 61.4 years, with 31 (12.4%) patients were below 45 years. Atrial fibrillation (AF) was detected either on conventional ECG or 24 hour Holter monitoring in 62 (25.2%) patients.\nCONCLUSION: Stroke with AF is found in 25% patients, more common in elderly, female large atrial size and associated with poor outcome.","container-title":"Brain Circulation","DOI":"10.4103/bc.bc_19_19","ISSN":"2455-4626","issue":"1","journalAbbreviation":"Brain Circ","language":"eng","page":"19-25","PMID":"32166196","PMCID":"PMC7045538","source":"PubMed","title":"Prevalence of atrial fibrillation in acute ischemic stroke patients: A hospital-based study from India","title-short":"Prevalence of atrial fibrillation in acute ischemic stroke patients","volume":"6","author":[{"family":"Goel","given":"Deepak"},{"family":"Gupta","given":"Rekha"},{"family":"Keshri","given":"Tulika"},{"family":"Rana","given":"Sanyal"}],"issued":{"date-parts":[["2020"]]}}}],"schema":"https://github.com/citation-style-language/schema/raw/master/csl-citation.json"} </w:instrText>
      </w:r>
      <w:r w:rsidR="00FF3AD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[42]</w:t>
      </w:r>
      <w:r w:rsidR="00FF3AD7">
        <w:rPr>
          <w:rFonts w:ascii="Times New Roman" w:hAnsi="Times New Roman" w:cs="Times New Roman"/>
          <w:sz w:val="28"/>
          <w:szCs w:val="28"/>
          <w:lang w:bidi="ar-SA"/>
        </w:rPr>
        <w:fldChar w:fldCharType="end"/>
      </w:r>
      <w:r w:rsidR="00FF3AD7">
        <w:rPr>
          <w:rFonts w:ascii="Times New Roman" w:hAnsi="Times New Roman" w:cs="Times New Roman"/>
          <w:sz w:val="28"/>
          <w:szCs w:val="28"/>
          <w:lang w:bidi="ar-SA"/>
        </w:rPr>
        <w:t>. Более 50% кардиоэмболических инсультов связаны с неклапанной ФП, причем 45% этих случаев завершаются фатально или с тяжелыми неврологическими дефицитами</w:t>
      </w:r>
      <w:r w:rsidR="00FF3AD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{"citationID":"0FARixFV","properties":{"unsorted":false,"formattedCitation":"[43]","plainCitation":"[43]","noteIndex":0},"citationItems":[{"id":232,"uris":["http://zotero.org/users/14784094/items/6L92FK68"],"itemData":{"id":232,"type":"article-journal","abstract":"In the review of the current literature urgent issues of treatment of patients with atrial fibrillation are analyzed, namely prevention of thrombosis and the use of anticoagulants therapy. The article describes the current possibilities of prevention thromboembolic complications in patients with atrial fibrillation at high risk. The fact of insufficient use of preventive antithrombotic therapy in patients with atrial fibrillation with high thrombotic risk is demonstrated, which is associated both with incomplete adherence of doctors to the implementation of clinical recommendations, and with low adherence of patients to receiving prescribed anticoagulants. The review of the literature discusses the difficulties of the use of oral anticoagulants, in particular direct action and their high financial burden, and anticoagulants indirect action and instability of their pharmacological effect. The article demonstrates the difficulties of warfarin therapy, such as insufficient adherence to treatment, genetic characteristics of the patient, alimentary and drug interactions. When discussing the issue of insufficient adherence, it is shown that the data on adherence to drug therapy are not homogeneous and do not fully take into account the influence of patient-dependent characteristics. The prospects of developing an individualized algorithm for choosing an anticoagulant for long-term administration for patients with atrial fibrillation from the position of a patient-oriented approach are separately discussed.","container-title":"Annals of the Russian academy of medical sciences","DOI":"10.15690/vramn1116","ISSN":"2414-3545, 0869-6047","issue":"2","journalAbbreviation":"Annals RAMS","language":"ru","license":"https://creativecommons.org/licenses/by/4.0","page":"98-107","source":"DOI.org (Crossref)","title":"Anticoagulant Therapy for Atrial Fibrillation in Real Practice: Problems and Prospects","title-short":"Anticoagulant Therapy for Atrial Fibrillation in Real Practice","volume":"74","author":[{"family":"Skirdenko","given":"Yuliya P."},{"family":"Nikolaev","given":"Nikolay A."},{"family":"Livzan","given":"Maria А."},{"family":"Ershov","given":"Anton V."}],"issued":{"date-parts":[["2019",5,20]]}}}],"schema":"https://github.com/citation-style-language/schema/raw/master/csl-citation.json"} </w:instrText>
      </w:r>
      <w:r w:rsidR="00FF3AD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[43]</w:t>
      </w:r>
      <w:r w:rsidR="00FF3AD7">
        <w:rPr>
          <w:rFonts w:ascii="Times New Roman" w:hAnsi="Times New Roman" w:cs="Times New Roman"/>
          <w:sz w:val="28"/>
          <w:szCs w:val="28"/>
          <w:lang w:bidi="ar-SA"/>
        </w:rPr>
        <w:fldChar w:fldCharType="end"/>
      </w:r>
      <w:r w:rsidR="00FF3AD7">
        <w:rPr>
          <w:rFonts w:ascii="Times New Roman" w:hAnsi="Times New Roman" w:cs="Times New Roman"/>
          <w:sz w:val="28"/>
          <w:szCs w:val="28"/>
          <w:lang w:bidi="ar-SA"/>
        </w:rPr>
        <w:t xml:space="preserve">. Половая принадлежность влияет на риск осложнений: у женщин </w:t>
      </w:r>
      <w:r w:rsidR="00FF3AD7">
        <w:rPr>
          <w:rFonts w:ascii="Times New Roman" w:hAnsi="Times New Roman" w:cs="Times New Roman"/>
          <w:sz w:val="28"/>
          <w:szCs w:val="28"/>
          <w:lang w:bidi="ar-SA"/>
        </w:rPr>
        <w:sym w:font="Symbol" w:char="F0B3"/>
      </w:r>
      <w:r w:rsidR="00FF3AD7">
        <w:rPr>
          <w:rFonts w:ascii="Times New Roman" w:hAnsi="Times New Roman" w:cs="Times New Roman"/>
          <w:sz w:val="28"/>
          <w:szCs w:val="28"/>
          <w:lang w:bidi="ar-SA"/>
        </w:rPr>
        <w:t>75 лет вероятность инсульта на 28% выше, чем у мужчин (</w:t>
      </w:r>
      <w:r w:rsidR="00FF3AD7">
        <w:rPr>
          <w:rFonts w:ascii="Times New Roman" w:hAnsi="Times New Roman" w:cs="Times New Roman"/>
          <w:sz w:val="28"/>
          <w:szCs w:val="28"/>
          <w:lang w:val="en-US" w:bidi="ar-SA"/>
        </w:rPr>
        <w:t>RR</w:t>
      </w:r>
      <w:r w:rsidR="00FF3AD7" w:rsidRPr="00FF3AD7">
        <w:rPr>
          <w:rFonts w:ascii="Times New Roman" w:hAnsi="Times New Roman" w:cs="Times New Roman"/>
          <w:sz w:val="28"/>
          <w:szCs w:val="28"/>
          <w:lang w:bidi="ar-SA"/>
        </w:rPr>
        <w:t xml:space="preserve"> 1,28; 95% </w:t>
      </w:r>
      <w:r w:rsidR="00FF3AD7">
        <w:rPr>
          <w:rFonts w:ascii="Times New Roman" w:hAnsi="Times New Roman" w:cs="Times New Roman"/>
          <w:sz w:val="28"/>
          <w:szCs w:val="28"/>
          <w:lang w:bidi="ar-SA"/>
        </w:rPr>
        <w:t xml:space="preserve">ДИ </w:t>
      </w:r>
      <w:r w:rsidR="00FF3AD7" w:rsidRPr="00FF3AD7">
        <w:rPr>
          <w:rFonts w:ascii="Times New Roman" w:hAnsi="Times New Roman" w:cs="Times New Roman"/>
          <w:sz w:val="28"/>
          <w:szCs w:val="28"/>
          <w:lang w:bidi="ar-SA"/>
        </w:rPr>
        <w:t>1,15-1,43</w:t>
      </w:r>
      <w:r w:rsidR="00FF3AD7">
        <w:rPr>
          <w:rFonts w:ascii="Times New Roman" w:hAnsi="Times New Roman" w:cs="Times New Roman"/>
          <w:sz w:val="28"/>
          <w:szCs w:val="28"/>
          <w:lang w:bidi="ar-SA"/>
        </w:rPr>
        <w:t>)</w:t>
      </w:r>
      <w:r w:rsidR="00FF3AD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KuLixh3K","properties":{"unsorted":false,"formattedCitation":"[44,45]","plainCitation":"[44,45]","noteIndex":0},"citationItems":[{"id":173,"uris":["http://zotero.org/users/14784094/items/V9GDQM98"],"itemData":{"id":173,"type":"article-journal","abstract":"Background: Atrial fibrillation (AF) increases the risk of stroke, but this risk is not homogenous. Many risk factors contribute to stroke risk however, the evidence for female sex as a risk factor is less well-established.Aim: To perform a systematic review and meta-analysis of the available evidence to establish if female sex is a risk factor for stroke/thromboembolism among patients with AF.Methods: A systematic literature search was conducted using Medline. The search term ‘atrial fibrillation’ was used in combination with ‘stroke risk’, ‘thromboembolism’, ‘female’ and ‘gender differences’ and returned 735 articles, of which 17 were appraised and included. Females with AF were compared with males with AF for the outcome of stroke/thromboembolism.Results: Seventeen studies, 5 randomized-controlled trials and 12 prospective observational studies were included; 10 demonstrated an increased risk of stroke in women. Meta-analysis of the 17 studies revealed a 1.31-fold (95% confidence intervals (CIs) 1.18–1.46) elevated risk of stroke in women with AF; the risk appearing greatest for women aged ≥75 years. Only three studies compared entirely anticoagulated populations; stroke rates among these patients varied from 1.2–1.44% per-patient year for men and 2.08–2.43% per-patient year for women. Risk of stroke in women appeared similar regardless of oral anticoagulation therapy [risk ratio (95% CI 1.29 (1.09–1.52) and 1.49 (1.17–1.90) in non-anticogulated vs. anticoagulated/mixed cohorts, respectively).Conclusions: Women with AF are at increased risk of stroke, particularly elderly women. Comprehensive stroke risk assessment, including sex as a risk factor, should be undertaken in all AF patients.","container-title":"QJM: An International Journal of Medicine","DOI":"10.1093/qjmed/hcu054","ISSN":"1460-2725","issue":"12","journalAbbreviation":"QJM: An International Journal of Medicine","page":"955-967","source":"Silverchair","title":"Is female sex a risk factor for stroke and thromboembolism in patients with atrial fibrillation? A systematic review and meta-analysis","title-short":"Is female sex a risk factor for stroke and thromboembolism in patients with atrial fibrillation?","volume":"107","author":[{"family":"Wagstaff","given":"A.J."},{"family":"Overvad","given":"T.F."},{"family":"Lip","given":"G.Y.H."},{"family":"Lane","given":"D.A."}],"issued":{"date-parts":[["2014",12,1]]}}},{"id":536,"uris":["http://zotero.org/users/14784094/items/5LSXTY5Z"],"itemData":{"id":536,"type":"article-journal","abstract":"Background\nAtrial fibrillation (AF) is the most common arrhythmia worldwide and is associated with increased morbi-mortality. The prevalence of AF in the Western world is increasing; however, reports on the prevalence of AF in the past decade are scarce, and whether the prevalence of AF increased during the last decade in Switzerland remains uncertain. Therefore, using data from a Swiss population-based sample, we aimed to assess the point prevalence of AF from 2014 to 2017 and to investigate determinants of AF.\n\nMethods\nA cross-sectional analysis of 4616 Caucasian participants aged 45–86 years (55% women) from a population-based sample was designed to explore the point prevalence and determinants of cardiovascular risk factors in the population of Lausanne, Switzerland. AF was assessed using electrocardiography (ECG) between 2014 and 2017.\n\nResults\nOverall, the point prevalence of AF was 0.9% (95% confidence interval [95% CI]: 0.7–1.2%) and the combined AF + atrial flutter (AFL) point prevalence was 1.1% (95% CI: 8.4–1.5%). The point prevalence of AF was higher among men (81% vs. 19% in women) and increased with age, reaching 3.1% in participants aged ≥ 80. In multivariable analysis, male gender (odds ratio and 95% CI: 4.98 [1.01–24.6]) and increasing age (2.86 [1.40–5.87] per decade) were associated with AF.\n\nConclusion\nThe point prevalence of AF and of AF + AFL, assessed between 2014 and 2017 in the city of Lausanne (Switzerland), was low but increased with age and in men.\n\nSupplementary Information\nThe online version of this article (10.1007/s00059-021-05090-7) contains supplementary material, which is available to authorized users.","container-title":"Herz","DOI":"10.1007/s00059-021-05090-7","ISSN":"0340-9937","issue":"1","journalAbbreviation":"Herz","page":"48-54","PMID":"34902049","PMCID":"PMC9892084","source":"PubMed Central","title":"Prevalence of atrial fibrillation","volume":"48","author":[{"family":"Samim","given":"Daryoush"},{"family":"Choffat","given":"Damien"},{"family":"Vollenweider","given":"Peter"},{"family":"Waeber","given":"Gérard"},{"family":"Marques-Vidal","given":"Pedro"},{"family":"Méan","given":"Marie"}],"issued":{"date-parts":[["2023"]]}}}],"schema":"https://github.com/citation-style-language/schema/raw/master/csl-citation.json"} </w:instrText>
      </w:r>
      <w:r w:rsidR="00FF3AD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[44,45]</w:t>
      </w:r>
      <w:r w:rsidR="00FF3AD7">
        <w:rPr>
          <w:rFonts w:ascii="Times New Roman" w:hAnsi="Times New Roman" w:cs="Times New Roman"/>
          <w:sz w:val="28"/>
          <w:szCs w:val="28"/>
          <w:lang w:bidi="ar-SA"/>
        </w:rPr>
        <w:fldChar w:fldCharType="end"/>
      </w:r>
      <w:r w:rsidR="00A51964">
        <w:rPr>
          <w:rFonts w:ascii="Times New Roman" w:hAnsi="Times New Roman" w:cs="Times New Roman"/>
          <w:sz w:val="28"/>
          <w:szCs w:val="28"/>
          <w:lang w:bidi="ar-SA"/>
        </w:rPr>
        <w:t>.</w:t>
      </w:r>
    </w:p>
    <w:p w14:paraId="0F42B16E" w14:textId="72E15895" w:rsidR="00A51964" w:rsidRDefault="00A51964" w:rsidP="009B0CEF">
      <w:pPr>
        <w:pStyle w:val="LO-normal"/>
        <w:numPr>
          <w:ilvl w:val="1"/>
          <w:numId w:val="8"/>
        </w:numPr>
        <w:spacing w:after="0" w:line="240" w:lineRule="auto"/>
        <w:jc w:val="both"/>
        <w:rPr>
          <w:rFonts w:ascii="Times New Roman" w:hAnsi="Times New Roman" w:cs="Times New Roman"/>
          <w:b/>
          <w:bCs/>
          <w:sz w:val="28"/>
          <w:szCs w:val="28"/>
          <w:lang w:bidi="ar-SA"/>
        </w:rPr>
      </w:pPr>
      <w:r w:rsidRPr="00A51964">
        <w:rPr>
          <w:rFonts w:ascii="Times New Roman" w:hAnsi="Times New Roman" w:cs="Times New Roman"/>
          <w:b/>
          <w:bCs/>
          <w:sz w:val="28"/>
          <w:szCs w:val="28"/>
          <w:lang w:bidi="ar-SA"/>
        </w:rPr>
        <w:t>Оценка рисков осложнений у пациентов с неклапанной ФП</w:t>
      </w:r>
    </w:p>
    <w:p w14:paraId="7350114D" w14:textId="77777777" w:rsidR="00EA5F45" w:rsidRPr="00A51964" w:rsidRDefault="00EA5F45" w:rsidP="00EA5F45">
      <w:pPr>
        <w:pStyle w:val="LO-normal"/>
        <w:spacing w:after="0" w:line="240" w:lineRule="auto"/>
        <w:ind w:left="987"/>
        <w:jc w:val="both"/>
        <w:rPr>
          <w:rFonts w:ascii="Times New Roman" w:hAnsi="Times New Roman" w:cs="Times New Roman"/>
          <w:b/>
          <w:bCs/>
          <w:sz w:val="28"/>
          <w:szCs w:val="28"/>
          <w:lang w:bidi="ar-SA"/>
        </w:rPr>
      </w:pPr>
    </w:p>
    <w:p w14:paraId="711BADD9" w14:textId="3C6DEAA1" w:rsidR="000437E3" w:rsidRPr="00A1683C" w:rsidRDefault="00A51964" w:rsidP="00EA5F45">
      <w:pPr>
        <w:pStyle w:val="LO-normal"/>
        <w:tabs>
          <w:tab w:val="left" w:pos="0"/>
        </w:tabs>
        <w:spacing w:after="0" w:line="240" w:lineRule="auto"/>
        <w:ind w:firstLine="567"/>
        <w:jc w:val="both"/>
        <w:rPr>
          <w:rFonts w:ascii="Times New Roman" w:hAnsi="Times New Roman" w:cs="Times New Roman"/>
          <w:sz w:val="28"/>
          <w:szCs w:val="28"/>
          <w:lang w:bidi="ar-SA"/>
        </w:rPr>
      </w:pPr>
      <w:r w:rsidRPr="000437E3">
        <w:rPr>
          <w:rFonts w:ascii="Times New Roman" w:hAnsi="Times New Roman" w:cs="Times New Roman"/>
          <w:b/>
          <w:bCs/>
          <w:i/>
          <w:iCs/>
          <w:sz w:val="28"/>
          <w:szCs w:val="28"/>
          <w:lang w:bidi="ar-SA"/>
        </w:rPr>
        <w:t xml:space="preserve">Шкалы стратификации риска инсульта </w:t>
      </w:r>
      <w:r w:rsidR="00DF7DB6" w:rsidRPr="000437E3">
        <w:rPr>
          <w:rFonts w:ascii="Times New Roman" w:hAnsi="Times New Roman" w:cs="Times New Roman"/>
          <w:b/>
          <w:bCs/>
          <w:i/>
          <w:iCs/>
          <w:sz w:val="28"/>
          <w:szCs w:val="28"/>
          <w:lang w:bidi="ar-SA"/>
        </w:rPr>
        <w:t>(</w:t>
      </w:r>
      <w:r w:rsidR="000437E3" w:rsidRPr="000437E3">
        <w:rPr>
          <w:rFonts w:ascii="Times New Roman" w:hAnsi="Times New Roman" w:cs="Times New Roman"/>
          <w:b/>
          <w:bCs/>
          <w:i/>
          <w:iCs/>
          <w:sz w:val="28"/>
          <w:szCs w:val="28"/>
          <w:lang w:val="en-US" w:bidi="ar-SA"/>
        </w:rPr>
        <w:t>CHA</w:t>
      </w:r>
      <w:r w:rsidR="000437E3" w:rsidRPr="000437E3">
        <w:rPr>
          <w:rFonts w:ascii="Times New Roman" w:hAnsi="Times New Roman" w:cs="Times New Roman"/>
          <w:b/>
          <w:bCs/>
          <w:i/>
          <w:iCs/>
          <w:sz w:val="28"/>
          <w:szCs w:val="28"/>
          <w:vertAlign w:val="subscript"/>
          <w:lang w:bidi="ar-SA"/>
        </w:rPr>
        <w:t>2</w:t>
      </w:r>
      <w:r w:rsidR="000437E3" w:rsidRPr="000437E3">
        <w:rPr>
          <w:rFonts w:ascii="Times New Roman" w:hAnsi="Times New Roman" w:cs="Times New Roman"/>
          <w:b/>
          <w:bCs/>
          <w:i/>
          <w:iCs/>
          <w:sz w:val="28"/>
          <w:szCs w:val="28"/>
          <w:lang w:val="en-US" w:bidi="ar-SA"/>
        </w:rPr>
        <w:t>DS</w:t>
      </w:r>
      <w:r w:rsidR="000437E3" w:rsidRPr="000437E3">
        <w:rPr>
          <w:rFonts w:ascii="Times New Roman" w:hAnsi="Times New Roman" w:cs="Times New Roman"/>
          <w:b/>
          <w:bCs/>
          <w:i/>
          <w:iCs/>
          <w:sz w:val="28"/>
          <w:szCs w:val="28"/>
          <w:vertAlign w:val="subscript"/>
          <w:lang w:bidi="ar-SA"/>
        </w:rPr>
        <w:t>2</w:t>
      </w:r>
      <w:r w:rsidR="000437E3" w:rsidRPr="000437E3">
        <w:rPr>
          <w:rFonts w:ascii="Times New Roman" w:hAnsi="Times New Roman" w:cs="Times New Roman"/>
          <w:b/>
          <w:bCs/>
          <w:i/>
          <w:iCs/>
          <w:sz w:val="28"/>
          <w:szCs w:val="28"/>
          <w:lang w:bidi="ar-SA"/>
        </w:rPr>
        <w:t>-</w:t>
      </w:r>
      <w:r w:rsidR="000437E3" w:rsidRPr="000437E3">
        <w:rPr>
          <w:rFonts w:ascii="Times New Roman" w:hAnsi="Times New Roman" w:cs="Times New Roman"/>
          <w:b/>
          <w:bCs/>
          <w:i/>
          <w:iCs/>
          <w:sz w:val="28"/>
          <w:szCs w:val="28"/>
          <w:lang w:val="en-US" w:bidi="ar-SA"/>
        </w:rPr>
        <w:t>VASc</w:t>
      </w:r>
      <w:r w:rsidR="00DF7DB6" w:rsidRPr="000437E3">
        <w:rPr>
          <w:rFonts w:ascii="Times New Roman" w:hAnsi="Times New Roman" w:cs="Times New Roman"/>
          <w:b/>
          <w:bCs/>
          <w:i/>
          <w:iCs/>
          <w:sz w:val="28"/>
          <w:szCs w:val="28"/>
          <w:lang w:bidi="ar-SA"/>
        </w:rPr>
        <w:t>)</w:t>
      </w:r>
    </w:p>
    <w:p w14:paraId="099314CE" w14:textId="30C9C62B" w:rsidR="000437E3" w:rsidRDefault="000437E3" w:rsidP="009B0CEF">
      <w:pPr>
        <w:pStyle w:val="LO-normal"/>
        <w:tabs>
          <w:tab w:val="left" w:pos="0"/>
        </w:tabs>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Ф</w:t>
      </w:r>
      <w:r w:rsidR="00EA5F45">
        <w:rPr>
          <w:rFonts w:ascii="Times New Roman" w:hAnsi="Times New Roman" w:cs="Times New Roman"/>
          <w:sz w:val="28"/>
          <w:szCs w:val="28"/>
          <w:lang w:bidi="ar-SA"/>
        </w:rPr>
        <w:t>ибрилляция предсердий</w:t>
      </w:r>
      <w:r>
        <w:rPr>
          <w:rFonts w:ascii="Times New Roman" w:hAnsi="Times New Roman" w:cs="Times New Roman"/>
          <w:sz w:val="28"/>
          <w:szCs w:val="28"/>
          <w:lang w:bidi="ar-SA"/>
        </w:rPr>
        <w:t xml:space="preserve"> повышает вероятность ишемического инсульта в 4-5 раз, причем такие инсульты часто сопровождаются тяжелыми резидуальными состояниями или летальностью</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{"citationID":"1uNbqxwC","properties":{"unsorted":false,"formattedCitation":"[46]","plainCitation":"[46]","noteIndex":0},"citationItems":[{"id":285,"uris":["http://zotero.org/users/14784094/items/ZNTEF3JE"],"itemData":{"id":285,"type":"article-journal","abstract":"The impact of nonrheumatic atrial fibrillation, hypertension, coronary heart disease, and cardiac failure on stroke incidence was examined in 5,070 participants in the Framingham Study after 34 years of follow-up. Compared with subjects free of these conditions, the age-adjusted incidence of stroke was more than doubled in the presence of coronary heart disease (p less than 0.001) and more than trebled in the presence of hypertension (p less than 0.001). There was a more than fourfold excess of stroke in subjects with cardiac failure (p less than 0.001) and a near fivefold excess when atrial fibrillation was present (p less than 0.001). In persons with coronary heart disease or cardiac failure, atrial fibrillation doubled the stroke risk in men and trebled the risk in women. With increasing age the effects of hypertension, coronary heart disease, and cardiac failure on the risk of stroke became progressively weaker (p less than 0.05). Advancing age, however, did not reduce the significant impact of atrial fibrillation. For persons aged 80-89 years, atrial fibrillation was the sole cardiovascular condition to exert an independent effect on stroke incidence (p less than 0.001). The attributable risk of stroke for all cardiovascular contributors decreased with age except for atrial fibrillation, for which the attributable risk increased significantly (p less than 0.01), rising from 1.5% for those aged 50-59 years to 23.5% for those aged 80-89 years. While these findings highlight the impact of each cardiovascular condition on the risk of stroke, the data suggest that the elderly are particularly vulnerable to stroke when atrial fibrillation is present.(ABSTRACT TRUNCATED AT 250 WORDS)","container-title":"Stroke","DOI":"10.1161/01.STR.22.8.983","issue":"8","page":"983-988","publisher":"American Heart Association","source":"ahajournals.org (Atypon)","title":"Atrial fibrillation as an independent risk factor for stroke: the Framingham Study.","title-short":"Atrial fibrillation as an independent risk factor for stroke","volume":"22","author":[{"family":"Wolf","given":"P A"},{"family":"Abbott","given":"R D"},{"family":"Kannel","given":"W B"}],"issued":{"date-parts":[["1991",8]]}}}],"schema":"https://github.com/citation-style-language/schema/raw/master/csl-citation.json"}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[46]</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В этой связи ключевая задача клинициста – точная стратификация тромбоэмболического риска для обоснованного назначения антикоагулянтов. Наиболее валидированной и </w:t>
      </w:r>
      <w:r w:rsidR="00EA5F45">
        <w:rPr>
          <w:rFonts w:ascii="Times New Roman" w:hAnsi="Times New Roman" w:cs="Times New Roman"/>
          <w:sz w:val="28"/>
          <w:szCs w:val="28"/>
          <w:lang w:bidi="ar-SA"/>
        </w:rPr>
        <w:t xml:space="preserve">широко </w:t>
      </w:r>
      <w:r>
        <w:rPr>
          <w:rFonts w:ascii="Times New Roman" w:hAnsi="Times New Roman" w:cs="Times New Roman"/>
          <w:sz w:val="28"/>
          <w:szCs w:val="28"/>
          <w:lang w:bidi="ar-SA"/>
        </w:rPr>
        <w:t xml:space="preserve">используемой является шкала </w:t>
      </w:r>
      <w:r>
        <w:rPr>
          <w:rFonts w:ascii="Times New Roman" w:hAnsi="Times New Roman" w:cs="Times New Roman"/>
          <w:sz w:val="28"/>
          <w:szCs w:val="28"/>
          <w:lang w:val="en-US" w:bidi="ar-SA"/>
        </w:rPr>
        <w:t>CHA</w:t>
      </w:r>
      <w:r w:rsidRPr="000437E3">
        <w:rPr>
          <w:rFonts w:ascii="Times New Roman" w:hAnsi="Times New Roman" w:cs="Times New Roman"/>
          <w:sz w:val="28"/>
          <w:szCs w:val="28"/>
          <w:vertAlign w:val="subscript"/>
          <w:lang w:bidi="ar-SA"/>
        </w:rPr>
        <w:t>2</w:t>
      </w:r>
      <w:r>
        <w:rPr>
          <w:rFonts w:ascii="Times New Roman" w:hAnsi="Times New Roman" w:cs="Times New Roman"/>
          <w:sz w:val="28"/>
          <w:szCs w:val="28"/>
          <w:lang w:val="en-US" w:bidi="ar-SA"/>
        </w:rPr>
        <w:t>DS</w:t>
      </w:r>
      <w:r w:rsidRPr="000437E3">
        <w:rPr>
          <w:rFonts w:ascii="Times New Roman" w:hAnsi="Times New Roman" w:cs="Times New Roman"/>
          <w:sz w:val="28"/>
          <w:szCs w:val="28"/>
          <w:vertAlign w:val="subscript"/>
          <w:lang w:bidi="ar-SA"/>
        </w:rPr>
        <w:t>2</w:t>
      </w:r>
      <w:r w:rsidRPr="000437E3">
        <w:rPr>
          <w:rFonts w:ascii="Times New Roman" w:hAnsi="Times New Roman" w:cs="Times New Roman"/>
          <w:sz w:val="28"/>
          <w:szCs w:val="28"/>
          <w:lang w:bidi="ar-SA"/>
        </w:rPr>
        <w:t>-</w:t>
      </w:r>
      <w:r>
        <w:rPr>
          <w:rFonts w:ascii="Times New Roman" w:hAnsi="Times New Roman" w:cs="Times New Roman"/>
          <w:sz w:val="28"/>
          <w:szCs w:val="28"/>
          <w:lang w:val="en-US" w:bidi="ar-SA"/>
        </w:rPr>
        <w:t>VA</w:t>
      </w:r>
      <w:r w:rsidR="005632E3">
        <w:rPr>
          <w:rFonts w:ascii="Times New Roman" w:hAnsi="Times New Roman" w:cs="Times New Roman"/>
          <w:sz w:val="28"/>
          <w:szCs w:val="28"/>
          <w:lang w:val="en-US" w:bidi="ar-SA"/>
        </w:rPr>
        <w:t>Sc</w:t>
      </w:r>
      <w:r>
        <w:rPr>
          <w:rFonts w:ascii="Times New Roman" w:hAnsi="Times New Roman" w:cs="Times New Roman"/>
          <w:sz w:val="28"/>
          <w:szCs w:val="28"/>
          <w:lang w:bidi="ar-SA"/>
        </w:rPr>
        <w:t>, которая позволяет стратифицировать пациентов по степени риска развития тромбоэмболических осложнений. Наиболее доказательным инструменто</w:t>
      </w:r>
      <w:r w:rsidR="00EA5F45">
        <w:rPr>
          <w:rFonts w:ascii="Times New Roman" w:hAnsi="Times New Roman" w:cs="Times New Roman"/>
          <w:sz w:val="28"/>
          <w:szCs w:val="28"/>
          <w:lang w:bidi="ar-SA"/>
        </w:rPr>
        <w:t xml:space="preserve">м </w:t>
      </w:r>
      <w:r>
        <w:rPr>
          <w:rFonts w:ascii="Times New Roman" w:hAnsi="Times New Roman" w:cs="Times New Roman"/>
          <w:sz w:val="28"/>
          <w:szCs w:val="28"/>
          <w:lang w:bidi="ar-SA"/>
        </w:rPr>
        <w:t xml:space="preserve">для этой цели признана шкала </w:t>
      </w:r>
      <w:r>
        <w:rPr>
          <w:rFonts w:ascii="Times New Roman" w:hAnsi="Times New Roman" w:cs="Times New Roman"/>
          <w:sz w:val="28"/>
          <w:szCs w:val="28"/>
          <w:lang w:val="en-US" w:bidi="ar-SA"/>
        </w:rPr>
        <w:t>CHA</w:t>
      </w:r>
      <w:r w:rsidRPr="000437E3">
        <w:rPr>
          <w:rFonts w:ascii="Times New Roman" w:hAnsi="Times New Roman" w:cs="Times New Roman"/>
          <w:sz w:val="28"/>
          <w:szCs w:val="28"/>
          <w:vertAlign w:val="subscript"/>
          <w:lang w:bidi="ar-SA"/>
        </w:rPr>
        <w:t>2</w:t>
      </w:r>
      <w:r>
        <w:rPr>
          <w:rFonts w:ascii="Times New Roman" w:hAnsi="Times New Roman" w:cs="Times New Roman"/>
          <w:sz w:val="28"/>
          <w:szCs w:val="28"/>
          <w:lang w:val="en-US" w:bidi="ar-SA"/>
        </w:rPr>
        <w:t>DS</w:t>
      </w:r>
      <w:r w:rsidRPr="000437E3">
        <w:rPr>
          <w:rFonts w:ascii="Times New Roman" w:hAnsi="Times New Roman" w:cs="Times New Roman"/>
          <w:sz w:val="28"/>
          <w:szCs w:val="28"/>
          <w:vertAlign w:val="subscript"/>
          <w:lang w:bidi="ar-SA"/>
        </w:rPr>
        <w:t>2</w:t>
      </w:r>
      <w:r w:rsidRPr="000437E3">
        <w:rPr>
          <w:rFonts w:ascii="Times New Roman" w:hAnsi="Times New Roman" w:cs="Times New Roman"/>
          <w:sz w:val="28"/>
          <w:szCs w:val="28"/>
          <w:lang w:bidi="ar-SA"/>
        </w:rPr>
        <w:t>-</w:t>
      </w:r>
      <w:r>
        <w:rPr>
          <w:rFonts w:ascii="Times New Roman" w:hAnsi="Times New Roman" w:cs="Times New Roman"/>
          <w:sz w:val="28"/>
          <w:szCs w:val="28"/>
          <w:lang w:val="en-US" w:bidi="ar-SA"/>
        </w:rPr>
        <w:t>VASc</w:t>
      </w:r>
      <w:r>
        <w:rPr>
          <w:rFonts w:ascii="Times New Roman" w:hAnsi="Times New Roman" w:cs="Times New Roman"/>
          <w:sz w:val="28"/>
          <w:szCs w:val="28"/>
          <w:lang w:bidi="ar-SA"/>
        </w:rPr>
        <w:t xml:space="preserve">, заменяющая устаревший подход </w:t>
      </w:r>
      <w:r>
        <w:rPr>
          <w:rFonts w:ascii="Times New Roman" w:hAnsi="Times New Roman" w:cs="Times New Roman"/>
          <w:sz w:val="28"/>
          <w:szCs w:val="28"/>
          <w:lang w:val="en-US" w:bidi="ar-SA"/>
        </w:rPr>
        <w:t>CHADS</w:t>
      </w:r>
      <w:r w:rsidRPr="000437E3">
        <w:rPr>
          <w:rFonts w:ascii="Times New Roman" w:hAnsi="Times New Roman" w:cs="Times New Roman"/>
          <w:sz w:val="28"/>
          <w:szCs w:val="28"/>
          <w:vertAlign w:val="subscript"/>
          <w:lang w:bidi="ar-SA"/>
        </w:rPr>
        <w:t>2</w:t>
      </w:r>
      <w:r w:rsidR="007E18A5">
        <w:rPr>
          <w:rFonts w:ascii="Times New Roman" w:hAnsi="Times New Roman" w:cs="Times New Roman"/>
          <w:sz w:val="28"/>
          <w:szCs w:val="28"/>
          <w:lang w:bidi="ar-SA"/>
        </w:rPr>
        <w:t xml:space="preserve">. Последняя учитывала лишь пять параметров (ХСН, АГ, возраст старше 75 лет, СД и инсульт/ТИА в анамнезе), демонстрируя низкую </w:t>
      </w:r>
      <w:r w:rsidR="00EA5F45">
        <w:rPr>
          <w:rFonts w:ascii="Times New Roman" w:hAnsi="Times New Roman" w:cs="Times New Roman"/>
          <w:sz w:val="28"/>
          <w:szCs w:val="28"/>
          <w:lang w:bidi="ar-SA"/>
        </w:rPr>
        <w:t>дискриминационную</w:t>
      </w:r>
      <w:r w:rsidR="007E18A5">
        <w:rPr>
          <w:rFonts w:ascii="Times New Roman" w:hAnsi="Times New Roman" w:cs="Times New Roman"/>
          <w:sz w:val="28"/>
          <w:szCs w:val="28"/>
          <w:lang w:bidi="ar-SA"/>
        </w:rPr>
        <w:t xml:space="preserve"> способность у пациентов промежуточного риска</w:t>
      </w:r>
      <w:r w:rsidR="007E18A5">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{"citationID":"GkGVYacB","properties":{"unsorted":false,"formattedCitation":"[47]","plainCitation":"[47]","noteIndex":0},"citationItems":[{"id":284,"uris":["http://zotero.org/users/14784094/items/NLYG776K"],"itemData":{"id":284,"type":"article-journal","abstract":"CONTEXT: Patients who have atrial fibrillation (AF) have an increased risk of stroke, but their absolute rate of stroke depends on age and comorbid conditions.\nOBJECTIVE: To assess the predictive value of classification schemes that estimate stroke risk in patients with AF.\nDESIGN, SETTING, AND PATIENTS: Two existing classification schemes were combined into a new stroke-risk scheme, the CHADS( 2) index, and all 3 classification schemes were validated. The CHADS( 2) was formed by assigning 1 point each for the presence of congestive heart failure, hypertension, age 75 years or older, and diabetes mellitus and by assigning 2 points for history of stroke or transient ischemic attack. Data from peer review organizations representing 7 states were used to assemble a National Registry of AF (NRAF) consisting of 1733 Medicare beneficiaries aged 65 to 95 years who had nonrheumatic AF and were not prescribed warfarin at hospital discharge.\nMAIN OUTCOME MEASURE: Hospitalization for ischemic stroke, determined by Medicare claims data.\nRESULTS: During 2121 patient-years of follow-up, 94 patients were readmitted to the hospital for ischemic stroke (stroke rate, 4.4 per 100 patient-years). As indicated by a c statistic greater than 0.5, the 2 existing classification schemes predicted stroke better than chance: c of 0.68 (95% confidence interval [CI], 0.65-0.71) for the scheme developed by the Atrial Fibrillation Investigators (AFI) and c of 0.74 (95% CI, 0.71-0.76) for the Stroke Prevention in Atrial Fibrillation (SPAF) III scheme. However, with a c statistic of 0.82 (95% CI, 0.80-0.84), the CHADS( 2) index was the most accurate predictor of stroke. The stroke rate per 100 patient-years without antithrombotic therapy increased by a factor of 1.5 (95% CI, 1.3-1.7) for each 1-point increase in the CHADS( 2) score: 1.9 (95% CI, 1.2-3.0) for a score of 0; 2.8 (95% CI, 2.0-3.8) for 1; 4.0 (95% CI, 3.1-5.1) for 2; 5.9 (95% CI, 4.6-7.3) for 3; 8.5 (95% CI, 6.3-11.1) for 4; 12.5 (95% CI, 8.2-17.5) for 5; and 18.2 (95% CI, 10.5-27.4) for 6.\nCONCLUSION: The 2 existing classification schemes and especially a new stroke risk index, CHADS( 2), can quantify risk of stroke for patients who have AF and may aid in selection of antithrombotic therapy.","container-title":"JAMA","DOI":"10.1001/jama.285.22.2864","ISSN":"0098-7484","issue":"22","journalAbbreviation":"JAMA","language":"eng","page":"2864-2870","PMID":"11401607","source":"PubMed","title":"Validation of clinical classification schemes for predicting stroke: results from the National Registry of Atrial Fibrillation","title-short":"Validation of clinical classification schemes for predicting stroke","volume":"285","author":[{"family":"Gage","given":"B. F."},{"family":"Waterman","given":"A. D."},{"family":"Shannon","given":"W."},{"family":"Boechler","given":"M."},{"family":"Rich","given":"M. W."},{"family":"Radford","given":"M. J."}],"issued":{"date-parts":[["2001",6,13]]}}}],"schema":"https://github.com/citation-style-language/schema/raw/master/csl-citation.json"} </w:instrText>
      </w:r>
      <w:r w:rsidR="007E18A5">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[47]</w:t>
      </w:r>
      <w:r w:rsidR="007E18A5">
        <w:rPr>
          <w:rFonts w:ascii="Times New Roman" w:hAnsi="Times New Roman" w:cs="Times New Roman"/>
          <w:sz w:val="28"/>
          <w:szCs w:val="28"/>
          <w:lang w:bidi="ar-SA"/>
        </w:rPr>
        <w:fldChar w:fldCharType="end"/>
      </w:r>
      <w:r w:rsidR="007E18A5">
        <w:rPr>
          <w:rFonts w:ascii="Times New Roman" w:hAnsi="Times New Roman" w:cs="Times New Roman"/>
          <w:sz w:val="28"/>
          <w:szCs w:val="28"/>
          <w:lang w:bidi="ar-SA"/>
        </w:rPr>
        <w:t xml:space="preserve">. Несмотря на простоту, шкала </w:t>
      </w:r>
      <w:r w:rsidR="007E18A5">
        <w:rPr>
          <w:rFonts w:ascii="Times New Roman" w:hAnsi="Times New Roman" w:cs="Times New Roman"/>
          <w:sz w:val="28"/>
          <w:szCs w:val="28"/>
          <w:lang w:val="en-US" w:bidi="ar-SA"/>
        </w:rPr>
        <w:t>CHADS</w:t>
      </w:r>
      <w:r w:rsidR="007E18A5" w:rsidRPr="007E18A5">
        <w:rPr>
          <w:rFonts w:ascii="Times New Roman" w:hAnsi="Times New Roman" w:cs="Times New Roman"/>
          <w:sz w:val="28"/>
          <w:szCs w:val="28"/>
          <w:vertAlign w:val="subscript"/>
          <w:lang w:bidi="ar-SA"/>
        </w:rPr>
        <w:t>2</w:t>
      </w:r>
      <w:r w:rsidR="007E18A5" w:rsidRPr="007E18A5">
        <w:rPr>
          <w:rFonts w:ascii="Times New Roman" w:hAnsi="Times New Roman" w:cs="Times New Roman"/>
          <w:sz w:val="28"/>
          <w:szCs w:val="28"/>
          <w:lang w:bidi="ar-SA"/>
        </w:rPr>
        <w:t xml:space="preserve"> </w:t>
      </w:r>
      <w:r w:rsidR="007E18A5">
        <w:rPr>
          <w:rFonts w:ascii="Times New Roman" w:hAnsi="Times New Roman" w:cs="Times New Roman"/>
          <w:sz w:val="28"/>
          <w:szCs w:val="28"/>
          <w:lang w:bidi="ar-SA"/>
        </w:rPr>
        <w:t xml:space="preserve">оказалась недостаточно чувствительной для стратификации пациентов с низким и умеренным риском. </w:t>
      </w:r>
      <w:r w:rsidR="007E18A5">
        <w:rPr>
          <w:rFonts w:ascii="Times New Roman" w:hAnsi="Times New Roman" w:cs="Times New Roman"/>
          <w:sz w:val="28"/>
          <w:szCs w:val="28"/>
          <w:lang w:val="en-US" w:bidi="ar-SA"/>
        </w:rPr>
        <w:t>CHA</w:t>
      </w:r>
      <w:r w:rsidR="007E18A5">
        <w:rPr>
          <w:rFonts w:ascii="Times New Roman" w:hAnsi="Times New Roman" w:cs="Times New Roman"/>
          <w:sz w:val="28"/>
          <w:szCs w:val="28"/>
          <w:vertAlign w:val="subscript"/>
          <w:lang w:val="en-US" w:bidi="ar-SA"/>
        </w:rPr>
        <w:t>2</w:t>
      </w:r>
      <w:r w:rsidR="007E18A5">
        <w:rPr>
          <w:rFonts w:ascii="Times New Roman" w:hAnsi="Times New Roman" w:cs="Times New Roman"/>
          <w:sz w:val="28"/>
          <w:szCs w:val="28"/>
          <w:lang w:val="en-US" w:bidi="ar-SA"/>
        </w:rPr>
        <w:t>DS</w:t>
      </w:r>
      <w:r w:rsidR="007E18A5">
        <w:rPr>
          <w:rFonts w:ascii="Times New Roman" w:hAnsi="Times New Roman" w:cs="Times New Roman"/>
          <w:sz w:val="28"/>
          <w:szCs w:val="28"/>
          <w:vertAlign w:val="subscript"/>
          <w:lang w:val="en-US" w:bidi="ar-SA"/>
        </w:rPr>
        <w:t>2</w:t>
      </w:r>
      <w:r w:rsidR="007E18A5">
        <w:rPr>
          <w:rFonts w:ascii="Times New Roman" w:hAnsi="Times New Roman" w:cs="Times New Roman"/>
          <w:sz w:val="28"/>
          <w:szCs w:val="28"/>
          <w:lang w:val="en-US" w:bidi="ar-SA"/>
        </w:rPr>
        <w:t xml:space="preserve">-VASc </w:t>
      </w:r>
      <w:r w:rsidR="005632E3">
        <w:rPr>
          <w:rFonts w:ascii="Times New Roman" w:hAnsi="Times New Roman" w:cs="Times New Roman"/>
          <w:sz w:val="28"/>
          <w:szCs w:val="28"/>
          <w:lang w:bidi="ar-SA"/>
        </w:rPr>
        <w:t xml:space="preserve">вводит расширенный набор предикторов: </w:t>
      </w:r>
    </w:p>
    <w:p w14:paraId="03126260" w14:textId="077F2DD3" w:rsidR="005632E3" w:rsidRP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Congestive heart failure</w:t>
      </w:r>
      <w:r>
        <w:rPr>
          <w:rFonts w:ascii="Times New Roman" w:hAnsi="Times New Roman" w:cs="Times New Roman"/>
          <w:sz w:val="28"/>
          <w:szCs w:val="28"/>
          <w:lang w:bidi="ar-SA"/>
        </w:rPr>
        <w:t xml:space="preserve"> (сердечная недостаточность) – 1 балл</w:t>
      </w:r>
    </w:p>
    <w:p w14:paraId="04822D22" w14:textId="4D670674" w:rsidR="001931BC" w:rsidRP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Hypertension</w:t>
      </w:r>
      <w:r>
        <w:rPr>
          <w:rFonts w:ascii="Times New Roman" w:hAnsi="Times New Roman" w:cs="Times New Roman"/>
          <w:sz w:val="28"/>
          <w:szCs w:val="28"/>
          <w:lang w:bidi="ar-SA"/>
        </w:rPr>
        <w:t xml:space="preserve"> (артериальная гипертензия) – 1 балл</w:t>
      </w:r>
    </w:p>
    <w:p w14:paraId="7A8BABE4" w14:textId="2C8586FB" w:rsidR="001931BC" w:rsidRP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Age</w:t>
      </w:r>
      <w:r>
        <w:rPr>
          <w:rFonts w:ascii="Times New Roman" w:hAnsi="Times New Roman" w:cs="Times New Roman"/>
          <w:sz w:val="28"/>
          <w:szCs w:val="28"/>
          <w:lang w:bidi="ar-SA"/>
        </w:rPr>
        <w:sym w:font="Symbol" w:char="F0B3"/>
      </w:r>
      <w:r>
        <w:rPr>
          <w:rFonts w:ascii="Times New Roman" w:hAnsi="Times New Roman" w:cs="Times New Roman"/>
          <w:sz w:val="28"/>
          <w:szCs w:val="28"/>
          <w:lang w:bidi="ar-SA"/>
        </w:rPr>
        <w:t>75 лет – 2 балла</w:t>
      </w:r>
    </w:p>
    <w:p w14:paraId="78F1385C" w14:textId="66AC26EA" w:rsidR="001931BC" w:rsidRP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Diabetes</w:t>
      </w:r>
      <w:r w:rsidRPr="001931B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mellitus</w:t>
      </w:r>
      <w:r>
        <w:rPr>
          <w:rFonts w:ascii="Times New Roman" w:hAnsi="Times New Roman" w:cs="Times New Roman"/>
          <w:sz w:val="28"/>
          <w:szCs w:val="28"/>
          <w:lang w:bidi="ar-SA"/>
        </w:rPr>
        <w:t xml:space="preserve"> (сахарный диабет) – 1 балл</w:t>
      </w:r>
    </w:p>
    <w:p w14:paraId="15F3E312" w14:textId="33D8AC69" w:rsidR="001931BC" w:rsidRP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Stroke</w:t>
      </w:r>
      <w:r w:rsidRPr="001931B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TIA</w:t>
      </w:r>
      <w:r w:rsidRPr="001931B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thromboembolism</w:t>
      </w:r>
      <w:r>
        <w:rPr>
          <w:rFonts w:ascii="Times New Roman" w:hAnsi="Times New Roman" w:cs="Times New Roman"/>
          <w:sz w:val="28"/>
          <w:szCs w:val="28"/>
          <w:lang w:bidi="ar-SA"/>
        </w:rPr>
        <w:t xml:space="preserve"> (инсульт/ ТИА/ тромбоэмболия в анамнезе) – 2 балла</w:t>
      </w:r>
    </w:p>
    <w:p w14:paraId="7232480B" w14:textId="7C9ECA74" w:rsidR="001931BC" w:rsidRP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Vascular</w:t>
      </w:r>
      <w:r w:rsidRPr="001931B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disease</w:t>
      </w:r>
      <w:r>
        <w:rPr>
          <w:rFonts w:ascii="Times New Roman" w:hAnsi="Times New Roman" w:cs="Times New Roman"/>
          <w:sz w:val="28"/>
          <w:szCs w:val="28"/>
          <w:lang w:bidi="ar-SA"/>
        </w:rPr>
        <w:t xml:space="preserve"> (ишемическая болезнь сердца, инфаркт миокарда, атеросклероз периферических артерий) – 1 балл</w:t>
      </w:r>
    </w:p>
    <w:p w14:paraId="4D761E83" w14:textId="4D6CA26D" w:rsidR="001931BC" w:rsidRP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Age</w:t>
      </w:r>
      <w:r>
        <w:rPr>
          <w:rFonts w:ascii="Times New Roman" w:hAnsi="Times New Roman" w:cs="Times New Roman"/>
          <w:sz w:val="28"/>
          <w:szCs w:val="28"/>
          <w:lang w:bidi="ar-SA"/>
        </w:rPr>
        <w:t xml:space="preserve"> 65-74 лет – 1 балл</w:t>
      </w:r>
    </w:p>
    <w:p w14:paraId="2E368DAA" w14:textId="7FBD101B" w:rsidR="001931BC" w:rsidRDefault="001931BC" w:rsidP="009B0CEF">
      <w:pPr>
        <w:pStyle w:val="LO-normal"/>
        <w:numPr>
          <w:ilvl w:val="0"/>
          <w:numId w:val="9"/>
        </w:numPr>
        <w:tabs>
          <w:tab w:val="left" w:pos="0"/>
        </w:tabs>
        <w:spacing w:after="0" w:line="240" w:lineRule="auto"/>
        <w:ind w:left="567"/>
        <w:jc w:val="both"/>
        <w:rPr>
          <w:rFonts w:ascii="Times New Roman" w:hAnsi="Times New Roman" w:cs="Times New Roman"/>
          <w:sz w:val="28"/>
          <w:szCs w:val="28"/>
          <w:lang w:bidi="ar-SA"/>
        </w:rPr>
      </w:pPr>
      <w:r>
        <w:rPr>
          <w:rFonts w:ascii="Times New Roman" w:hAnsi="Times New Roman" w:cs="Times New Roman"/>
          <w:sz w:val="28"/>
          <w:szCs w:val="28"/>
          <w:lang w:val="en-US" w:bidi="ar-SA"/>
        </w:rPr>
        <w:t>Sc</w:t>
      </w:r>
      <w:r w:rsidRPr="001931B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sex</w:t>
      </w:r>
      <w:r w:rsidRPr="001931B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category</w:t>
      </w:r>
      <w:r>
        <w:rPr>
          <w:rFonts w:ascii="Times New Roman" w:hAnsi="Times New Roman" w:cs="Times New Roman"/>
          <w:sz w:val="28"/>
          <w:szCs w:val="28"/>
          <w:lang w:bidi="ar-SA"/>
        </w:rPr>
        <w:t xml:space="preserve"> (женский пол) – 1 балл.</w:t>
      </w:r>
    </w:p>
    <w:p w14:paraId="464E4799" w14:textId="03EFAA07" w:rsidR="001931BC" w:rsidRDefault="001931BC" w:rsidP="009B0CEF">
      <w:pPr>
        <w:pStyle w:val="LO-normal"/>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Сильной стороной данной шкалы является ее высокая прогностическая точность при выявлении пациентов с низким риском, которым можно безопасно воздержаться от назначения антикоагулянтов. Это важно для избежания ненужных побочных эффектов, особенно кровотечений, связанных с лечением. В масштабном когортном исследовании, охватившем более 70 000 пациентов, было показано, что вероятность инсульта увеличивается пропорционально росту баллов по </w:t>
      </w:r>
      <w:r>
        <w:rPr>
          <w:rFonts w:ascii="Times New Roman" w:hAnsi="Times New Roman" w:cs="Times New Roman"/>
          <w:sz w:val="28"/>
          <w:szCs w:val="28"/>
          <w:lang w:val="en-US" w:bidi="ar-SA"/>
        </w:rPr>
        <w:t>CHA</w:t>
      </w:r>
      <w:r w:rsidRPr="001931BC">
        <w:rPr>
          <w:rFonts w:ascii="Times New Roman" w:hAnsi="Times New Roman" w:cs="Times New Roman"/>
          <w:sz w:val="28"/>
          <w:szCs w:val="28"/>
          <w:vertAlign w:val="subscript"/>
          <w:lang w:bidi="ar-SA"/>
        </w:rPr>
        <w:t>2</w:t>
      </w:r>
      <w:r>
        <w:rPr>
          <w:rFonts w:ascii="Times New Roman" w:hAnsi="Times New Roman" w:cs="Times New Roman"/>
          <w:sz w:val="28"/>
          <w:szCs w:val="28"/>
          <w:lang w:val="en-US" w:bidi="ar-SA"/>
        </w:rPr>
        <w:t>DS</w:t>
      </w:r>
      <w:r w:rsidRPr="001931BC">
        <w:rPr>
          <w:rFonts w:ascii="Times New Roman" w:hAnsi="Times New Roman" w:cs="Times New Roman"/>
          <w:sz w:val="28"/>
          <w:szCs w:val="28"/>
          <w:vertAlign w:val="subscript"/>
          <w:lang w:bidi="ar-SA"/>
        </w:rPr>
        <w:t>2</w:t>
      </w:r>
      <w:r w:rsidRPr="001931BC">
        <w:rPr>
          <w:rFonts w:ascii="Times New Roman" w:hAnsi="Times New Roman" w:cs="Times New Roman"/>
          <w:sz w:val="28"/>
          <w:szCs w:val="28"/>
          <w:lang w:bidi="ar-SA"/>
        </w:rPr>
        <w:t>-</w:t>
      </w:r>
      <w:r>
        <w:rPr>
          <w:rFonts w:ascii="Times New Roman" w:hAnsi="Times New Roman" w:cs="Times New Roman"/>
          <w:sz w:val="28"/>
          <w:szCs w:val="28"/>
          <w:lang w:val="en-US" w:bidi="ar-SA"/>
        </w:rPr>
        <w:t>VASc</w:t>
      </w:r>
      <w:r>
        <w:rPr>
          <w:rFonts w:ascii="Times New Roman" w:hAnsi="Times New Roman" w:cs="Times New Roman"/>
          <w:sz w:val="28"/>
          <w:szCs w:val="28"/>
          <w:lang w:val="en-US" w:bidi="ar-SA"/>
        </w:rPr>
        <w:fldChar w:fldCharType="begin"/>
      </w:r>
      <w:r w:rsidR="00171CCC">
        <w:rPr>
          <w:rFonts w:ascii="Times New Roman" w:hAnsi="Times New Roman" w:cs="Times New Roman"/>
          <w:sz w:val="28"/>
          <w:szCs w:val="28"/>
          <w:lang w:bidi="ar-SA"/>
        </w:rPr>
        <w:instrText xml:space="preserve"> ADDIN ZOTERO_ITEM CSL_CITATION {"citationID":"isfatxVH","properties":{"unsorted":false,"formattedCitation":"[24]","plainCitation":"[24]","noteIndex":0},"citationItems":[{"id":160,"uris":["http://zotero.org/users/14784094/items/CD25IBRI"],"itemData":{"id":160,"type":"article-journal","container-title":"European Heart Journal","DOI":"10.1093/eurheartj/ehaa612","ISSN":"0195-668X, 1522-9645","issue":"5","language":"en","license":"https://academic.oup.com/journals/pages/open_access/funder_policies/chorus/standard_publication_model","page":"373-498","source":"DOI.org (Crossref)","title":"2020 ESC Guidelines for the diagnosis and management of atrial fibrillation developed in collaboration with the European Association for Cardio-Thoracic Surgery (EACTS)","volume":"42","author":[{"family":"Hindricks","given":"Gerhard"},{"family":"Potpara","given":"Tatjana"},{"family":"Dagres","given":"Nikolaos"},{"family":"Arbelo","given":"Elena"},{"family":"Bax","given":"Jeroen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J"},{"family":"Thomas","given":"G Neil"},{"family":"Valgimigli","given":"Marco"},{"family":"Van Gelder","given":"Isabelle C"},{"family":"Van Putte","given":"Bart P"},{"family":"Watkins","given":"Caroline L"},{"literal":"ESC Scientific Document Group"},{"family":"Kirchhof","given":"Paulus"},{"family":"Kühne","given":"Michael"},{"family":"Aboyans","given":"Victor"},{"family":"Ahlsson","given":"Anders"},{"family":"Balsam","given":"Pawel"},{"family":"Bauersachs","given":"Johann"},{"family":"Benussi","given":"Stefano"},{"family":"Brandes","given":"Axel"},{"family":"Braunschweig","given":"Frieder"},{"family":"Camm","given":"A John"},{"family":"Capodanno","given":"Davide"},{"family":"Casadei","given":"Barbara"},{"family":"Conen","given":"David"},{"family":"Crijns","given":"Harry J G M"},{"family":"Delgado","given":"Victoria"},{"family":"Dobrev","given":"Dobromir"},{"family":"Drexel","given":"Heinz"},{"family":"Eckardt","given":"Lars"},{"family":"Fitzsimons","given":"Donna"},{"family":"Folliguet","given":"Thierry"},{"family":"Gale","given":"Chris P"},{"family":"Gorenek","given":"Bulent"},{"family":"Haeusler","given":"Karl Georg"},{"family":"Heidbuchel","given":"Hein"},{"family":"Iung","given":"Bernard"},{"family":"Katus","given":"Hugo A"},{"family":"Kotecha","given":"Dipak"},{"family":"Landmesser","given":"Ulf"},{"family":"Leclercq","given":"Christophe"},{"family":"Lewis","given":"Basil S"},{"family":"Mascherbauer","given":"Julia"},{"family":"Merino","given":"Jose Luis"},{"family":"Merkely","given":"Béla"},{"family":"Mont","given":"Lluís"},{"family":"Mueller","given":"Christian"},{"family":"Nagy","given":"Klaudia V"},{"family":"Oldgren","given":"Jonas"},{"family":"Pavlović","given":"Nikola"},{"family":"Pedretti","given":"Roberto F E"},{"family":"Petersen","given":"Steffen E"},{"family":"Piccini","given":"Jonathan P"},{"family":"Popescu","given":"Bogdan A"},{"family":"Pürerfellner","given":"Helmut"},{"family":"Richter","given":"Dimitrios J"},{"family":"Roffi","given":"Marco"},{"family":"Rubboli","given":"Andrea"},{"family":"Scherr","given":"Daniel"},{"family":"Schnabel","given":"Renate B"},{"family":"Simpson","given":"Iain A"},{"family":"Shlyakhto","given":"Evgeny"},{"family":"Sinner","given":"Moritz F"},{"family":"Steffel","given":"Jan"},{"family":"Sousa-Uva","given":"Miguel"},{"family":"Suwalski","given":"Piotr"},{"family":"Svetlosak","given":"Martin"},{"family":"Touyz","given":"Rhian M"},{"family":"Dagres","given":"Nikolaos"},{"family":"Arbelo","given":"Elena"},{"family":"Bax","given":"Jeroen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J"},{"family":"Neil Thomas","given":"G"},{"family":"Valgimigli","given":"Marco"},{"family":"Van Gelder","given":"Isabelle C"},{"family":"Watkins","given":"Caroline L"},{"family":"Delassi","given":"Tahar"},{"family":"Sisakian","given":"Hamayak S"},{"family":"Scherr","given":"Daniel"},{"family":"Chasnoits","given":"Alexandr"},{"family":"Pauw","given":"Michel De"},{"family":"Smajić","given":"Elnur"},{"family":"Shalganov","given":"Tchavdar"},{"family":"Avraamides","given":"Panayiotis"},{"family":"Kautzner","given":"Josef"},{"family":"Gerdes","given":"Christian"},{"family":"Alaziz","given":"Ahmad Abd"},{"family":"Kampus","given":"Priit"},{"family":"Raatikainen","given":"Pekka"},{"family":"Boveda","given":"Serge"},{"family":"Papiashvili","given":"Giorgi"},{"family":"Eckardt","given":"Lars"},{"family":"Vassilikos","given":"Vassilios"},{"family":"Csanádi","given":"Zoltán"},{"family":"Arnar","given":"David O"},{"family":"Galvin","given":"Joseph"},{"family":"Barsheshet","given":"Alon"},{"family":"Caldarola","given":"Pasquale"},{"family":"Rakisheva","given":"Amina"},{"family":"Bytyçi","given":"Ibadete"},{"family":"Kerimkulova","given":"Alina"},{"family":"Kalejs","given":"Oskars"},{"family":"Njeim","given":"Mario"},{"family":"Puodziukynas","given":"Aras"},{"family":"Groben","given":"Laurent"},{"family":"Sammut","given":"Mark A"},{"family":"Grosu","given":"Aurel"},{"family":"Boskovic","given":"Aneta"},{"family":"Moustaghfir","given":"Abdelhamid"},{"family":"Groot","given":"Natasja De"},{"family":"Poposka","given":"Lidija"},{"family":"Anfinsen","given":"Ole-Gunnar"},{"family":"Mitkowski","given":"Przemyslaw P"},{"family":"Cavaco","given":"Diogo Magalhães"},{"family":"Siliste","given":"Calin"},{"family":"Mikhaylov","given":"Evgeny N"},{"family":"Bertelli","given":"Luca"},{"family":"Kojic","given":"Dejan"},{"family":"Hatala","given":"Robert"},{"family":"Fras","given":"Zlatko"},{"family":"Arribas","given":"Fernando"},{"family":"Juhlin","given":"Tord"},{"family":"Sticherling","given":"Christian"},{"family":"Abid","given":"Leila"},{"family":"Atar","given":"Ilyas"},{"family":"Sychov","given":"Oleg"},{"family":"Bates","given":"Matthew G D"},{"family":"Zakirov","given":"Nodir U"}],"issued":{"date-parts":[["2021",2,1]]}}}],"schema":"https://github.com/citation-style-language/schema/raw/master/csl-citation.json"} </w:instrText>
      </w:r>
      <w:r>
        <w:rPr>
          <w:rFonts w:ascii="Times New Roman" w:hAnsi="Times New Roman" w:cs="Times New Roman"/>
          <w:sz w:val="28"/>
          <w:szCs w:val="28"/>
          <w:lang w:val="en-US" w:bidi="ar-SA"/>
        </w:rPr>
        <w:fldChar w:fldCharType="separate"/>
      </w:r>
      <w:r w:rsidR="00171CCC">
        <w:rPr>
          <w:rFonts w:ascii="Times New Roman" w:hAnsi="Times New Roman" w:cs="Times New Roman"/>
          <w:noProof/>
          <w:sz w:val="28"/>
          <w:szCs w:val="28"/>
          <w:lang w:bidi="ar-SA"/>
        </w:rPr>
        <w:t>[24]</w:t>
      </w:r>
      <w:r>
        <w:rPr>
          <w:rFonts w:ascii="Times New Roman" w:hAnsi="Times New Roman" w:cs="Times New Roman"/>
          <w:sz w:val="28"/>
          <w:szCs w:val="28"/>
          <w:lang w:val="en-US" w:bidi="ar-SA"/>
        </w:rPr>
        <w:fldChar w:fldCharType="end"/>
      </w:r>
      <w:r>
        <w:rPr>
          <w:rFonts w:ascii="Times New Roman" w:hAnsi="Times New Roman" w:cs="Times New Roman"/>
          <w:sz w:val="28"/>
          <w:szCs w:val="28"/>
          <w:lang w:bidi="ar-SA"/>
        </w:rPr>
        <w:t>. Дополнительном преимуществом шкалы являются ее простота в применении и возможность интеграции в электронные медицинские системы для автоматической оценки риска. Особого внимания требует гендерный фактор: изолированный женский пол (1 балл) не требует антикоагуляции из-за минимального риска (0,8%/год), но усиливает тромбоэмболическую угрозу при комбинации с другими факторами</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{"citationID":"NeLHbI0s","properties":{"unsorted":false,"formattedCitation":"[48]","plainCitation":"[48]","noteIndex":0},"citationItems":[{"id":159,"uris":["http://zotero.org/users/14784094/items/CZLC8YKL"],"itemData":{"id":159,"type":"article-journal","abstract":"BACKGROUND: Stroke risk in atrial fibrillation is assessed by using the CHA2DS2-VASc score. Sex category (Sc, ie, female sex) confers 1 point on CHA2DS2-VASc. We hypothesized that female sex is a stroke risk modifier, rather than an overall risk factor, when added to a CHA2DS2-VA (sex-independent thromboembolism risk) score scale.\nMETHODS: Using 3 nationwide registries, we identified patients with incident nonvalvular atrial fibrillation from January 1, 1997, through December 31, 2015. Patients receiving oral anticoagulant treatment at baseline were excluded, and person-time was censored at the time of treatment initiation (if any). CHA2DS2-VA scores were calculated for men and women, and were followed for up to 1 year in the Danish National Patient Registry. The primary outcome was a primary hospital code for ischemic stroke or systemic embolism (thromboembolism). We calculated crude event rates for risk strata as events per 100 person-years. For quantifying absolute risk of stroke, we calculated risks based on the pseudovalue method. Female sex as a prognostic factor was investigated by inclusion as an interaction term on the CHA2DS2-VA score to calculate the thromboembolic risk ratio for different score points.\nRESULTS: A total of 239 671 patients with atrial fibrillation (48.7% women) contributed to the analyses. The mean ages for women and men were 76.6 years and 70.3 years, respectively; the mean CHA2DS2-VA scores were 2.7 for women and 2.3 for men. The overall 1-year thromboembolic rate per 100 person-years for women was 7.3 and 5.7 for men. The 1-year absolute risk of thromboembolism was 0.5% among men and women with a CHA2DS2-VA score of 0 and increased up to &gt;7% among very comorbid patients (score &gt;5). The risk ratio (male as reference) across points &gt;1 indicated that women exhibit a higher stroke risk. The interaction was statistically significant (P&lt;0.001).\nCONCLUSIONS: Female sex is a risk modifier for stroke in patients with atrial fibrillation. Initial decisions on oral anticoagulant treatment could be guided by a CHA2DS2-VA score (ie, excluding the sex category criterion), but the Sc risk component modifies and accentuates stroke risk in women who would have been eligible for oral anticoagulant treatment on the basis of ≥2 additional stroke risk factors.","container-title":"Circulation","DOI":"10.1161/CIRCULATIONAHA.117.029081","ISSN":"1524-4539","issue":"8","journalAbbreviation":"Circulation","language":"eng","page":"832-840","PMID":"29459469","source":"PubMed","title":"Female Sex Is a Risk Modifier Rather Than a Risk Factor for Stroke in Atrial Fibrillation: Should We Use a CHA2DS2-VA Score Rather Than CHA2DS2-VASc?","title-short":"Female Sex Is a Risk Modifier Rather Than a Risk Factor for Stroke in Atrial Fibrillation","volume":"137","author":[{"family":"Nielsen","given":"Peter Brønnum"},{"family":"Skjøth","given":"Flemming"},{"family":"Overvad","given":"Thure Filskov"},{"family":"Larsen","given":"Torben Bjerregaard"},{"family":"Lip","given":"Gregory Y. H."}],"issued":{"date-parts":[["2018",2,20]]}}}],"schema":"https://github.com/citation-style-language/schema/raw/master/csl-citation.json"}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[48]</w:t>
      </w:r>
      <w:r>
        <w:rPr>
          <w:rFonts w:ascii="Times New Roman" w:hAnsi="Times New Roman" w:cs="Times New Roman"/>
          <w:sz w:val="28"/>
          <w:szCs w:val="28"/>
          <w:lang w:bidi="ar-SA"/>
        </w:rPr>
        <w:fldChar w:fldCharType="end"/>
      </w:r>
      <w:r w:rsidR="00921672">
        <w:rPr>
          <w:rFonts w:ascii="Times New Roman" w:hAnsi="Times New Roman" w:cs="Times New Roman"/>
          <w:sz w:val="28"/>
          <w:szCs w:val="28"/>
          <w:lang w:bidi="ar-SA"/>
        </w:rPr>
        <w:t>. Несмотря на широкое использование,</w:t>
      </w:r>
      <w:r w:rsidR="00921672" w:rsidRPr="00921672">
        <w:rPr>
          <w:rFonts w:ascii="Times New Roman" w:hAnsi="Times New Roman" w:cs="Times New Roman"/>
          <w:sz w:val="28"/>
          <w:szCs w:val="28"/>
          <w:lang w:bidi="ar-SA"/>
        </w:rPr>
        <w:t xml:space="preserve"> </w:t>
      </w:r>
      <w:r w:rsidR="00921672">
        <w:rPr>
          <w:rFonts w:ascii="Times New Roman" w:hAnsi="Times New Roman" w:cs="Times New Roman"/>
          <w:sz w:val="28"/>
          <w:szCs w:val="28"/>
          <w:lang w:val="en-US" w:bidi="ar-SA"/>
        </w:rPr>
        <w:t>CHA</w:t>
      </w:r>
      <w:r w:rsidR="00921672" w:rsidRPr="00921672">
        <w:rPr>
          <w:rFonts w:ascii="Times New Roman" w:hAnsi="Times New Roman" w:cs="Times New Roman"/>
          <w:sz w:val="28"/>
          <w:szCs w:val="28"/>
          <w:vertAlign w:val="subscript"/>
          <w:lang w:bidi="ar-SA"/>
        </w:rPr>
        <w:t>2</w:t>
      </w:r>
      <w:r w:rsidR="00921672">
        <w:rPr>
          <w:rFonts w:ascii="Times New Roman" w:hAnsi="Times New Roman" w:cs="Times New Roman"/>
          <w:sz w:val="28"/>
          <w:szCs w:val="28"/>
          <w:lang w:val="en-US" w:bidi="ar-SA"/>
        </w:rPr>
        <w:t>DS</w:t>
      </w:r>
      <w:r w:rsidR="00921672" w:rsidRPr="00921672">
        <w:rPr>
          <w:rFonts w:ascii="Times New Roman" w:hAnsi="Times New Roman" w:cs="Times New Roman"/>
          <w:sz w:val="28"/>
          <w:szCs w:val="28"/>
          <w:vertAlign w:val="subscript"/>
          <w:lang w:bidi="ar-SA"/>
        </w:rPr>
        <w:t>2</w:t>
      </w:r>
      <w:r w:rsidR="00921672" w:rsidRPr="00921672">
        <w:rPr>
          <w:rFonts w:ascii="Times New Roman" w:hAnsi="Times New Roman" w:cs="Times New Roman"/>
          <w:sz w:val="28"/>
          <w:szCs w:val="28"/>
          <w:lang w:bidi="ar-SA"/>
        </w:rPr>
        <w:t>-</w:t>
      </w:r>
      <w:r w:rsidR="00921672">
        <w:rPr>
          <w:rFonts w:ascii="Times New Roman" w:hAnsi="Times New Roman" w:cs="Times New Roman"/>
          <w:sz w:val="28"/>
          <w:szCs w:val="28"/>
          <w:lang w:val="en-US" w:bidi="ar-SA"/>
        </w:rPr>
        <w:t>VASc</w:t>
      </w:r>
      <w:r w:rsidR="00921672" w:rsidRPr="00921672">
        <w:rPr>
          <w:rFonts w:ascii="Times New Roman" w:hAnsi="Times New Roman" w:cs="Times New Roman"/>
          <w:sz w:val="28"/>
          <w:szCs w:val="28"/>
          <w:vertAlign w:val="subscript"/>
          <w:lang w:bidi="ar-SA"/>
        </w:rPr>
        <w:t xml:space="preserve"> </w:t>
      </w:r>
      <w:r w:rsidR="00921672">
        <w:rPr>
          <w:rFonts w:ascii="Times New Roman" w:hAnsi="Times New Roman" w:cs="Times New Roman"/>
          <w:sz w:val="28"/>
          <w:szCs w:val="28"/>
          <w:lang w:bidi="ar-SA"/>
        </w:rPr>
        <w:t>имеет системные ограничения: игнорированием биомаркеров (</w:t>
      </w:r>
      <w:r w:rsidR="00921672">
        <w:rPr>
          <w:rFonts w:ascii="Times New Roman" w:hAnsi="Times New Roman" w:cs="Times New Roman"/>
          <w:sz w:val="28"/>
          <w:szCs w:val="28"/>
          <w:lang w:val="en-US" w:bidi="ar-SA"/>
        </w:rPr>
        <w:t>NT</w:t>
      </w:r>
      <w:r w:rsidR="00921672" w:rsidRPr="00921672">
        <w:rPr>
          <w:rFonts w:ascii="Times New Roman" w:hAnsi="Times New Roman" w:cs="Times New Roman"/>
          <w:sz w:val="28"/>
          <w:szCs w:val="28"/>
          <w:lang w:bidi="ar-SA"/>
        </w:rPr>
        <w:t>-</w:t>
      </w:r>
      <w:r w:rsidR="00921672">
        <w:rPr>
          <w:rFonts w:ascii="Times New Roman" w:hAnsi="Times New Roman" w:cs="Times New Roman"/>
          <w:sz w:val="28"/>
          <w:szCs w:val="28"/>
          <w:lang w:val="en-US" w:bidi="ar-SA"/>
        </w:rPr>
        <w:t>proBNP</w:t>
      </w:r>
      <w:r w:rsidR="00921672" w:rsidRPr="00921672">
        <w:rPr>
          <w:rFonts w:ascii="Times New Roman" w:hAnsi="Times New Roman" w:cs="Times New Roman"/>
          <w:sz w:val="28"/>
          <w:szCs w:val="28"/>
          <w:lang w:bidi="ar-SA"/>
        </w:rPr>
        <w:t xml:space="preserve">, </w:t>
      </w:r>
      <w:r w:rsidR="00921672">
        <w:rPr>
          <w:rFonts w:ascii="Times New Roman" w:hAnsi="Times New Roman" w:cs="Times New Roman"/>
          <w:sz w:val="28"/>
          <w:szCs w:val="28"/>
          <w:lang w:val="en-US" w:bidi="ar-SA"/>
        </w:rPr>
        <w:t>D</w:t>
      </w:r>
      <w:r w:rsidR="00921672">
        <w:rPr>
          <w:rFonts w:ascii="Times New Roman" w:hAnsi="Times New Roman" w:cs="Times New Roman"/>
          <w:sz w:val="28"/>
          <w:szCs w:val="28"/>
          <w:lang w:bidi="ar-SA"/>
        </w:rPr>
        <w:t>-димер), морфологии предсердий, генетических профилей и типа ФП</w:t>
      </w:r>
      <w:r w:rsidR="00921672">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{"citationID":"qB3pwwbj","properties":{"unsorted":false,"formattedCitation":"[49,50]","plainCitation":"[49,50]","noteIndex":0},"citationItems":[{"id":243,"uris":["http://zotero.org/users/14784094/items/FIJY7AI7"],"itemData":{"id":243,"type":"article-journal","abstract":"AIMS: Better stroke risk prediction is needed to optimize the anticoagulation decision in atrial fibrillation (AF). The ATRIA stroke risk score (ATRIA) was developed and validated in two large California community AF cohorts. We compared the performance of the ATRIA, CHADS2, and CHA2DS2-VASc scores in a national Swedish AF (SAF) cohort.\nMETHODS AND RESULTS: We examined all Swedish patients hospitalized, or visiting a hospital-based outpatient clinic, with a diagnosis of AF from July 2005 through December 2010. Variables were determined from comprehensive national databases. Risk scores were assessed via C-index (C) and net reclassification improvement (NRI). The cohort included 152 153 AF patients not receiving warfarin. Overall, 11 053 acute ischaemic strokes were observed with mean rate 3.2%/year, higher than the 2%/year in the California cohorts. Using entire point scores, ATRIA had a good C of 0.708 (0.704-0.713), significantly better than CHADS2 0.690 (0.685-0.695) or CHA2DS2-VASc 0.694 (0.690-0.700). Using published cut-points for low/moderate/high risk, C deteriorated but ATRIA remained superior. Net reclassification improvement favoured ATRIA 0.16 (0.14-0.17) vs. CHADS2 and 0.21 (0.20-0.23) vs. CHA2DS2-VASc. Net reclassification improvement decreased when cut-points were altered to better fit the cohort's stroke rates.\nCONCLUSION: In this SAF cohort, the ATRIA score predicted ischaemic stroke risk better than CHADS2 or CHA2DS2-VASc. However, relative performance of the categorical scores varied by population stroke rates. Score cut-points may need to be optimized to better fit local population stroke rates.","container-title":"European Heart Journal","DOI":"10.1093/eurheartj/ehw077","ISSN":"1522-9645","issue":"42","journalAbbreviation":"Eur Heart J","language":"eng","page":"3203-3210","PMID":"26941204","source":"PubMed","title":"Comparison of the ATRIA, CHADS2, and CHA2DS2-VASc stroke risk scores in predicting ischaemic stroke in a large Swedish cohort of patients with atrial fibrillation","volume":"37","author":[{"family":"Aspberg","given":"Sara"},{"family":"Chang","given":"Yuchiao"},{"family":"Atterman","given":"Adriano"},{"family":"Bottai","given":"Matteo"},{"family":"Go","given":"Alan S."},{"family":"Singer","given":"Daniel E."}],"issued":{"date-parts":[["2016",11,7]]}}},{"id":282,"uris":["http://zotero.org/users/14784094/items/HRZFZQDG"],"itemData":{"id":282,"type":"article-journal","abstract":"BACKGROUND: Both U.S. and European guidelines recommend use of the CHA2DS2-VASc rather than CHADS2 score for stroke risk stratification in atrial fibrillation (AF). However, the CHA2DS2-VASc score has not been proved to be better than CHADS2 score for Asians in a large-scale study.\nOBJECTIVE: The purpose of this study was to compare the accuracies of CHADS2 and CHA2DS2-VASc scores in predicting ischemic stroke in Chinese patients.\nMETHODS: This study used the National Health Insurance Research Database in Taiwan. A total of 186,570 AF patients without antithrombotic therapies were selected as the study cohort. The clinical end-point was occurrence of ischemic stroke.\nRESULTS: During follow-up of 3.4 ± 3.7 years, 23,723 patients (12.7%) experienced ischemic stroke. The CHA2DS2-VASc score performed better than CHADS2 score in predicting ischemic stroke assessed by c-indexes (0.698 vs 0.659, P &lt;.0001). Among 25,286 patients with a CHADS2 score of 0, the CHA2DS2-VASc score ranged from 0 to 3, and the annual stroke rate ranged from 1.15% to 4.47%. Compared to patients with a CHA2DS2-VASc score of 0, the hazard ratio of ischemic stroke for patients with a CHA2DS2-VASc score of 3 was 3.998.\nCONCLUSION: Patients with a CHADS2 score of 0 were not necessarily \"low risk,\" and the annual stroke rate can be as high as 4.47% when patients were further stratified by the CHA2DS2-VASc score. In contrast, patients with a CHA2DS2-VASc score of 0 had a truly low risk of ischemic stroke, with an annual stroke rate around 1.15%. As with Caucasians, the CHA2DS2-VASc score should be used for stroke risk stratification in Asians.","container-title":"Heart Rhythm","DOI":"10.1016/j.hrthm.2015.08.017","ISSN":"1556-3871","issue":"1","journalAbbreviation":"Heart Rhythm","language":"eng","page":"46-53","PMID":"26277496","source":"PubMed","title":"Comparisons of CHADS2 and CHA2DS2-VASc scores for stroke risk stratification in atrial fibrillation: Which scoring system should be used for Asians?","title-short":"Comparisons of CHADS2 and CHA2DS2-VASc scores for stroke risk stratification in atrial fibrillation","volume":"13","author":[{"family":"Chao","given":"Tze-Fan"},{"family":"Liu","given":"Chia-Jen"},{"family":"Tuan","given":"Ta-Chuan"},{"family":"Chen","given":"Su-Jung"},{"family":"Wang","given":"Kang-Ling"},{"family":"Lin","given":"Yenn-Jiang"},{"family":"Chang","given":"Shih-Lin"},{"family":"Lo","given":"Li-Wei"},{"family":"Hu","given":"Yu-Feng"},{"family":"Chen","given":"Tzeng-Ji"},{"family":"Chiang","given":"Chern-En"},{"family":"Chen","given":"Shih-Ann"}],"issued":{"date-parts":[["2016",1]]}}}],"schema":"https://github.com/citation-style-language/schema/raw/master/csl-citation.json"} </w:instrText>
      </w:r>
      <w:r w:rsidR="00921672">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[49,50]</w:t>
      </w:r>
      <w:r w:rsidR="00921672">
        <w:rPr>
          <w:rFonts w:ascii="Times New Roman" w:hAnsi="Times New Roman" w:cs="Times New Roman"/>
          <w:sz w:val="28"/>
          <w:szCs w:val="28"/>
          <w:lang w:bidi="ar-SA"/>
        </w:rPr>
        <w:fldChar w:fldCharType="end"/>
      </w:r>
      <w:r w:rsidR="00921672">
        <w:rPr>
          <w:rFonts w:ascii="Times New Roman" w:hAnsi="Times New Roman" w:cs="Times New Roman"/>
          <w:sz w:val="28"/>
          <w:szCs w:val="28"/>
          <w:lang w:bidi="ar-SA"/>
        </w:rPr>
        <w:t>. Актуальные исследования предлагают дополнять шкалу этими параметрами в персонализированных моделях</w:t>
      </w:r>
      <w:r w:rsidR="00921672">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{"citationID":"sG70FOHf","properties":{"unsorted":false,"formattedCitation":"[51]","plainCitation":"[51]","noteIndex":0},"citationItems":[{"id":260,"uris":["http://zotero.org/users/14784094/items/LDYJ39BT"],"itemData":{"id":260,"type":"article-journal","abstract":"Objective It remains unclear whether the CHADS2, CHA2DS2-VASc, or R2CHADS2 score is the most useful for the risk stratification of ischemic stroke/systemic thromboembolism (IS/SE) in Japanese patients with paroxysmal non-valvular atrial fibrillation (PNVAF). Methods We investigated the incidence of IS/SE on the basis of the CHADS2, CHA2DS2-VASc, and R2CHADS2 scores in 332 consecutive PNVAF patients (224 men, mean age: 65±13 years) who had not been administered anticoagulation therapy but who were administered antiarrhythmic drug therapy to maintain sinus rhythm between August 1995 and July 2008 before the 2008 Japanese Circulation Society guideline was issued (mean follow-up period: 53±35 months). Results The annual rates of IS/SE without underlying antiarrhythmic drug therapy are shown in the table included in this article. Higher CHADS2, CHA2DS2-VASc, and R2CHADS2 scores were associated with greater annual rates of IS/SE (p&lt;0.001). In a multivariate logistic regression analysis adjusted for potentially confounding variables, the CHADS2 scores [odds ratio (OR): 4.74, 95% confidence interval (CI): 2.80-8.00, p&lt;0.001], CHA2DS2-VASc scores (OR: 4.15, 95% CI: 2.57-6.71, p&lt;0.001), and R2CHADS2 scores (OR: 1.94, 95% CI: 1.48-2.53, p&lt;0.001) were significant independent predictors of IS/SE. The area under the receiver-operator characteristic curve for predicting IS/SE was 0.89 for CHA2DS2-VASc scores, 0.87 for CHADS2 scores, and 0.85 for R2CHADS2 scores (all, p&lt;0.001), with no significant difference among the three scores. Conclusion In Japanese patients with PNVAF, the CHADS2, CHA2DS2-VASc, and R2CHADS2 scores are all useful for the risk stratification of IS/SE cases.","container-title":"Internal Medicine (Tokyo, Japan)","DOI":"10.2169/internalmedicine.8914-17","ISSN":"1349-7235","issue":"21","journalAbbreviation":"Intern Med","language":"eng","page":"2827-2836","PMID":"28943575","PMCID":"PMC5709623","source":"PubMed","title":"Comparison of the CHADS2, CHA2DS2-VASc and R2CHADS2 Scores in Japanese Patients with Non-valvular Paroxysmal Atrial Fibrillation Not Receiving Anticoagulation Therapy","volume":"56","author":[{"family":"Yoshizawa","given":"Reisuke"},{"family":"Komatsu","given":"Takashi"},{"family":"Kunugita","given":"Fusanori"},{"family":"Ozawa","given":"Mahito"},{"family":"Ohwada","given":"Shingen"},{"family":"Satoh","given":"Yoshihiro"},{"family":"Morino","given":"Yoshihiro"},{"family":"Nakamura","given":"Motoyuki"}],"issued":{"date-parts":[["2017",11,1]]}}}],"schema":"https://github.com/citation-style-language/schema/raw/master/csl-citation.json"} </w:instrText>
      </w:r>
      <w:r w:rsidR="00921672">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[51]</w:t>
      </w:r>
      <w:r w:rsidR="00921672">
        <w:rPr>
          <w:rFonts w:ascii="Times New Roman" w:hAnsi="Times New Roman" w:cs="Times New Roman"/>
          <w:sz w:val="28"/>
          <w:szCs w:val="28"/>
          <w:lang w:bidi="ar-SA"/>
        </w:rPr>
        <w:fldChar w:fldCharType="end"/>
      </w:r>
      <w:r w:rsidR="00921672">
        <w:rPr>
          <w:rFonts w:ascii="Times New Roman" w:hAnsi="Times New Roman" w:cs="Times New Roman"/>
          <w:sz w:val="28"/>
          <w:szCs w:val="28"/>
          <w:lang w:bidi="ar-SA"/>
        </w:rPr>
        <w:t xml:space="preserve">. На основании современных клинических рекомендаций Европейского общества кардиологов, опубликованных в 2024г., для оценки риска тромбоэмболических осложнений у пациентов с ФП вместо шкалы </w:t>
      </w:r>
      <w:r w:rsidR="00CE1D8E">
        <w:rPr>
          <w:rFonts w:ascii="Times New Roman" w:hAnsi="Times New Roman" w:cs="Times New Roman"/>
          <w:sz w:val="28"/>
          <w:szCs w:val="28"/>
          <w:lang w:val="en-US" w:bidi="ar-SA"/>
        </w:rPr>
        <w:t>CHA</w:t>
      </w:r>
      <w:r w:rsidR="00CE1D8E" w:rsidRPr="00CE1D8E">
        <w:rPr>
          <w:rFonts w:ascii="Times New Roman" w:hAnsi="Times New Roman" w:cs="Times New Roman"/>
          <w:sz w:val="28"/>
          <w:szCs w:val="28"/>
          <w:vertAlign w:val="subscript"/>
          <w:lang w:bidi="ar-SA"/>
        </w:rPr>
        <w:t>2</w:t>
      </w:r>
      <w:r w:rsidR="00CE1D8E">
        <w:rPr>
          <w:rFonts w:ascii="Times New Roman" w:hAnsi="Times New Roman" w:cs="Times New Roman"/>
          <w:sz w:val="28"/>
          <w:szCs w:val="28"/>
          <w:lang w:val="en-US" w:bidi="ar-SA"/>
        </w:rPr>
        <w:t>DS</w:t>
      </w:r>
      <w:r w:rsidR="00CE1D8E" w:rsidRPr="00CE1D8E">
        <w:rPr>
          <w:rFonts w:ascii="Times New Roman" w:hAnsi="Times New Roman" w:cs="Times New Roman"/>
          <w:sz w:val="28"/>
          <w:szCs w:val="28"/>
          <w:vertAlign w:val="subscript"/>
          <w:lang w:bidi="ar-SA"/>
        </w:rPr>
        <w:t>2</w:t>
      </w:r>
      <w:r w:rsidR="00CE1D8E" w:rsidRPr="00CE1D8E">
        <w:rPr>
          <w:rFonts w:ascii="Times New Roman" w:hAnsi="Times New Roman" w:cs="Times New Roman"/>
          <w:sz w:val="28"/>
          <w:szCs w:val="28"/>
          <w:lang w:bidi="ar-SA"/>
        </w:rPr>
        <w:t>-</w:t>
      </w:r>
      <w:r w:rsidR="00CE1D8E">
        <w:rPr>
          <w:rFonts w:ascii="Times New Roman" w:hAnsi="Times New Roman" w:cs="Times New Roman"/>
          <w:sz w:val="28"/>
          <w:szCs w:val="28"/>
          <w:lang w:val="en-US" w:bidi="ar-SA"/>
        </w:rPr>
        <w:t>VASc</w:t>
      </w:r>
      <w:r w:rsidR="00CE1D8E">
        <w:rPr>
          <w:rFonts w:ascii="Times New Roman" w:hAnsi="Times New Roman" w:cs="Times New Roman"/>
          <w:sz w:val="28"/>
          <w:szCs w:val="28"/>
          <w:lang w:bidi="ar-SA"/>
        </w:rPr>
        <w:t xml:space="preserve"> сейчас рекомендуют использовать модифицированную шкалу </w:t>
      </w:r>
      <w:r w:rsidR="00CE1D8E">
        <w:rPr>
          <w:rFonts w:ascii="Times New Roman" w:hAnsi="Times New Roman" w:cs="Times New Roman"/>
          <w:sz w:val="28"/>
          <w:szCs w:val="28"/>
          <w:lang w:val="en-US" w:bidi="ar-SA"/>
        </w:rPr>
        <w:t>CHA</w:t>
      </w:r>
      <w:r w:rsidR="00CE1D8E" w:rsidRPr="00CE1D8E">
        <w:rPr>
          <w:rFonts w:ascii="Times New Roman" w:hAnsi="Times New Roman" w:cs="Times New Roman"/>
          <w:sz w:val="28"/>
          <w:szCs w:val="28"/>
          <w:vertAlign w:val="subscript"/>
          <w:lang w:bidi="ar-SA"/>
        </w:rPr>
        <w:t>2</w:t>
      </w:r>
      <w:r w:rsidR="00CE1D8E">
        <w:rPr>
          <w:rFonts w:ascii="Times New Roman" w:hAnsi="Times New Roman" w:cs="Times New Roman"/>
          <w:sz w:val="28"/>
          <w:szCs w:val="28"/>
          <w:lang w:val="en-US" w:bidi="ar-SA"/>
        </w:rPr>
        <w:t>DS</w:t>
      </w:r>
      <w:r w:rsidR="00CE1D8E" w:rsidRPr="00CE1D8E">
        <w:rPr>
          <w:rFonts w:ascii="Times New Roman" w:hAnsi="Times New Roman" w:cs="Times New Roman"/>
          <w:sz w:val="28"/>
          <w:szCs w:val="28"/>
          <w:vertAlign w:val="subscript"/>
          <w:lang w:bidi="ar-SA"/>
        </w:rPr>
        <w:t>2</w:t>
      </w:r>
      <w:r w:rsidR="00CE1D8E" w:rsidRPr="00CE1D8E">
        <w:rPr>
          <w:rFonts w:ascii="Times New Roman" w:hAnsi="Times New Roman" w:cs="Times New Roman"/>
          <w:sz w:val="28"/>
          <w:szCs w:val="28"/>
          <w:lang w:bidi="ar-SA"/>
        </w:rPr>
        <w:t>-</w:t>
      </w:r>
      <w:r w:rsidR="00CE1D8E">
        <w:rPr>
          <w:rFonts w:ascii="Times New Roman" w:hAnsi="Times New Roman" w:cs="Times New Roman"/>
          <w:sz w:val="28"/>
          <w:szCs w:val="28"/>
          <w:lang w:val="en-US" w:bidi="ar-SA"/>
        </w:rPr>
        <w:t>VA</w:t>
      </w:r>
      <w:r w:rsidR="00CE1D8E" w:rsidRPr="00CE1D8E">
        <w:rPr>
          <w:rFonts w:ascii="Times New Roman" w:hAnsi="Times New Roman" w:cs="Times New Roman"/>
          <w:sz w:val="28"/>
          <w:szCs w:val="28"/>
          <w:lang w:bidi="ar-SA"/>
        </w:rPr>
        <w:t xml:space="preserve"> </w:t>
      </w:r>
      <w:r w:rsidR="00CE1D8E">
        <w:rPr>
          <w:rFonts w:ascii="Times New Roman" w:hAnsi="Times New Roman" w:cs="Times New Roman"/>
          <w:sz w:val="28"/>
          <w:szCs w:val="28"/>
          <w:lang w:bidi="ar-SA"/>
        </w:rPr>
        <w:t>без учета женского пола как фактора риска, поскольку его влияние на тромбоэмболию рассматривается как модифицирующий фактор, а не самостоятельный риск</w:t>
      </w:r>
      <w:r w:rsidR="00CE1D8E">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{"citationID":"LLqpejT7","properties":{"unsorted":false,"formattedCitation":"[52]","plainCitation":"[52]","noteIndex":0},"citationItems":[{"id":21,"uris":["http://zotero.org/users/14784094/items/JA22ZEXR"],"itemData":{"id":21,"type":"article-journal","container-title":"European Heart Journal","DOI":"10.1093/eurheartj/ehae176","ISSN":"0195-668X, 1522-9645","issue":"36","language":"en","license":"https://academic.oup.com/pages/standard-publication-reuse-rights","page":"3314-3414","source":"DOI.org (Crossref)","title":"2024 ESC Guidelines for the management of atrial fibrillation developed in collaboration with the European Association for Cardio-Thoracic Surgery (EACTS)","volume":"45","author":[{"family":"Van Gelder","given":"Isabelle C"},{"family":"Rienstra","given":"Michiel"},{"family":"Bunting","given":"Karina V"},{"family":"Casado-Arroyo","given":"Ruben"},{"family":"Caso","given":"Valeria"},{"family":"Crijns","given":"Harry J G M"},{"family":"De Potter","given":"Tom J R"},{"family":"Dwight","given":"Jeremy"},{"family":"Guasti","given":"Luigina"},{"family":"Hanke","given":"Thorsten"},{"family":"Jaarsma","given":"Tiny"},{"family":"Lettino","given":"Maddalena"},{"family":"Løchen","given":"Maja-Lisa"},{"family":"Lumbers","given":"R Thomas"},{"family":"Maesen","given":"Bart"},{"family":"Mølgaard","given":"Inge"},{"family":"Rosano","given":"Giuseppe M C"},{"family":"Sanders","given":"Prashanthan"},{"family":"Schnabel","given":"Renate B"},{"family":"Suwalski","given":"Piotr"},{"family":"Svennberg","given":"Emma"},{"family":"Tamargo","given":"Juan"},{"family":"Tica","given":"Otilia"},{"family":"Traykov","given":"Vassil"},{"family":"Tzeis","given":"Stylianos"},{"family":"Kotecha","given":"Dipak"},{"literal":"ESC Scientific Document Group"},{"family":"Dagres","given":"Nikolaos"},{"family":"Rocca","given":"Bianca"},{"family":"Ahsan","given":"Syed"},{"family":"Ameri","given":"Pietro"},{"family":"Arbelo","given":"Elena"},{"family":"Bauer","given":"Axel"},{"family":"Borger","given":"Michael A"},{"family":"Buccheri","given":"Sergio"},{"family":"Casadei","given":"Barbara"},{"family":"Chioncel","given":"Ovidiu"},{"family":"Dobrev","given":"Dobromir"},{"family":"Fauchier","given":"Laurent"},{"family":"Gigante","given":"Bruna"},{"family":"Glikson","given":"Michael"},{"family":"Hijazi","given":"Ziad"},{"family":"Hindricks","given":"Gerhard"},{"family":"Husser","given":"Daniela"},{"family":"Ibanez","given":"Borja"},{"family":"James","given":"Stefan"},{"family":"Kaab","given":"Stefan"},{"family":"Kirchhof","given":"Paulus"},{"family":"Køber","given":"Lars"},{"family":"Koskinas","given":"Konstantinos C"},{"family":"Kumler","given":"Thomas"},{"family":"Lip","given":"Gregory Y H"},{"family":"Mandrola","given":"John"},{"family":"Marx","given":"Nikolaus"},{"family":"Mcevoy","given":"John William"},{"family":"Mihaylova","given":"Borislava"},{"family":"Mindham","given":"Richard"},{"family":"Muraru","given":"Denisa"},{"family":"Neubeck","given":"Lis"},{"family":"Nielsen","given":"Jens Cosedis"},{"family":"Oldgren","given":"Jonas"},{"family":"Paciaroni","given":"Maurizio"},{"family":"Pasquet","given":"Agnes A"},{"family":"Prescott","given":"Eva"},{"family":"Rega","given":"Filip"},{"family":"Rossello","given":"Francisco Javier"},{"family":"Rucinski","given":"Marcin"},{"family":"Salzberg","given":"Sacha P"},{"family":"Schulman","given":"Sam"},{"family":"Sommer","given":"Philipp"},{"family":"Svendsen","given":"Jesper Hastrup"},{"family":"Ten Berg","given":"Jurrien M"},{"family":"Ten Cate","given":"Hugo"},{"family":"Vaartjes","given":"Ilonca"},{"family":"Vrints","given":"Christiaan Jm"},{"family":"Witkowski","given":"Adam"},{"family":"Zeppenfeld","given":"Katja"},{"family":"Simoni","given":"Leonard"},{"family":"Kichou","given":"Brahim"},{"family":"Sisakian","given":"Hamayak S"},{"family":"Scherr","given":"Daniel"},{"family":"Cools","given":"Frank"},{"family":"Smajić","given":"Elnur"},{"family":"Shalganov","given":"Tchavdar"},{"family":"Manola","given":"Sime"},{"family":"Avraamides","given":"Panayiotis"},{"family":"Taborsky","given":"Milos"},{"family":"Brandes","given":"Axel"},{"family":"El-Damaty","given":"Ahmed M"},{"family":"Kampus","given":"Priit"},{"family":"Raatikainen","given":"Pekka"},{"family":"Garcia","given":"Rodrigue"},{"family":"Etsadashvili","given":"Kakhaber"},{"family":"Eckardt","given":"Lars"},{"family":"Kallergis","given":"Eleftherios"},{"family":"Gellér","given":"László"},{"family":"Guðmundsson","given":"Kristján"},{"family":"Lyne","given":"Jonathan"},{"family":"Marai","given":"Ibrahim"},{"family":"Colivicchi","given":"Furio"},{"family":"Abdrakhmanov","given":"Ayan Suleimenovich"},{"family":"Bytyci","given":"Ibadete"},{"family":"Kerimkulova","given":"Alina"},{"family":"Kupics","given":"Kaspars"},{"family":"Refaat","given":"Marwan"},{"family":"Bheleel","given":"Osama Abdulmajed"},{"family":"Barysienė","given":"Jūratė"},{"family":"Leitz","given":"Patrick"},{"family":"Sammut","given":"Mark A"},{"family":"Grosu","given":"Aurel"},{"family":"Pavlovic","given":"Nikola"},{"family":"Moustaghfir","given":"Abdelhamid"},{"family":"Yap","given":"Sing-Chien"},{"family":"Taleski","given":"Jane"},{"family":"Fink","given":"Trine"},{"family":"Kazmierczak","given":"Jaroslaw"},{"family":"Sanfins","given":"Victor M"},{"family":"Cozma","given":"Dragos"},{"family":"Zavatta","given":"Marco"},{"family":"Kovačević","given":"Dragan V"},{"family":"Hlivak","given":"Peter"},{"family":"Zupan","given":"Igor"},{"family":"Calvo","given":"David"},{"family":"Björkenheim","given":"Anna"},{"family":"Kühne","given":"Michael"},{"family":"Ouali","given":"Sana"},{"family":"Demircan","given":"Sabri"},{"family":"Sychov","given":"Oleg S"},{"family":"Ng","given":"Andre"},{"family":"Kuchkarov","given":"Husniddin"}],"issued":{"date-parts":[["2024",9,29]]}}}],"schema":"https://github.com/citation-style-language/schema/raw/master/csl-citation.json"} </w:instrText>
      </w:r>
      <w:r w:rsidR="00CE1D8E">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[52]</w:t>
      </w:r>
      <w:r w:rsidR="00CE1D8E">
        <w:rPr>
          <w:rFonts w:ascii="Times New Roman" w:hAnsi="Times New Roman" w:cs="Times New Roman"/>
          <w:sz w:val="28"/>
          <w:szCs w:val="28"/>
          <w:lang w:bidi="ar-SA"/>
        </w:rPr>
        <w:fldChar w:fldCharType="end"/>
      </w:r>
      <w:r w:rsidR="00CE1D8E">
        <w:rPr>
          <w:rFonts w:ascii="Times New Roman" w:hAnsi="Times New Roman" w:cs="Times New Roman"/>
          <w:sz w:val="28"/>
          <w:szCs w:val="28"/>
          <w:lang w:bidi="ar-SA"/>
        </w:rPr>
        <w:t>.</w:t>
      </w:r>
    </w:p>
    <w:p w14:paraId="7E36523A" w14:textId="073D4D39" w:rsidR="00CE1D8E" w:rsidRPr="00A1683C" w:rsidRDefault="00CE1D8E" w:rsidP="009B0CEF">
      <w:pPr>
        <w:pStyle w:val="LO-normal"/>
        <w:tabs>
          <w:tab w:val="left" w:pos="0"/>
        </w:tabs>
        <w:spacing w:after="0" w:line="240" w:lineRule="auto"/>
        <w:ind w:firstLine="502"/>
        <w:jc w:val="both"/>
        <w:rPr>
          <w:rFonts w:ascii="Times New Roman" w:hAnsi="Times New Roman" w:cs="Times New Roman"/>
          <w:b/>
          <w:bCs/>
          <w:i/>
          <w:iCs/>
          <w:sz w:val="28"/>
          <w:szCs w:val="28"/>
          <w:lang w:bidi="ar-SA"/>
        </w:rPr>
      </w:pPr>
      <w:r w:rsidRPr="00CE1D8E">
        <w:rPr>
          <w:rFonts w:ascii="Times New Roman" w:hAnsi="Times New Roman" w:cs="Times New Roman"/>
          <w:b/>
          <w:bCs/>
          <w:i/>
          <w:iCs/>
          <w:sz w:val="28"/>
          <w:szCs w:val="28"/>
          <w:lang w:bidi="ar-SA"/>
        </w:rPr>
        <w:t>Оценка риска кровотечений (</w:t>
      </w:r>
      <w:r w:rsidRPr="00CE1D8E">
        <w:rPr>
          <w:rFonts w:ascii="Times New Roman" w:hAnsi="Times New Roman" w:cs="Times New Roman"/>
          <w:b/>
          <w:bCs/>
          <w:i/>
          <w:iCs/>
          <w:sz w:val="28"/>
          <w:szCs w:val="28"/>
          <w:lang w:val="en-US" w:bidi="ar-SA"/>
        </w:rPr>
        <w:t>HAS</w:t>
      </w:r>
      <w:r w:rsidRPr="00CE1D8E">
        <w:rPr>
          <w:rFonts w:ascii="Times New Roman" w:hAnsi="Times New Roman" w:cs="Times New Roman"/>
          <w:b/>
          <w:bCs/>
          <w:i/>
          <w:iCs/>
          <w:sz w:val="28"/>
          <w:szCs w:val="28"/>
          <w:lang w:bidi="ar-SA"/>
        </w:rPr>
        <w:t>-</w:t>
      </w:r>
      <w:r w:rsidRPr="00CE1D8E">
        <w:rPr>
          <w:rFonts w:ascii="Times New Roman" w:hAnsi="Times New Roman" w:cs="Times New Roman"/>
          <w:b/>
          <w:bCs/>
          <w:i/>
          <w:iCs/>
          <w:sz w:val="28"/>
          <w:szCs w:val="28"/>
          <w:lang w:val="en-US" w:bidi="ar-SA"/>
        </w:rPr>
        <w:t>BLED</w:t>
      </w:r>
      <w:r w:rsidRPr="00CE1D8E">
        <w:rPr>
          <w:rFonts w:ascii="Times New Roman" w:hAnsi="Times New Roman" w:cs="Times New Roman"/>
          <w:b/>
          <w:bCs/>
          <w:i/>
          <w:iCs/>
          <w:sz w:val="28"/>
          <w:szCs w:val="28"/>
          <w:lang w:bidi="ar-SA"/>
        </w:rPr>
        <w:t>)</w:t>
      </w:r>
    </w:p>
    <w:p w14:paraId="6FF0A459" w14:textId="23B9D391" w:rsidR="002A6CDB" w:rsidRDefault="00CE1D8E" w:rsidP="009B0CEF">
      <w:pPr>
        <w:pStyle w:val="LO-normal"/>
        <w:tabs>
          <w:tab w:val="left" w:pos="0"/>
        </w:tabs>
        <w:spacing w:after="0" w:line="240" w:lineRule="auto"/>
        <w:ind w:firstLine="502"/>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Оценка геморрагического риска – критический </w:t>
      </w:r>
      <w:r w:rsidR="0011161C">
        <w:rPr>
          <w:rFonts w:ascii="Times New Roman" w:hAnsi="Times New Roman" w:cs="Times New Roman"/>
          <w:sz w:val="28"/>
          <w:szCs w:val="28"/>
          <w:lang w:bidi="ar-SA"/>
        </w:rPr>
        <w:t>этап выбора антикоагу</w:t>
      </w:r>
      <w:r w:rsidR="00D403DA">
        <w:rPr>
          <w:rFonts w:ascii="Times New Roman" w:hAnsi="Times New Roman" w:cs="Times New Roman"/>
          <w:sz w:val="28"/>
          <w:szCs w:val="28"/>
          <w:lang w:bidi="ar-SA"/>
        </w:rPr>
        <w:t>лянтной терапии при ФП</w:t>
      </w:r>
      <w:r w:rsidR="00D403DA">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{"citationID":"DIRVmIRc","properties":{"unsorted":false,"formattedCitation":"[53]","plainCitation":"[53]","noteIndex":0},"citationItems":[{"id":158,"uris":["http://zotero.org/users/14784094/items/PHA4T5UR"],"itemData":{"id":158,"type":"article-journal","container-title":"Journal of Cardiology","DOI":"10.1016/j.jjcc.2019.06.007","ISSN":"0914-5087","issue":"1","journalAbbreviation":"Journal of Cardiology","language":"English","page":"82-89","PMID":"31327705","publisher":"Elsevier","source":"www.journal-of-cardiology.com","title":"HAS-BLED score as a predictor of bleeding complications from catheter ablation of atrial fibrillation: A subanalysis of the Japanese Anti-Coagulation Regimen Exploration in AF Catheter Ablation Registries","title-short":"HAS-BLED score as a predictor of bleeding complications from catheter ablation of atrial fibrillation","volume":"75","author":[{"family":"Inoue","given":"Koichi"},{"family":"Hirao","given":"Kenzo"},{"family":"Aonuma","given":"Kazutaka"},{"family":"Kumagai","given":"Koichiro"},{"family":"Kimura","given":"Masaomi"},{"family":"Miyauchi","given":"Yasushi"},{"family":"Tsushima","given":"Eiki"},{"family":"Okumura","given":"Ken"}],"issued":{"date-parts":[["2020",1,1]]}}}],"schema":"https://github.com/citation-style-language/schema/raw/master/csl-citation.json"} </w:instrText>
      </w:r>
      <w:r w:rsidR="00D403DA">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[53]</w:t>
      </w:r>
      <w:r w:rsidR="00D403DA">
        <w:rPr>
          <w:rFonts w:ascii="Times New Roman" w:hAnsi="Times New Roman" w:cs="Times New Roman"/>
          <w:sz w:val="28"/>
          <w:szCs w:val="28"/>
          <w:lang w:bidi="ar-SA"/>
        </w:rPr>
        <w:fldChar w:fldCharType="end"/>
      </w:r>
      <w:r w:rsidR="00D403DA">
        <w:rPr>
          <w:rFonts w:ascii="Times New Roman" w:hAnsi="Times New Roman" w:cs="Times New Roman"/>
          <w:sz w:val="28"/>
          <w:szCs w:val="28"/>
          <w:lang w:bidi="ar-SA"/>
        </w:rPr>
        <w:t>. Не</w:t>
      </w:r>
      <w:r w:rsidR="00D403DA">
        <w:rPr>
          <w:rFonts w:ascii="Times New Roman" w:hAnsi="Times New Roman" w:cs="Times New Roman"/>
          <w:sz w:val="28"/>
          <w:szCs w:val="28"/>
          <w:lang w:val="en-US" w:bidi="ar-SA"/>
        </w:rPr>
        <w:t>c</w:t>
      </w:r>
      <w:r w:rsidR="00D403DA">
        <w:rPr>
          <w:rFonts w:ascii="Times New Roman" w:hAnsi="Times New Roman" w:cs="Times New Roman"/>
          <w:sz w:val="28"/>
          <w:szCs w:val="28"/>
          <w:lang w:bidi="ar-SA"/>
        </w:rPr>
        <w:t xml:space="preserve">мотря на доказанную эффективность в профилактике инсультов, применение антикоагулянтов сопряжено с потенциально жизнеугрожающими геморрагическими осложнениями. Шкала </w:t>
      </w:r>
      <w:r w:rsidR="00D403DA">
        <w:rPr>
          <w:rFonts w:ascii="Times New Roman" w:hAnsi="Times New Roman" w:cs="Times New Roman"/>
          <w:sz w:val="28"/>
          <w:szCs w:val="28"/>
          <w:lang w:val="en-US" w:bidi="ar-SA"/>
        </w:rPr>
        <w:t>HAS</w:t>
      </w:r>
      <w:r w:rsidR="00D403DA" w:rsidRPr="00457339">
        <w:rPr>
          <w:rFonts w:ascii="Times New Roman" w:hAnsi="Times New Roman" w:cs="Times New Roman"/>
          <w:sz w:val="28"/>
          <w:szCs w:val="28"/>
          <w:lang w:bidi="ar-SA"/>
        </w:rPr>
        <w:t>-</w:t>
      </w:r>
      <w:r w:rsidR="00D403DA">
        <w:rPr>
          <w:rFonts w:ascii="Times New Roman" w:hAnsi="Times New Roman" w:cs="Times New Roman"/>
          <w:sz w:val="28"/>
          <w:szCs w:val="28"/>
          <w:lang w:val="en-US" w:bidi="ar-SA"/>
        </w:rPr>
        <w:t>BLED</w:t>
      </w:r>
      <w:r w:rsidR="00457339">
        <w:rPr>
          <w:rFonts w:ascii="Times New Roman" w:hAnsi="Times New Roman" w:cs="Times New Roman"/>
          <w:sz w:val="28"/>
          <w:szCs w:val="28"/>
          <w:lang w:bidi="ar-SA"/>
        </w:rPr>
        <w:t xml:space="preserve"> утверждена как ключевой инструмент стратификации геморрагических угроз в международных консенсусах</w:t>
      </w:r>
      <w:r w:rsidR="0045733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xA9JrGzO","properties":{"unsorted":false,"formattedCitation":"[54]","plainCitation":"[54]","noteIndex":0},"citationItems":[{"id":157,"uris":["http://zotero.org/users/14784094/items/QVKFFYBK"],"itemData":{"id":157,"type":"article-journal","abstract":"Background\nPreventing thrombosis is an important part of atrial fibrillation (AF) treatment. However, it may increase the risk of bleeding, and bleeding risk assessment tools' predictive value remains unclear. This network meta‐analysis investigated the sensitivity and specificity of HAS‐BLED, and other bleeding risk assessment tools, to predict major bleeding events in AF patients.\nMethods\nThe PubMed, EMBASE, and Cochrane Central Register of Controlled Trials databases were searched using keywords, including “AF,” “bleeding,” and “HAS‐BLED,” for results published through 30 November 2018. The predictive sensitivity and specificity of each bleeding risk assessment tool was analyzed by network meta‐analysis.\nResults\nOur analysis included 18 studies, recruiting a total of 321 888 people. The bleeding risk assessment tools analyzed in this study included the ABC‐bleeding score, ATRIA, European score, GARFIELD‐AF, HAS‐BLED, HEMORR2HAGES, ORBIT, Shireman, and mOBRI. A comprehensive analysis of sensitivity and specificity, based on an inconsistency model, showed that European score, ABC, and mOBRI have relatively high‐sensitivity but low‐specificity tools, whereas HAS‐BLED and HEMORR2HAGES have balanced sensitivity and specificity. ORBIT, ATRIA, Shireman, and GARFIELD‐AF had relatively high specificity but low sensitivity. A consistency model analysis showed similar results.\nConclusions\nHAS‐BLED is a balanced bleeding risk assessment tool in terms of sensitivity and specificity, whereas the European score, ABC, and mOBRI are high‐sensitivity tools and ORBIT, ATRIA, Shireman, and GARFIELD‐AF are high‐specificity tools.","container-title":"Journal of Thrombosis and Haemostasis","DOI":"10.1111/jth.14692","ISSN":"1538-7836","issue":"4","journalAbbreviation":"Journal of Thrombosis and Haemostasis","page":"791-801","source":"ScienceDirect","title":"Accuracy of HAS‐BLED and other bleeding risk assessment tools in predicting major bleeding events in atrial fibrillation: A network meta‐analysis","title-short":"Accuracy of HAS‐BLED and other bleeding risk assessment tools in predicting major bleeding events in atrial fibrillation","volume":"18","author":[{"family":"Chang","given":"Guodong"},{"family":"Xie","given":"Qiufen"},{"family":"Ma","given":"Lingyue"},{"family":"Hu","given":"Kun"},{"family":"Zhang","given":"Zhuo"},{"family":"Mu","given":"Guangyan"},{"family":"Cui","given":"Yimin"}],"issued":{"date-parts":[["2020",4,1]]}}}],"schema":"https://github.com/citation-style-language/schema/raw/master/csl-citation.json"} </w:instrText>
      </w:r>
      <w:r w:rsidR="0045733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[54]</w:t>
      </w:r>
      <w:r w:rsidR="00457339">
        <w:rPr>
          <w:rFonts w:ascii="Times New Roman" w:hAnsi="Times New Roman" w:cs="Times New Roman"/>
          <w:sz w:val="28"/>
          <w:szCs w:val="28"/>
          <w:lang w:bidi="ar-SA"/>
        </w:rPr>
        <w:fldChar w:fldCharType="end"/>
      </w:r>
      <w:r w:rsidR="00457339">
        <w:rPr>
          <w:rFonts w:ascii="Times New Roman" w:hAnsi="Times New Roman" w:cs="Times New Roman"/>
          <w:sz w:val="28"/>
          <w:szCs w:val="28"/>
          <w:lang w:bidi="ar-SA"/>
        </w:rPr>
        <w:t xml:space="preserve">. </w:t>
      </w:r>
    </w:p>
    <w:p w14:paraId="5D48836E" w14:textId="398CFC70" w:rsidR="00457339" w:rsidRDefault="00457339" w:rsidP="009B0CEF">
      <w:pPr>
        <w:pStyle w:val="LO-normal"/>
        <w:tabs>
          <w:tab w:val="left" w:pos="0"/>
        </w:tabs>
        <w:spacing w:after="0" w:line="240" w:lineRule="auto"/>
        <w:ind w:firstLine="502"/>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Алгоритм </w:t>
      </w:r>
      <w:r>
        <w:rPr>
          <w:rFonts w:ascii="Times New Roman" w:hAnsi="Times New Roman" w:cs="Times New Roman"/>
          <w:sz w:val="28"/>
          <w:szCs w:val="28"/>
          <w:lang w:val="en-US" w:bidi="ar-SA"/>
        </w:rPr>
        <w:t>HAS</w:t>
      </w:r>
      <w:r w:rsidRPr="00457339">
        <w:rPr>
          <w:rFonts w:ascii="Times New Roman" w:hAnsi="Times New Roman" w:cs="Times New Roman"/>
          <w:sz w:val="28"/>
          <w:szCs w:val="28"/>
          <w:lang w:bidi="ar-SA"/>
        </w:rPr>
        <w:t>-</w:t>
      </w:r>
      <w:r>
        <w:rPr>
          <w:rFonts w:ascii="Times New Roman" w:hAnsi="Times New Roman" w:cs="Times New Roman"/>
          <w:sz w:val="28"/>
          <w:szCs w:val="28"/>
          <w:lang w:val="en-US" w:bidi="ar-SA"/>
        </w:rPr>
        <w:t>BLED</w:t>
      </w:r>
      <w:r w:rsidRPr="00457339">
        <w:rPr>
          <w:rFonts w:ascii="Times New Roman" w:hAnsi="Times New Roman" w:cs="Times New Roman"/>
          <w:sz w:val="28"/>
          <w:szCs w:val="28"/>
          <w:lang w:bidi="ar-SA"/>
        </w:rPr>
        <w:t xml:space="preserve"> </w:t>
      </w:r>
      <w:r>
        <w:rPr>
          <w:rFonts w:ascii="Times New Roman" w:hAnsi="Times New Roman" w:cs="Times New Roman"/>
          <w:sz w:val="28"/>
          <w:szCs w:val="28"/>
          <w:lang w:bidi="ar-SA"/>
        </w:rPr>
        <w:t>(каждый из 7 параметров оценивается в 1 балл):</w:t>
      </w:r>
    </w:p>
    <w:p w14:paraId="21074B5F" w14:textId="12478C2A" w:rsidR="00457339" w:rsidRDefault="00457339" w:rsidP="009B0CEF">
      <w:pPr>
        <w:pStyle w:val="LO-normal"/>
        <w:numPr>
          <w:ilvl w:val="0"/>
          <w:numId w:val="13"/>
        </w:numPr>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Артериальная гипертензия (САД</w:t>
      </w:r>
      <w:r w:rsidRPr="00457339">
        <w:rPr>
          <w:rFonts w:ascii="Times New Roman" w:hAnsi="Times New Roman" w:cs="Times New Roman"/>
          <w:sz w:val="28"/>
          <w:szCs w:val="28"/>
          <w:lang w:bidi="ar-SA"/>
        </w:rPr>
        <w:t>&gt;</w:t>
      </w:r>
      <w:r>
        <w:rPr>
          <w:rFonts w:ascii="Times New Roman" w:hAnsi="Times New Roman" w:cs="Times New Roman"/>
          <w:sz w:val="28"/>
          <w:szCs w:val="28"/>
          <w:lang w:bidi="ar-SA"/>
        </w:rPr>
        <w:t>140мм.рт.ст., неконтролируемая)</w:t>
      </w:r>
    </w:p>
    <w:p w14:paraId="61B6E234" w14:textId="4175A839" w:rsidR="00457339" w:rsidRDefault="00457339" w:rsidP="009B0CEF">
      <w:pPr>
        <w:pStyle w:val="LO-normal"/>
        <w:numPr>
          <w:ilvl w:val="0"/>
          <w:numId w:val="13"/>
        </w:numPr>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Дисфункция почек/печени (ХБП 3+ стадии, цирроз или АЛТ/АСТ</w:t>
      </w:r>
      <w:r w:rsidRPr="00457339">
        <w:rPr>
          <w:rFonts w:ascii="Times New Roman" w:hAnsi="Times New Roman" w:cs="Times New Roman"/>
          <w:sz w:val="28"/>
          <w:szCs w:val="28"/>
          <w:lang w:bidi="ar-SA"/>
        </w:rPr>
        <w:t>&gt;</w:t>
      </w:r>
      <w:r>
        <w:rPr>
          <w:rFonts w:ascii="Times New Roman" w:hAnsi="Times New Roman" w:cs="Times New Roman"/>
          <w:sz w:val="28"/>
          <w:szCs w:val="28"/>
          <w:lang w:bidi="ar-SA"/>
        </w:rPr>
        <w:t>3х верхней границы нормы)</w:t>
      </w:r>
    </w:p>
    <w:p w14:paraId="3A5B9AB2" w14:textId="43FE3595" w:rsidR="00457339" w:rsidRDefault="00457339" w:rsidP="009B0CEF">
      <w:pPr>
        <w:pStyle w:val="LO-normal"/>
        <w:numPr>
          <w:ilvl w:val="0"/>
          <w:numId w:val="13"/>
        </w:numPr>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Инсульт в анамнезе</w:t>
      </w:r>
    </w:p>
    <w:p w14:paraId="4799F1B5" w14:textId="61B03D1C" w:rsidR="00457339" w:rsidRDefault="00457339" w:rsidP="009B0CEF">
      <w:pPr>
        <w:pStyle w:val="LO-normal"/>
        <w:numPr>
          <w:ilvl w:val="0"/>
          <w:numId w:val="13"/>
        </w:numPr>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Геморрагические осложнения (кровотечение за 12 </w:t>
      </w:r>
      <w:r w:rsidR="009B0CEF">
        <w:rPr>
          <w:rFonts w:ascii="Times New Roman" w:hAnsi="Times New Roman" w:cs="Times New Roman"/>
          <w:sz w:val="28"/>
          <w:szCs w:val="28"/>
          <w:lang w:bidi="ar-SA"/>
        </w:rPr>
        <w:t>мес.</w:t>
      </w:r>
      <w:r>
        <w:rPr>
          <w:rFonts w:ascii="Times New Roman" w:hAnsi="Times New Roman" w:cs="Times New Roman"/>
          <w:sz w:val="28"/>
          <w:szCs w:val="28"/>
          <w:lang w:bidi="ar-SA"/>
        </w:rPr>
        <w:t>)</w:t>
      </w:r>
    </w:p>
    <w:p w14:paraId="25C3AA39" w14:textId="77777777" w:rsidR="00427FF7" w:rsidRDefault="00457339" w:rsidP="009B0CEF">
      <w:pPr>
        <w:pStyle w:val="LO-normal"/>
        <w:numPr>
          <w:ilvl w:val="0"/>
          <w:numId w:val="13"/>
        </w:numPr>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Лабильность МНО (</w:t>
      </w:r>
      <w:proofErr w:type="gramStart"/>
      <w:r>
        <w:rPr>
          <w:rFonts w:ascii="Times New Roman" w:hAnsi="Times New Roman" w:cs="Times New Roman"/>
          <w:sz w:val="28"/>
          <w:szCs w:val="28"/>
          <w:lang w:val="en-US" w:bidi="ar-SA"/>
        </w:rPr>
        <w:t>TTR</w:t>
      </w:r>
      <w:r w:rsidRPr="00457339">
        <w:rPr>
          <w:rFonts w:ascii="Times New Roman" w:hAnsi="Times New Roman" w:cs="Times New Roman"/>
          <w:sz w:val="28"/>
          <w:szCs w:val="28"/>
          <w:lang w:bidi="ar-SA"/>
        </w:rPr>
        <w:t>&lt;</w:t>
      </w:r>
      <w:proofErr w:type="gramEnd"/>
      <w:r w:rsidRPr="00457339">
        <w:rPr>
          <w:rFonts w:ascii="Times New Roman" w:hAnsi="Times New Roman" w:cs="Times New Roman"/>
          <w:sz w:val="28"/>
          <w:szCs w:val="28"/>
          <w:lang w:bidi="ar-SA"/>
        </w:rPr>
        <w:t>60%</w:t>
      </w:r>
      <w:r>
        <w:rPr>
          <w:rFonts w:ascii="Times New Roman" w:hAnsi="Times New Roman" w:cs="Times New Roman"/>
          <w:sz w:val="28"/>
          <w:szCs w:val="28"/>
          <w:lang w:bidi="ar-SA"/>
        </w:rPr>
        <w:t xml:space="preserve"> при терапии антагонистами </w:t>
      </w:r>
    </w:p>
    <w:p w14:paraId="22A72A05" w14:textId="5694CE85" w:rsidR="00457339" w:rsidRDefault="00457339" w:rsidP="009B0CEF">
      <w:pPr>
        <w:pStyle w:val="LO-normal"/>
        <w:tabs>
          <w:tab w:val="left" w:pos="0"/>
        </w:tabs>
        <w:spacing w:after="0" w:line="240" w:lineRule="auto"/>
        <w:ind w:left="720"/>
        <w:jc w:val="both"/>
        <w:rPr>
          <w:rFonts w:ascii="Times New Roman" w:hAnsi="Times New Roman" w:cs="Times New Roman"/>
          <w:sz w:val="28"/>
          <w:szCs w:val="28"/>
          <w:lang w:bidi="ar-SA"/>
        </w:rPr>
      </w:pPr>
      <w:r>
        <w:rPr>
          <w:rFonts w:ascii="Times New Roman" w:hAnsi="Times New Roman" w:cs="Times New Roman"/>
          <w:sz w:val="28"/>
          <w:szCs w:val="28"/>
          <w:lang w:bidi="ar-SA"/>
        </w:rPr>
        <w:t>витамина К)</w:t>
      </w:r>
    </w:p>
    <w:p w14:paraId="73775F0C" w14:textId="2BB1499A" w:rsidR="00457339" w:rsidRDefault="00457339" w:rsidP="009B0CEF">
      <w:pPr>
        <w:pStyle w:val="LO-normal"/>
        <w:numPr>
          <w:ilvl w:val="0"/>
          <w:numId w:val="13"/>
        </w:numPr>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Возраст </w:t>
      </w:r>
      <w:r>
        <w:rPr>
          <w:rFonts w:ascii="Times New Roman" w:hAnsi="Times New Roman" w:cs="Times New Roman"/>
          <w:sz w:val="28"/>
          <w:szCs w:val="28"/>
          <w:lang w:bidi="ar-SA"/>
        </w:rPr>
        <w:sym w:font="Symbol" w:char="F0B3"/>
      </w:r>
      <w:r>
        <w:rPr>
          <w:rFonts w:ascii="Times New Roman" w:hAnsi="Times New Roman" w:cs="Times New Roman"/>
          <w:sz w:val="28"/>
          <w:szCs w:val="28"/>
          <w:lang w:bidi="ar-SA"/>
        </w:rPr>
        <w:t>65 лет</w:t>
      </w:r>
    </w:p>
    <w:p w14:paraId="72865152" w14:textId="0105116B" w:rsidR="00457339" w:rsidRDefault="00457339" w:rsidP="009B0CEF">
      <w:pPr>
        <w:pStyle w:val="LO-normal"/>
        <w:numPr>
          <w:ilvl w:val="0"/>
          <w:numId w:val="13"/>
        </w:numPr>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Фармакологические риски (НПВС, </w:t>
      </w:r>
      <w:proofErr w:type="spellStart"/>
      <w:r>
        <w:rPr>
          <w:rFonts w:ascii="Times New Roman" w:hAnsi="Times New Roman" w:cs="Times New Roman"/>
          <w:sz w:val="28"/>
          <w:szCs w:val="28"/>
          <w:lang w:bidi="ar-SA"/>
        </w:rPr>
        <w:t>антиагреганты</w:t>
      </w:r>
      <w:proofErr w:type="spellEnd"/>
      <w:r>
        <w:rPr>
          <w:rFonts w:ascii="Times New Roman" w:hAnsi="Times New Roman" w:cs="Times New Roman"/>
          <w:sz w:val="28"/>
          <w:szCs w:val="28"/>
          <w:lang w:bidi="ar-SA"/>
        </w:rPr>
        <w:t>, алкоголь</w:t>
      </w:r>
      <w:r w:rsidRPr="00457339">
        <w:rPr>
          <w:rFonts w:ascii="Times New Roman" w:hAnsi="Times New Roman" w:cs="Times New Roman"/>
          <w:sz w:val="28"/>
          <w:szCs w:val="28"/>
          <w:lang w:bidi="ar-SA"/>
        </w:rPr>
        <w:t>&gt;</w:t>
      </w:r>
      <w:r>
        <w:rPr>
          <w:rFonts w:ascii="Times New Roman" w:hAnsi="Times New Roman" w:cs="Times New Roman"/>
          <w:sz w:val="28"/>
          <w:szCs w:val="28"/>
          <w:lang w:bidi="ar-SA"/>
        </w:rPr>
        <w:t xml:space="preserve">8 </w:t>
      </w:r>
      <w:proofErr w:type="spellStart"/>
      <w:r>
        <w:rPr>
          <w:rFonts w:ascii="Times New Roman" w:hAnsi="Times New Roman" w:cs="Times New Roman"/>
          <w:sz w:val="28"/>
          <w:szCs w:val="28"/>
          <w:lang w:bidi="ar-SA"/>
        </w:rPr>
        <w:t>ед</w:t>
      </w:r>
      <w:proofErr w:type="spellEnd"/>
      <w:r>
        <w:rPr>
          <w:rFonts w:ascii="Times New Roman" w:hAnsi="Times New Roman" w:cs="Times New Roman"/>
          <w:sz w:val="28"/>
          <w:szCs w:val="28"/>
          <w:lang w:bidi="ar-SA"/>
        </w:rPr>
        <w:t>/</w:t>
      </w:r>
      <w:proofErr w:type="spellStart"/>
      <w:r>
        <w:rPr>
          <w:rFonts w:ascii="Times New Roman" w:hAnsi="Times New Roman" w:cs="Times New Roman"/>
          <w:sz w:val="28"/>
          <w:szCs w:val="28"/>
          <w:lang w:bidi="ar-SA"/>
        </w:rPr>
        <w:t>нед</w:t>
      </w:r>
      <w:proofErr w:type="spellEnd"/>
      <w:r>
        <w:rPr>
          <w:rFonts w:ascii="Times New Roman" w:hAnsi="Times New Roman" w:cs="Times New Roman"/>
          <w:sz w:val="28"/>
          <w:szCs w:val="28"/>
          <w:lang w:bidi="ar-SA"/>
        </w:rPr>
        <w:t>.).</w:t>
      </w:r>
    </w:p>
    <w:p w14:paraId="73FF35B9" w14:textId="648422AB" w:rsidR="00457339" w:rsidRDefault="00457339"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При сумме </w:t>
      </w:r>
      <w:r w:rsidR="00D960EB">
        <w:rPr>
          <w:rFonts w:ascii="Times New Roman" w:hAnsi="Times New Roman" w:cs="Times New Roman"/>
          <w:sz w:val="28"/>
          <w:szCs w:val="28"/>
          <w:lang w:bidi="ar-SA"/>
        </w:rPr>
        <w:sym w:font="Symbol" w:char="F0B3"/>
      </w:r>
      <w:r w:rsidR="00D960EB">
        <w:rPr>
          <w:rFonts w:ascii="Times New Roman" w:hAnsi="Times New Roman" w:cs="Times New Roman"/>
          <w:sz w:val="28"/>
          <w:szCs w:val="28"/>
          <w:lang w:bidi="ar-SA"/>
        </w:rPr>
        <w:t xml:space="preserve">3 баллов риск крупных кровотечений достигает 4,8% в год. Исследования последних лет (включая регистр </w:t>
      </w:r>
      <w:r w:rsidR="00D960EB">
        <w:rPr>
          <w:rFonts w:ascii="Times New Roman" w:hAnsi="Times New Roman" w:cs="Times New Roman"/>
          <w:sz w:val="28"/>
          <w:szCs w:val="28"/>
          <w:lang w:val="en-US" w:bidi="ar-SA"/>
        </w:rPr>
        <w:t>GLORIA</w:t>
      </w:r>
      <w:r w:rsidR="00D960EB" w:rsidRPr="00D960EB">
        <w:rPr>
          <w:rFonts w:ascii="Times New Roman" w:hAnsi="Times New Roman" w:cs="Times New Roman"/>
          <w:sz w:val="28"/>
          <w:szCs w:val="28"/>
          <w:lang w:bidi="ar-SA"/>
        </w:rPr>
        <w:t>-</w:t>
      </w:r>
      <w:r w:rsidR="00D960EB">
        <w:rPr>
          <w:rFonts w:ascii="Times New Roman" w:hAnsi="Times New Roman" w:cs="Times New Roman"/>
          <w:sz w:val="28"/>
          <w:szCs w:val="28"/>
          <w:lang w:val="en-US" w:bidi="ar-SA"/>
        </w:rPr>
        <w:t>AF</w:t>
      </w:r>
      <w:r w:rsidR="00D960EB">
        <w:rPr>
          <w:rFonts w:ascii="Times New Roman" w:hAnsi="Times New Roman" w:cs="Times New Roman"/>
          <w:sz w:val="28"/>
          <w:szCs w:val="28"/>
          <w:lang w:bidi="ar-SA"/>
        </w:rPr>
        <w:t xml:space="preserve">) подтверждают прогностическую валидность шкалы для всех классов антикоагулянтов: для антагонистов витамина К: </w:t>
      </w:r>
      <w:r w:rsidR="00D960EB">
        <w:rPr>
          <w:rFonts w:ascii="Times New Roman" w:hAnsi="Times New Roman" w:cs="Times New Roman"/>
          <w:sz w:val="28"/>
          <w:szCs w:val="28"/>
          <w:lang w:val="en-US" w:bidi="ar-SA"/>
        </w:rPr>
        <w:t>AUC</w:t>
      </w:r>
      <w:r w:rsidR="00D960EB" w:rsidRPr="00D960EB">
        <w:rPr>
          <w:rFonts w:ascii="Times New Roman" w:hAnsi="Times New Roman" w:cs="Times New Roman"/>
          <w:sz w:val="28"/>
          <w:szCs w:val="28"/>
          <w:lang w:bidi="ar-SA"/>
        </w:rPr>
        <w:t xml:space="preserve"> 0,68 (</w:t>
      </w:r>
      <w:r w:rsidR="00D960EB">
        <w:rPr>
          <w:rFonts w:ascii="Times New Roman" w:hAnsi="Times New Roman" w:cs="Times New Roman"/>
          <w:sz w:val="28"/>
          <w:szCs w:val="28"/>
          <w:lang w:bidi="ar-SA"/>
        </w:rPr>
        <w:t>95%</w:t>
      </w:r>
      <w:r w:rsidR="00AB3CBA">
        <w:rPr>
          <w:rFonts w:ascii="Times New Roman" w:hAnsi="Times New Roman" w:cs="Times New Roman"/>
          <w:sz w:val="28"/>
          <w:szCs w:val="28"/>
          <w:lang w:bidi="ar-SA"/>
        </w:rPr>
        <w:t xml:space="preserve"> ДИ 0,64-0,72</w:t>
      </w:r>
      <w:r w:rsidR="00D960EB" w:rsidRPr="00D960EB">
        <w:rPr>
          <w:rFonts w:ascii="Times New Roman" w:hAnsi="Times New Roman" w:cs="Times New Roman"/>
          <w:sz w:val="28"/>
          <w:szCs w:val="28"/>
          <w:lang w:bidi="ar-SA"/>
        </w:rPr>
        <w:t>)</w:t>
      </w:r>
      <w:r w:rsidR="00AB3CBA">
        <w:rPr>
          <w:rFonts w:ascii="Times New Roman" w:hAnsi="Times New Roman" w:cs="Times New Roman"/>
          <w:sz w:val="28"/>
          <w:szCs w:val="28"/>
          <w:lang w:bidi="ar-SA"/>
        </w:rPr>
        <w:t>; для ПОАК:</w:t>
      </w:r>
      <w:r w:rsidR="00D960EB" w:rsidRPr="00D960EB">
        <w:rPr>
          <w:rFonts w:ascii="Times New Roman" w:hAnsi="Times New Roman" w:cs="Times New Roman"/>
          <w:sz w:val="28"/>
          <w:szCs w:val="28"/>
          <w:lang w:bidi="ar-SA"/>
        </w:rPr>
        <w:t xml:space="preserve"> </w:t>
      </w:r>
      <w:r w:rsidR="00D960EB">
        <w:rPr>
          <w:rFonts w:ascii="Times New Roman" w:hAnsi="Times New Roman" w:cs="Times New Roman"/>
          <w:sz w:val="28"/>
          <w:szCs w:val="28"/>
          <w:lang w:val="en-US" w:bidi="ar-SA"/>
        </w:rPr>
        <w:t>HR</w:t>
      </w:r>
      <w:r w:rsidR="00AB3CBA">
        <w:rPr>
          <w:rFonts w:ascii="Times New Roman" w:hAnsi="Times New Roman" w:cs="Times New Roman"/>
          <w:sz w:val="28"/>
          <w:szCs w:val="28"/>
          <w:lang w:bidi="ar-SA"/>
        </w:rPr>
        <w:t xml:space="preserve"> 2,1 при росте балла на единицу (р</w:t>
      </w:r>
      <w:r w:rsidR="00AB3CBA" w:rsidRPr="00AB3CBA">
        <w:rPr>
          <w:rFonts w:ascii="Times New Roman" w:hAnsi="Times New Roman" w:cs="Times New Roman"/>
          <w:sz w:val="28"/>
          <w:szCs w:val="28"/>
          <w:lang w:bidi="ar-SA"/>
        </w:rPr>
        <w:t>&lt;0,001</w:t>
      </w:r>
      <w:r w:rsidR="00AB3CBA">
        <w:rPr>
          <w:rFonts w:ascii="Times New Roman" w:hAnsi="Times New Roman" w:cs="Times New Roman"/>
          <w:sz w:val="28"/>
          <w:szCs w:val="28"/>
          <w:lang w:bidi="ar-SA"/>
        </w:rPr>
        <w:t>)</w:t>
      </w:r>
      <w:r w:rsidR="00AB3CBA">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{"citationID":"iVAGW8Gx","properties":{"unsorted":false,"formattedCitation":"[55]","plainCitation":"[55]","noteIndex":0},"citationItems":[{"id":279,"uris":["http://zotero.org/users/14784094/items/TMLM52YH"],"itemData":{"id":279,"type":"article-journal","abstract":"Background: Several bleeding risk assessment models have been developed in atrial fibrillation (AF) patients with oral anticoagulants, but the most appropriate tool for predicting bleeding remains uncertain. Therefore, we aimed to assess the diagnostic accuracy of the Hypertension, Abnormal liver/renal function, Stroke, Bleeding history or predisposition, Labile international normalized ratio, Elderly, Drugs/alcohol concomitantly (HAS-BLED) score compared with other risk scores in anticoagulated patients with AF., Methods: We comprehensively searched the PubMed and Embase databases until July 2021 to identify relevant pieces of literature. The predictive abilities of risk scores were fully assessed by the C-statistic, net reclassification improvement (NRI) and integrated discrimination improvement (IDI) values, calibration data, and decision curve analyses., Results: A total of 39 studies met the inclusion criteria. The C-statistic of the HAS-BLED score for predicting major bleeding was 0.63 (0.61–0.65) in anticoagulated patients regardless of vitamin k antagonists [0.63 (0.61–0.65)] and direct oral anticoagulants [0.63 (0.59–0.67)]. The HAS-BLED had the similar C-statistic to the Hepatic or renal disease, Ethanol abuse, Malignancy, Older, Reduced platelet count or function, Re-bleeding risk, Hypertension (uncontrolled), Anemia, Genetic factors, Excessive fall risk, Stroke (HEMORR2HAGES), the Anticoagulation and Risk Factors in Atrial Fibrillation (ATRIA), the Outcomes Registry for Better Informed Treatment of Atrial Fibrillation (ORBIT), the Global Anticoagulant Registry in the FIELD-Atrial Fibrillation (GARFIELD-AF), or the Age, Biomarkers, Clinical History (ABC) scores, but significantly higher C-statistic than the Congestive heart failure, Hypertension, Age ≥75 years, Diabetes mellitus, Stroke/transient ischemic attack history (CHADS2) or the Congestive heart failure/left ventricular ejection fraction ≤ 40%, Hypertension, Age ≥75 years, Diabetes mellitus, Stroke/transient ischemic attack/thromboembolism history, Vascular disease, Age 65–74 years, Sex (female) (CHA2DS2-VASc) scores. NRI and IDI values suggested that the HAS-BLED score performed better than the CHADS2 or the CHA2DS2-VASc scores and had similar or superior predictive ability compared with the HEMORR2HAGES, the ATRIA, the ORBIT, or the GARFIELD-AF scores. Calibration and decision curve analyses of the HAS-BLED score compared with other scores required further assessment due to the limited evidence., Conclusion: The HAS-BLED score has moderate predictive abilities for bleeding risks in patients with AF regardless of type of oral anticoagulants. Current evidence support that the HAS-BLED score is at least non-inferior to the HEMORR2HAGES, the ATRIA, the ORBIT, the GARFIELD-AF, the CHADS2, the CHA2DS2-VASc, or the ABC scores.","container-title":"Frontiers in Cardiovascular Medicine","DOI":"10.3389/fcvm.2021.757087","ISSN":"2297-055X","journalAbbreviation":"Front Cardiovasc Med","page":"757087","PMID":"34881309","PMCID":"PMC8648046","source":"PubMed Central","title":"Diagnostic Accuracy of the HAS-BLED Bleeding Score in VKA- or DOAC-Treated Patients With Atrial Fibrillation: A Systematic Review and Meta-Analysis","title-short":"Diagnostic Accuracy of the HAS-BLED Bleeding Score in VKA- or DOAC-Treated Patients With Atrial Fibrillation","volume":"8","author":[{"family":"Gao","given":"Xinxing"},{"family":"Cai","given":"Xingming"},{"family":"Yang","given":"Yunyao"},{"family":"Zhou","given":"Yue"},{"family":"Zhu","given":"Wengen"}],"issued":{"date-parts":[["2021",11,22]]}}}],"schema":"https://github.com/citation-style-language/schema/raw/master/csl-citation.json"} </w:instrText>
      </w:r>
      <w:r w:rsidR="00AB3CBA">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[55]</w:t>
      </w:r>
      <w:r w:rsidR="00AB3CBA">
        <w:rPr>
          <w:rFonts w:ascii="Times New Roman" w:hAnsi="Times New Roman" w:cs="Times New Roman"/>
          <w:sz w:val="28"/>
          <w:szCs w:val="28"/>
          <w:lang w:bidi="ar-SA"/>
        </w:rPr>
        <w:fldChar w:fldCharType="end"/>
      </w:r>
      <w:r w:rsidR="00AB3CBA" w:rsidRPr="00427FF7">
        <w:rPr>
          <w:rFonts w:ascii="Times New Roman" w:hAnsi="Times New Roman" w:cs="Times New Roman"/>
          <w:sz w:val="28"/>
          <w:szCs w:val="28"/>
          <w:lang w:bidi="ar-SA"/>
        </w:rPr>
        <w:t xml:space="preserve">. </w:t>
      </w:r>
      <w:r w:rsidR="00AB3CBA">
        <w:rPr>
          <w:rFonts w:ascii="Times New Roman" w:hAnsi="Times New Roman" w:cs="Times New Roman"/>
          <w:sz w:val="28"/>
          <w:szCs w:val="28"/>
          <w:lang w:bidi="ar-SA"/>
        </w:rPr>
        <w:t xml:space="preserve">Изменение статуса </w:t>
      </w:r>
      <w:r w:rsidR="00AB3CBA">
        <w:rPr>
          <w:rFonts w:ascii="Times New Roman" w:hAnsi="Times New Roman" w:cs="Times New Roman"/>
          <w:sz w:val="28"/>
          <w:szCs w:val="28"/>
          <w:lang w:val="en-US" w:bidi="ar-SA"/>
        </w:rPr>
        <w:t>HAS</w:t>
      </w:r>
      <w:r w:rsidR="00AB3CBA" w:rsidRPr="00427FF7">
        <w:rPr>
          <w:rFonts w:ascii="Times New Roman" w:hAnsi="Times New Roman" w:cs="Times New Roman"/>
          <w:sz w:val="28"/>
          <w:szCs w:val="28"/>
          <w:lang w:bidi="ar-SA"/>
        </w:rPr>
        <w:t>-</w:t>
      </w:r>
      <w:r w:rsidR="00AB3CBA">
        <w:rPr>
          <w:rFonts w:ascii="Times New Roman" w:hAnsi="Times New Roman" w:cs="Times New Roman"/>
          <w:sz w:val="28"/>
          <w:szCs w:val="28"/>
          <w:lang w:val="en-US" w:bidi="ar-SA"/>
        </w:rPr>
        <w:t>BLED</w:t>
      </w:r>
      <w:r w:rsidR="00AB3CBA" w:rsidRPr="00427FF7">
        <w:rPr>
          <w:rFonts w:ascii="Times New Roman" w:hAnsi="Times New Roman" w:cs="Times New Roman"/>
          <w:sz w:val="28"/>
          <w:szCs w:val="28"/>
          <w:lang w:bidi="ar-SA"/>
        </w:rPr>
        <w:t xml:space="preserve"> </w:t>
      </w:r>
      <w:r w:rsidR="00AB3CBA">
        <w:rPr>
          <w:rFonts w:ascii="Times New Roman" w:hAnsi="Times New Roman" w:cs="Times New Roman"/>
          <w:sz w:val="28"/>
          <w:szCs w:val="28"/>
          <w:lang w:bidi="ar-SA"/>
        </w:rPr>
        <w:t xml:space="preserve">(например, переход с </w:t>
      </w:r>
      <w:r w:rsidR="00AB3CBA">
        <w:rPr>
          <w:rFonts w:ascii="Times New Roman" w:hAnsi="Times New Roman" w:cs="Times New Roman"/>
          <w:sz w:val="28"/>
          <w:szCs w:val="28"/>
          <w:lang w:bidi="ar-SA"/>
        </w:rPr>
        <w:sym w:font="Symbol" w:char="F0A3"/>
      </w:r>
      <w:r w:rsidR="00AB3CBA">
        <w:rPr>
          <w:rFonts w:ascii="Times New Roman" w:hAnsi="Times New Roman" w:cs="Times New Roman"/>
          <w:sz w:val="28"/>
          <w:szCs w:val="28"/>
          <w:lang w:bidi="ar-SA"/>
        </w:rPr>
        <w:t xml:space="preserve">2 до </w:t>
      </w:r>
      <w:r w:rsidR="00AB3CBA">
        <w:rPr>
          <w:rFonts w:ascii="Times New Roman" w:hAnsi="Times New Roman" w:cs="Times New Roman"/>
          <w:sz w:val="28"/>
          <w:szCs w:val="28"/>
          <w:lang w:bidi="ar-SA"/>
        </w:rPr>
        <w:sym w:font="Symbol" w:char="F0B3"/>
      </w:r>
      <w:r w:rsidR="00AB3CBA">
        <w:rPr>
          <w:rFonts w:ascii="Times New Roman" w:hAnsi="Times New Roman" w:cs="Times New Roman"/>
          <w:sz w:val="28"/>
          <w:szCs w:val="28"/>
          <w:lang w:bidi="ar-SA"/>
        </w:rPr>
        <w:t>3 баллов)</w:t>
      </w:r>
      <w:r w:rsidR="00427FF7">
        <w:rPr>
          <w:rFonts w:ascii="Times New Roman" w:hAnsi="Times New Roman" w:cs="Times New Roman"/>
          <w:sz w:val="28"/>
          <w:szCs w:val="28"/>
          <w:lang w:bidi="ar-SA"/>
        </w:rPr>
        <w:t xml:space="preserve"> увеличивает риск геморрагий на 130% (ОР 2,3; р=0,008). Поэтому ежеквартальная переоценка рекомендована </w:t>
      </w:r>
      <w:r w:rsidR="00427FF7">
        <w:rPr>
          <w:rFonts w:ascii="Times New Roman" w:hAnsi="Times New Roman" w:cs="Times New Roman"/>
          <w:sz w:val="28"/>
          <w:szCs w:val="28"/>
          <w:lang w:val="en-US" w:bidi="ar-SA"/>
        </w:rPr>
        <w:t>ESC</w:t>
      </w:r>
      <w:r w:rsidR="00427FF7">
        <w:rPr>
          <w:rFonts w:ascii="Times New Roman" w:hAnsi="Times New Roman" w:cs="Times New Roman"/>
          <w:sz w:val="28"/>
          <w:szCs w:val="28"/>
          <w:lang w:bidi="ar-SA"/>
        </w:rPr>
        <w:t xml:space="preserve"> (2023) для коррекции дозы ПОАК; отмены терапии (НПВС); контроля почечной функции и других изменений в состоянии пациента</w:t>
      </w:r>
      <w:r w:rsidR="00427FF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{"citationID":"dvTauPsy","properties":{"unsorted":false,"formattedCitation":"[56]","plainCitation":"[56]","noteIndex":0},"citationItems":[{"id":241,"uris":["http://zotero.org/users/14784094/items/TTNSET3D"],"itemData":{"id":241,"type":"article-journal","abstract":"Atrial fibrillation (AF) is the most common sustained cardiac arrhythmia and is associated with substantial increases in the risk for stroke and systemic thromboembolism. With the successful introduction of the first non-vitamin K antagonistdirect oral anticoagulant agent (NOAC) in 2009, the role of vitamin K antagonists has been replaced in most clinical settings except in a few conditions for which NOACs are contraindicated. Data for the use of NOACs in different clinical scenarios have been accumulating in the past decade, and a more sophisticated strategy for patients with AF is now warranted. JACC: Asia recently appointed a working group to summarize the most updated information regarding stroke prevention in AF. The aim of this statement is to provide possible treatment options in daily practice. Local availability, cost, and patient comorbidities should also be considered. Final decisions may still need to be individualized and based on clinicians' discretion. This is part 2 of the statement.","container-title":"JACC. Asia","DOI":"10.1016/j.jacasi.2022.06.004","ISSN":"2772-3747","issue":"5","journalAbbreviation":"JACC Asia","language":"eng","page":"519-537","PMID":"36624790","PMCID":"PMC9823285","source":"PubMed","title":"Stroke Prevention in Atrial Fibrillation: A Scientific Statement of JACC: Asia (Part 2)","title-short":"Stroke Prevention in Atrial Fibrillation","volume":"2","author":[{"family":"Chiang","given":"Chern-En"},{"family":"Chao","given":"Tze-Fan"},{"family":"Choi","given":"Eue-Keun"},{"family":"Lim","given":"Toon Wei"},{"family":"Krittayaphong","given":"Rungroj"},{"family":"Li","given":"Mingfang"},{"family":"Chen","given":"Minglong"},{"family":"Guo","given":"Yutao"},{"family":"Okumura","given":"Ken"},{"family":"Lip","given":"Gregory Y. H."}],"issued":{"date-parts":[["2022",10]]}}}],"schema":"https://github.com/citation-style-language/schema/raw/master/csl-citation.json"} </w:instrText>
      </w:r>
      <w:r w:rsidR="00427FF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[56]</w:t>
      </w:r>
      <w:r w:rsidR="00427FF7">
        <w:rPr>
          <w:rFonts w:ascii="Times New Roman" w:hAnsi="Times New Roman" w:cs="Times New Roman"/>
          <w:sz w:val="28"/>
          <w:szCs w:val="28"/>
          <w:lang w:bidi="ar-SA"/>
        </w:rPr>
        <w:fldChar w:fldCharType="end"/>
      </w:r>
      <w:r w:rsidR="00427FF7">
        <w:rPr>
          <w:rFonts w:ascii="Times New Roman" w:hAnsi="Times New Roman" w:cs="Times New Roman"/>
          <w:sz w:val="28"/>
          <w:szCs w:val="28"/>
          <w:lang w:val="en-US" w:bidi="ar-SA"/>
        </w:rPr>
        <w:t xml:space="preserve">. </w:t>
      </w:r>
    </w:p>
    <w:p w14:paraId="61EA85A5" w14:textId="77777777" w:rsidR="00C936AA" w:rsidRDefault="00C936AA" w:rsidP="009B0CEF">
      <w:pPr>
        <w:pStyle w:val="LO-normal"/>
        <w:tabs>
          <w:tab w:val="left" w:pos="0"/>
        </w:tabs>
        <w:spacing w:after="0" w:line="240" w:lineRule="auto"/>
        <w:ind w:left="360"/>
        <w:jc w:val="both"/>
        <w:rPr>
          <w:rFonts w:ascii="Times New Roman" w:hAnsi="Times New Roman" w:cs="Times New Roman"/>
          <w:sz w:val="28"/>
          <w:szCs w:val="28"/>
          <w:lang w:bidi="ar-SA"/>
        </w:rPr>
      </w:pPr>
    </w:p>
    <w:p w14:paraId="4DEAC7D3" w14:textId="0CC267D0" w:rsidR="00C936AA" w:rsidRDefault="00C936AA" w:rsidP="009B0CEF">
      <w:pPr>
        <w:pStyle w:val="LO-normal"/>
        <w:numPr>
          <w:ilvl w:val="1"/>
          <w:numId w:val="8"/>
        </w:numPr>
        <w:tabs>
          <w:tab w:val="left" w:pos="0"/>
        </w:tabs>
        <w:spacing w:after="0" w:line="240" w:lineRule="auto"/>
        <w:jc w:val="both"/>
        <w:rPr>
          <w:rFonts w:ascii="Times New Roman" w:hAnsi="Times New Roman" w:cs="Times New Roman"/>
          <w:b/>
          <w:bCs/>
          <w:sz w:val="28"/>
          <w:szCs w:val="28"/>
          <w:lang w:bidi="ar-SA"/>
        </w:rPr>
      </w:pPr>
      <w:r w:rsidRPr="00C936AA">
        <w:rPr>
          <w:rFonts w:ascii="Times New Roman" w:hAnsi="Times New Roman" w:cs="Times New Roman"/>
          <w:b/>
          <w:bCs/>
          <w:sz w:val="28"/>
          <w:szCs w:val="28"/>
          <w:lang w:bidi="ar-SA"/>
        </w:rPr>
        <w:t>Профилактика инсульта у пациентов с неклапанной ФП</w:t>
      </w:r>
    </w:p>
    <w:p w14:paraId="6E173E6A" w14:textId="65D67D6C" w:rsidR="00C936AA" w:rsidRPr="00DB1124" w:rsidRDefault="00C936AA" w:rsidP="009B0CEF">
      <w:pPr>
        <w:pStyle w:val="LO-normal"/>
        <w:tabs>
          <w:tab w:val="left" w:pos="0"/>
        </w:tabs>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Для профилактики инсульта у пациентов с ФП варфарин десятилетиями оставался золотым стандартом антикоагуляции</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{"citationID":"4r0zw6Yu","properties":{"unsorted":false,"formattedCitation":"[57]","plainCitation":"[57]","noteIndex":0},"citationItems":[{"id":155,"uris":["http://zotero.org/users/14784094/items/CK8KIMFR"],"itemData":{"id":155,"type":"article-journal","abstract":"The article is devoted to the actual problem of non-vitamin K anticoagulants application (NOAC) for secondary stroke prevention in patients with atrial fibrillation. Therapeutic drug monitoring is considered a promising tool for personalized anticoagulation that allows to prevent the development of complications associated with NOAC administration.","container-title":"Consilium Medicum","DOI":"10.26442/2075-1753_2015.1.41-43","ISSN":"20751753","issue":"1","journalAbbreviation":"CM","language":"ru","page":"41-43","source":"DOI.org (Crossref)","title":"Prospects for personalized utilization of non-vitamin K anticoagulants based on the assessment of pharmacokinetics in patients with atrial fibrillation","volume":"17","author":[{"literal":"Russian Medical Academy of Postgraduate Education  of the Ministry of Health of the Russian Federation. 125993, Russian Federation, Moscow, ul. Barrikadnaia, d. 2/1"},{"family":"Kryukov","given":"A.V."},{"family":"Sychev","given":"D.A."},{"literal":"Russian Medical Academy of Postgraduate Education  of the Ministry of Health of the Russian Federation. 125993, Russian Federation, Moscow, ul. Barrikadnaia, d. 2/1"},{"family":"Saveleva","given":"M.I."},{"literal":"Russian Medical Academy of Postgraduate Education  of the Ministry of Health of the Russian Federation. 125993, Russian Federation, Moscow, ul. Barrikadnaia, d. 2/1"},{"family":"Ryabova","given":"A.V."},{"literal":"Russian Medical Academy of Postgraduate Education  of the Ministry of Health of the Russian Federation. 125993, Russian Federation, Moscow, ul. Barrikadnaia, d. 2/1"},{"family":"Ilina","given":"E.S."},{"literal":"Russian Medical Academy of Postgraduate Education  of the Ministry of Health of the Russian Federation. 125993, Russian Federation, Moscow, ul. Barrikadnaia, d. 2/1"},{"family":"Yurovsky","given":"A.Yu."},{"literal":"Russian Medical Academy of Postgraduate Education  of the Ministry of Health of the Russian Federation. 125993, Russian Federation, Moscow, ul. Barrikadnaia, d. 2/1"}],"issued":{"date-parts":[["2015"]]}}}],"schema":"https://github.com/citation-style-language/schema/raw/master/csl-citation.json"}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[57]</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Современный клинический фокус сместился в пользу ПОАК, чьи профили подтверждены в четырех ключевых РКИ </w:t>
      </w:r>
      <w:r>
        <w:rPr>
          <w:rFonts w:ascii="Times New Roman" w:hAnsi="Times New Roman" w:cs="Times New Roman"/>
          <w:sz w:val="28"/>
          <w:szCs w:val="28"/>
          <w:lang w:val="en-US" w:bidi="ar-SA"/>
        </w:rPr>
        <w:t>III</w:t>
      </w:r>
      <w:r w:rsidRPr="00C936AA">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фазы: </w:t>
      </w:r>
      <w:r>
        <w:rPr>
          <w:rFonts w:ascii="Times New Roman" w:hAnsi="Times New Roman" w:cs="Times New Roman"/>
          <w:sz w:val="28"/>
          <w:szCs w:val="28"/>
          <w:lang w:val="en-US" w:bidi="ar-SA"/>
        </w:rPr>
        <w:t>RE</w:t>
      </w:r>
      <w:r w:rsidRPr="00C936AA">
        <w:rPr>
          <w:rFonts w:ascii="Times New Roman" w:hAnsi="Times New Roman" w:cs="Times New Roman"/>
          <w:sz w:val="28"/>
          <w:szCs w:val="28"/>
          <w:lang w:bidi="ar-SA"/>
        </w:rPr>
        <w:t>-</w:t>
      </w:r>
      <w:r>
        <w:rPr>
          <w:rFonts w:ascii="Times New Roman" w:hAnsi="Times New Roman" w:cs="Times New Roman"/>
          <w:sz w:val="28"/>
          <w:szCs w:val="28"/>
          <w:lang w:val="en-US" w:bidi="ar-SA"/>
        </w:rPr>
        <w:t>LY</w:t>
      </w:r>
      <w:r w:rsidR="00355C14">
        <w:rPr>
          <w:rFonts w:ascii="Times New Roman" w:hAnsi="Times New Roman" w:cs="Times New Roman"/>
          <w:sz w:val="28"/>
          <w:szCs w:val="28"/>
          <w:lang w:bidi="ar-SA"/>
        </w:rPr>
        <w:t xml:space="preserve"> (дабигатран),</w:t>
      </w:r>
      <w:r w:rsidRPr="00C936A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ROCKET</w:t>
      </w:r>
      <w:r w:rsidRPr="00C936AA">
        <w:rPr>
          <w:rFonts w:ascii="Times New Roman" w:hAnsi="Times New Roman" w:cs="Times New Roman"/>
          <w:sz w:val="28"/>
          <w:szCs w:val="28"/>
          <w:lang w:bidi="ar-SA"/>
        </w:rPr>
        <w:t>-</w:t>
      </w:r>
      <w:r>
        <w:rPr>
          <w:rFonts w:ascii="Times New Roman" w:hAnsi="Times New Roman" w:cs="Times New Roman"/>
          <w:sz w:val="28"/>
          <w:szCs w:val="28"/>
          <w:lang w:val="en-US" w:bidi="ar-SA"/>
        </w:rPr>
        <w:t>AF</w:t>
      </w:r>
      <w:r w:rsidR="00355C14">
        <w:rPr>
          <w:rFonts w:ascii="Times New Roman" w:hAnsi="Times New Roman" w:cs="Times New Roman"/>
          <w:sz w:val="28"/>
          <w:szCs w:val="28"/>
          <w:lang w:bidi="ar-SA"/>
        </w:rPr>
        <w:t xml:space="preserve"> (ривароксабан),</w:t>
      </w:r>
      <w:r w:rsidRPr="00C936A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ENGAGE</w:t>
      </w:r>
      <w:r w:rsidRPr="00C936A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AF</w:t>
      </w:r>
      <w:r w:rsidRPr="00C936AA">
        <w:rPr>
          <w:rFonts w:ascii="Times New Roman" w:hAnsi="Times New Roman" w:cs="Times New Roman"/>
          <w:sz w:val="28"/>
          <w:szCs w:val="28"/>
          <w:lang w:bidi="ar-SA"/>
        </w:rPr>
        <w:t>-</w:t>
      </w:r>
      <w:r>
        <w:rPr>
          <w:rFonts w:ascii="Times New Roman" w:hAnsi="Times New Roman" w:cs="Times New Roman"/>
          <w:sz w:val="28"/>
          <w:szCs w:val="28"/>
          <w:lang w:val="en-US" w:bidi="ar-SA"/>
        </w:rPr>
        <w:t>TIMI</w:t>
      </w:r>
      <w:r w:rsidR="00355C14">
        <w:rPr>
          <w:rFonts w:ascii="Times New Roman" w:hAnsi="Times New Roman" w:cs="Times New Roman"/>
          <w:sz w:val="28"/>
          <w:szCs w:val="28"/>
          <w:lang w:bidi="ar-SA"/>
        </w:rPr>
        <w:t xml:space="preserve"> 48 (эдоксабан),</w:t>
      </w:r>
      <w:r w:rsidRPr="00C936A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ARISTOTLE</w:t>
      </w:r>
      <w:r w:rsidR="00355C14">
        <w:rPr>
          <w:rFonts w:ascii="Times New Roman" w:hAnsi="Times New Roman" w:cs="Times New Roman"/>
          <w:sz w:val="28"/>
          <w:szCs w:val="28"/>
          <w:lang w:bidi="ar-SA"/>
        </w:rPr>
        <w:t>(апиксабан)</w:t>
      </w:r>
      <w:r w:rsidR="00355C14">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{"citationID":"tMdGUSdQ","properties":{"unsorted":false,"formattedCitation":"[58]","plainCitation":"[58]","noteIndex":0},"citationItems":[{"id":490,"uris":["http://zotero.org/users/14784094/items/IWMJYZQR"],"itemData":{"id":490,"type":"webpage","title":"Reducing the risk of stroke in elderly patients with non-valvular atrial fibrillation: a practical guide for clinicians - PMC","URL":"https://pmc.ncbi.nlm.nih.gov/articles/PMC5279844/","accessed":{"date-parts":[["2025",1,26]]}}}],"schema":"https://github.com/citation-style-language/schema/raw/master/csl-citation.json"} </w:instrText>
      </w:r>
      <w:r w:rsidR="00355C14">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[58]</w:t>
      </w:r>
      <w:r w:rsidR="00355C14">
        <w:rPr>
          <w:rFonts w:ascii="Times New Roman" w:hAnsi="Times New Roman" w:cs="Times New Roman"/>
          <w:sz w:val="28"/>
          <w:szCs w:val="28"/>
          <w:lang w:bidi="ar-SA"/>
        </w:rPr>
        <w:fldChar w:fldCharType="end"/>
      </w:r>
      <w:r w:rsidR="00355C14">
        <w:rPr>
          <w:rFonts w:ascii="Times New Roman" w:hAnsi="Times New Roman" w:cs="Times New Roman"/>
          <w:sz w:val="28"/>
          <w:szCs w:val="28"/>
          <w:lang w:bidi="ar-SA"/>
        </w:rPr>
        <w:t>.</w:t>
      </w:r>
    </w:p>
    <w:p w14:paraId="0451B2F5" w14:textId="4B3DF1B6" w:rsidR="00355C14" w:rsidRDefault="00355C14" w:rsidP="009B0CEF">
      <w:pPr>
        <w:pStyle w:val="LO-normal"/>
        <w:spacing w:after="0" w:line="240" w:lineRule="auto"/>
        <w:ind w:firstLine="567"/>
        <w:jc w:val="both"/>
        <w:rPr>
          <w:rFonts w:ascii="Times New Roman" w:hAnsi="Times New Roman" w:cs="Times New Roman"/>
          <w:i/>
          <w:iCs/>
          <w:sz w:val="28"/>
          <w:szCs w:val="28"/>
          <w:lang w:bidi="ar-SA"/>
        </w:rPr>
      </w:pPr>
      <w:r w:rsidRPr="00355C14">
        <w:rPr>
          <w:rFonts w:ascii="Times New Roman" w:hAnsi="Times New Roman" w:cs="Times New Roman"/>
          <w:i/>
          <w:iCs/>
          <w:sz w:val="28"/>
          <w:szCs w:val="28"/>
          <w:lang w:bidi="ar-SA"/>
        </w:rPr>
        <w:t>Сравнительные выводы из исследований:</w:t>
      </w:r>
    </w:p>
    <w:p w14:paraId="25CFE9D5" w14:textId="7A3833B7" w:rsidR="00355C14" w:rsidRDefault="00355C14"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val="en-US" w:bidi="ar-SA"/>
        </w:rPr>
        <w:t>RE</w:t>
      </w:r>
      <w:r w:rsidRPr="00355C14">
        <w:rPr>
          <w:rFonts w:ascii="Times New Roman" w:hAnsi="Times New Roman" w:cs="Times New Roman"/>
          <w:sz w:val="28"/>
          <w:szCs w:val="28"/>
          <w:lang w:bidi="ar-SA"/>
        </w:rPr>
        <w:t>-</w:t>
      </w:r>
      <w:r>
        <w:rPr>
          <w:rFonts w:ascii="Times New Roman" w:hAnsi="Times New Roman" w:cs="Times New Roman"/>
          <w:sz w:val="28"/>
          <w:szCs w:val="28"/>
          <w:lang w:val="en-US" w:bidi="ar-SA"/>
        </w:rPr>
        <w:t>LY</w:t>
      </w:r>
      <w:r w:rsidRPr="00355C14">
        <w:rPr>
          <w:rFonts w:ascii="Times New Roman" w:hAnsi="Times New Roman" w:cs="Times New Roman"/>
          <w:sz w:val="28"/>
          <w:szCs w:val="28"/>
          <w:lang w:bidi="ar-SA"/>
        </w:rPr>
        <w:t xml:space="preserve">: </w:t>
      </w:r>
      <w:r>
        <w:rPr>
          <w:rFonts w:ascii="Times New Roman" w:hAnsi="Times New Roman" w:cs="Times New Roman"/>
          <w:sz w:val="28"/>
          <w:szCs w:val="28"/>
          <w:lang w:bidi="ar-SA"/>
        </w:rPr>
        <w:t>Дабигатран 150 мг 2 р/д снижал риск инсульта/эмболии на 35% против варфарина (р</w:t>
      </w:r>
      <w:r w:rsidRPr="00355C14">
        <w:rPr>
          <w:rFonts w:ascii="Times New Roman" w:hAnsi="Times New Roman" w:cs="Times New Roman"/>
          <w:sz w:val="28"/>
          <w:szCs w:val="28"/>
          <w:lang w:bidi="ar-SA"/>
        </w:rPr>
        <w:t>&lt;</w:t>
      </w:r>
      <w:r>
        <w:rPr>
          <w:rFonts w:ascii="Times New Roman" w:hAnsi="Times New Roman" w:cs="Times New Roman"/>
          <w:sz w:val="28"/>
          <w:szCs w:val="28"/>
          <w:lang w:bidi="ar-SA"/>
        </w:rPr>
        <w:t xml:space="preserve">0,001) при сопоставимом риске крупных кровотечений (3,32% </w:t>
      </w:r>
      <w:r>
        <w:rPr>
          <w:rFonts w:ascii="Times New Roman" w:hAnsi="Times New Roman" w:cs="Times New Roman"/>
          <w:sz w:val="28"/>
          <w:szCs w:val="28"/>
          <w:lang w:val="en-US" w:bidi="ar-SA"/>
        </w:rPr>
        <w:t>vs</w:t>
      </w:r>
      <w:r>
        <w:rPr>
          <w:rFonts w:ascii="Times New Roman" w:hAnsi="Times New Roman" w:cs="Times New Roman"/>
          <w:sz w:val="28"/>
          <w:szCs w:val="28"/>
          <w:lang w:bidi="ar-SA"/>
        </w:rPr>
        <w:t xml:space="preserve"> 3,61%). Доза 110 мг демонстрировала аналогичную эффективность с сокращением геморрагий на 20% (р=0,003)</w:t>
      </w:r>
      <w:r w:rsidR="009737D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{"citationID":"1M8BzKHQ","properties":{"unsorted":false,"formattedCitation":"[59]","plainCitation":"[59]","noteIndex":0},"citationItems":[{"id":665,"uris":["http://zotero.org/users/14784094/items/GQWCRYSU"],"itemData":{"id":665,"type":"article-journal","abstract":"Background Warfarin reduces the risk of stroke in patients with atrial fibrillation but increases the risk of hemorrhage and is difficult to use. Dabigatran is a new oral direct thrombin inhibitor.\nMethods In this noninferiority trial, we randomly assigned 18,113 patients who had atrial fibrillation and a risk of stroke to receive, in a blinded fashion, fixed doses of dabigatran — 110 mg or 150 mg twice daily — or, in an unblinded fashion, adjusted-dose warfarin. The median duration of the follow-up period was 2.0 years. The primary outcome was stroke or systemic embolism.\nResults Rates of the primary outcome were 1.69% per year in the warfarin group, as compared with 1.53% per year in the group that received 110 mg of dabigatran (relative risk with dabigatran, 0.91; 95% confidence interval [CI], 0.74 to 1.11; P&lt;0.001 for noninferiority) and 1.11% per year in the group that received 150 mg of dabigatran (relative risk, 0.66; 95% CI, 0.53 to 0.82; P&lt;0.001 for superiority). The rate of major bleeding was 3.36% per year in the warfarin group, as compared with 2.71% per year in the group receiving 110 mg of dabigatran (P = 0.003) and 3.11% per year in the group receiving 150 mg of dabigatran (P = 0.31). The rate of hemorrhagic stroke was 0.38% per year in the warfarin group, as compared with 0.12% per year with 110 mg of dabigatran (P&lt;0.001) and 0.10% per year with 150 mg of dabigatran (P&lt;0.001). The mortality rate was 4.13% per year in the warfarin group, as compared with 3.75% per year with 110 mg of dabigatran (P = 0.13) and 3.64% per year with 150 mg of dabigatran (P = 0.051).\nConclusions In patients with atrial fibrillation, dabigatran given at a dose of 110 mg was associated with rates of stroke and systemic embolism that were similar to those associated with warfarin, as well as lower rates of major hemorrhage. Dabigatran administered at a dose of 150 mg, as compared with warfarin, was associated with lower rates of stroke and systemic embolism but similar rates of major hemorrhage. (ClinicalTrials.gov number, NCT00262600.)","container-title":"New England Journal of Medicine","DOI":"10.1056/NEJMoa0905561","ISSN":"0028-4793, 1533-4406","issue":"12","journalAbbreviation":"N Engl J Med","language":"en","page":"1139-1151","source":"DOI.org (Crossref)","title":"Dabigatran versus Warfarin in Patients with Atrial Fibrillation","volume":"361","author":[{"family":"Connolly","given":"Stuart J."},{"family":"Ezekowitz","given":"Michael D."},{"family":"Yusuf","given":"Salim"},{"family":"Eikelboom","given":"John"},{"family":"Oldgren","given":"Jonas"},{"family":"Parekh","given":"Amit"},{"family":"Pogue","given":"Janice"},{"family":"Reilly","given":"Paul A."},{"family":"Themeles","given":"Ellison"},{"family":"Varrone","given":"Jeanne"},{"family":"Wang","given":"Susan"},{"family":"Alings","given":"Marco"},{"family":"Xavier","given":"Denis"},{"family":"Zhu","given":"Jun"},{"family":"Diaz","given":"Rafael"},{"family":"Lewis","given":"Basil S."},{"family":"Darius","given":"Harald"},{"family":"Diener","given":"Hans-Christoph"},{"family":"Joyner","given":"Campbell D."},{"family":"Wallentin","given":"Lars"}],"issued":{"date-parts":[["2009",9,17]]}}}],"schema":"https://github.com/citation-style-language/schema/raw/master/csl-citation.json"} </w:instrText>
      </w:r>
      <w:r w:rsidR="009737D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[59]</w:t>
      </w:r>
      <w:r w:rsidR="009737D1">
        <w:rPr>
          <w:rFonts w:ascii="Times New Roman" w:hAnsi="Times New Roman" w:cs="Times New Roman"/>
          <w:sz w:val="28"/>
          <w:szCs w:val="28"/>
          <w:lang w:bidi="ar-SA"/>
        </w:rPr>
        <w:fldChar w:fldCharType="end"/>
      </w:r>
      <w:r w:rsidR="003E7D6C">
        <w:rPr>
          <w:rFonts w:ascii="Times New Roman" w:hAnsi="Times New Roman" w:cs="Times New Roman"/>
          <w:sz w:val="28"/>
          <w:szCs w:val="28"/>
          <w:lang w:bidi="ar-SA"/>
        </w:rPr>
        <w:t>.</w:t>
      </w:r>
    </w:p>
    <w:p w14:paraId="799E0544" w14:textId="7C5F2BF2" w:rsidR="003E7D6C" w:rsidRDefault="003E7D6C"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val="en-US" w:bidi="ar-SA"/>
        </w:rPr>
        <w:t>ROCKET</w:t>
      </w:r>
      <w:r w:rsidRPr="003E7D6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AF</w:t>
      </w:r>
      <w:r w:rsidRPr="003E7D6C">
        <w:rPr>
          <w:rFonts w:ascii="Times New Roman" w:hAnsi="Times New Roman" w:cs="Times New Roman"/>
          <w:sz w:val="28"/>
          <w:szCs w:val="28"/>
          <w:lang w:bidi="ar-SA"/>
        </w:rPr>
        <w:t>:</w:t>
      </w:r>
      <w:r>
        <w:rPr>
          <w:rFonts w:ascii="Times New Roman" w:hAnsi="Times New Roman" w:cs="Times New Roman"/>
          <w:sz w:val="28"/>
          <w:szCs w:val="28"/>
          <w:lang w:bidi="ar-SA"/>
        </w:rPr>
        <w:t xml:space="preserve"> Ривароксабан подтвердил неинфериорность варфарину по эффективности (р</w:t>
      </w:r>
      <w:r w:rsidRPr="003E7D6C">
        <w:rPr>
          <w:rFonts w:ascii="Times New Roman" w:hAnsi="Times New Roman" w:cs="Times New Roman"/>
          <w:sz w:val="28"/>
          <w:szCs w:val="28"/>
          <w:lang w:bidi="ar-SA"/>
        </w:rPr>
        <w:t>&lt;</w:t>
      </w:r>
      <w:r>
        <w:rPr>
          <w:rFonts w:ascii="Times New Roman" w:hAnsi="Times New Roman" w:cs="Times New Roman"/>
          <w:sz w:val="28"/>
          <w:szCs w:val="28"/>
          <w:lang w:bidi="ar-SA"/>
        </w:rPr>
        <w:t xml:space="preserve">0,001), но увеличил частоту ЖКК (+3,2%; р=0,04) при формально сопоставимых крупных кровотечениях (14,9% </w:t>
      </w:r>
      <w:r>
        <w:rPr>
          <w:rFonts w:ascii="Times New Roman" w:hAnsi="Times New Roman" w:cs="Times New Roman"/>
          <w:sz w:val="28"/>
          <w:szCs w:val="28"/>
          <w:lang w:val="en-US" w:bidi="ar-SA"/>
        </w:rPr>
        <w:t>vs</w:t>
      </w:r>
      <w:r>
        <w:rPr>
          <w:rFonts w:ascii="Times New Roman" w:hAnsi="Times New Roman" w:cs="Times New Roman"/>
          <w:sz w:val="28"/>
          <w:szCs w:val="28"/>
          <w:lang w:bidi="ar-SA"/>
        </w:rPr>
        <w:t xml:space="preserve"> 14,5%; р=0,576)</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{"citationID":"Q47R8mql","properties":{"unsorted":false,"formattedCitation":"[60]","plainCitation":"[60]","noteIndex":0},"citationItems":[{"id":152,"uris":["http://zotero.org/users/14784094/items/L5NC48TD"],"itemData":{"id":152,"type":"article-journal","abstract":"In this trial, 14,264 patients with atrial fibrillation were randomly assigned to receive either rivaroxaban or warfarin. In a per-protocol, as-treated analysis, rivaroxaban was noninferior to warfarin with respect to the primary end point of stroke or systemic embolism. Atrial fibrillation is associated with an increase in the risk of ischemic stroke by a factor of four to five1 and accounts for up to 15% of strokes in persons of all ages and 30% in persons over the age of 80 years.2 The use of vitamin K antagonists is highly effective for stroke prevention in patients with nonvalvular atrial fibrillation and is recommended for persons at increased risk.3–5 However, food and drug interactions necessitate frequent coagulation monitoring and dose adjustments, requirements that make it difficult for many patients to use such drugs in clinical practice.6–8 Rivaroxaban is . . .","container-title":"New England Journal of Medicine","DOI":"10.1056/NEJMoa1009638","ISSN":"0028-4793","issue":"10","note":"_eprint: https://www.nejm.org/doi/pdf/10.1056/NEJMoa1009638","page":"883-891","publisher":"Massachusetts Medical Society","source":"Taylor and Francis+NEJM","title":"Rivaroxaban versus Warfarin in Nonvalvular Atrial Fibrillation","volume":"365","author":[{"family":"Patel","given":"Manesh R."},{"family":"Mahaffey","given":"Kenneth W."},{"family":"Garg","given":"Jyotsna"},{"family":"Pan","given":"Guohua"},{"family":"Singer","given":"Daniel E."},{"family":"Hacke","given":"Werner"},{"family":"Breithardt","given":"Günter"},{"family":"Halperin","given":"Jonathan L."},{"family":"Hankey","given":"Graeme J."},{"family":"Piccini","given":"Jonathan P."},{"family":"Becker","given":"Richard C."},{"family":"Nessel","given":"Christopher C."},{"family":"Paolini","given":"John F."},{"family":"Berkowitz","given":"Scott D."},{"family":"Fox","given":"Keith A. A."},{"family":"Califf","given":"Robert M."},{"family":"null","given":"null"}],"issued":{"date-parts":[["2011",9,8]]}}}],"schema":"https://github.com/citation-style-language/schema/raw/master/csl-citation.json"}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[60]</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w:t>
      </w:r>
    </w:p>
    <w:p w14:paraId="651769F9" w14:textId="3ED84899" w:rsidR="003E7D6C" w:rsidRDefault="003E7D6C"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val="en-US" w:bidi="ar-SA"/>
        </w:rPr>
        <w:t>ENGAGE</w:t>
      </w:r>
      <w:r w:rsidRPr="00A1683C">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AF</w:t>
      </w:r>
      <w:r w:rsidR="00A1683C" w:rsidRPr="00A1683C">
        <w:rPr>
          <w:rFonts w:ascii="Times New Roman" w:hAnsi="Times New Roman" w:cs="Times New Roman"/>
          <w:sz w:val="28"/>
          <w:szCs w:val="28"/>
          <w:lang w:bidi="ar-SA"/>
        </w:rPr>
        <w:t xml:space="preserve">: </w:t>
      </w:r>
      <w:r w:rsidR="00A1683C">
        <w:rPr>
          <w:rFonts w:ascii="Times New Roman" w:hAnsi="Times New Roman" w:cs="Times New Roman"/>
          <w:sz w:val="28"/>
          <w:szCs w:val="28"/>
          <w:lang w:bidi="ar-SA"/>
        </w:rPr>
        <w:t>обе дозы эдоксабана (60</w:t>
      </w:r>
      <w:r w:rsidR="00EA5F45">
        <w:rPr>
          <w:rFonts w:ascii="Times New Roman" w:hAnsi="Times New Roman" w:cs="Times New Roman"/>
          <w:sz w:val="28"/>
          <w:szCs w:val="28"/>
          <w:lang w:bidi="ar-SA"/>
        </w:rPr>
        <w:t>мг</w:t>
      </w:r>
      <w:r w:rsidR="00A1683C">
        <w:rPr>
          <w:rFonts w:ascii="Times New Roman" w:hAnsi="Times New Roman" w:cs="Times New Roman"/>
          <w:sz w:val="28"/>
          <w:szCs w:val="28"/>
          <w:lang w:bidi="ar-SA"/>
        </w:rPr>
        <w:t xml:space="preserve"> и 30мг) сохраняли профилактику инсультов (</w:t>
      </w:r>
      <w:r w:rsidR="00A1683C">
        <w:rPr>
          <w:rFonts w:ascii="Times New Roman" w:hAnsi="Times New Roman" w:cs="Times New Roman"/>
          <w:sz w:val="28"/>
          <w:szCs w:val="28"/>
          <w:lang w:val="en-US" w:bidi="ar-SA"/>
        </w:rPr>
        <w:t>HR</w:t>
      </w:r>
      <w:r w:rsidR="00A1683C" w:rsidRPr="00A1683C">
        <w:rPr>
          <w:rFonts w:ascii="Times New Roman" w:hAnsi="Times New Roman" w:cs="Times New Roman"/>
          <w:sz w:val="28"/>
          <w:szCs w:val="28"/>
          <w:lang w:bidi="ar-SA"/>
        </w:rPr>
        <w:t xml:space="preserve"> 0,87-0,91</w:t>
      </w:r>
      <w:r w:rsidR="00A1683C">
        <w:rPr>
          <w:rFonts w:ascii="Times New Roman" w:hAnsi="Times New Roman" w:cs="Times New Roman"/>
          <w:sz w:val="28"/>
          <w:szCs w:val="28"/>
          <w:lang w:bidi="ar-SA"/>
        </w:rPr>
        <w:t>)</w:t>
      </w:r>
      <w:r w:rsidR="00A1683C" w:rsidRPr="00A1683C">
        <w:rPr>
          <w:rFonts w:ascii="Times New Roman" w:hAnsi="Times New Roman" w:cs="Times New Roman"/>
          <w:sz w:val="28"/>
          <w:szCs w:val="28"/>
          <w:lang w:bidi="ar-SA"/>
        </w:rPr>
        <w:t>,</w:t>
      </w:r>
      <w:r w:rsidR="00A1683C">
        <w:rPr>
          <w:rFonts w:ascii="Times New Roman" w:hAnsi="Times New Roman" w:cs="Times New Roman"/>
          <w:sz w:val="28"/>
          <w:szCs w:val="28"/>
          <w:lang w:bidi="ar-SA"/>
        </w:rPr>
        <w:t xml:space="preserve"> значительно снижая крупные кровотечения: 60 мг: 2,75% </w:t>
      </w:r>
      <w:r w:rsidR="00A1683C">
        <w:rPr>
          <w:rFonts w:ascii="Times New Roman" w:hAnsi="Times New Roman" w:cs="Times New Roman"/>
          <w:sz w:val="28"/>
          <w:szCs w:val="28"/>
          <w:lang w:val="en-US" w:bidi="ar-SA"/>
        </w:rPr>
        <w:t>vs</w:t>
      </w:r>
      <w:r w:rsidR="00A1683C" w:rsidRPr="00A1683C">
        <w:rPr>
          <w:rFonts w:ascii="Times New Roman" w:hAnsi="Times New Roman" w:cs="Times New Roman"/>
          <w:sz w:val="28"/>
          <w:szCs w:val="28"/>
          <w:lang w:bidi="ar-SA"/>
        </w:rPr>
        <w:t xml:space="preserve"> 3,43% (</w:t>
      </w:r>
      <w:r w:rsidR="00A1683C">
        <w:rPr>
          <w:rFonts w:ascii="Times New Roman" w:hAnsi="Times New Roman" w:cs="Times New Roman"/>
          <w:sz w:val="28"/>
          <w:szCs w:val="28"/>
          <w:lang w:val="en-US" w:bidi="ar-SA"/>
        </w:rPr>
        <w:t>p</w:t>
      </w:r>
      <w:r w:rsidR="00A1683C" w:rsidRPr="00A1683C">
        <w:rPr>
          <w:rFonts w:ascii="Times New Roman" w:hAnsi="Times New Roman" w:cs="Times New Roman"/>
          <w:sz w:val="28"/>
          <w:szCs w:val="28"/>
          <w:lang w:bidi="ar-SA"/>
        </w:rPr>
        <w:t xml:space="preserve">&lt;0,001). </w:t>
      </w:r>
      <w:r w:rsidR="00A1683C">
        <w:rPr>
          <w:rFonts w:ascii="Times New Roman" w:hAnsi="Times New Roman" w:cs="Times New Roman"/>
          <w:sz w:val="28"/>
          <w:szCs w:val="28"/>
          <w:lang w:bidi="ar-SA"/>
        </w:rPr>
        <w:t xml:space="preserve">30 мг: </w:t>
      </w:r>
      <w:r w:rsidR="00A1683C" w:rsidRPr="00A1683C">
        <w:rPr>
          <w:rFonts w:ascii="Times New Roman" w:hAnsi="Times New Roman" w:cs="Times New Roman"/>
          <w:sz w:val="28"/>
          <w:szCs w:val="28"/>
          <w:lang w:bidi="ar-SA"/>
        </w:rPr>
        <w:t xml:space="preserve">1,61% </w:t>
      </w:r>
      <w:r w:rsidR="00A1683C">
        <w:rPr>
          <w:rFonts w:ascii="Times New Roman" w:hAnsi="Times New Roman" w:cs="Times New Roman"/>
          <w:sz w:val="28"/>
          <w:szCs w:val="28"/>
          <w:lang w:val="en-US" w:bidi="ar-SA"/>
        </w:rPr>
        <w:t>vs</w:t>
      </w:r>
      <w:r w:rsidR="00A1683C" w:rsidRPr="00A1683C">
        <w:rPr>
          <w:rFonts w:ascii="Times New Roman" w:hAnsi="Times New Roman" w:cs="Times New Roman"/>
          <w:sz w:val="28"/>
          <w:szCs w:val="28"/>
          <w:lang w:bidi="ar-SA"/>
        </w:rPr>
        <w:t xml:space="preserve"> 3,43% (</w:t>
      </w:r>
      <w:r w:rsidR="00A1683C">
        <w:rPr>
          <w:rFonts w:ascii="Times New Roman" w:hAnsi="Times New Roman" w:cs="Times New Roman"/>
          <w:sz w:val="28"/>
          <w:szCs w:val="28"/>
          <w:lang w:val="en-US" w:bidi="ar-SA"/>
        </w:rPr>
        <w:t>p</w:t>
      </w:r>
      <w:r w:rsidR="00A1683C" w:rsidRPr="00A1683C">
        <w:rPr>
          <w:rFonts w:ascii="Times New Roman" w:hAnsi="Times New Roman" w:cs="Times New Roman"/>
          <w:sz w:val="28"/>
          <w:szCs w:val="28"/>
          <w:lang w:bidi="ar-SA"/>
        </w:rPr>
        <w:t>&lt;0,001)</w:t>
      </w:r>
      <w:r w:rsidR="00A1683C">
        <w:rPr>
          <w:rFonts w:ascii="Times New Roman" w:hAnsi="Times New Roman" w:cs="Times New Roman"/>
          <w:sz w:val="28"/>
          <w:szCs w:val="28"/>
          <w:lang w:val="en-US" w:bidi="ar-SA"/>
        </w:rPr>
        <w:fldChar w:fldCharType="begin"/>
      </w:r>
      <w:r w:rsidR="00171CCC">
        <w:rPr>
          <w:rFonts w:ascii="Times New Roman" w:hAnsi="Times New Roman" w:cs="Times New Roman"/>
          <w:sz w:val="28"/>
          <w:szCs w:val="28"/>
          <w:lang w:bidi="ar-SA"/>
        </w:rPr>
        <w:instrText xml:space="preserve"> ADDIN ZOTERO_ITEM CSL_CITATION {"citationID":"k5ZA81l5","properties":{"unsorted":false,"formattedCitation":"[61,62]","plainCitation":"[61,62]","noteIndex":0},"citationItems":[{"id":240,"uris":["http://zotero.org/users/14784094/items/XE4H29TI"],"itemData":{"id":240,"type":"article-journal","abstract":"BACKGROUND: Edoxaban is a direct oral factor Xa inhibitor with proven antithrombotic effects. The long-term efficacy and safety of edoxaban as compared with warfarin in patients with atrial fibrillation is not known.\nMETHODS: We conducted a randomized, double-blind, double-dummy trial comparing two once-daily regimens of edoxaban with warfarin in 21,105 patients with moderate-to-high-risk atrial fibrillation (median follow-up, 2.8 years). The primary efficacy end point was stroke or systemic embolism. Each edoxaban regimen was tested for noninferiority to warfarin during the treatment period. The principal safety end point was major bleeding.\nRESULTS: The annualized rate of the primary end point during treatment was 1.50% with warfarin (median time in the therapeutic range, 68.4%), as compared with 1.18% with high-dose edoxaban (hazard ratio, 0.79; 97.5% confidence interval [CI], 0.63 to 0.99; P&lt;0.001 for noninferiority) and 1.61% with low-dose edoxaban (hazard ratio, 1.07; 97.5% CI, 0.87 to 1.31; P=0.005 for noninferiority). In the intention-to-treat analysis, there was a trend favoring high-dose edoxaban versus warfarin (hazard ratio, 0.87; 97.5% CI, 0.73 to 1.04; P=0.08) and an unfavorable trend with low-dose edoxaban versus warfarin (hazard ratio, 1.13; 97.5% CI, 0.96 to 1.34; P=0.10). The annualized rate of major bleeding was 3.43% with warfarin versus 2.75% with high-dose edoxaban (hazard ratio, 0.80; 95% CI, 0.71 to 0.91; P&lt;0.001) and 1.61% with low-dose edoxaban (hazard ratio, 0.47; 95% CI, 0.41 to 0.55; P&lt;0.001). The corresponding annualized rates of death from cardiovascular causes were 3.17% versus 2.74% (hazard ratio, 0.86; 95% CI, 0.77 to 0.97; P=0.01), and 2.71% (hazard ratio, 0.85; 95% CI, 0.76 to 0.96; P=0.008), and the corresponding rates of the key secondary end point (a composite of stroke, systemic embolism, or death from cardiovascular causes) were 4.43% versus 3.85% (hazard ratio, 0.87; 95% CI, 0.78 to 0.96; P=0.005), and 4.23% (hazard ratio, 0.95; 95% CI, 0.86 to 1.05; P=0.32).\nCONCLUSIONS: Both once-daily regimens of edoxaban were noninferior to warfarin with respect to the prevention of stroke or systemic embolism and were associated with significantly lower rates of bleeding and death from cardiovascular causes. (Funded by Daiichi Sankyo Pharma Development; ENGAGE AF-TIMI 48 ClinicalTrials.gov number, NCT00781391.).","container-title":"The New England Journal of Medicine","DOI":"10.1056/NEJMoa1310907","ISSN":"1533-4406","issue":"22","journalAbbreviation":"N Engl J Med","language":"eng","page":"2093-2104","PMID":"24251359","source":"PubMed","title":"Edoxaban versus warfarin in patients with atrial fibrillation","volume":"369","author":[{"family":"Giugliano","given":"Robert P."},{"family":"Ruff","given":"Christian T."},{"family":"Braunwald","given":"Eugene"},{"family":"Murphy","given":"Sabina A."},{"family":"Wiviott","given":"Stephen D."},{"family":"Halperin","given":"Jonathan L."},{"family":"Waldo","given":"Albert L."},{"family":"Ezekowitz","given":"Michael D."},{"family":"Weitz","given":"Jeffrey I."},{"family":"Špinar","given":"Jindřich"},{"family":"Ruzyllo","given":"Witold"},{"family":"Ruda","given":"Mikhail"},{"family":"Koretsune","given":"Yukihiro"},{"family":"Betcher","given":"Joshua"},{"family":"Shi","given":"Minggao"},{"family":"Grip","given":"Laura T."},{"family":"Patel","given":"Shirali P."},{"family":"Patel","given":"Indravadan"},{"family":"Hanyok","given":"James J."},{"family":"Mercuri","given":"Michele"},{"family":"Antman","given":"Elliott M."},{"literal":"ENGAGE AF-TIMI 48 Investigators"}],"issued":{"date-parts":[["2013",11,28]]}}},{"id":150,"uris":["http://zotero.org/users/14784094/items/5F3RDAEX"],"itemData":{"id":150,"type":"article-journal","container-title":"Global Cardiology Science &amp; Practice","DOI":"10.5339/gcsp.2013.41","ISSN":"2305-7823","issue":"4","journalAbbreviation":"Glob Cardiol Sci Pract","page":"354-356","PMID":"24749107","PMCID":"PMC3991206","source":"PubMed Central","title":"ENGAGE AF: Effective anticoagulation with factor Xa in next generation treatment of atrial fibrillation","title-short":"ENGAGE AF","volume":"2013","author":[{"family":"Kaba","given":"Riyaz A"},{"family":"Ahmed","given":"Omar"},{"family":"Cannie","given":"Douglas"}],"issued":{"date-parts":[["2013",12,30]]}}}],"schema":"https://github.com/citation-style-language/schema/raw/master/csl-citation.json"} </w:instrText>
      </w:r>
      <w:r w:rsidR="00A1683C">
        <w:rPr>
          <w:rFonts w:ascii="Times New Roman" w:hAnsi="Times New Roman" w:cs="Times New Roman"/>
          <w:sz w:val="28"/>
          <w:szCs w:val="28"/>
          <w:lang w:val="en-US" w:bidi="ar-SA"/>
        </w:rPr>
        <w:fldChar w:fldCharType="separate"/>
      </w:r>
      <w:r w:rsidR="00171CCC">
        <w:rPr>
          <w:rFonts w:ascii="Times New Roman" w:hAnsi="Times New Roman" w:cs="Times New Roman"/>
          <w:noProof/>
          <w:sz w:val="28"/>
          <w:szCs w:val="28"/>
          <w:lang w:bidi="ar-SA"/>
        </w:rPr>
        <w:t>[61,62]</w:t>
      </w:r>
      <w:r w:rsidR="00A1683C">
        <w:rPr>
          <w:rFonts w:ascii="Times New Roman" w:hAnsi="Times New Roman" w:cs="Times New Roman"/>
          <w:sz w:val="28"/>
          <w:szCs w:val="28"/>
          <w:lang w:val="en-US" w:bidi="ar-SA"/>
        </w:rPr>
        <w:fldChar w:fldCharType="end"/>
      </w:r>
      <w:r w:rsidR="00A1683C">
        <w:rPr>
          <w:rFonts w:ascii="Times New Roman" w:hAnsi="Times New Roman" w:cs="Times New Roman"/>
          <w:sz w:val="28"/>
          <w:szCs w:val="28"/>
          <w:lang w:bidi="ar-SA"/>
        </w:rPr>
        <w:t>.</w:t>
      </w:r>
    </w:p>
    <w:p w14:paraId="65FAAAAA" w14:textId="7629B8DF" w:rsidR="00A1683C" w:rsidRPr="003538B6" w:rsidRDefault="00A1683C"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val="en-US" w:bidi="ar-SA"/>
        </w:rPr>
        <w:t>ARISTOTLE</w:t>
      </w:r>
      <w:r w:rsidRPr="00A1683C">
        <w:rPr>
          <w:rFonts w:ascii="Times New Roman" w:hAnsi="Times New Roman" w:cs="Times New Roman"/>
          <w:sz w:val="28"/>
          <w:szCs w:val="28"/>
          <w:lang w:bidi="ar-SA"/>
        </w:rPr>
        <w:t>:</w:t>
      </w:r>
      <w:r>
        <w:rPr>
          <w:rFonts w:ascii="Times New Roman" w:hAnsi="Times New Roman" w:cs="Times New Roman"/>
          <w:sz w:val="28"/>
          <w:szCs w:val="28"/>
          <w:lang w:bidi="ar-SA"/>
        </w:rPr>
        <w:t xml:space="preserve"> Апиксабан превосходил варфарин по эффективности (снижение инсультов на 21%; </w:t>
      </w:r>
      <w:r w:rsidR="009D687E">
        <w:rPr>
          <w:rFonts w:ascii="Times New Roman" w:hAnsi="Times New Roman" w:cs="Times New Roman"/>
          <w:sz w:val="28"/>
          <w:szCs w:val="28"/>
          <w:lang w:bidi="ar-SA"/>
        </w:rPr>
        <w:t>р=0,01</w:t>
      </w:r>
      <w:r>
        <w:rPr>
          <w:rFonts w:ascii="Times New Roman" w:hAnsi="Times New Roman" w:cs="Times New Roman"/>
          <w:sz w:val="28"/>
          <w:szCs w:val="28"/>
          <w:lang w:bidi="ar-SA"/>
        </w:rPr>
        <w:t>)</w:t>
      </w:r>
      <w:r w:rsidR="009D687E">
        <w:rPr>
          <w:rFonts w:ascii="Times New Roman" w:hAnsi="Times New Roman" w:cs="Times New Roman"/>
          <w:sz w:val="28"/>
          <w:szCs w:val="28"/>
          <w:lang w:bidi="ar-SA"/>
        </w:rPr>
        <w:t xml:space="preserve"> и безопасности (крупные кровотечения: 2,13% </w:t>
      </w:r>
      <w:r w:rsidR="009D687E">
        <w:rPr>
          <w:rFonts w:ascii="Times New Roman" w:hAnsi="Times New Roman" w:cs="Times New Roman"/>
          <w:sz w:val="28"/>
          <w:szCs w:val="28"/>
          <w:lang w:val="en-US" w:bidi="ar-SA"/>
        </w:rPr>
        <w:t>vs</w:t>
      </w:r>
      <w:r w:rsidR="009D687E" w:rsidRPr="009D687E">
        <w:rPr>
          <w:rFonts w:ascii="Times New Roman" w:hAnsi="Times New Roman" w:cs="Times New Roman"/>
          <w:sz w:val="28"/>
          <w:szCs w:val="28"/>
          <w:lang w:bidi="ar-SA"/>
        </w:rPr>
        <w:t xml:space="preserve"> 3,09%; </w:t>
      </w:r>
      <w:r w:rsidR="009D687E">
        <w:rPr>
          <w:rFonts w:ascii="Times New Roman" w:hAnsi="Times New Roman" w:cs="Times New Roman"/>
          <w:sz w:val="28"/>
          <w:szCs w:val="28"/>
          <w:lang w:val="en-US" w:bidi="ar-SA"/>
        </w:rPr>
        <w:t>p</w:t>
      </w:r>
      <w:r w:rsidR="009D687E" w:rsidRPr="009D687E">
        <w:rPr>
          <w:rFonts w:ascii="Times New Roman" w:hAnsi="Times New Roman" w:cs="Times New Roman"/>
          <w:sz w:val="28"/>
          <w:szCs w:val="28"/>
          <w:lang w:bidi="ar-SA"/>
        </w:rPr>
        <w:t>&lt;0,001</w:t>
      </w:r>
      <w:r w:rsidR="009D687E">
        <w:rPr>
          <w:rFonts w:ascii="Times New Roman" w:hAnsi="Times New Roman" w:cs="Times New Roman"/>
          <w:sz w:val="28"/>
          <w:szCs w:val="28"/>
          <w:lang w:bidi="ar-SA"/>
        </w:rPr>
        <w:t>)</w:t>
      </w:r>
      <w:r w:rsidR="009D687E">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{"citationID":"U8ThUYiK","properties":{"unsorted":false,"formattedCitation":"[63]","plainCitation":"[63]","noteIndex":0},"citationItems":[{"id":149,"uris":["http://zotero.org/users/14784094/items/CKQVDYNV"],"itemData":{"id":149,"type":"article-journal","abstract":"The oral direct factor Xa inhibitor, apixaban, was compared with warfarin in atrial fibrillation. Apixaban was superior to warfarin in preventing stroke or systemic embolism, caused less bleeding, and lowered mortality. Patients with atrial fibrillation are at increased risk for stroke. Warfarin and other vitamin K antagonists are highly effective treatments, reducing the risk of stroke by about two thirds, but their use is limited by a narrow therapeutic range, drug and food interactions, required monitoring, and risk of bleeding.1 A randomized trial has confirmed the effectiveness of warfarin in the current era.2 Two new oral anticoagulants have recently been shown to be equivalent or superior to warfarin in preventing stroke or systemic embolism.3,4 Apixaban is a direct oral factor Xa inhibitor with rapid absorption, a 12-hour half-life, and 25% . . .","container-title":"New England Journal of Medicine","DOI":"10.1056/NEJMoa1107039","ISSN":"0028-4793","issue":"11","note":"_eprint: https://www.nejm.org/doi/pdf/10.1056/NEJMoa1107039","page":"981-992","publisher":"Massachusetts Medical Society","source":"Taylor and Francis+NEJM","title":"Apixaban versus Warfarin in Patients with Atrial Fibrillation","volume":"365","author":[{"family":"Granger","given":"Christopher B."},{"family":"Alexander","given":"John H."},{"family":"McMurray","given":"John J. V."},{"family":"Lopes","given":"Renato D."},{"family":"Hylek","given":"Elaine M."},{"family":"Hanna","given":"Michael"},{"family":"Al-Khalidi","given":"Hussein R."},{"family":"Ansell","given":"Jack"},{"family":"Atar","given":"Dan"},{"family":"Avezum","given":"Alvaro"},{"family":"Bahit","given":"M. Cecilia"},{"family":"Diaz","given":"Rafael"},{"family":"Easton","given":"J. Donald"},{"family":"Ezekowitz","given":"Justin A."},{"family":"Flaker","given":"Greg"},{"family":"Garcia","given":"David"},{"family":"Geraldes","given":"Margarida"},{"family":"Gersh","given":"Bernard J."},{"family":"Golitsyn","given":"Sergey"},{"family":"Goto","given":"Shinya"},{"family":"Hermosillo","given":"Antonio G."},{"family":"Hohnloser","given":"Stefan H."},{"family":"Horowitz","given":"John"},{"family":"Mohan","given":"Puneet"},{"family":"Jansky","given":"Petr"},{"family":"Lewis","given":"Basil S."},{"family":"Lopez-Sendon","given":"Jose Luis"},{"family":"Pais","given":"Prem"},{"family":"Parkhomenko","given":"Alexander"},{"family":"Verheugt","given":"Freek W. A."},{"family":"Zhu","given":"Jun"},{"family":"Wallentin","given":"Lars"}],"issued":{"date-parts":[["2011",9,15]]}}}],"schema":"https://github.com/citation-style-language/schema/raw/master/csl-citation.json"} </w:instrText>
      </w:r>
      <w:r w:rsidR="009D687E">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[63]</w:t>
      </w:r>
      <w:r w:rsidR="009D687E">
        <w:rPr>
          <w:rFonts w:ascii="Times New Roman" w:hAnsi="Times New Roman" w:cs="Times New Roman"/>
          <w:sz w:val="28"/>
          <w:szCs w:val="28"/>
          <w:lang w:bidi="ar-SA"/>
        </w:rPr>
        <w:fldChar w:fldCharType="end"/>
      </w:r>
      <w:r w:rsidR="009D687E" w:rsidRPr="003538B6">
        <w:rPr>
          <w:rFonts w:ascii="Times New Roman" w:hAnsi="Times New Roman" w:cs="Times New Roman"/>
          <w:sz w:val="28"/>
          <w:szCs w:val="28"/>
          <w:lang w:bidi="ar-SA"/>
        </w:rPr>
        <w:t>.</w:t>
      </w:r>
    </w:p>
    <w:p w14:paraId="450AA65B" w14:textId="567567CB" w:rsidR="009D687E" w:rsidRDefault="009D687E" w:rsidP="009B0CEF">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Все ПОАК как минимум не уступают варфарину в профилактике инсультов</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{"citationID":"10yjr6OZ","properties":{"unsorted":false,"formattedCitation":"[64]","plainCitation":"[64]","noteIndex":0},"citationItems":[{"id":148,"uris":["http://zotero.org/users/14784094/items/ZIGKGZ2U"],"itemData":{"id":148,"type":"article-journal","abstract":"Direct oral anticoagulants (DOACs) have emerged as a preferred alternative to vitamin K antagonists (VKAs) for the prevention and treatment of thromboembolic disorders, offering improved safety, predictable pharmacokinetics, and ease of administration. Despite these advantages, their use in complex clinical scenarios presents significant challenges that necessitate individualized therapeutic strategies. This comprehensive review explores the efficacy, safety, and limitations of DOAC therapy in special populations, including patients with renal or hepatic impairment, obesity, cancer-associated thrombosis, and antiphospholipid syndrome. Additionally, we examine their role in uncommon thrombotic conditions such as superficial venous thrombosis, embolic stroke of undetermined source, upper extremity vein thrombosis, inferior vena cava thrombosis, pelvic vein thrombosis, and cerebral vein thrombosis. The pharmacokinetic variability of DOACs in renal and hepatic dysfunction requires caution to balance the bleeding and thrombotic risks. In obesity, altered drug distribution and metabolism raise concerns regarding appropriate dosing and therapeutic efficacy. Cancer-associated thrombosis presents a complex interplay of prothrombotic mechanisms, necessitating careful selection of anticoagulant therapy. Furthermore, the use of DOACs in antiphospholipid syndrome remains controversial due to concerns about recurrent thrombotic events. Finally, in some unusual scenarios like inferior vena cava, pelvic vein, and cerebral vein thrombosis, the use of DOACs has scarce evidence. This review aims to guide clinicians in optimizing anticoagulation management in challenging patient populations by synthesizing current evidence and providing practical recommendations.","container-title":"Journal of Clinical Medicine","DOI":"10.3390/jcm14092914","ISSN":"2077-0383","issue":"9","language":"en","license":"http://creativecommons.org/licenses/by/3.0/","note":"number: 9","page":"2914","publisher":"Multidisciplinary Digital Publishing Institute","source":"www.mdpi.com","title":"Challenges and Opportunities of Direct Oral Anticoagulant (DOAC) Therapy in Complex Clinical Scenarios: A Comprehensive Review and Practical Guide","title-short":"Challenges and Opportunities of Direct Oral Anticoagulant (DOAC) Therapy in Complex Clinical Scenarios","volume":"14","author":[{"family":"Miceli","given":"Giuseppe"},{"family":"Ciaccio","given":"Anna Maria"},{"family":"Tuttolomondo","given":"Antonino"}],"issued":{"date-parts":[["2025",1]]}}}],"schema":"https://github.com/citation-style-language/schema/raw/master/csl-citation.json"}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[64]</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Преимущества ПОАК: снижение внутричерепных кровотечений (до 70% в </w:t>
      </w:r>
      <w:r>
        <w:rPr>
          <w:rFonts w:ascii="Times New Roman" w:hAnsi="Times New Roman" w:cs="Times New Roman"/>
          <w:sz w:val="28"/>
          <w:szCs w:val="28"/>
          <w:lang w:val="en-US" w:bidi="ar-SA"/>
        </w:rPr>
        <w:t>RE</w:t>
      </w:r>
      <w:r w:rsidRPr="009D687E">
        <w:rPr>
          <w:rFonts w:ascii="Times New Roman" w:hAnsi="Times New Roman" w:cs="Times New Roman"/>
          <w:sz w:val="28"/>
          <w:szCs w:val="28"/>
          <w:lang w:bidi="ar-SA"/>
        </w:rPr>
        <w:t>-</w:t>
      </w:r>
      <w:r>
        <w:rPr>
          <w:rFonts w:ascii="Times New Roman" w:hAnsi="Times New Roman" w:cs="Times New Roman"/>
          <w:sz w:val="28"/>
          <w:szCs w:val="28"/>
          <w:lang w:val="en-US" w:bidi="ar-SA"/>
        </w:rPr>
        <w:t>LY</w:t>
      </w:r>
      <w:r>
        <w:rPr>
          <w:rFonts w:ascii="Times New Roman" w:hAnsi="Times New Roman" w:cs="Times New Roman"/>
          <w:sz w:val="28"/>
          <w:szCs w:val="28"/>
          <w:lang w:bidi="ar-SA"/>
        </w:rPr>
        <w:t>)</w:t>
      </w:r>
      <w:r w:rsidRPr="009D687E">
        <w:rPr>
          <w:rFonts w:ascii="Times New Roman" w:hAnsi="Times New Roman" w:cs="Times New Roman"/>
          <w:sz w:val="28"/>
          <w:szCs w:val="28"/>
          <w:lang w:bidi="ar-SA"/>
        </w:rPr>
        <w:t xml:space="preserve">, </w:t>
      </w:r>
      <w:r>
        <w:rPr>
          <w:rFonts w:ascii="Times New Roman" w:hAnsi="Times New Roman" w:cs="Times New Roman"/>
          <w:sz w:val="28"/>
          <w:szCs w:val="28"/>
          <w:lang w:bidi="ar-SA"/>
        </w:rPr>
        <w:t>стабильный профиль безопасности (кроме риска ЖКК у ривароксабана)</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{"citationID":"oLzMxP2D","properties":{"unsorted":false,"formattedCitation":"[65]","plainCitation":"[65]","noteIndex":0},"citationItems":[{"id":147,"uris":["http://zotero.org/users/14784094/items/U72UDNIY"],"itemData":{"id":147,"type":"article-journal","abstract":"Intracranial hemorrhage (ICH) is a potentially severe complication of oral anticoagulants (OACs) and antiplatelet therapy (APT).Patients with atrial fibrillation (AF) who survived ICH present both an increased ischemic and bleeding risk. Due to its lethality, initiating or reinitiating OACs in ICH survivors with AF is challenging. Since ICH recurrence may be life-threatening, patients who experience an ICH are often not treated with OACs, and thus remain at a higher risk of thromboembolic events. A point worth mentioning is that patients with a concomitant recent ICH and AF have been excluded or are poorly represented in randomized controlled trials (RCTs) on ischemic stroke risk management in AF. Nevertheless, observational studies showed that in AF patients who survived ICH, ischemic stroke and mortality rates were significantly lower among those treated with OACs. However, the risk of hemorrhagic events, including recurrent ICH, was not necessarily increased, especially in patients with post-traumatic ICH.The optimal timing of anticoagulation initiation or restarting after an ICH in AF patients is also largely debated. Finally, the left atrial appendage occlusion option should be evaluated in AF patients at a very high risk of recurrent ICH.Overall, a multidisciplinary team composed of cardiologists, neurologists, neuroradiologists, neurosurgeons, patients, and their families should be involved in management decisions. According to available evidence, this review outlines the most appropriate anticoagulation strategies after an ICH that should be adopted to treat this neglected subset of patients.","container-title":"Frontiers in Cardiovascular Medicine","DOI":"10.3389/fcvm.2023.1061618","ISSN":"2297-055X","journalAbbreviation":"Front. Cardiovasc. Med.","language":"English","publisher":"Frontiers","source":"Frontiers","title":"Management of oral anticoagulant therapy after intracranial hemorrhage in patients with atrial fibrillation","URL":"https://www.frontiersin.org/journals/cardiovascular-medicine/articles/10.3389/fcvm.2023.1061618/full","volume":"10","author":[{"family":"Lucà","given":"Fabiana"},{"family":"Colivicchi","given":"Furio"},{"family":"Oliva","given":"Fabrizio"},{"family":"Abrignani","given":"Maurizio"},{"family":"Caretta","given":"Giorgio"},{"family":"Di Fusco","given":"Stefania Angela"},{"family":"Giubilato","given":"Simona"},{"family":"Cornara","given":"Stefano"},{"family":"Di Nora","given":"Concetta"},{"family":"Pozzi","given":"Andrea"},{"family":"Di Matteo","given":"Irene"},{"family":"Pilleri","given":"Anna"},{"family":"Rao","given":"Carmelo Massimiliano"},{"family":"Parlavecchio","given":"Antonio"},{"family":"Ceravolo","given":"Roberto"},{"family":"Benedetto","given":"Francesco Antonio"},{"family":"Rossini","given":"Roberta"},{"family":"Calvanese","given":"Raimondo"},{"family":"Gelsomino","given":"Sandro"},{"family":"Riccio","given":"Carmine"},{"family":"Gulizia","given":"Michele Massimo"}],"accessed":{"date-parts":[["2025",6,9]]},"issued":{"date-parts":[["2023",5,25]]}}}],"schema":"https://github.com/citation-style-language/schema/raw/master/csl-citation.json"}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[65]</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Оптимальные профили: апиксабан и эдоксабан демонстрируют наилучшее соотношение эффективности и геморрагического риска</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{"citationID":"axzASvAj","properties":{"unsorted":false,"formattedCitation":"[66]","plainCitation":"[66]","noteIndex":0},"citationItems":[{"id":146,"uris":["http://zotero.org/users/14784094/items/WMRCBWYV"],"itemData":{"id":146,"type":"article-journal","abstract":"The objective of this network meta-analysis was to assess the efficacy and safety of apixaban, dabigatran, rivaroxaban, and edoxaban in patients diagnosed with atrial fibrillation and valvular heart disease. A comprehensive search was conducted across various electronic databases, including PubMed, Embase, and Web of Science, from inception to February 15, 2024. The search strategy utilized a combination of medical subject headings (MeSH) terms and relevant keywords related to valvular heart disease, atrial fibrillation, anticoagulant therapy, and study design, such as randomized controlled trials and observational studies. The outcomes evaluated in this analysis comprised the incidence of stroke or systemic embolism (SE), as well as the occurrences of major bleeding events. A total of 10 studies were incorporated into this meta-analysis, encompassing 40,662 participants. Of these, 12,385 received apixaban, 2,829 received dabigatran, 13,662 received rivaroxaban, 2,582 received edoxaban, and 9,202 received warfarin. The duration of follow-up in the included studies ranged from 3 to 54 months. Among the four direct oral anticoagulants (DOACs) studied, apixaban demonstrated a significant reduction in the risk of stroke or SE when compared to other DOACs and warfarin, highlighting its efficacy in patients with atrial fibrillation and valvular heart disease. Additionally, apixaban exhibited a lower risk of major bleeding events, further emphasizing its favorable safety profile compared to the other agents assessed. In conclusion, our findings suggest that apixaban may be more effective and safer than other DOACs and warfarin in this patient population. However, additional studies are warranted to compare the various DOACs in this cohort to identify the optimal treatment strategy for preventing adverse outcomes.","container-title":"Cureus","DOI":"10.7759/cureus.57656","ISSN":"2168-8184","issue":"4","journalAbbreviation":"Cureus","page":"e57656","PMID":"38707166","PMCID":"PMC11070143","source":"PubMed Central","title":"Comparison of Effectiveness and Safety of Apixaban, Dabigatran, and Rivaroxaban in Patients With Valvular Atrial Fibrillation: A Network Meta-Analysis of Randomized-Control Trials and Observational Studies","title-short":"Comparison of Effectiveness and Safety of Apixaban, Dabigatran, and Rivaroxaban in Patients With Valvular Atrial Fibrillation","volume":"16","author":[{"family":"Huma","given":"Huria"},{"family":"Rawat","given":"Anurag"},{"family":"Kaur","given":"Mandeep"},{"family":"Jha","given":"Omkar"},{"family":"Shaukat Gill","given":"Fahad"},{"family":"Moqattash","given":"Merid"},{"family":"Wei","given":"Calvin R"},{"family":"Allahwala","given":"Danish"}]}}],"schema":"https://github.com/citation-style-language/schema/raw/master/csl-citation.json"}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[66]</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w:t>
      </w:r>
    </w:p>
    <w:p w14:paraId="4B61FA25" w14:textId="77777777" w:rsidR="009D687E" w:rsidRDefault="009D687E" w:rsidP="009B0CEF">
      <w:pPr>
        <w:pStyle w:val="LO-normal"/>
        <w:spacing w:after="0" w:line="240" w:lineRule="auto"/>
        <w:ind w:firstLine="567"/>
        <w:jc w:val="both"/>
        <w:rPr>
          <w:rFonts w:ascii="Times New Roman" w:hAnsi="Times New Roman" w:cs="Times New Roman"/>
          <w:sz w:val="28"/>
          <w:szCs w:val="28"/>
          <w:lang w:bidi="ar-SA"/>
        </w:rPr>
      </w:pPr>
    </w:p>
    <w:p w14:paraId="604F78DB" w14:textId="4A6018EE" w:rsidR="002A79FA" w:rsidRPr="002A79FA" w:rsidRDefault="002A79FA" w:rsidP="009B0CEF">
      <w:pPr>
        <w:pStyle w:val="LO-normal"/>
        <w:spacing w:after="0" w:line="240" w:lineRule="auto"/>
        <w:ind w:firstLine="567"/>
        <w:jc w:val="both"/>
        <w:rPr>
          <w:rFonts w:ascii="Times New Roman" w:hAnsi="Times New Roman" w:cs="Times New Roman"/>
          <w:b/>
          <w:bCs/>
          <w:sz w:val="28"/>
          <w:szCs w:val="28"/>
          <w:lang w:bidi="ar-SA"/>
        </w:rPr>
      </w:pPr>
      <w:r w:rsidRPr="002A79FA">
        <w:rPr>
          <w:rFonts w:ascii="Times New Roman" w:hAnsi="Times New Roman" w:cs="Times New Roman"/>
          <w:b/>
          <w:bCs/>
          <w:sz w:val="28"/>
          <w:szCs w:val="28"/>
          <w:lang w:bidi="ar-SA"/>
        </w:rPr>
        <w:t>1.4.1 Антагонисты витамина К: Варфарин</w:t>
      </w:r>
    </w:p>
    <w:p w14:paraId="6D7B5327" w14:textId="4274C2B1" w:rsidR="002A79FA" w:rsidRDefault="002A79FA" w:rsidP="009B0CEF">
      <w:pPr>
        <w:pStyle w:val="LO-normal"/>
        <w:spacing w:after="0" w:line="240" w:lineRule="auto"/>
        <w:ind w:firstLine="567"/>
        <w:jc w:val="both"/>
        <w:rPr>
          <w:rFonts w:ascii="Times New Roman" w:hAnsi="Times New Roman" w:cs="Times New Roman"/>
          <w:sz w:val="28"/>
          <w:szCs w:val="28"/>
          <w:lang w:bidi="ar-SA"/>
        </w:rPr>
      </w:pPr>
      <w:r w:rsidRPr="002A79FA">
        <w:rPr>
          <w:rFonts w:ascii="Times New Roman" w:hAnsi="Times New Roman" w:cs="Times New Roman"/>
          <w:b/>
          <w:bCs/>
          <w:i/>
          <w:iCs/>
          <w:sz w:val="28"/>
          <w:szCs w:val="28"/>
          <w:lang w:bidi="ar-SA"/>
        </w:rPr>
        <w:t>Фармакокинетика варфарина</w:t>
      </w:r>
    </w:p>
    <w:p w14:paraId="2201C457" w14:textId="362B33DF" w:rsidR="0027497C" w:rsidRDefault="002A79FA" w:rsidP="00724969">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Варфарин сохраняет статус ключевого антикоагулянта в профилактике инсульта при фибрилляции предсердий, что обусловлено его повсеместной доступностью, экономической эффективностью и возможностью быстрого купирования геморрагических осложнений с помощью специфического антидота</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{"citationID":"Z8qctb3A","properties":{"unsorted":false,"formattedCitation":"[67,68]","plainCitation":"[67,68]","noteIndex":0},"citationItems":[{"id":313,"uris":["http://zotero.org/users/14784094/items/9WYF6YD8"],"itemData":{"id":313,"type":"article-journal","abstract":"The rising prevalence and the complexity of atrial fibrillation (AF) pose major clinical challenges. Stroke prevention is accompanied by non-negligible risks, making anticoagulant treatment an ongoing challenge for the clinician. Current guidelines recommend direct oral anticoagulants (DOACs) over warfarin for stroke prevention in most AF patients, mainly due to the ease of their use. However, assessing the bleeding risk in patients receiving oral anticoagulants remains—particularly in the case of DOACs—highly challenging. Using dose-adjusted warfarin increases threefold the risk of gastrointestinal bleeding (GIB). Although the overall bleeding risk appears to be lower, the use of DOACs has been associated with an increased risk of GIB compared to warfarin. Accurate bleeding (including GIB-specific) risk scores specific for DOACs remain to be developed. Until then, the assessment of bleeding risk factors remains the only available tool, although the extent to which each of these factors contributes to the risk of bleeding is unknown. In this paper, we aim to provide a comprehensive review of the bleeding risk associated with oral anticoagulant therapy in AF patients, with a highlight on the latest insights into GIB associated with oral anticoagulation; we emphasize questions that remain to be answered; and we identify hotspots for future research.","container-title":"International Journal of Molecular Sciences","DOI":"10.3390/ijms24086879","ISSN":"1422-0067","issue":"8","journalAbbreviation":"Int J Mol Sci","page":"6879","PMID":"37108042","PMCID":"PMC10138869","source":"PubMed Central","title":"Challenges of Anticoagulant Therapy in Atrial Fibrillation—Focus on Gastrointestinal Bleeding","volume":"24","author":[{"family":"Scridon","given":"Alina"},{"family":"Balan","given":"Alkora Ioana"}],"issued":{"date-parts":[["2023",4,7]]}}},{"id":235,"uris":["http://zotero.org/users/14784094/items/WS6QKF9U"],"itemData":{"id":235,"type":"article-journal","abstract":"Warfarin, a vitamin K antagonist, is currently the most extensively used oral anticoagulant world-wide. It is prescribed for a variety of indications and has undergone extensive clinical study. Still, despite wide usage and considerable accumulated data from clinical trials demonstrating efficacy for a variety of thrombotic and thromboembolic conditions, warfarin is underutilized because its management is complex for both patients and physicians. However, despite these limitations, warfarin can be managed with relative safety, even in an elderly population.","container-title":"Cardiology Clinics","DOI":"10.1016/j.ccl.2007.12.010","ISSN":"0733-8651","issue":"2","journalAbbreviation":"Cardiol Clin","language":"eng","page":"157-167, v","PMID":"18406992","source":"PubMed","title":"Warfarin pharmacology, clinical management, and evaluation of hemorrhagic risk for the elderly","volume":"26","author":[{"family":"Jacobs","given":"Laurie G."}],"issued":{"date-parts":[["2008",5]]}}}],"schema":"https://github.com/citation-style-language/schema/raw/master/csl-citation.json"}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[67,68]</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Кроме того, он является терапией первой линии для пациентов с митральным стенозом, механическими клапанами сердца или терминальной стадией хронической болезни почек</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{"citationID":"18nmRORH","properties":{"unsorted":false,"formattedCitation":"[67]","plainCitation":"[67]","noteIndex":0},"citationItems":[{"id":313,"uris":["http://zotero.org/users/14784094/items/9WYF6YD8"],"itemData":{"id":313,"type":"article-journal","abstract":"The rising prevalence and the complexity of atrial fibrillation (AF) pose major clinical challenges. Stroke prevention is accompanied by non-negligible risks, making anticoagulant treatment an ongoing challenge for the clinician. Current guidelines recommend direct oral anticoagulants (DOACs) over warfarin for stroke prevention in most AF patients, mainly due to the ease of their use. However, assessing the bleeding risk in patients receiving oral anticoagulants remains—particularly in the case of DOACs—highly challenging. Using dose-adjusted warfarin increases threefold the risk of gastrointestinal bleeding (GIB). Although the overall bleeding risk appears to be lower, the use of DOACs has been associated with an increased risk of GIB compared to warfarin. Accurate bleeding (including GIB-specific) risk scores specific for DOACs remain to be developed. Until then, the assessment of bleeding risk factors remains the only available tool, although the extent to which each of these factors contributes to the risk of bleeding is unknown. In this paper, we aim to provide a comprehensive review of the bleeding risk associated with oral anticoagulant therapy in AF patients, with a highlight on the latest insights into GIB associated with oral anticoagulation; we emphasize questions that remain to be answered; and we identify hotspots for future research.","container-title":"International Journal of Molecular Sciences","DOI":"10.3390/ijms24086879","ISSN":"1422-0067","issue":"8","journalAbbreviation":"Int J Mol Sci","page":"6879","PMID":"37108042","PMCID":"PMC10138869","source":"PubMed Central","title":"Challenges of Anticoagulant Therapy in Atrial Fibrillation—Focus on Gastrointestinal Bleeding","volume":"24","author":[{"family":"Scridon","given":"Alina"},{"family":"Balan","given":"Alkora Ioana"}],"issued":{"date-parts":[["2023",4,7]]}}}],"schema":"https://github.com/citation-style-language/schema/raw/master/csl-citation.json"}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[67]</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Фармакодинамика варфарина и родственных непрямых антикоагулянтов основана на блокировании фермента </w:t>
      </w:r>
      <w:r>
        <w:rPr>
          <w:rFonts w:ascii="Times New Roman" w:hAnsi="Times New Roman" w:cs="Times New Roman"/>
          <w:sz w:val="28"/>
          <w:szCs w:val="28"/>
          <w:lang w:val="en-US" w:bidi="ar-SA"/>
        </w:rPr>
        <w:t>VKOR</w:t>
      </w:r>
      <w:r w:rsidRPr="002A79F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Vitamin</w:t>
      </w:r>
      <w:r w:rsidRPr="002A79F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K</w:t>
      </w:r>
      <w:r w:rsidRPr="002A79F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epoxide</w:t>
      </w:r>
      <w:r w:rsidRPr="002A79F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reductase</w:t>
      </w:r>
      <w:r w:rsidRPr="002A79FA">
        <w:rPr>
          <w:rFonts w:ascii="Times New Roman" w:hAnsi="Times New Roman" w:cs="Times New Roman"/>
          <w:sz w:val="28"/>
          <w:szCs w:val="28"/>
          <w:lang w:bidi="ar-SA"/>
        </w:rPr>
        <w:t>)</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eVb2Ubze","properties":{"unsorted":false,"formattedCitation":"[68,69]","plainCitation":"[68,69]","noteIndex":0},"citationItems":[{"id":235,"uris":["http://zotero.org/users/14784094/items/WS6QKF9U"],"itemData":{"id":235,"type":"article-journal","abstract":"Warfarin, a vitamin K antagonist, is currently the most extensively used oral anticoagulant world-wide. It is prescribed for a variety of indications and has undergone extensive clinical study. Still, despite wide usage and considerable accumulated data from clinical trials demonstrating efficacy for a variety of thrombotic and thromboembolic conditions, warfarin is underutilized because its management is complex for both patients and physicians. However, despite these limitations, warfarin can be managed with relative safety, even in an elderly population.","container-title":"Cardiology Clinics","DOI":"10.1016/j.ccl.2007.12.010","ISSN":"0733-8651","issue":"2","journalAbbreviation":"Cardiol Clin","language":"eng","page":"157-167, v","PMID":"18406992","source":"PubMed","title":"Warfarin pharmacology, clinical management, and evaluation of hemorrhagic risk for the elderly","volume":"26","author":[{"family":"Jacobs","given":"Laurie G."}],"issued":{"date-parts":[["2008",5]]}}},{"id":338,"uris":["http://zotero.org/users/14784094/items/W5IYCRXI"],"itemData":{"id":338,"type":"article-journal","abstract":"Aim. To provide a scientific review of current data on pharmacogenetic aspects of antithrombotic therapy with warfarin. Materials and methods. To write this review we conducted searching for domestic and foreign publications in Russian and international search systems (PubMed, eLibrary, etc.) since 2000. Results. In recent years a social and economic relevance of thrombotic complications in patients with cardiovascular diseases is steadily increasing. The major drugs for long-term, in some cases life-long, thromboprophylaxis are oral anticoagulants. Despite the appearance of novel direct acting oral anticoagulants on the pharmaceutical market, vitamin K antagonist warfarin does not lose its position. In a number of clinical situations this drug has no alternative. Disadvantages of warfarin include its narrow therapeutic index and therefore the need for careful continuous laboratory monitoring of the blood coagulation system. An overdose of warfarin can cause serious bleeding complications which develop more often at the beginning of treatment. For this reason, a personalized approach to selecting the initial warfarin dose is of particular importance. When selecting the drug dose along with clinical factors genetic ones are also of great importance. The presence of genetic polymorphisms in genes that control warfarin pharmacokinetics and pharmacodynamics can be decisive. Warfarin dosing algorithms are available, however, new data that are recently emerging, dictate the need for their modification, including taking into account ethnic characteristics of patients. Different ethnic groups have features in a contribution of various genes and genetic polymorphisms to manifestation of warfarin’s anticoagulant effect. It was shown that identification of CYP4F2 genetic polymorphisms in African- Americans is not necessary, whereas for Europeans it is a prerequisite. At the same time, determining genetic variants of CYP2C rs12777823 is important for African Americans, but it should not be determined for Europeans. Conclusions. Warfarin remains one of the most commonly prescribed anticoagulants in routine clinical practice. Its safety is ensured by individual selection of initial and maintenance doses by use of algorithms based on clinical and genetic factors. The emergence of new data on warfarin pharmacogenetics allows to personalize the drug dosing to the maximum, which ensures the efficacy and safety of anticoagulant therapy.","container-title":"Consilium Medicum","ISSN":"2075-1753","issue":"10","note":"number: 10\npublisher-place: Россия, Москва","page":"74-78","publisher":"ООО «Консилиум медикум»","source":"cyberleninka.ru","title":"ФАРМАКОГЕНЕТИКА ВАРФАРИНА: СОВРЕМЕННОЕ СОСТОЯНИЕ ВОПРОСА. ЛЕКЦИЯ","title-short":"ФАРМАКОГЕНЕТИКА ВАРФАРИНА","volume":"21","author":[{"family":"Алексеевна","given":"Мубаракшина Ольга"},{"family":"Николаевна","given":"Сомова Марина"},{"family":"Александровна","given":"Батищева Галина"}],"issued":{"date-parts":[["2019"]]}}}],"schema":"https://github.com/citation-style-language/schema/raw/master/csl-citation.json"}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[68,69]</w:t>
      </w:r>
      <w:r>
        <w:rPr>
          <w:rFonts w:ascii="Times New Roman" w:hAnsi="Times New Roman" w:cs="Times New Roman"/>
          <w:sz w:val="28"/>
          <w:szCs w:val="28"/>
          <w:lang w:bidi="ar-SA"/>
        </w:rPr>
        <w:fldChar w:fldCharType="end"/>
      </w:r>
      <w:r w:rsidRPr="002A79FA">
        <w:rPr>
          <w:rFonts w:ascii="Times New Roman" w:hAnsi="Times New Roman" w:cs="Times New Roman"/>
          <w:sz w:val="28"/>
          <w:szCs w:val="28"/>
          <w:lang w:bidi="ar-SA"/>
        </w:rPr>
        <w:t>.</w:t>
      </w:r>
      <w:r>
        <w:rPr>
          <w:rFonts w:ascii="Times New Roman" w:hAnsi="Times New Roman" w:cs="Times New Roman"/>
          <w:sz w:val="28"/>
          <w:szCs w:val="28"/>
          <w:lang w:bidi="ar-SA"/>
        </w:rPr>
        <w:t xml:space="preserve"> Этот фермент катализирует восстановление витамина К-эпоксида до биологически активной формы – витамина К-гидрохинона</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{"citationID":"IfNBr7hv","properties":{"unsorted":false,"formattedCitation":"[70,71]","plainCitation":"[70,71]","noteIndex":0},"citationItems":[{"id":334,"uris":["http://zotero.org/users/14784094/items/KWYH7LUU"],"itemData":{"id":334,"type":"article-journal","abstract":"Warfarin pharmacogenetics","container-title":"Атеротромбоз","ISSN":"2307-1109","issue":"1","note":"number: 1\npublisher-place: Россия, Москва","page":"107-111","publisher":"Общество с ограниченной ответственностью «ГРУППА РЕМЕДИУМ»","source":"cyberleninka.ru","title":"Фармакогенетика варфарина","author":[{"family":"Е.с","given":"Кропачева"}],"issued":{"date-parts":[["2015"]]}}},{"id":310,"uris":["http://zotero.org/users/14784094/items/B4FPDL9I"],"itemData":{"id":310,"type":"article-journal","abstract":"Aim\nWarfarin is a cornerstone for the prevention of thromboembolism in atrial fibrillation (AF), and several efforts have been taken to increase its usage and safety, including risk stratification schemes. Our aim was to investigate the temporal trends in initiation of warfarin and its effects on incidence of bleeding and thromboembolism in patients with new-onset atrial fibrillation 1996–2011.\n\nMethods\nAll patients with a first-time diagnosis of non-valvular atrial fibrillation were identified from nationwide administrative registries. Trends were determined by linear regression.\n\nResults\nIn total 153,682 patients were included. Initiation of warfarin increased from 14% to 41% (p&lt;0.0001). Events of thromboembolism decreased from 3.9% to 2.6% annually (p&lt;0.0001). The greatest decline in thromboembolic events was observed for patients with a CHA2DS2VASc score &gt;1, where the annual decline was -0.12% (95%CI: -0.161; -0.084)) for those treated with warfarin and -0.073% (95%CI: -0.116;-0.030)) for those not treated with warfarin. Bleeding increased from 3.3% to 3.9% (p = 0.043). For those with a CHA2DS2VASc score &gt;1 annual bleeding rates increased by 0.095% (95%CI: -0.025; -0.165) in warfarin treated and by 0.056% (95%CI: -0.013; -0.100) in patients not treated with warfarin.\n\nConclusion\nWarfarin use increased by nearly a 3-fold between 1996 and 2011. During the same period, thromboembolic events declined by a third and bleeding increased by a fifth, suggesting a beneficial effect associated with higher warfarin use. Notably, a small decline in thromboembolic events and increase in bleeding events was observed for the untreated population, suggesting a changing risk profile of AF patients.","container-title":"PLoS ONE","DOI":"10.1371/journal.pone.0194295","ISSN":"1932-6203","issue":"3","journalAbbreviation":"PLoS One","page":"e0194295","PMID":"29547673","PMCID":"PMC5856343","source":"PubMed Central","title":"Trends in warfarin use and its associations with thromboembolic and bleeding rates in a population with atrial fibrillation between 1996 and 2011","volume":"13","author":[{"family":"Hansen","given":"Peter Wæde"},{"family":"Sehested","given":"Thomas S. G."},{"family":"Fosbøl","given":"Emil Loldrup"},{"family":"Torp-Pedersen","given":"Christian"},{"family":"Køber","given":"Lars"},{"family":"Andersson","given":"Charlotte"},{"family":"Gislason","given":"Gunnar H."}],"issued":{"date-parts":[["2018",3,16]]}}}],"schema":"https://github.com/citation-style-language/schema/raw/master/csl-citation.json"}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[70,71]</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Последний выступает </w:t>
      </w:r>
      <w:r w:rsidR="00FC5CB2">
        <w:rPr>
          <w:rFonts w:ascii="Times New Roman" w:hAnsi="Times New Roman" w:cs="Times New Roman"/>
          <w:sz w:val="28"/>
          <w:szCs w:val="28"/>
          <w:lang w:bidi="ar-SA"/>
        </w:rPr>
        <w:t xml:space="preserve">незаменимым кофактором для </w:t>
      </w:r>
      <w:r w:rsidR="00FC5CB2">
        <w:rPr>
          <w:rFonts w:ascii="Times New Roman" w:hAnsi="Times New Roman" w:cs="Times New Roman"/>
          <w:sz w:val="28"/>
          <w:szCs w:val="28"/>
          <w:lang w:bidi="ar-SA"/>
        </w:rPr>
        <w:sym w:font="Symbol" w:char="F067"/>
      </w:r>
      <w:r w:rsidR="00FC5CB2">
        <w:rPr>
          <w:rFonts w:ascii="Times New Roman" w:hAnsi="Times New Roman" w:cs="Times New Roman"/>
          <w:sz w:val="28"/>
          <w:szCs w:val="28"/>
          <w:lang w:bidi="ar-SA"/>
        </w:rPr>
        <w:t>-карбоксилирования факторов свертывания</w:t>
      </w:r>
      <w:r w:rsidR="00FC5CB2">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{"citationID":"OoZmIQqH","properties":{"unsorted":false,"formattedCitation":"[67]","plainCitation":"[67]","noteIndex":0},"citationItems":[{"id":313,"uris":["http://zotero.org/users/14784094/items/9WYF6YD8"],"itemData":{"id":313,"type":"article-journal","abstract":"The rising prevalence and the complexity of atrial fibrillation (AF) pose major clinical challenges. Stroke prevention is accompanied by non-negligible risks, making anticoagulant treatment an ongoing challenge for the clinician. Current guidelines recommend direct oral anticoagulants (DOACs) over warfarin for stroke prevention in most AF patients, mainly due to the ease of their use. However, assessing the bleeding risk in patients receiving oral anticoagulants remains—particularly in the case of DOACs—highly challenging. Using dose-adjusted warfarin increases threefold the risk of gastrointestinal bleeding (GIB). Although the overall bleeding risk appears to be lower, the use of DOACs has been associated with an increased risk of GIB compared to warfarin. Accurate bleeding (including GIB-specific) risk scores specific for DOACs remain to be developed. Until then, the assessment of bleeding risk factors remains the only available tool, although the extent to which each of these factors contributes to the risk of bleeding is unknown. In this paper, we aim to provide a comprehensive review of the bleeding risk associated with oral anticoagulant therapy in AF patients, with a highlight on the latest insights into GIB associated with oral anticoagulation; we emphasize questions that remain to be answered; and we identify hotspots for future research.","container-title":"International Journal of Molecular Sciences","DOI":"10.3390/ijms24086879","ISSN":"1422-0067","issue":"8","journalAbbreviation":"Int J Mol Sci","page":"6879","PMID":"37108042","PMCID":"PMC10138869","source":"PubMed Central","title":"Challenges of Anticoagulant Therapy in Atrial Fibrillation—Focus on Gastrointestinal Bleeding","volume":"24","author":[{"family":"Scridon","given":"Alina"},{"family":"Balan","given":"Alkora Ioana"}],"issued":{"date-parts":[["2023",4,7]]}}}],"schema":"https://github.com/citation-style-language/schema/raw/master/csl-citation.json"} </w:instrText>
      </w:r>
      <w:r w:rsidR="00FC5CB2">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[67]</w:t>
      </w:r>
      <w:r w:rsidR="00FC5CB2">
        <w:rPr>
          <w:rFonts w:ascii="Times New Roman" w:hAnsi="Times New Roman" w:cs="Times New Roman"/>
          <w:sz w:val="28"/>
          <w:szCs w:val="28"/>
          <w:lang w:bidi="ar-SA"/>
        </w:rPr>
        <w:fldChar w:fldCharType="end"/>
      </w:r>
      <w:r w:rsidR="00FC5CB2">
        <w:rPr>
          <w:rFonts w:ascii="Times New Roman" w:hAnsi="Times New Roman" w:cs="Times New Roman"/>
          <w:sz w:val="28"/>
          <w:szCs w:val="28"/>
          <w:lang w:bidi="ar-SA"/>
        </w:rPr>
        <w:t xml:space="preserve">. Ингибирование </w:t>
      </w:r>
      <w:r w:rsidR="00FC5CB2">
        <w:rPr>
          <w:rFonts w:ascii="Times New Roman" w:hAnsi="Times New Roman" w:cs="Times New Roman"/>
          <w:sz w:val="28"/>
          <w:szCs w:val="28"/>
          <w:lang w:val="en-US" w:bidi="ar-SA"/>
        </w:rPr>
        <w:t>VKOR</w:t>
      </w:r>
      <w:r w:rsidR="00FC5CB2">
        <w:rPr>
          <w:rFonts w:ascii="Times New Roman" w:hAnsi="Times New Roman" w:cs="Times New Roman"/>
          <w:sz w:val="28"/>
          <w:szCs w:val="28"/>
          <w:lang w:bidi="ar-SA"/>
        </w:rPr>
        <w:t xml:space="preserve"> снижает доступность</w:t>
      </w:r>
      <w:r w:rsidR="001B7D40">
        <w:rPr>
          <w:rFonts w:ascii="Times New Roman" w:hAnsi="Times New Roman" w:cs="Times New Roman"/>
          <w:sz w:val="28"/>
          <w:szCs w:val="28"/>
          <w:lang w:bidi="ar-SA"/>
        </w:rPr>
        <w:t xml:space="preserve"> гидрохинона, что ведет к угнетению функциональной активности факторов </w:t>
      </w:r>
      <w:r w:rsidR="001B7D40">
        <w:rPr>
          <w:rFonts w:ascii="Times New Roman" w:hAnsi="Times New Roman" w:cs="Times New Roman"/>
          <w:sz w:val="28"/>
          <w:szCs w:val="28"/>
          <w:lang w:val="en-US" w:bidi="ar-SA"/>
        </w:rPr>
        <w:t>II</w:t>
      </w:r>
      <w:r w:rsidR="001B7D40" w:rsidRPr="001B7D40">
        <w:rPr>
          <w:rFonts w:ascii="Times New Roman" w:hAnsi="Times New Roman" w:cs="Times New Roman"/>
          <w:sz w:val="28"/>
          <w:szCs w:val="28"/>
          <w:lang w:bidi="ar-SA"/>
        </w:rPr>
        <w:t xml:space="preserve">, </w:t>
      </w:r>
      <w:r w:rsidR="001B7D40">
        <w:rPr>
          <w:rFonts w:ascii="Times New Roman" w:hAnsi="Times New Roman" w:cs="Times New Roman"/>
          <w:sz w:val="28"/>
          <w:szCs w:val="28"/>
          <w:lang w:val="en-US" w:bidi="ar-SA"/>
        </w:rPr>
        <w:t>VII</w:t>
      </w:r>
      <w:r w:rsidR="001B7D40" w:rsidRPr="001B7D40">
        <w:rPr>
          <w:rFonts w:ascii="Times New Roman" w:hAnsi="Times New Roman" w:cs="Times New Roman"/>
          <w:sz w:val="28"/>
          <w:szCs w:val="28"/>
          <w:lang w:bidi="ar-SA"/>
        </w:rPr>
        <w:t xml:space="preserve">, </w:t>
      </w:r>
      <w:r w:rsidR="001B7D40">
        <w:rPr>
          <w:rFonts w:ascii="Times New Roman" w:hAnsi="Times New Roman" w:cs="Times New Roman"/>
          <w:sz w:val="28"/>
          <w:szCs w:val="28"/>
          <w:lang w:val="en-US" w:bidi="ar-SA"/>
        </w:rPr>
        <w:t>IX</w:t>
      </w:r>
      <w:r w:rsidR="001B7D40" w:rsidRPr="001B7D40">
        <w:rPr>
          <w:rFonts w:ascii="Times New Roman" w:hAnsi="Times New Roman" w:cs="Times New Roman"/>
          <w:sz w:val="28"/>
          <w:szCs w:val="28"/>
          <w:lang w:bidi="ar-SA"/>
        </w:rPr>
        <w:t xml:space="preserve">, </w:t>
      </w:r>
      <w:r w:rsidR="001B7D40">
        <w:rPr>
          <w:rFonts w:ascii="Times New Roman" w:hAnsi="Times New Roman" w:cs="Times New Roman"/>
          <w:sz w:val="28"/>
          <w:szCs w:val="28"/>
          <w:lang w:val="en-US" w:bidi="ar-SA"/>
        </w:rPr>
        <w:t>X</w:t>
      </w:r>
      <w:r w:rsidR="001B7D40">
        <w:rPr>
          <w:rFonts w:ascii="Times New Roman" w:hAnsi="Times New Roman" w:cs="Times New Roman"/>
          <w:sz w:val="28"/>
          <w:szCs w:val="28"/>
          <w:lang w:bidi="ar-SA"/>
        </w:rPr>
        <w:t xml:space="preserve">, а также антикоагулянтных протеинов </w:t>
      </w:r>
      <w:r w:rsidR="001B7D40">
        <w:rPr>
          <w:rFonts w:ascii="Times New Roman" w:hAnsi="Times New Roman" w:cs="Times New Roman"/>
          <w:sz w:val="28"/>
          <w:szCs w:val="28"/>
          <w:lang w:val="en-US" w:bidi="ar-SA"/>
        </w:rPr>
        <w:t>C</w:t>
      </w:r>
      <w:r w:rsidR="001B7D40" w:rsidRPr="001B7D40">
        <w:rPr>
          <w:rFonts w:ascii="Times New Roman" w:hAnsi="Times New Roman" w:cs="Times New Roman"/>
          <w:sz w:val="28"/>
          <w:szCs w:val="28"/>
          <w:lang w:bidi="ar-SA"/>
        </w:rPr>
        <w:t xml:space="preserve"> </w:t>
      </w:r>
      <w:r w:rsidR="001B7D40">
        <w:rPr>
          <w:rFonts w:ascii="Times New Roman" w:hAnsi="Times New Roman" w:cs="Times New Roman"/>
          <w:sz w:val="28"/>
          <w:szCs w:val="28"/>
          <w:lang w:bidi="ar-SA"/>
        </w:rPr>
        <w:t xml:space="preserve">и </w:t>
      </w:r>
      <w:r w:rsidR="001B7D40">
        <w:rPr>
          <w:rFonts w:ascii="Times New Roman" w:hAnsi="Times New Roman" w:cs="Times New Roman"/>
          <w:sz w:val="28"/>
          <w:szCs w:val="28"/>
          <w:lang w:val="en-US" w:bidi="ar-SA"/>
        </w:rPr>
        <w:t>S</w:t>
      </w:r>
      <w:r w:rsidR="001B7D40">
        <w:rPr>
          <w:rFonts w:ascii="Times New Roman" w:hAnsi="Times New Roman" w:cs="Times New Roman"/>
          <w:sz w:val="28"/>
          <w:szCs w:val="28"/>
          <w:lang w:val="en-US" w:bidi="ar-SA"/>
        </w:rPr>
        <w:fldChar w:fldCharType="begin"/>
      </w:r>
      <w:r w:rsidR="00171CCC">
        <w:rPr>
          <w:rFonts w:ascii="Times New Roman" w:hAnsi="Times New Roman" w:cs="Times New Roman"/>
          <w:sz w:val="28"/>
          <w:szCs w:val="28"/>
          <w:lang w:bidi="ar-SA"/>
        </w:rPr>
        <w:instrText xml:space="preserve"> ADDIN ZOTERO_ITEM CSL_CITATION {"citationID":"R3Nk0kAd","properties":{"unsorted":false,"formattedCitation":"[69]","plainCitation":"[69]","noteIndex":0},"citationItems":[{"id":338,"uris":["http://zotero.org/users/14784094/items/W5IYCRXI"],"itemData":{"id":338,"type":"article-journal","abstract":"Aim. To provide a scientific review of current data on pharmacogenetic aspects of antithrombotic therapy with warfarin. Materials and methods. To write this review we conducted searching for domestic and foreign publications in Russian and international search systems (PubMed, eLibrary, etc.) since 2000. Results. In recent years a social and economic relevance of thrombotic complications in patients with cardiovascular diseases is steadily increasing. The major drugs for long-term, in some cases life-long, thromboprophylaxis are oral anticoagulants. Despite the appearance of novel direct acting oral anticoagulants on the pharmaceutical market, vitamin K antagonist warfarin does not lose its position. In a number of clinical situations this drug has no alternative. Disadvantages of warfarin include its narrow therapeutic index and therefore the need for careful continuous laboratory monitoring of the blood coagulation system. An overdose of warfarin can cause serious bleeding complications which develop more often at the beginning of treatment. For this reason, a personalized approach to selecting the initial warfarin dose is of particular importance. When selecting the drug dose along with clinical factors genetic ones are also of great importance. The presence of genetic polymorphisms in genes that control warfarin pharmacokinetics and pharmacodynamics can be decisive. Warfarin dosing algorithms are available, however, new data that are recently emerging, dictate the need for their modification, including taking into account ethnic characteristics of patients. Different ethnic groups have features in a contribution of various genes and genetic polymorphisms to manifestation of warfarin’s anticoagulant effect. It was shown that identification of CYP4F2 genetic polymorphisms in African- Americans is not necessary, whereas for Europeans it is a prerequisite. At the same time, determining genetic variants of CYP2C rs12777823 is important for African Americans, but it should not be determined for Europeans. Conclusions. Warfarin remains one of the most commonly prescribed anticoagulants in routine clinical practice. Its safety is ensured by individual selection of initial and maintenance doses by use of algorithms based on clinical and genetic factors. The emergence of new data on warfarin pharmacogenetics allows to personalize the drug dosing to the maximum, which ensures the efficacy and safety of anticoagulant therapy.","container-title":"Consilium Medicum","ISSN":"2075-1753","issue":"10","note":"number: 10\npublisher-place: Россия, Москва","page":"74-78","publisher":"ООО «Консилиум медикум»","source":"cyberleninka.ru","title":"ФАРМАКОГЕНЕТИКА ВАРФАРИНА: СОВРЕМЕННОЕ СОСТОЯНИЕ ВОПРОСА. ЛЕКЦИЯ","title-short":"ФАРМАКОГЕНЕТИКА ВАРФАРИНА","volume":"21","author":[{"family":"Алексеевна","given":"Мубаракшина Ольга"},{"family":"Николаевна","given":"Сомова Марина"},{"family":"Александровна","given":"Батищева Галина"}],"issued":{"date-parts":[["2019"]]}}}],"schema":"https://github.com/citation-style-language/schema/raw/master/csl-citation.json"} </w:instrText>
      </w:r>
      <w:r w:rsidR="001B7D40">
        <w:rPr>
          <w:rFonts w:ascii="Times New Roman" w:hAnsi="Times New Roman" w:cs="Times New Roman"/>
          <w:sz w:val="28"/>
          <w:szCs w:val="28"/>
          <w:lang w:val="en-US" w:bidi="ar-SA"/>
        </w:rPr>
        <w:fldChar w:fldCharType="separate"/>
      </w:r>
      <w:r w:rsidR="00171CCC">
        <w:rPr>
          <w:rFonts w:ascii="Times New Roman" w:hAnsi="Times New Roman" w:cs="Times New Roman"/>
          <w:noProof/>
          <w:sz w:val="28"/>
          <w:szCs w:val="28"/>
          <w:lang w:bidi="ar-SA"/>
        </w:rPr>
        <w:t>[69]</w:t>
      </w:r>
      <w:r w:rsidR="001B7D40">
        <w:rPr>
          <w:rFonts w:ascii="Times New Roman" w:hAnsi="Times New Roman" w:cs="Times New Roman"/>
          <w:sz w:val="28"/>
          <w:szCs w:val="28"/>
          <w:lang w:val="en-US" w:bidi="ar-SA"/>
        </w:rPr>
        <w:fldChar w:fldCharType="end"/>
      </w:r>
      <w:r w:rsidR="00A6679F">
        <w:rPr>
          <w:rFonts w:ascii="Times New Roman" w:hAnsi="Times New Roman" w:cs="Times New Roman"/>
          <w:sz w:val="28"/>
          <w:szCs w:val="28"/>
          <w:lang w:bidi="ar-SA"/>
        </w:rPr>
        <w:t>. На фоне терапии образуются частично карбоксилированные формы факторов свертывания (</w:t>
      </w:r>
      <w:r w:rsidR="00A6679F">
        <w:rPr>
          <w:rFonts w:ascii="Times New Roman" w:hAnsi="Times New Roman" w:cs="Times New Roman"/>
          <w:sz w:val="28"/>
          <w:szCs w:val="28"/>
          <w:lang w:val="en-US" w:bidi="ar-SA"/>
        </w:rPr>
        <w:t>PIVKA</w:t>
      </w:r>
      <w:r w:rsidR="00A6679F">
        <w:rPr>
          <w:rFonts w:ascii="Times New Roman" w:hAnsi="Times New Roman" w:cs="Times New Roman"/>
          <w:sz w:val="28"/>
          <w:szCs w:val="28"/>
          <w:lang w:bidi="ar-SA"/>
        </w:rPr>
        <w:t>), утрачивающие способность к кальций-зависимой активации</w:t>
      </w:r>
      <w:r w:rsidR="00A6679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{"citationID":"OOITjwdA","properties":{"unsorted":false,"formattedCitation":"[67,69]","plainCitation":"[67,69]","noteIndex":0},"citationItems":[{"id":313,"uris":["http://zotero.org/users/14784094/items/9WYF6YD8"],"itemData":{"id":313,"type":"article-journal","abstract":"The rising prevalence and the complexity of atrial fibrillation (AF) pose major clinical challenges. Stroke prevention is accompanied by non-negligible risks, making anticoagulant treatment an ongoing challenge for the clinician. Current guidelines recommend direct oral anticoagulants (DOACs) over warfarin for stroke prevention in most AF patients, mainly due to the ease of their use. However, assessing the bleeding risk in patients receiving oral anticoagulants remains—particularly in the case of DOACs—highly challenging. Using dose-adjusted warfarin increases threefold the risk of gastrointestinal bleeding (GIB). Although the overall bleeding risk appears to be lower, the use of DOACs has been associated with an increased risk of GIB compared to warfarin. Accurate bleeding (including GIB-specific) risk scores specific for DOACs remain to be developed. Until then, the assessment of bleeding risk factors remains the only available tool, although the extent to which each of these factors contributes to the risk of bleeding is unknown. In this paper, we aim to provide a comprehensive review of the bleeding risk associated with oral anticoagulant therapy in AF patients, with a highlight on the latest insights into GIB associated with oral anticoagulation; we emphasize questions that remain to be answered; and we identify hotspots for future research.","container-title":"International Journal of Molecular Sciences","DOI":"10.3390/ijms24086879","ISSN":"1422-0067","issue":"8","journalAbbreviation":"Int J Mol Sci","page":"6879","PMID":"37108042","PMCID":"PMC10138869","source":"PubMed Central","title":"Challenges of Anticoagulant Therapy in Atrial Fibrillation—Focus on Gastrointestinal Bleeding","volume":"24","author":[{"family":"Scridon","given":"Alina"},{"family":"Balan","given":"Alkora Ioana"}],"issued":{"date-parts":[["2023",4,7]]}}},{"id":338,"uris":["http://zotero.org/users/14784094/items/W5IYCRXI"],"itemData":{"id":338,"type":"article-journal","abstract":"Aim. To provide a scientific review of current data on pharmacogenetic aspects of antithrombotic therapy with warfarin. Materials and methods. To write this review we conducted searching for domestic and foreign publications in Russian and international search systems (PubMed, eLibrary, etc.) since 2000. Results. In recent years a social and economic relevance of thrombotic complications in patients with cardiovascular diseases is steadily increasing. The major drugs for long-term, in some cases life-long, thromboprophylaxis are oral anticoagulants. Despite the appearance of novel direct acting oral anticoagulants on the pharmaceutical market, vitamin K antagonist warfarin does not lose its position. In a number of clinical situations this drug has no alternative. Disadvantages of warfarin include its narrow therapeutic index and therefore the need for careful continuous laboratory monitoring of the blood coagulation system. An overdose of warfarin can cause serious bleeding complications which develop more often at the beginning of treatment. For this reason, a personalized approach to selecting the initial warfarin dose is of particular importance. When selecting the drug dose along with clinical factors genetic ones are also of great importance. The presence of genetic polymorphisms in genes that control warfarin pharmacokinetics and pharmacodynamics can be decisive. Warfarin dosing algorithms are available, however, new data that are recently emerging, dictate the need for their modification, including taking into account ethnic characteristics of patients. Different ethnic groups have features in a contribution of various genes and genetic polymorphisms to manifestation of warfarin’s anticoagulant effect. It was shown that identification of CYP4F2 genetic polymorphisms in African- Americans is not necessary, whereas for Europeans it is a prerequisite. At the same time, determining genetic variants of CYP2C rs12777823 is important for African Americans, but it should not be determined for Europeans. Conclusions. Warfarin remains one of the most commonly prescribed anticoagulants in routine clinical practice. Its safety is ensured by individual selection of initial and maintenance doses by use of algorithms based on clinical and genetic factors. The emergence of new data on warfarin pharmacogenetics allows to personalize the drug dosing to the maximum, which ensures the efficacy and safety of anticoagulant therapy.","container-title":"Consilium Medicum","ISSN":"2075-1753","issue":"10","note":"number: 10\npublisher-place: Россия, Москва","page":"74-78","publisher":"ООО «Консилиум медикум»","source":"cyberleninka.ru","title":"ФАРМАКОГЕНЕТИКА ВАРФАРИНА: СОВРЕМЕННОЕ СОСТОЯНИЕ ВОПРОСА. ЛЕКЦИЯ","title-short":"ФАРМАКОГЕНЕТИКА ВАРФАРИНА","volume":"21","author":[{"family":"Алексеевна","given":"Мубаракшина Ольга"},{"family":"Николаевна","given":"Сомова Марина"},{"family":"Александровна","given":"Батищева Галина"}],"issued":{"date-parts":[["2019"]]}}}],"schema":"https://github.com/citation-style-language/schema/raw/master/csl-citation.json"} </w:instrText>
      </w:r>
      <w:r w:rsidR="00A6679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[67,69]</w:t>
      </w:r>
      <w:r w:rsidR="00A6679F">
        <w:rPr>
          <w:rFonts w:ascii="Times New Roman" w:hAnsi="Times New Roman" w:cs="Times New Roman"/>
          <w:sz w:val="28"/>
          <w:szCs w:val="28"/>
          <w:lang w:bidi="ar-SA"/>
        </w:rPr>
        <w:fldChar w:fldCharType="end"/>
      </w:r>
      <w:r w:rsidR="00A6679F">
        <w:rPr>
          <w:rFonts w:ascii="Times New Roman" w:hAnsi="Times New Roman" w:cs="Times New Roman"/>
          <w:sz w:val="28"/>
          <w:szCs w:val="28"/>
          <w:lang w:bidi="ar-SA"/>
        </w:rPr>
        <w:t>. Результатом является контролируемая гипокоагуляция. Метаболизм происходит преимущественно в печени посредством гидроксилирования при участии изоферментов цитохрома Р450 (</w:t>
      </w:r>
      <w:r w:rsidR="00A6679F">
        <w:rPr>
          <w:rFonts w:ascii="Times New Roman" w:hAnsi="Times New Roman" w:cs="Times New Roman"/>
          <w:sz w:val="28"/>
          <w:szCs w:val="28"/>
          <w:lang w:val="en-US" w:bidi="ar-SA"/>
        </w:rPr>
        <w:t>CYP</w:t>
      </w:r>
      <w:r w:rsidR="00A6679F" w:rsidRPr="00A6679F">
        <w:rPr>
          <w:rFonts w:ascii="Times New Roman" w:hAnsi="Times New Roman" w:cs="Times New Roman"/>
          <w:sz w:val="28"/>
          <w:szCs w:val="28"/>
          <w:lang w:bidi="ar-SA"/>
        </w:rPr>
        <w:t>2</w:t>
      </w:r>
      <w:r w:rsidR="00A6679F">
        <w:rPr>
          <w:rFonts w:ascii="Times New Roman" w:hAnsi="Times New Roman" w:cs="Times New Roman"/>
          <w:sz w:val="28"/>
          <w:szCs w:val="28"/>
          <w:lang w:val="en-US" w:bidi="ar-SA"/>
        </w:rPr>
        <w:t>C</w:t>
      </w:r>
      <w:r w:rsidR="00A6679F" w:rsidRPr="00A6679F">
        <w:rPr>
          <w:rFonts w:ascii="Times New Roman" w:hAnsi="Times New Roman" w:cs="Times New Roman"/>
          <w:sz w:val="28"/>
          <w:szCs w:val="28"/>
          <w:lang w:bidi="ar-SA"/>
        </w:rPr>
        <w:t xml:space="preserve">9 </w:t>
      </w:r>
      <w:r w:rsidR="00A6679F">
        <w:rPr>
          <w:rFonts w:ascii="Times New Roman" w:hAnsi="Times New Roman" w:cs="Times New Roman"/>
          <w:sz w:val="28"/>
          <w:szCs w:val="28"/>
          <w:lang w:bidi="ar-SA"/>
        </w:rPr>
        <w:t xml:space="preserve">для </w:t>
      </w:r>
      <w:r w:rsidR="00A6679F">
        <w:rPr>
          <w:rFonts w:ascii="Times New Roman" w:hAnsi="Times New Roman" w:cs="Times New Roman"/>
          <w:sz w:val="28"/>
          <w:szCs w:val="28"/>
          <w:lang w:val="en-US" w:bidi="ar-SA"/>
        </w:rPr>
        <w:t>S</w:t>
      </w:r>
      <w:r w:rsidR="00A6679F">
        <w:rPr>
          <w:rFonts w:ascii="Times New Roman" w:hAnsi="Times New Roman" w:cs="Times New Roman"/>
          <w:sz w:val="28"/>
          <w:szCs w:val="28"/>
          <w:lang w:bidi="ar-SA"/>
        </w:rPr>
        <w:t>-энантиомера,</w:t>
      </w:r>
      <w:r w:rsidR="00A6679F" w:rsidRPr="00A6679F">
        <w:rPr>
          <w:rFonts w:ascii="Times New Roman" w:hAnsi="Times New Roman" w:cs="Times New Roman"/>
          <w:sz w:val="28"/>
          <w:szCs w:val="28"/>
          <w:lang w:bidi="ar-SA"/>
        </w:rPr>
        <w:t xml:space="preserve"> </w:t>
      </w:r>
      <w:r w:rsidR="00A6679F">
        <w:rPr>
          <w:rFonts w:ascii="Times New Roman" w:hAnsi="Times New Roman" w:cs="Times New Roman"/>
          <w:sz w:val="28"/>
          <w:szCs w:val="28"/>
          <w:lang w:val="en-US" w:bidi="ar-SA"/>
        </w:rPr>
        <w:t>CYP</w:t>
      </w:r>
      <w:r w:rsidR="00A6679F" w:rsidRPr="00A6679F">
        <w:rPr>
          <w:rFonts w:ascii="Times New Roman" w:hAnsi="Times New Roman" w:cs="Times New Roman"/>
          <w:sz w:val="28"/>
          <w:szCs w:val="28"/>
          <w:lang w:bidi="ar-SA"/>
        </w:rPr>
        <w:t>1</w:t>
      </w:r>
      <w:r w:rsidR="00A6679F">
        <w:rPr>
          <w:rFonts w:ascii="Times New Roman" w:hAnsi="Times New Roman" w:cs="Times New Roman"/>
          <w:sz w:val="28"/>
          <w:szCs w:val="28"/>
          <w:lang w:val="en-US" w:bidi="ar-SA"/>
        </w:rPr>
        <w:t>A</w:t>
      </w:r>
      <w:r w:rsidR="00A6679F" w:rsidRPr="00A6679F">
        <w:rPr>
          <w:rFonts w:ascii="Times New Roman" w:hAnsi="Times New Roman" w:cs="Times New Roman"/>
          <w:sz w:val="28"/>
          <w:szCs w:val="28"/>
          <w:lang w:bidi="ar-SA"/>
        </w:rPr>
        <w:t>1/</w:t>
      </w:r>
      <w:r w:rsidR="00A6679F">
        <w:rPr>
          <w:rFonts w:ascii="Times New Roman" w:hAnsi="Times New Roman" w:cs="Times New Roman"/>
          <w:sz w:val="28"/>
          <w:szCs w:val="28"/>
          <w:lang w:val="en-US" w:bidi="ar-SA"/>
        </w:rPr>
        <w:t>A</w:t>
      </w:r>
      <w:r w:rsidR="00A6679F" w:rsidRPr="00A6679F">
        <w:rPr>
          <w:rFonts w:ascii="Times New Roman" w:hAnsi="Times New Roman" w:cs="Times New Roman"/>
          <w:sz w:val="28"/>
          <w:szCs w:val="28"/>
          <w:lang w:bidi="ar-SA"/>
        </w:rPr>
        <w:t>2/3</w:t>
      </w:r>
      <w:r w:rsidR="00A6679F">
        <w:rPr>
          <w:rFonts w:ascii="Times New Roman" w:hAnsi="Times New Roman" w:cs="Times New Roman"/>
          <w:sz w:val="28"/>
          <w:szCs w:val="28"/>
          <w:lang w:val="en-US" w:bidi="ar-SA"/>
        </w:rPr>
        <w:t>A</w:t>
      </w:r>
      <w:r w:rsidR="00A6679F" w:rsidRPr="00A6679F">
        <w:rPr>
          <w:rFonts w:ascii="Times New Roman" w:hAnsi="Times New Roman" w:cs="Times New Roman"/>
          <w:sz w:val="28"/>
          <w:szCs w:val="28"/>
          <w:lang w:bidi="ar-SA"/>
        </w:rPr>
        <w:t xml:space="preserve">4 </w:t>
      </w:r>
      <w:r w:rsidR="00A6679F">
        <w:rPr>
          <w:rFonts w:ascii="Times New Roman" w:hAnsi="Times New Roman" w:cs="Times New Roman"/>
          <w:sz w:val="28"/>
          <w:szCs w:val="28"/>
          <w:lang w:bidi="ar-SA"/>
        </w:rPr>
        <w:t xml:space="preserve">для </w:t>
      </w:r>
      <w:r w:rsidR="00A6679F">
        <w:rPr>
          <w:rFonts w:ascii="Times New Roman" w:hAnsi="Times New Roman" w:cs="Times New Roman"/>
          <w:sz w:val="28"/>
          <w:szCs w:val="28"/>
          <w:lang w:val="en-US" w:bidi="ar-SA"/>
        </w:rPr>
        <w:t>R</w:t>
      </w:r>
      <w:r w:rsidR="00A6679F">
        <w:rPr>
          <w:rFonts w:ascii="Times New Roman" w:hAnsi="Times New Roman" w:cs="Times New Roman"/>
          <w:sz w:val="28"/>
          <w:szCs w:val="28"/>
          <w:lang w:bidi="ar-SA"/>
        </w:rPr>
        <w:t>-формы) с образованием неактивных метаболитов</w:t>
      </w:r>
      <w:r w:rsidR="00A6679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{"citationID":"JLeSnEQ6","properties":{"unsorted":false,"formattedCitation":"[68]","plainCitation":"[68]","noteIndex":0},"citationItems":[{"id":235,"uris":["http://zotero.org/users/14784094/items/WS6QKF9U"],"itemData":{"id":235,"type":"article-journal","abstract":"Warfarin, a vitamin K antagonist, is currently the most extensively used oral anticoagulant world-wide. It is prescribed for a variety of indications and has undergone extensive clinical study. Still, despite wide usage and considerable accumulated data from clinical trials demonstrating efficacy for a variety of thrombotic and thromboembolic conditions, warfarin is underutilized because its management is complex for both patients and physicians. However, despite these limitations, warfarin can be managed with relative safety, even in an elderly population.","container-title":"Cardiology Clinics","DOI":"10.1016/j.ccl.2007.12.010","ISSN":"0733-8651","issue":"2","journalAbbreviation":"Cardiol Clin","language":"eng","page":"157-167, v","PMID":"18406992","source":"PubMed","title":"Warfarin pharmacology, clinical management, and evaluation of hemorrhagic risk for the elderly","volume":"26","author":[{"family":"Jacobs","given":"Laurie G."}],"issued":{"date-parts":[["2008",5]]}}}],"schema":"https://github.com/citation-style-language/schema/raw/master/csl-citation.json"} </w:instrText>
      </w:r>
      <w:r w:rsidR="00A6679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[68]</w:t>
      </w:r>
      <w:r w:rsidR="00A6679F">
        <w:rPr>
          <w:rFonts w:ascii="Times New Roman" w:hAnsi="Times New Roman" w:cs="Times New Roman"/>
          <w:sz w:val="28"/>
          <w:szCs w:val="28"/>
          <w:lang w:bidi="ar-SA"/>
        </w:rPr>
        <w:fldChar w:fldCharType="end"/>
      </w:r>
      <w:r w:rsidR="00A6679F">
        <w:rPr>
          <w:rFonts w:ascii="Times New Roman" w:hAnsi="Times New Roman" w:cs="Times New Roman"/>
          <w:sz w:val="28"/>
          <w:szCs w:val="28"/>
          <w:lang w:bidi="ar-SA"/>
        </w:rPr>
        <w:t xml:space="preserve">. Варфарин представляет собой рацемическую смесь двух стереоизомеров с различными фармакокинетическими и фармакодинамическими свойствами. </w:t>
      </w:r>
      <w:r w:rsidR="00A6679F">
        <w:rPr>
          <w:rFonts w:ascii="Times New Roman" w:hAnsi="Times New Roman" w:cs="Times New Roman"/>
          <w:sz w:val="28"/>
          <w:szCs w:val="28"/>
          <w:lang w:val="en-US" w:bidi="ar-SA"/>
        </w:rPr>
        <w:t>S</w:t>
      </w:r>
      <w:r w:rsidR="00A6679F" w:rsidRPr="00A6679F">
        <w:rPr>
          <w:rFonts w:ascii="Times New Roman" w:hAnsi="Times New Roman" w:cs="Times New Roman"/>
          <w:sz w:val="28"/>
          <w:szCs w:val="28"/>
          <w:lang w:bidi="ar-SA"/>
        </w:rPr>
        <w:t>-</w:t>
      </w:r>
      <w:r w:rsidR="00A6679F">
        <w:rPr>
          <w:rFonts w:ascii="Times New Roman" w:hAnsi="Times New Roman" w:cs="Times New Roman"/>
          <w:sz w:val="28"/>
          <w:szCs w:val="28"/>
          <w:lang w:bidi="ar-SA"/>
        </w:rPr>
        <w:t xml:space="preserve">энантиомер демонстрирует более выраженную антикоагулянтную активность и почти полностью определяет терапевтический эффект препарата, тогда как </w:t>
      </w:r>
      <w:r w:rsidR="00A6679F">
        <w:rPr>
          <w:rFonts w:ascii="Times New Roman" w:hAnsi="Times New Roman" w:cs="Times New Roman"/>
          <w:sz w:val="28"/>
          <w:szCs w:val="28"/>
          <w:lang w:val="en-US" w:bidi="ar-SA"/>
        </w:rPr>
        <w:t>R</w:t>
      </w:r>
      <w:r w:rsidR="00A6679F" w:rsidRPr="00A6679F">
        <w:rPr>
          <w:rFonts w:ascii="Times New Roman" w:hAnsi="Times New Roman" w:cs="Times New Roman"/>
          <w:sz w:val="28"/>
          <w:szCs w:val="28"/>
          <w:lang w:bidi="ar-SA"/>
        </w:rPr>
        <w:t>-</w:t>
      </w:r>
      <w:r w:rsidR="00A6679F">
        <w:rPr>
          <w:rFonts w:ascii="Times New Roman" w:hAnsi="Times New Roman" w:cs="Times New Roman"/>
          <w:sz w:val="28"/>
          <w:szCs w:val="28"/>
          <w:lang w:bidi="ar-SA"/>
        </w:rPr>
        <w:t>энантиомер обладает значительно меньшей фармакологической активностью</w:t>
      </w:r>
      <w:r w:rsidR="00A6679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{"citationID":"E5pnhAJ6","properties":{"unsorted":false,"formattedCitation":"[72]","plainCitation":"[72]","noteIndex":0},"citationItems":[{"id":705,"uris":["http://zotero.org/users/14784094/items/YWKZIFFK"],"itemData":{"id":705,"type":"article-journal","abstract":"Oral anticoagulants (OAs) are the recommended drugs to prevent cardiovascular events and recurrence in patients with atrial fibrillation (AF) and cardioembolic stroke. We conducted a literature search to review the current state of OAs pharmacogenomics, focusing on Genome Wide Association Studies (GWAs) in patients treated with vitamin K antagonists (VKAs) and direct oral anticoagulants (DOACs).","container-title":"Oncotarget","DOI":"10.18632/oncotarget.25579","ISSN":"1949-2553","issue":"49","journalAbbreviation":"Oncotarget","language":"en","page":"29238-29258","source":"DOI.org (Crossref)","title":"Pharmacogenetic studies with oral anticoagulants. Genome-wide association studies in vitamin K antagonist and direct oral anticoagulants","volume":"9","author":[{"family":"Cullell","given":"Natalia"},{"family":"Carrera","given":"Caty"},{"family":"Muiño","given":"Elena"},{"family":"Torres","given":"Nuria"},{"family":"Krupinski","given":"Jerzy"},{"family":"Fernandez-Cadenas","given":"Israel"}],"issued":{"date-parts":[["2018",6,26]]}}}],"schema":"https://github.com/citation-style-language/schema/raw/master/csl-citation.json"} </w:instrText>
      </w:r>
      <w:r w:rsidR="00A6679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[72]</w:t>
      </w:r>
      <w:r w:rsidR="00A6679F">
        <w:rPr>
          <w:rFonts w:ascii="Times New Roman" w:hAnsi="Times New Roman" w:cs="Times New Roman"/>
          <w:sz w:val="28"/>
          <w:szCs w:val="28"/>
          <w:lang w:bidi="ar-SA"/>
        </w:rPr>
        <w:fldChar w:fldCharType="end"/>
      </w:r>
      <w:r w:rsidR="00A6679F">
        <w:rPr>
          <w:rFonts w:ascii="Times New Roman" w:hAnsi="Times New Roman" w:cs="Times New Roman"/>
          <w:sz w:val="28"/>
          <w:szCs w:val="28"/>
          <w:lang w:bidi="ar-SA"/>
        </w:rPr>
        <w:t xml:space="preserve">. Период полувыведения </w:t>
      </w:r>
      <w:r w:rsidR="00A6679F">
        <w:rPr>
          <w:rFonts w:ascii="Times New Roman" w:hAnsi="Times New Roman" w:cs="Times New Roman"/>
          <w:sz w:val="28"/>
          <w:szCs w:val="28"/>
          <w:lang w:val="en-US" w:bidi="ar-SA"/>
        </w:rPr>
        <w:t>S</w:t>
      </w:r>
      <w:r w:rsidR="00A6679F" w:rsidRPr="00A6679F">
        <w:rPr>
          <w:rFonts w:ascii="Times New Roman" w:hAnsi="Times New Roman" w:cs="Times New Roman"/>
          <w:sz w:val="28"/>
          <w:szCs w:val="28"/>
          <w:lang w:bidi="ar-SA"/>
        </w:rPr>
        <w:t>-</w:t>
      </w:r>
      <w:r w:rsidR="00A6679F">
        <w:rPr>
          <w:rFonts w:ascii="Times New Roman" w:hAnsi="Times New Roman" w:cs="Times New Roman"/>
          <w:sz w:val="28"/>
          <w:szCs w:val="28"/>
          <w:lang w:bidi="ar-SA"/>
        </w:rPr>
        <w:t xml:space="preserve">варфарина варьирует в диапазоне 24-33 часов, в то время как для </w:t>
      </w:r>
      <w:r w:rsidR="00A6679F">
        <w:rPr>
          <w:rFonts w:ascii="Times New Roman" w:hAnsi="Times New Roman" w:cs="Times New Roman"/>
          <w:sz w:val="28"/>
          <w:szCs w:val="28"/>
          <w:lang w:val="en-US" w:bidi="ar-SA"/>
        </w:rPr>
        <w:t>R</w:t>
      </w:r>
      <w:r w:rsidR="00A6679F" w:rsidRPr="00A6679F">
        <w:rPr>
          <w:rFonts w:ascii="Times New Roman" w:hAnsi="Times New Roman" w:cs="Times New Roman"/>
          <w:sz w:val="28"/>
          <w:szCs w:val="28"/>
          <w:lang w:bidi="ar-SA"/>
        </w:rPr>
        <w:t>-</w:t>
      </w:r>
      <w:r w:rsidR="00A6679F">
        <w:rPr>
          <w:rFonts w:ascii="Times New Roman" w:hAnsi="Times New Roman" w:cs="Times New Roman"/>
          <w:sz w:val="28"/>
          <w:szCs w:val="28"/>
          <w:lang w:bidi="ar-SA"/>
        </w:rPr>
        <w:t>энантиомера этот показатель составляет 35-58 часов, что отражает</w:t>
      </w:r>
      <w:r w:rsidR="00C90A9B">
        <w:rPr>
          <w:rFonts w:ascii="Times New Roman" w:hAnsi="Times New Roman" w:cs="Times New Roman"/>
          <w:sz w:val="28"/>
          <w:szCs w:val="28"/>
          <w:lang w:bidi="ar-SA"/>
        </w:rPr>
        <w:t xml:space="preserve"> различия в путях биотрансформации</w:t>
      </w:r>
      <w:r w:rsidR="00C90A9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{"citationID":"K6vyMaPi","properties":{"unsorted":false,"formattedCitation":"[72]","plainCitation":"[72]","noteIndex":0},"citationItems":[{"id":705,"uris":["http://zotero.org/users/14784094/items/YWKZIFFK"],"itemData":{"id":705,"type":"article-journal","abstract":"Oral anticoagulants (OAs) are the recommended drugs to prevent cardiovascular events and recurrence in patients with atrial fibrillation (AF) and cardioembolic stroke. We conducted a literature search to review the current state of OAs pharmacogenomics, focusing on Genome Wide Association Studies (GWAs) in patients treated with vitamin K antagonists (VKAs) and direct oral anticoagulants (DOACs).","container-title":"Oncotarget","DOI":"10.18632/oncotarget.25579","ISSN":"1949-2553","issue":"49","journalAbbreviation":"Oncotarget","language":"en","page":"29238-29258","source":"DOI.org (Crossref)","title":"Pharmacogenetic studies with oral anticoagulants. Genome-wide association studies in vitamin K antagonist and direct oral anticoagulants","volume":"9","author":[{"family":"Cullell","given":"Natalia"},{"family":"Carrera","given":"Caty"},{"family":"Muiño","given":"Elena"},{"family":"Torres","given":"Nuria"},{"family":"Krupinski","given":"Jerzy"},{"family":"Fernandez-Cadenas","given":"Israel"}],"issued":{"date-parts":[["2018",6,26]]}}}],"schema":"https://github.com/citation-style-language/schema/raw/master/csl-citation.json"} </w:instrText>
      </w:r>
      <w:r w:rsidR="00C90A9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[72]</w:t>
      </w:r>
      <w:r w:rsidR="00C90A9B">
        <w:rPr>
          <w:rFonts w:ascii="Times New Roman" w:hAnsi="Times New Roman" w:cs="Times New Roman"/>
          <w:sz w:val="28"/>
          <w:szCs w:val="28"/>
          <w:lang w:bidi="ar-SA"/>
        </w:rPr>
        <w:fldChar w:fldCharType="end"/>
      </w:r>
      <w:r w:rsidR="00C90A9B">
        <w:rPr>
          <w:rFonts w:ascii="Times New Roman" w:hAnsi="Times New Roman" w:cs="Times New Roman"/>
          <w:sz w:val="28"/>
          <w:szCs w:val="28"/>
          <w:lang w:bidi="ar-SA"/>
        </w:rPr>
        <w:t xml:space="preserve">. Ключевым аспектом метаболизма является изофермент-специфичная биотрансформация: </w:t>
      </w:r>
      <w:r w:rsidR="00C90A9B">
        <w:rPr>
          <w:rFonts w:ascii="Times New Roman" w:hAnsi="Times New Roman" w:cs="Times New Roman"/>
          <w:sz w:val="28"/>
          <w:szCs w:val="28"/>
          <w:lang w:val="en-US" w:bidi="ar-SA"/>
        </w:rPr>
        <w:t>S</w:t>
      </w:r>
      <w:r w:rsidR="00C90A9B" w:rsidRPr="00C90A9B">
        <w:rPr>
          <w:rFonts w:ascii="Times New Roman" w:hAnsi="Times New Roman" w:cs="Times New Roman"/>
          <w:sz w:val="28"/>
          <w:szCs w:val="28"/>
          <w:lang w:bidi="ar-SA"/>
        </w:rPr>
        <w:t>-</w:t>
      </w:r>
      <w:r w:rsidR="00C90A9B">
        <w:rPr>
          <w:rFonts w:ascii="Times New Roman" w:hAnsi="Times New Roman" w:cs="Times New Roman"/>
          <w:sz w:val="28"/>
          <w:szCs w:val="28"/>
          <w:lang w:bidi="ar-SA"/>
        </w:rPr>
        <w:t xml:space="preserve">энантиомер преимущественно метаболизируется цитохромом </w:t>
      </w:r>
      <w:r w:rsidR="00C90A9B">
        <w:rPr>
          <w:rFonts w:ascii="Times New Roman" w:hAnsi="Times New Roman" w:cs="Times New Roman"/>
          <w:sz w:val="28"/>
          <w:szCs w:val="28"/>
          <w:lang w:val="en-US" w:bidi="ar-SA"/>
        </w:rPr>
        <w:t>CYP</w:t>
      </w:r>
      <w:r w:rsidR="00C90A9B" w:rsidRPr="00C90A9B">
        <w:rPr>
          <w:rFonts w:ascii="Times New Roman" w:hAnsi="Times New Roman" w:cs="Times New Roman"/>
          <w:sz w:val="28"/>
          <w:szCs w:val="28"/>
          <w:lang w:bidi="ar-SA"/>
        </w:rPr>
        <w:t>2</w:t>
      </w:r>
      <w:r w:rsidR="00C90A9B">
        <w:rPr>
          <w:rFonts w:ascii="Times New Roman" w:hAnsi="Times New Roman" w:cs="Times New Roman"/>
          <w:sz w:val="28"/>
          <w:szCs w:val="28"/>
          <w:lang w:val="en-US" w:bidi="ar-SA"/>
        </w:rPr>
        <w:t>C</w:t>
      </w:r>
      <w:r w:rsidR="00C90A9B" w:rsidRPr="00C90A9B">
        <w:rPr>
          <w:rFonts w:ascii="Times New Roman" w:hAnsi="Times New Roman" w:cs="Times New Roman"/>
          <w:sz w:val="28"/>
          <w:szCs w:val="28"/>
          <w:lang w:bidi="ar-SA"/>
        </w:rPr>
        <w:t xml:space="preserve">9, </w:t>
      </w:r>
      <w:r w:rsidR="00C90A9B">
        <w:rPr>
          <w:rFonts w:ascii="Times New Roman" w:hAnsi="Times New Roman" w:cs="Times New Roman"/>
          <w:sz w:val="28"/>
          <w:szCs w:val="28"/>
          <w:lang w:bidi="ar-SA"/>
        </w:rPr>
        <w:t>который обеспечивает его окислительное превращение в неактивные метаболиты</w:t>
      </w:r>
      <w:r w:rsidR="00C90A9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{"citationID":"0rjHyirh","properties":{"unsorted":false,"formattedCitation":"[73]","plainCitation":"[73]","noteIndex":0},"citationItems":[{"id":360,"uris":["http://zotero.org/users/14784094/items/T6J7L5SS"],"itemData":{"id":360,"type":"article-journal","abstract":"Oral anticoagulant (OAC) therapy is currently gaining special importance due to the significant spread of atrial fibrillation (AF) in the population (especially in older age groups). The use of OAC in AF has an extensive evidence base, which confirms a significant decrease in the number of strokes and total mortality in the context of anticoagulation therapy (ACT) in AF. Currently, the \"gold standard\" of the OAC is warfarin, which has proved effectiveness in all categories of patients with AF. A whole group of new OAC (NOAC) also appeared. In Russia, dabigatran, rivaroxaban and apixaban have been registered. All NOAC were studied in randomized clinical trials (RCTs) in comparison with warfarin, mainly in patients with non-valvular AF, therefore, in valvular AF, as well as in patients with severe renal failure, warfarin remains the drug of choice. Advantages of warfarin in comparison with NOAC are the presence of known antidote and standardized indicator of the efficacy and safety of the anticoagulation therapy International Normalized Ratio (INR), as well as low price of the drug. The leading problem in the treatment of warfarin is the complexity and, at the same time, a strong need to maintain INR within the therapeutic \"window\" of at least 60% of the treatment time. Obviously, the optimal solution to this problem is the possibility of self-testing of this indicator by the patient himself and, probably, the ability to adjust the dosage of warfarin independently, to achieve the necessary values of INR (self-management) or titrate the dose with the help of a medical consultation by phone (self-monitoring). To date, several devices have been developed for self-monitoring of anticoagulation therapy coagulometers. Their use leads to a decrease in the number of thromboembolic complications, and from the results of some RCTs to a decrease in the number of large bleedings and total mortality, and to improve the quality of life of AF patients who need constant anticoagulation therapy. The high economic efficiency of using coagulometers has also been confirmed. Coagulometer CoaguChek (Roche, Switzerland) has the largest evidence base for self-monitoring of INR and its impact on the efficacy and safety of anticoagulation therapy.","container-title":"Рациональная фармакотерапия в кардиологии","ISSN":"1819-6446","issue":"5","note":"number: 5\npublisher-place: Россия, Москва","page":"699-705","publisher":"Общество с ограниченной ответственностью «Силицея-Полиграф»","source":"cyberleninka.ru","title":"Варфарин и его значение в эру новых оральных антикоагулянтов. Вопросы контроля эффективности и безопасности лечения","volume":"13","author":[{"family":"Юрьевич","given":"Марцевич Сергей"},{"family":"Владимировна","given":"Лукина Юлия"}],"issued":{"date-parts":[["2017"]]}}}],"schema":"https://github.com/citation-style-language/schema/raw/master/csl-citation.json"} </w:instrText>
      </w:r>
      <w:r w:rsidR="00C90A9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[73]</w:t>
      </w:r>
      <w:r w:rsidR="00C90A9B">
        <w:rPr>
          <w:rFonts w:ascii="Times New Roman" w:hAnsi="Times New Roman" w:cs="Times New Roman"/>
          <w:sz w:val="28"/>
          <w:szCs w:val="28"/>
          <w:lang w:bidi="ar-SA"/>
        </w:rPr>
        <w:fldChar w:fldCharType="end"/>
      </w:r>
      <w:r w:rsidR="00C90A9B">
        <w:rPr>
          <w:rFonts w:ascii="Times New Roman" w:hAnsi="Times New Roman" w:cs="Times New Roman"/>
          <w:sz w:val="28"/>
          <w:szCs w:val="28"/>
          <w:lang w:bidi="ar-SA"/>
        </w:rPr>
        <w:t xml:space="preserve">. Данный путь метаболизма имеет критическое клиническое значение, поскольку полиморфизмы гена </w:t>
      </w:r>
      <w:r w:rsidR="00C90A9B">
        <w:rPr>
          <w:rFonts w:ascii="Times New Roman" w:hAnsi="Times New Roman" w:cs="Times New Roman"/>
          <w:sz w:val="28"/>
          <w:szCs w:val="28"/>
          <w:lang w:val="en-US" w:bidi="ar-SA"/>
        </w:rPr>
        <w:t>CYP</w:t>
      </w:r>
      <w:r w:rsidR="00C90A9B" w:rsidRPr="00C90A9B">
        <w:rPr>
          <w:rFonts w:ascii="Times New Roman" w:hAnsi="Times New Roman" w:cs="Times New Roman"/>
          <w:sz w:val="28"/>
          <w:szCs w:val="28"/>
          <w:lang w:bidi="ar-SA"/>
        </w:rPr>
        <w:t>2</w:t>
      </w:r>
      <w:r w:rsidR="00C90A9B">
        <w:rPr>
          <w:rFonts w:ascii="Times New Roman" w:hAnsi="Times New Roman" w:cs="Times New Roman"/>
          <w:sz w:val="28"/>
          <w:szCs w:val="28"/>
          <w:lang w:val="en-US" w:bidi="ar-SA"/>
        </w:rPr>
        <w:t>C</w:t>
      </w:r>
      <w:r w:rsidR="00C90A9B" w:rsidRPr="00C90A9B">
        <w:rPr>
          <w:rFonts w:ascii="Times New Roman" w:hAnsi="Times New Roman" w:cs="Times New Roman"/>
          <w:sz w:val="28"/>
          <w:szCs w:val="28"/>
          <w:lang w:bidi="ar-SA"/>
        </w:rPr>
        <w:t>9</w:t>
      </w:r>
      <w:r w:rsidR="00C90A9B">
        <w:rPr>
          <w:rFonts w:ascii="Times New Roman" w:hAnsi="Times New Roman" w:cs="Times New Roman"/>
          <w:sz w:val="28"/>
          <w:szCs w:val="28"/>
          <w:lang w:bidi="ar-SA"/>
        </w:rPr>
        <w:t xml:space="preserve"> (особенно аллели </w:t>
      </w:r>
      <w:r w:rsidR="00C90A9B" w:rsidRPr="00C90A9B">
        <w:rPr>
          <w:rFonts w:ascii="Times New Roman" w:hAnsi="Times New Roman" w:cs="Times New Roman"/>
          <w:sz w:val="28"/>
          <w:szCs w:val="28"/>
          <w:lang w:bidi="ar-SA"/>
        </w:rPr>
        <w:t xml:space="preserve">*2 </w:t>
      </w:r>
      <w:r w:rsidR="00C90A9B">
        <w:rPr>
          <w:rFonts w:ascii="Times New Roman" w:hAnsi="Times New Roman" w:cs="Times New Roman"/>
          <w:sz w:val="28"/>
          <w:szCs w:val="28"/>
          <w:lang w:bidi="ar-SA"/>
        </w:rPr>
        <w:t xml:space="preserve">и </w:t>
      </w:r>
      <w:r w:rsidR="00C90A9B" w:rsidRPr="00C90A9B">
        <w:rPr>
          <w:rFonts w:ascii="Times New Roman" w:hAnsi="Times New Roman" w:cs="Times New Roman"/>
          <w:sz w:val="28"/>
          <w:szCs w:val="28"/>
          <w:lang w:bidi="ar-SA"/>
        </w:rPr>
        <w:t>*</w:t>
      </w:r>
      <w:r w:rsidR="00C90A9B">
        <w:rPr>
          <w:rFonts w:ascii="Times New Roman" w:hAnsi="Times New Roman" w:cs="Times New Roman"/>
          <w:sz w:val="28"/>
          <w:szCs w:val="28"/>
          <w:lang w:bidi="ar-SA"/>
        </w:rPr>
        <w:t>3) существенно снижают активность фермента, требуя коррекции дозы до 50-80% от стандартной для избежания геморрагических осложнений</w:t>
      </w:r>
      <w:r w:rsidR="00C90A9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uNDwsgAg","properties":{"unsorted":false,"formattedCitation":"[74,74,75]","plainCitation":"[74,74,75]","noteIndex":0},"citationItems":[{"id":219,"uris":["http://zotero.org/users/14784094/items/LKTQ8GCM"],"itemData":{"id":219,"type":"article-journal","abstract":"Since the introduction in the 1950s, warfarin has become the commonly used oral anticoagulant for the prevention of thromboembolism in patients with deep vein thrombosis, atrial fibrillation or prosthetic heart valve replacement. Warfarin is highly efficacious; however, achieving the desired anticoagulation is difficult because of its narrow therapeutic window and highly variable dose response among individuals. Bleeding is often associated with overdose of warfarin. There is overwhelming evidence that an individual’s warfarin maintenance is associated with clinical factors and genetic variations, most notably polymorphisms in cytochrome P450 2C9 and vitamin K epoxide reductase subunit 1. Numerous dose-prediction algorithms incorporating both genetic and clinical factors have been developed and tested clinically. However, results from major clinical trials are not available yet. This review aims to provide an overview of the field of warfarin which includes information about the drug, genetics of warfarin dose requirements, dosing algorithms developed and the challenges for the clinical implementation of warfarin pharmacogenetics.","container-title":"Journal of Human Genetics","DOI":"10.1038/jhg.2013.40","ISSN":"1435-232X","issue":"6","journalAbbreviation":"J Hum Genet","language":"en","license":"2013 The Japan Society of Human Genetics","page":"334-338","publisher":"Nature Publishing Group","source":"www.nature.com","title":"Pharmacogenetics of warfarin: challenges and opportunities","title-short":"Pharmacogenetics of warfarin","volume":"58","author":[{"family":"Lee","given":"Ming Ta Michael"},{"family":"Klein","given":"Teri E."}],"issued":{"date-parts":[["2013",6]]}}},{"id":219,"uris":["http://zotero.org/users/14784094/items/LKTQ8GCM"],"itemData":{"id":219,"type":"article-journal","abstract":"Since the introduction in the 1950s, warfarin has become the commonly used oral anticoagulant for the prevention of thromboembolism in patients with deep vein thrombosis, atrial fibrillation or prosthetic heart valve replacement. Warfarin is highly efficacious; however, achieving the desired anticoagulation is difficult because of its narrow therapeutic window and highly variable dose response among individuals. Bleeding is often associated with overdose of warfarin. There is overwhelming evidence that an individual’s warfarin maintenance is associated with clinical factors and genetic variations, most notably polymorphisms in cytochrome P450 2C9 and vitamin K epoxide reductase subunit 1. Numerous dose-prediction algorithms incorporating both genetic and clinical factors have been developed and tested clinically. However, results from major clinical trials are not available yet. This review aims to provide an overview of the field of warfarin which includes information about the drug, genetics of warfarin dose requirements, dosing algorithms developed and the challenges for the clinical implementation of warfarin pharmacogenetics.","container-title":"Journal of Human Genetics","DOI":"10.1038/jhg.2013.40","ISSN":"1435-232X","issue":"6","journalAbbreviation":"J Hum Genet","language":"en","license":"2013 The Japan Society of Human Genetics","page":"334-338","publisher":"Nature Publishing Group","source":"www.nature.com","title":"Pharmacogenetics of warfarin: challenges and opportunities","title-short":"Pharmacogenetics of warfarin","volume":"58","author":[{"family":"Lee","given":"Ming Ta Michael"},{"family":"Klein","given":"Teri E."}],"issued":{"date-parts":[["2013",6]]}}},{"id":224,"uris":["http://zotero.org/users/14784094/items/3SDX2BIV"],"itemData":{"id":224,"type":"article-journal","abstract":"Well-characterized genes that affect warfarin metabolism (cytochrome P450 (CYP) 2C9) and sensitivity (vitamin K epoxide reductase complex 1 (VKORC1)) explain one-third of the variability in therapeutic dose before the international normalized ratio (INR) is measured. To determine genotypic relevance after INR becomes available, we derived clinical and pharmacogenetic refinement algorithms on the basis of INR values (on day 4 or 5 of therapy), clinical factors, and genotype. After adjusting for INR, CYP2C9 and VKORC1 genotypes remained significant predictors (P &lt; 0.001) of warfarin dose. The clinical algorithm had an R2 of 48% (median absolute error (MAE): 7.0 mg/week) and the pharmacogenetic algorithm had an R2 of 63% (MAE: 5.5 mg/week) in the derivation set (N = 969). In independent validation sets, the R2 was 26–43% with the clinical algorithm and 42–58% when genotype was added (P = 0.002). After several days of therapy, a pharmacogenetic algorithm estimates the therapeutic warfarin dose more accurately than one using clinical factors and INR response alone. Clinical Pharmacology &amp; Therapeutics (2010) 87 5, 572–578. doi: 10.1038/clpt.2010.13","container-title":"Clinical Pharmacology &amp; Therapeutics","DOI":"10.1038/clpt.2010.13","ISSN":"1532-6535","issue":"5","language":"en","license":"© 2010 American Society for Clinical Pharmacology and Therapeutics","note":"_eprint: https://onlinelibrary.wiley.com/doi/pdf/10.1038/clpt.2010.13","page":"572-578","source":"Wiley Online Library","title":"Integration of Genetic, Clinical, and INR Data to Refine Warfarin Dosing","volume":"87","author":[{"family":"Lenzini","given":"P"},{"family":"Wadelius","given":"M"},{"family":"Kimmel","given":"S"},{"family":"Anderson","given":"J L"},{"family":"Jorgensen","given":"A L"},{"family":"Pirmohamed","given":"M"},{"family":"Caldwell","given":"M D"},{"family":"Limdi","given":"N"},{"family":"Burmester","given":"J K"},{"family":"Dowd","given":"M B"},{"family":"Angchaisuksiri","given":"P"},{"family":"Bass","given":"A R"},{"family":"Chen","given":"J"},{"family":"Eriksson","given":"N"},{"family":"Rane","given":"A"},{"family":"Lindh","given":"J D"},{"family":"Carlquist","given":"J F"},{"family":"Horne","given":"B D"},{"family":"Grice","given":"G"},{"family":"Milligan","given":"P E"},{"family":"Eby","given":"C"},{"family":"Shin","given":"J"},{"family":"Kim","given":"H"},{"family":"Kurnik","given":"D"},{"family":"Stein","given":"C M"},{"family":"McMillin","given":"G"},{"family":"Pendleton","given":"R C"},{"family":"Berg","given":"R L"},{"family":"Deloukas","given":"P"},{"family":"Gage","given":"B F"}],"issued":{"date-parts":[["2010"]]}}}],"schema":"https://github.com/citation-style-language/schema/raw/master/csl-citation.json"} </w:instrText>
      </w:r>
      <w:r w:rsidR="00C90A9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[74,74,75]</w:t>
      </w:r>
      <w:r w:rsidR="00C90A9B">
        <w:rPr>
          <w:rFonts w:ascii="Times New Roman" w:hAnsi="Times New Roman" w:cs="Times New Roman"/>
          <w:sz w:val="28"/>
          <w:szCs w:val="28"/>
          <w:lang w:bidi="ar-SA"/>
        </w:rPr>
        <w:fldChar w:fldCharType="end"/>
      </w:r>
      <w:r w:rsidR="00C90A9B">
        <w:rPr>
          <w:rFonts w:ascii="Times New Roman" w:hAnsi="Times New Roman" w:cs="Times New Roman"/>
          <w:sz w:val="28"/>
          <w:szCs w:val="28"/>
          <w:lang w:bidi="ar-SA"/>
        </w:rPr>
        <w:t>.</w:t>
      </w:r>
      <w:r w:rsidR="003538B6" w:rsidRPr="003538B6">
        <w:rPr>
          <w:rFonts w:ascii="Times New Roman" w:hAnsi="Times New Roman" w:cs="Times New Roman"/>
          <w:sz w:val="28"/>
          <w:szCs w:val="28"/>
          <w:lang w:bidi="ar-SA"/>
        </w:rPr>
        <w:t xml:space="preserve"> </w:t>
      </w:r>
      <w:r w:rsidR="003538B6">
        <w:rPr>
          <w:rFonts w:ascii="Times New Roman" w:hAnsi="Times New Roman" w:cs="Times New Roman"/>
          <w:sz w:val="28"/>
          <w:szCs w:val="28"/>
          <w:lang w:bidi="ar-SA"/>
        </w:rPr>
        <w:t xml:space="preserve">В отличие от этого, </w:t>
      </w:r>
      <w:r w:rsidR="003538B6">
        <w:rPr>
          <w:rFonts w:ascii="Times New Roman" w:hAnsi="Times New Roman" w:cs="Times New Roman"/>
          <w:sz w:val="28"/>
          <w:szCs w:val="28"/>
          <w:lang w:val="en-US" w:bidi="ar-SA"/>
        </w:rPr>
        <w:t>R</w:t>
      </w:r>
      <w:r w:rsidR="003538B6" w:rsidRPr="003538B6">
        <w:rPr>
          <w:rFonts w:ascii="Times New Roman" w:hAnsi="Times New Roman" w:cs="Times New Roman"/>
          <w:sz w:val="28"/>
          <w:szCs w:val="28"/>
          <w:lang w:bidi="ar-SA"/>
        </w:rPr>
        <w:t>-</w:t>
      </w:r>
      <w:r w:rsidR="003538B6">
        <w:rPr>
          <w:rFonts w:ascii="Times New Roman" w:hAnsi="Times New Roman" w:cs="Times New Roman"/>
          <w:sz w:val="28"/>
          <w:szCs w:val="28"/>
          <w:lang w:bidi="ar-SA"/>
        </w:rPr>
        <w:t xml:space="preserve">энантиомер подвергается биотрансформации через альтернативные изоформы цитохрома Р450, включая </w:t>
      </w:r>
      <w:r w:rsidR="003538B6">
        <w:rPr>
          <w:rFonts w:ascii="Times New Roman" w:hAnsi="Times New Roman" w:cs="Times New Roman"/>
          <w:sz w:val="28"/>
          <w:szCs w:val="28"/>
          <w:lang w:val="en-US" w:bidi="ar-SA"/>
        </w:rPr>
        <w:t>CYP</w:t>
      </w:r>
      <w:r w:rsidR="003538B6" w:rsidRPr="003538B6">
        <w:rPr>
          <w:rFonts w:ascii="Times New Roman" w:hAnsi="Times New Roman" w:cs="Times New Roman"/>
          <w:sz w:val="28"/>
          <w:szCs w:val="28"/>
          <w:lang w:bidi="ar-SA"/>
        </w:rPr>
        <w:t>1</w:t>
      </w:r>
      <w:r w:rsidR="003538B6">
        <w:rPr>
          <w:rFonts w:ascii="Times New Roman" w:hAnsi="Times New Roman" w:cs="Times New Roman"/>
          <w:sz w:val="28"/>
          <w:szCs w:val="28"/>
          <w:lang w:val="en-US" w:bidi="ar-SA"/>
        </w:rPr>
        <w:t>A</w:t>
      </w:r>
      <w:r w:rsidR="003538B6" w:rsidRPr="003538B6">
        <w:rPr>
          <w:rFonts w:ascii="Times New Roman" w:hAnsi="Times New Roman" w:cs="Times New Roman"/>
          <w:sz w:val="28"/>
          <w:szCs w:val="28"/>
          <w:lang w:bidi="ar-SA"/>
        </w:rPr>
        <w:t xml:space="preserve">1, </w:t>
      </w:r>
      <w:r w:rsidR="003538B6">
        <w:rPr>
          <w:rFonts w:ascii="Times New Roman" w:hAnsi="Times New Roman" w:cs="Times New Roman"/>
          <w:sz w:val="28"/>
          <w:szCs w:val="28"/>
          <w:lang w:val="en-US" w:bidi="ar-SA"/>
        </w:rPr>
        <w:t>CYP</w:t>
      </w:r>
      <w:r w:rsidR="003538B6" w:rsidRPr="003538B6">
        <w:rPr>
          <w:rFonts w:ascii="Times New Roman" w:hAnsi="Times New Roman" w:cs="Times New Roman"/>
          <w:sz w:val="28"/>
          <w:szCs w:val="28"/>
          <w:lang w:bidi="ar-SA"/>
        </w:rPr>
        <w:t>1</w:t>
      </w:r>
      <w:r w:rsidR="003538B6">
        <w:rPr>
          <w:rFonts w:ascii="Times New Roman" w:hAnsi="Times New Roman" w:cs="Times New Roman"/>
          <w:sz w:val="28"/>
          <w:szCs w:val="28"/>
          <w:lang w:val="en-US" w:bidi="ar-SA"/>
        </w:rPr>
        <w:t>A</w:t>
      </w:r>
      <w:r w:rsidR="003538B6" w:rsidRPr="003538B6">
        <w:rPr>
          <w:rFonts w:ascii="Times New Roman" w:hAnsi="Times New Roman" w:cs="Times New Roman"/>
          <w:sz w:val="28"/>
          <w:szCs w:val="28"/>
          <w:lang w:bidi="ar-SA"/>
        </w:rPr>
        <w:t xml:space="preserve">2 </w:t>
      </w:r>
      <w:r w:rsidR="003538B6">
        <w:rPr>
          <w:rFonts w:ascii="Times New Roman" w:hAnsi="Times New Roman" w:cs="Times New Roman"/>
          <w:sz w:val="28"/>
          <w:szCs w:val="28"/>
          <w:lang w:bidi="ar-SA"/>
        </w:rPr>
        <w:t xml:space="preserve">и </w:t>
      </w:r>
      <w:r w:rsidR="003538B6">
        <w:rPr>
          <w:rFonts w:ascii="Times New Roman" w:hAnsi="Times New Roman" w:cs="Times New Roman"/>
          <w:sz w:val="28"/>
          <w:szCs w:val="28"/>
          <w:lang w:val="en-US" w:bidi="ar-SA"/>
        </w:rPr>
        <w:t>CYP</w:t>
      </w:r>
      <w:r w:rsidR="003538B6" w:rsidRPr="003538B6">
        <w:rPr>
          <w:rFonts w:ascii="Times New Roman" w:hAnsi="Times New Roman" w:cs="Times New Roman"/>
          <w:sz w:val="28"/>
          <w:szCs w:val="28"/>
          <w:lang w:bidi="ar-SA"/>
        </w:rPr>
        <w:t>3</w:t>
      </w:r>
      <w:r w:rsidR="003538B6">
        <w:rPr>
          <w:rFonts w:ascii="Times New Roman" w:hAnsi="Times New Roman" w:cs="Times New Roman"/>
          <w:sz w:val="28"/>
          <w:szCs w:val="28"/>
          <w:lang w:val="en-US" w:bidi="ar-SA"/>
        </w:rPr>
        <w:t>A</w:t>
      </w:r>
      <w:r w:rsidR="003538B6" w:rsidRPr="003538B6">
        <w:rPr>
          <w:rFonts w:ascii="Times New Roman" w:hAnsi="Times New Roman" w:cs="Times New Roman"/>
          <w:sz w:val="28"/>
          <w:szCs w:val="28"/>
          <w:lang w:bidi="ar-SA"/>
        </w:rPr>
        <w:t>4</w:t>
      </w:r>
      <w:r w:rsidR="003538B6">
        <w:rPr>
          <w:rFonts w:ascii="Times New Roman" w:hAnsi="Times New Roman" w:cs="Times New Roman"/>
          <w:sz w:val="28"/>
          <w:szCs w:val="28"/>
          <w:lang w:bidi="ar-SA"/>
        </w:rPr>
        <w:t>, что подтверждается данными фармакогенетических исследований</w:t>
      </w:r>
      <w:r w:rsidR="00B5069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{"citationID":"kbGq0aRd","properties":{"unsorted":false,"formattedCitation":"[76]","plainCitation":"[76]","noteIndex":0},"citationItems":[{"id":296,"uris":["http://zotero.org/users/14784094/items/S2JL66XT"],"itemData":{"id":296,"type":"article-journal","abstract":"Oral anticoagulants (OAs) are the recommended drugs to prevent cardiovascular events and recurrence in patients with atrial fibrillation (AF) and cardioembolic stroke. We conducted a literature search to review the current state of OAs pharmacogenomics, focusing on Genome Wide Association Studies (GWAs) in patients treated with vitamin K antagonists (VKAs) and direct oral anticoagulants (DOACs)., VKAs: Warfarin, acenocoumarol, fluindione and phenprocoumon have long been used, but their interindividual variability and narrow therapeutic/safety ratio makes their dosage difficult. GWAs have been useful in finding genetic variants associated with VKAs response. The main genes involved in VKAs pharmacogenetics are: VKORC1, CYP2C19 and CYP4F2. Variants in these genes have been included in pharmacogenetic algorithms to predict the VKAs dose individually in each patient depending on their genotype and clinical variables., DOACs: Dabigatran, apixaban, rivaroxaban and edoxaban have been approved for patients with AF. They have stable pharmacokinetics and do not require routine blood checks, thus avoiding most of the drawbacks of VKAs. Except for a GWAs performed in patients treated with dabigatran, there is no Genome Wide pharmacogenomics data for DOACs. Pharmacogenomics could be useful to predict the better clinical response and avoid adverse events in patients treated with anticoagulants, identifying the most appropriate anticoagulant drug for each patient. Current pharmacogenomics data show that the polymorphisms affecting VKAs or DOACs are different, concluding that personalized medicine based on pharmacogenomics could be possible. However, more studies are required to implement personalized medicine in clinical practice with OA and based on pharmacogenetics of DOACs.","container-title":"Oncotarget","DOI":"10.18632/oncotarget.25579","ISSN":"1949-2553","issue":"49","journalAbbreviation":"Oncotarget","page":"29238-29258","PMID":"30018749","PMCID":"PMC6044386","source":"PubMed Central","title":"Pharmacogenetic studies with oral anticoagulants. Genome-wide association studies in vitamin K antagonist and direct oral anticoagulants","volume":"9","author":[{"family":"Cullell","given":"Natalia"},{"family":"Carrera","given":"Caty"},{"family":"Muiño","given":"Elena"},{"family":"Torres","given":"Nuria"},{"family":"Krupinski","given":"Jerzy"},{"family":"Fernandez-Cadenas","given":"Israel"}],"issued":{"date-parts":[["2018",6,26]]}}}],"schema":"https://github.com/citation-style-language/schema/raw/master/csl-citation.json"} </w:instrText>
      </w:r>
      <w:r w:rsidR="00B5069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[76]</w:t>
      </w:r>
      <w:r w:rsidR="00B50691">
        <w:rPr>
          <w:rFonts w:ascii="Times New Roman" w:hAnsi="Times New Roman" w:cs="Times New Roman"/>
          <w:sz w:val="28"/>
          <w:szCs w:val="28"/>
          <w:lang w:bidi="ar-SA"/>
        </w:rPr>
        <w:fldChar w:fldCharType="end"/>
      </w:r>
      <w:r w:rsidR="003538B6">
        <w:rPr>
          <w:rFonts w:ascii="Times New Roman" w:hAnsi="Times New Roman" w:cs="Times New Roman"/>
          <w:sz w:val="28"/>
          <w:szCs w:val="28"/>
          <w:lang w:bidi="ar-SA"/>
        </w:rPr>
        <w:t>. После перорального приема оба энантиомера активно связываются с альбумином плазмы (97-99%), что ограничивает их свободную фракцию и замедляет элиминацию</w:t>
      </w:r>
      <w:r w:rsidR="00B5069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{"citationID":"Z87oi9oT","properties":{"unsorted":false,"formattedCitation":"[77]","plainCitation":"[77]","noteIndex":0},"citationItems":[{"id":341,"uris":["http://zotero.org/users/14784094/items/3BK3FTYF"],"itemData":{"id":341,"type":"article-journal","abstract":"Цель: Изучение взаимосвязи клинических характеристик и особенностей индивидуального подбора варфарина у больных фибрилляцией предсердий.Материалы и методы. У 98 пациентов с сочетанием фибрилляции предсердий и ишемической болезнью сердца анализировались характеристики периода подборы дозы варфарина. Учитывались подобранная терапевтическая доза варфарина в мг, длительность титрации дозы в днях и максимальное значение международного нормализованного отношения (МНО). В качестве клинических характеристик – пол, возраст, перенесенные инфаркты миокарда и инсульты, наличие основных сопутствующих заболеваний, прием амиодарона. Для статистической обработке данных были использованы медиана и квартили.Результаты: В ходе исследования была установлена высокая достоверность различий в длительности подбора дозы антикоагулянта у курящих и некурящих пациентов. Если пациент курит, то М 39,8 (35;44), а если пациент не курит, то М 12 (10;15). Для пациентов с ожирением адекватной оказалась более высокая доза варфарина М 5,1 (4.4;5,7), чем для больных без ожирения М 3,5 (3,1;4,0). А для пациентов, принимающих в качестве антиаритмического средства амиодарон, адекватной оказалась меньшая доза варфарина М 3,1 (2,9;3,4), чем для больных, не принимающих амиодарон М 5,0 (4,4;5,7). Терапевтическая доза варфарина зависела также от наличия или отсутствия инфарктов миокарда в анамнезе. Если у пациента не было инфаркта миокарда М 3,6 (3,2;4,1), а если есть – М 4,3 (3,7;4,9).Выводы:1. При назначении варфарина пациентам с фибрилляцией предсердий необходимо учитывать такие индивидуальные клинические характеристики, как наличие ожирения, инфарктов миокарда в прошлом, курение, сопутствующую терапию.2. У пациентов с сочетанием ИБС и фибрилляции предсердий не установлено существенной зависимости особенностей подбора дозы варфарина от таких клинических характеристик, как пол, возраст, количество сопутствующих заболеваний, наличие желчнокаменной болезни, сахарного диабета II типа, продолжительность аритмии, стойкости фибрилляции предсердий, функционального класса сердечной недостаточности и наличия стенокардии напряжения.","container-title":"Бюллетень медицинских интернет-конференций","issue":"6","note":"number: 6\npublisher-place: Россия, Саратов","page":"952","publisher":"Общество с ограниченной ответственностью «Наука и инновации»","source":"cyberleninka.ru","title":"Особенности подбора дозы варфарина у пациентов с фибрилляцией предсердий в зависимости от клинических факторов","volume":"3","author":[{"family":"Е.л","given":"Долгова"}],"issued":{"date-parts":[["2013"]]}}}],"schema":"https://github.com/citation-style-language/schema/raw/master/csl-citation.json"} </w:instrText>
      </w:r>
      <w:r w:rsidR="00B5069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[77]</w:t>
      </w:r>
      <w:r w:rsidR="00B50691">
        <w:rPr>
          <w:rFonts w:ascii="Times New Roman" w:hAnsi="Times New Roman" w:cs="Times New Roman"/>
          <w:sz w:val="28"/>
          <w:szCs w:val="28"/>
          <w:lang w:bidi="ar-SA"/>
        </w:rPr>
        <w:fldChar w:fldCharType="end"/>
      </w:r>
      <w:r w:rsidR="003538B6">
        <w:rPr>
          <w:rFonts w:ascii="Times New Roman" w:hAnsi="Times New Roman" w:cs="Times New Roman"/>
          <w:sz w:val="28"/>
          <w:szCs w:val="28"/>
          <w:lang w:bidi="ar-SA"/>
        </w:rPr>
        <w:t xml:space="preserve">. Наблюдаемые различия в периодах полувыведения частично объясняются конкурентным связыванием: </w:t>
      </w:r>
      <w:r w:rsidR="003538B6">
        <w:rPr>
          <w:rFonts w:ascii="Times New Roman" w:hAnsi="Times New Roman" w:cs="Times New Roman"/>
          <w:sz w:val="28"/>
          <w:szCs w:val="28"/>
          <w:lang w:val="en-US" w:bidi="ar-SA"/>
        </w:rPr>
        <w:t>S</w:t>
      </w:r>
      <w:r w:rsidR="003538B6" w:rsidRPr="003538B6">
        <w:rPr>
          <w:rFonts w:ascii="Times New Roman" w:hAnsi="Times New Roman" w:cs="Times New Roman"/>
          <w:sz w:val="28"/>
          <w:szCs w:val="28"/>
          <w:lang w:bidi="ar-SA"/>
        </w:rPr>
        <w:t>-</w:t>
      </w:r>
      <w:r w:rsidR="003538B6">
        <w:rPr>
          <w:rFonts w:ascii="Times New Roman" w:hAnsi="Times New Roman" w:cs="Times New Roman"/>
          <w:sz w:val="28"/>
          <w:szCs w:val="28"/>
          <w:lang w:bidi="ar-SA"/>
        </w:rPr>
        <w:t>варфарин имеет более высокую аффинность к альбумину, но быстрее высвобождается для последующего метаболизма в гепатоцитах</w:t>
      </w:r>
      <w:r w:rsidR="00B5069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{"citationID":"iG5v0Oq1","properties":{"unsorted":false,"formattedCitation":"[74]","plainCitation":"[74]","noteIndex":0},"citationItems":[{"id":219,"uris":["http://zotero.org/users/14784094/items/LKTQ8GCM"],"itemData":{"id":219,"type":"article-journal","abstract":"Since the introduction in the 1950s, warfarin has become the commonly used oral anticoagulant for the prevention of thromboembolism in patients with deep vein thrombosis, atrial fibrillation or prosthetic heart valve replacement. Warfarin is highly efficacious; however, achieving the desired anticoagulation is difficult because of its narrow therapeutic window and highly variable dose response among individuals. Bleeding is often associated with overdose of warfarin. There is overwhelming evidence that an individual’s warfarin maintenance is associated with clinical factors and genetic variations, most notably polymorphisms in cytochrome P450 2C9 and vitamin K epoxide reductase subunit 1. Numerous dose-prediction algorithms incorporating both genetic and clinical factors have been developed and tested clinically. However, results from major clinical trials are not available yet. This review aims to provide an overview of the field of warfarin which includes information about the drug, genetics of warfarin dose requirements, dosing algorithms developed and the challenges for the clinical implementation of warfarin pharmacogenetics.","container-title":"Journal of Human Genetics","DOI":"10.1038/jhg.2013.40","ISSN":"1435-232X","issue":"6","journalAbbreviation":"J Hum Genet","language":"en","license":"2013 The Japan Society of Human Genetics","page":"334-338","publisher":"Nature Publishing Group","source":"www.nature.com","title":"Pharmacogenetics of warfarin: challenges and opportunities","title-short":"Pharmacogenetics of warfarin","volume":"58","author":[{"family":"Lee","given":"Ming Ta Michael"},{"family":"Klein","given":"Teri E."}],"issued":{"date-parts":[["2013",6]]}}}],"schema":"https://github.com/citation-style-language/schema/raw/master/csl-citation.json"} </w:instrText>
      </w:r>
      <w:r w:rsidR="00B5069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[74]</w:t>
      </w:r>
      <w:r w:rsidR="00B50691">
        <w:rPr>
          <w:rFonts w:ascii="Times New Roman" w:hAnsi="Times New Roman" w:cs="Times New Roman"/>
          <w:sz w:val="28"/>
          <w:szCs w:val="28"/>
          <w:lang w:bidi="ar-SA"/>
        </w:rPr>
        <w:fldChar w:fldCharType="end"/>
      </w:r>
      <w:r w:rsidR="003538B6">
        <w:rPr>
          <w:rFonts w:ascii="Times New Roman" w:hAnsi="Times New Roman" w:cs="Times New Roman"/>
          <w:sz w:val="28"/>
          <w:szCs w:val="28"/>
          <w:lang w:bidi="ar-SA"/>
        </w:rPr>
        <w:t xml:space="preserve">. Клинически это проявляется в необходимости индивидуального дозирования с учетом полиморфизмов </w:t>
      </w:r>
      <w:r w:rsidR="003538B6">
        <w:rPr>
          <w:rFonts w:ascii="Times New Roman" w:hAnsi="Times New Roman" w:cs="Times New Roman"/>
          <w:sz w:val="28"/>
          <w:szCs w:val="28"/>
          <w:lang w:val="en-US" w:bidi="ar-SA"/>
        </w:rPr>
        <w:t>CYP</w:t>
      </w:r>
      <w:r w:rsidR="003538B6" w:rsidRPr="003538B6">
        <w:rPr>
          <w:rFonts w:ascii="Times New Roman" w:hAnsi="Times New Roman" w:cs="Times New Roman"/>
          <w:sz w:val="28"/>
          <w:szCs w:val="28"/>
          <w:lang w:bidi="ar-SA"/>
        </w:rPr>
        <w:t>2</w:t>
      </w:r>
      <w:r w:rsidR="003538B6">
        <w:rPr>
          <w:rFonts w:ascii="Times New Roman" w:hAnsi="Times New Roman" w:cs="Times New Roman"/>
          <w:sz w:val="28"/>
          <w:szCs w:val="28"/>
          <w:lang w:val="en-US" w:bidi="ar-SA"/>
        </w:rPr>
        <w:t>C</w:t>
      </w:r>
      <w:r w:rsidR="003538B6" w:rsidRPr="003538B6">
        <w:rPr>
          <w:rFonts w:ascii="Times New Roman" w:hAnsi="Times New Roman" w:cs="Times New Roman"/>
          <w:sz w:val="28"/>
          <w:szCs w:val="28"/>
          <w:lang w:bidi="ar-SA"/>
        </w:rPr>
        <w:t xml:space="preserve">9 </w:t>
      </w:r>
      <w:r w:rsidR="003538B6">
        <w:rPr>
          <w:rFonts w:ascii="Times New Roman" w:hAnsi="Times New Roman" w:cs="Times New Roman"/>
          <w:sz w:val="28"/>
          <w:szCs w:val="28"/>
          <w:lang w:bidi="ar-SA"/>
        </w:rPr>
        <w:t xml:space="preserve">и </w:t>
      </w:r>
      <w:r w:rsidR="003538B6">
        <w:rPr>
          <w:rFonts w:ascii="Times New Roman" w:hAnsi="Times New Roman" w:cs="Times New Roman"/>
          <w:sz w:val="28"/>
          <w:szCs w:val="28"/>
          <w:lang w:val="en-US" w:bidi="ar-SA"/>
        </w:rPr>
        <w:t>VKORC</w:t>
      </w:r>
      <w:r w:rsidR="003538B6" w:rsidRPr="003538B6">
        <w:rPr>
          <w:rFonts w:ascii="Times New Roman" w:hAnsi="Times New Roman" w:cs="Times New Roman"/>
          <w:sz w:val="28"/>
          <w:szCs w:val="28"/>
          <w:lang w:bidi="ar-SA"/>
        </w:rPr>
        <w:t>1</w:t>
      </w:r>
      <w:r w:rsidR="003538B6">
        <w:rPr>
          <w:rFonts w:ascii="Times New Roman" w:hAnsi="Times New Roman" w:cs="Times New Roman"/>
          <w:sz w:val="28"/>
          <w:szCs w:val="28"/>
          <w:lang w:bidi="ar-SA"/>
        </w:rPr>
        <w:t>, которые совместно объясняют до 50% вариабельности дозопотребности</w:t>
      </w:r>
      <w:r w:rsidR="00B50691">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{"citationID":"ht2KBN2e","properties":{"unsorted":false,"formattedCitation":"[78,79]","plainCitation":"[78,79]","noteIndex":0},"citationItems":[{"id":218,"uris":["http://zotero.org/users/14784094/items/BPSMPHGQ"],"itemData":{"id":218,"type":"article-journal","abstract":"Warfarin is a widely used anticoagulant with a narrow therapeutic index and large interpatient variability in the dose required to achieve target anticoagulation. Common genetic variants in the cytochrome P450-2C9 (CYP2C9) and vitamin K-epoxide reductase complex (VKORC1) enzymes, in addition to known nongenetic factors, account for ~50% of warfarin dose variability. The purpose of this article is to assist in the interpretation and use of CYP2C9 and VKORC1 genotype data for estimating therapeutic warfarin dose to achieve an INR of 2-3, should genotype results be available to the clinician. The Clinical Pharmacogenetics Implementation Consortium (CPIC) of the National Institutes of Health Pharmacogenomics Research Network develops peer-reviewed gene-drug guidelines that are published and updated periodically on http://www.pharmgkb.org based on new developments in the field.(1).","container-title":"Clinical Pharmacology and Therapeutics","DOI":"10.1038/clpt.2011.185","ISSN":"1532-6535","issue":"4","journalAbbreviation":"Clin Pharmacol Ther","language":"eng","page":"625-629","PMID":"21900891","PMCID":"PMC3187550","source":"PubMed","title":"Clinical Pharmacogenetics Implementation Consortium Guidelines for CYP2C9 and VKORC1 genotypes and warfarin dosing","volume":"90","author":[{"family":"Johnson","given":"J. A."},{"family":"Gong","given":"L."},{"family":"Whirl-Carrillo","given":"M."},{"family":"Gage","given":"B. F."},{"family":"Scott","given":"S. A."},{"family":"Stein","given":"C. M."},{"family":"Anderson","given":"J. L."},{"family":"Kimmel","given":"S. E."},{"family":"Lee","given":"M. T. M."},{"family":"Pirmohamed","given":"M."},{"family":"Wadelius","given":"M."},{"family":"Klein","given":"T. E."},{"family":"Altman","given":"R. B."},{"literal":"Clinical Pharmacogenetics Implementation Consortium"}],"issued":{"date-parts":[["2011",10]]}}},{"id":217,"uris":["http://zotero.org/users/14784094/items/TST6I92N"],"itemData":{"id":217,"type":"article-journal","container-title":"Journal of Vascular Nursing: Official Publication of the Society for Peripheral Vascular Nursing","DOI":"10.1016/j.jvn.2009.09.001","ISSN":"1532-6578","issue":"4","journalAbbreviation":"J Vasc Nurs","language":"eng","page":"109","PMID":"19914573","source":"PubMed","title":"Review of an Article: The international Warfarin Pharmacogenetics Consortium (2009). Estimation of the warfarin dose with clinical and pharmacogenetic data. NEJM 360 (8): 753-64","title-short":"Review of an Article","volume":"27","author":[{"family":"Nunnelee","given":"Janice D."}],"issued":{"date-parts":[["2009",12]]}}}],"schema":"https://github.com/citation-style-language/schema/raw/master/csl-citation.json"} </w:instrText>
      </w:r>
      <w:r w:rsidR="00B50691">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[78,79]</w:t>
      </w:r>
      <w:r w:rsidR="00B50691">
        <w:rPr>
          <w:rFonts w:ascii="Times New Roman" w:hAnsi="Times New Roman" w:cs="Times New Roman"/>
          <w:sz w:val="28"/>
          <w:szCs w:val="28"/>
          <w:lang w:bidi="ar-SA"/>
        </w:rPr>
        <w:fldChar w:fldCharType="end"/>
      </w:r>
      <w:r w:rsidR="003538B6">
        <w:rPr>
          <w:rFonts w:ascii="Times New Roman" w:hAnsi="Times New Roman" w:cs="Times New Roman"/>
          <w:sz w:val="28"/>
          <w:szCs w:val="28"/>
          <w:lang w:bidi="ar-SA"/>
        </w:rPr>
        <w:t xml:space="preserve">. </w:t>
      </w:r>
      <w:r w:rsidR="00B50691">
        <w:rPr>
          <w:rFonts w:ascii="Times New Roman" w:hAnsi="Times New Roman" w:cs="Times New Roman"/>
          <w:sz w:val="28"/>
          <w:szCs w:val="28"/>
          <w:lang w:bidi="ar-SA"/>
        </w:rPr>
        <w:t>Метаболизм и дозировка варфарина зависят от комплекса клинических, экологических и генетических факторов. К числу ключевых негенетических</w:t>
      </w:r>
      <w:r w:rsidR="00DF6E2F">
        <w:rPr>
          <w:rFonts w:ascii="Times New Roman" w:hAnsi="Times New Roman" w:cs="Times New Roman"/>
          <w:sz w:val="28"/>
          <w:szCs w:val="28"/>
          <w:lang w:bidi="ar-SA"/>
        </w:rPr>
        <w:t xml:space="preserve"> детерминант относятся: демографические параметры: раса (этническая принадлежность), возраст, пол и антропометрические показатели (масса тела, площадь поверхности тела - </w:t>
      </w:r>
      <w:r w:rsidR="00DF6E2F">
        <w:rPr>
          <w:rFonts w:ascii="Times New Roman" w:hAnsi="Times New Roman" w:cs="Times New Roman"/>
          <w:sz w:val="28"/>
          <w:szCs w:val="28"/>
          <w:lang w:val="en-US" w:bidi="ar-SA"/>
        </w:rPr>
        <w:t>BSA</w:t>
      </w:r>
      <w:r w:rsidR="00DF6E2F">
        <w:rPr>
          <w:rFonts w:ascii="Times New Roman" w:hAnsi="Times New Roman" w:cs="Times New Roman"/>
          <w:sz w:val="28"/>
          <w:szCs w:val="28"/>
          <w:lang w:bidi="ar-SA"/>
        </w:rPr>
        <w:t>)</w:t>
      </w:r>
      <w:r w:rsidR="00DF6E2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qwfWtWCY","properties":{"unsorted":false,"formattedCitation":"[77,80,81]","plainCitation":"[77,80,81]","noteIndex":0},"citationItems":[{"id":341,"uris":["http://zotero.org/users/14784094/items/3BK3FTYF"],"itemData":{"id":341,"type":"article-journal","abstract":"Цель: Изучение взаимосвязи клинических характеристик и особенностей индивидуального подбора варфарина у больных фибрилляцией предсердий.Материалы и методы. У 98 пациентов с сочетанием фибрилляции предсердий и ишемической болезнью сердца анализировались характеристики периода подборы дозы варфарина. Учитывались подобранная терапевтическая доза варфарина в мг, длительность титрации дозы в днях и максимальное значение международного нормализованного отношения (МНО). В качестве клинических характеристик – пол, возраст, перенесенные инфаркты миокарда и инсульты, наличие основных сопутствующих заболеваний, прием амиодарона. Для статистической обработке данных были использованы медиана и квартили.Результаты: В ходе исследования была установлена высокая достоверность различий в длительности подбора дозы антикоагулянта у курящих и некурящих пациентов. Если пациент курит, то М 39,8 (35;44), а если пациент не курит, то М 12 (10;15). Для пациентов с ожирением адекватной оказалась более высокая доза варфарина М 5,1 (4.4;5,7), чем для больных без ожирения М 3,5 (3,1;4,0). А для пациентов, принимающих в качестве антиаритмического средства амиодарон, адекватной оказалась меньшая доза варфарина М 3,1 (2,9;3,4), чем для больных, не принимающих амиодарон М 5,0 (4,4;5,7). Терапевтическая доза варфарина зависела также от наличия или отсутствия инфарктов миокарда в анамнезе. Если у пациента не было инфаркта миокарда М 3,6 (3,2;4,1), а если есть – М 4,3 (3,7;4,9).Выводы:1. При назначении варфарина пациентам с фибрилляцией предсердий необходимо учитывать такие индивидуальные клинические характеристики, как наличие ожирения, инфарктов миокарда в прошлом, курение, сопутствующую терапию.2. У пациентов с сочетанием ИБС и фибрилляции предсердий не установлено существенной зависимости особенностей подбора дозы варфарина от таких клинических характеристик, как пол, возраст, количество сопутствующих заболеваний, наличие желчнокаменной болезни, сахарного диабета II типа, продолжительность аритмии, стойкости фибрилляции предсердий, функционального класса сердечной недостаточности и наличия стенокардии напряжения.","container-title":"Бюллетень медицинских интернет-конференций","issue":"6","note":"number: 6\npublisher-place: Россия, Саратов","page":"952","publisher":"Общество с ограниченной ответственностью «Наука и инновации»","source":"cyberleninka.ru","title":"Особенности подбора дозы варфарина у пациентов с фибрилляцией предсердий в зависимости от клинических факторов","volume":"3","author":[{"family":"Е.л","given":"Долгова"}],"issued":{"date-parts":[["2013"]]}}},{"id":337,"uris":["http://zotero.org/users/14784094/items/UVIMJ2XK"],"itemData":{"id":337,"type":"article-journal","abstract":"Atrial fibrillation is the most common cardiac source of systemic emboli and car-dioembolic stroke. Anticoagulants are recommended for preventing stroke in patients with non-valvular atrial fibrillation. Warfarin reduces the risk of stroke in patients with AF by approximately two-thirds. New oral anticoagulants are becoming more common in recent years. Despite this, a number of clinical situations remain where the only possible anticoagulant is warfarin.","container-title":"Атеротромбоз","ISSN":"2307-1109","issue":"1","note":"number: 1\npublisher-place: Россия, Москва","page":"50-58","publisher":"Общество с ограниченной ответственностью «ГРУППА РЕМЕДИУМ»","source":"cyberleninka.ru","title":"Варфарин: место в современной антикоагулянтной терапии","title-short":"Варфарин","author":[{"family":"Н.а","given":"Новикова"},{"family":"А.н","given":"Воловченко"}],"issued":{"date-parts":[["2016"]]}}},{"id":335,"uris":["http://zotero.org/users/14784094/items/72HVP3FU"],"itemData":{"id":335,"type":"article-journal","abstract":"Warfarin is widely used for the prevention of thrombosis and embolism, thrombosis of veins and peripheral arteries, pulmonary embolism, coronary heart disease, chronic atrial fibrillation, prosthetic heart valves and blood vessels. The severity of its anticoagulant action depends on non - genetic and genetic factors. In clinical practice is gradually becoming the methodology of personalized medicine, which implies the choice of safe doses tailored to the individual pharmacokinetics characteristics of patient, consisting in the carriage of allelic variants cytochrome P450 and vitamin-K-epoxide reductase, with a wide variability in the catalytic activity.","container-title":"Медицинские новости","ISSN":"2076-4812","issue":"1 (304)","note":"number: 1 (304)\npublisher-place: Республика Беларусь, Минск","page":"48-53","publisher":"Частное издательское унитарное предприятие «ЮпокомИнфоМед»","source":"cyberleninka.ru","title":"ОПТИМИЗАЦИЯ ФАРМАКОТЕРАПИИ ВАРФАРИНОМ: ПРОБЛЕМЫ И РЕШЕНИЯ","title-short":"ОПТИМИЗАЦИЯ ФАРМАКОТЕРАПИИ ВАРФАРИНОМ","author":[{"family":"О.н","given":"Басалай"},{"family":"М.и","given":"Бушма"},{"family":"О.а","given":"Борисенок"},{"family":"А.ю","given":"Радковец"}],"issued":{"date-parts":[["2020"]]}}}],"schema":"https://github.com/citation-style-language/schema/raw/master/csl-citation.json"} </w:instrText>
      </w:r>
      <w:r w:rsidR="00DF6E2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[77,80,81]</w:t>
      </w:r>
      <w:r w:rsidR="00DF6E2F">
        <w:rPr>
          <w:rFonts w:ascii="Times New Roman" w:hAnsi="Times New Roman" w:cs="Times New Roman"/>
          <w:sz w:val="28"/>
          <w:szCs w:val="28"/>
          <w:lang w:bidi="ar-SA"/>
        </w:rPr>
        <w:fldChar w:fldCharType="end"/>
      </w:r>
      <w:r w:rsidR="00DF6E2F" w:rsidRPr="00DF6E2F">
        <w:rPr>
          <w:rFonts w:ascii="Times New Roman" w:hAnsi="Times New Roman" w:cs="Times New Roman"/>
          <w:sz w:val="28"/>
          <w:szCs w:val="28"/>
          <w:lang w:bidi="ar-SA"/>
        </w:rPr>
        <w:t xml:space="preserve">. </w:t>
      </w:r>
      <w:r w:rsidR="00DF6E2F">
        <w:rPr>
          <w:rFonts w:ascii="Times New Roman" w:hAnsi="Times New Roman" w:cs="Times New Roman"/>
          <w:sz w:val="28"/>
          <w:szCs w:val="28"/>
          <w:lang w:bidi="ar-SA"/>
        </w:rPr>
        <w:t>Например, суточная доза варьирует в зависимости от этнической группы: у пациентов азиатского происхождения она составляет около 3 мг, у европеоидов – приблизительно 5 мг, а у африканцев – до 6,5мг; экзогенные воздействия: курение (влияет на активность ферментов цитохрома Р450); коморбидность: почечная недостаточность, заболевания печени (нарушают метаболизм варфарина), а также синдромы мальабсорбции, влияющие на всасывание витамина К</w:t>
      </w:r>
      <w:r w:rsidR="00DF6E2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{"citationID":"O8UyspEm","properties":{"unsorted":false,"formattedCitation":"[77]","plainCitation":"[77]","noteIndex":0},"citationItems":[{"id":341,"uris":["http://zotero.org/users/14784094/items/3BK3FTYF"],"itemData":{"id":341,"type":"article-journal","abstract":"Цель: Изучение взаимосвязи клинических характеристик и особенностей индивидуального подбора варфарина у больных фибрилляцией предсердий.Материалы и методы. У 98 пациентов с сочетанием фибрилляции предсердий и ишемической болезнью сердца анализировались характеристики периода подборы дозы варфарина. Учитывались подобранная терапевтическая доза варфарина в мг, длительность титрации дозы в днях и максимальное значение международного нормализованного отношения (МНО). В качестве клинических характеристик – пол, возраст, перенесенные инфаркты миокарда и инсульты, наличие основных сопутствующих заболеваний, прием амиодарона. Для статистической обработке данных были использованы медиана и квартили.Результаты: В ходе исследования была установлена высокая достоверность различий в длительности подбора дозы антикоагулянта у курящих и некурящих пациентов. Если пациент курит, то М 39,8 (35;44), а если пациент не курит, то М 12 (10;15). Для пациентов с ожирением адекватной оказалась более высокая доза варфарина М 5,1 (4.4;5,7), чем для больных без ожирения М 3,5 (3,1;4,0). А для пациентов, принимающих в качестве антиаритмического средства амиодарон, адекватной оказалась меньшая доза варфарина М 3,1 (2,9;3,4), чем для больных, не принимающих амиодарон М 5,0 (4,4;5,7). Терапевтическая доза варфарина зависела также от наличия или отсутствия инфарктов миокарда в анамнезе. Если у пациента не было инфаркта миокарда М 3,6 (3,2;4,1), а если есть – М 4,3 (3,7;4,9).Выводы:1. При назначении варфарина пациентам с фибрилляцией предсердий необходимо учитывать такие индивидуальные клинические характеристики, как наличие ожирения, инфарктов миокарда в прошлом, курение, сопутствующую терапию.2. У пациентов с сочетанием ИБС и фибрилляции предсердий не установлено существенной зависимости особенностей подбора дозы варфарина от таких клинических характеристик, как пол, возраст, количество сопутствующих заболеваний, наличие желчнокаменной болезни, сахарного диабета II типа, продолжительность аритмии, стойкости фибрилляции предсердий, функционального класса сердечной недостаточности и наличия стенокардии напряжения.","container-title":"Бюллетень медицинских интернет-конференций","issue":"6","note":"number: 6\npublisher-place: Россия, Саратов","page":"952","publisher":"Общество с ограниченной ответственностью «Наука и инновации»","source":"cyberleninka.ru","title":"Особенности подбора дозы варфарина у пациентов с фибрилляцией предсердий в зависимости от клинических факторов","volume":"3","author":[{"family":"Е.л","given":"Долгова"}],"issued":{"date-parts":[["2013"]]}}}],"schema":"https://github.com/citation-style-language/schema/raw/master/csl-citation.json"} </w:instrText>
      </w:r>
      <w:r w:rsidR="00DF6E2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[77]</w:t>
      </w:r>
      <w:r w:rsidR="00DF6E2F">
        <w:rPr>
          <w:rFonts w:ascii="Times New Roman" w:hAnsi="Times New Roman" w:cs="Times New Roman"/>
          <w:sz w:val="28"/>
          <w:szCs w:val="28"/>
          <w:lang w:bidi="ar-SA"/>
        </w:rPr>
        <w:fldChar w:fldCharType="end"/>
      </w:r>
      <w:r w:rsidR="00DF6E2F">
        <w:rPr>
          <w:rFonts w:ascii="Times New Roman" w:hAnsi="Times New Roman" w:cs="Times New Roman"/>
          <w:sz w:val="28"/>
          <w:szCs w:val="28"/>
          <w:lang w:bidi="ar-SA"/>
        </w:rPr>
        <w:t xml:space="preserve">. Варфарин характеризуется сложным профилем лекарственных взаимодействий, которые требуют особого внимания при назначении </w:t>
      </w:r>
      <w:r w:rsidR="001C1B2B">
        <w:rPr>
          <w:rFonts w:ascii="Times New Roman" w:hAnsi="Times New Roman" w:cs="Times New Roman"/>
          <w:sz w:val="28"/>
          <w:szCs w:val="28"/>
          <w:lang w:bidi="ar-SA"/>
        </w:rPr>
        <w:t>терапии. На данный момент идентифицировано порядка 200 клинически значимых взаимодействий варфарина с другими лекарственными средствами и пищевыми продуктами, причем около 120 из них относятся к категории высокозначимых фармакокинетических и фармакодинамических взаимодействий</w:t>
      </w:r>
      <w:r w:rsidR="001C1B2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788usYK4","properties":{"unsorted":false,"formattedCitation":"[82\\uc0\\u8211{}84]","plainCitation":"[82–84]","noteIndex":0},"citationItems":[{"id":229,"uris":["http://zotero.org/users/14784094/items/ZUAJMWJZ"],"itemData":{"id":229,"type":"article-journal","abstract":"Despite its shortcomings, warfarin is still the most commonly prescribed anticoagulant to prevent thromboembolism in children. In adults, numerous studies confirmed the robust relationship between warfarin maintenance doses and single nucleotide polymorphisms of cytochrome P450 2C9 (CYP2C9), vitamin K epoxide reductase (VKORC1), and cytochrome P450 4F2 (CYP4F2). However, their effect in children still remains to be determined. The primary objective of the present systematic review and meta-analysis is to assess the effect of genotypes of CYP2C9, VKORC1, and CYP4F2 on warfarin maintenance dose in children.","container-title":"Systematic Reviews","DOI":"10.1186/s13643-016-0280-y","ISSN":"2046-4053","issue":"1","journalAbbreviation":"Systematic Reviews","page":"105","source":"BioMed Central","title":"Effect of CYP2C9, VKORC1, and CYP4F2 polymorphisms on warfarin maintenance dose in children aged less than 18 years: a protocol for systematic review and meta-analysis","title-short":"Effect of CYP2C9, VKORC1, and CYP4F2 polymorphisms on warfarin maintenance dose in children aged less than 18 years","volume":"5","author":[{"family":"Takeuchi","given":"Masanobu"},{"family":"Kobayashi","given":"Tohru"},{"family":"Brandão","given":"Leonardo R."},{"family":"Ito","given":"Shinya"}],"issued":{"date-parts":[["2016",6,23]]}}},{"id":302,"uris":["http://zotero.org/users/14784094/items/BQNRUXCN"],"itemData":{"id":302,"type":"article-journal","abstract":"Objectives\nTo verify the accuracy of the International Warfarin Pharmacogenetics Consortium (IWPC) algorithm, identify the effects of genetic and clinical factors on warfarin stable dose, and to establish a new warfarin stable dose prediction algorithm for the elderly Han-Chinese population under the guidance of pharmacogenetics.\n\nMethods\nAccording to the inclusion criteria, 544 non-valvular atrial fibrillation patients taking warfarin for anticoagulation treatment were enrolled. Data information of three groups including the whole population, people under 65 years old and over 65 years old were substituted into the IWPC algorithm respectively to verify its accuracy. The basic data and clinical information of 360 elderly people were collected for statistical analysis and the genotypes of VKORC1-G1639A and CYP2C9 were detected by Sanger sequencing. The new algorithm of the elder pharmacogenetics warfarin dosing was obtained by stepwise multiple regression. The determination coefficient (R2), root mean squared error (RMSE), and the proportion of the predicted value within the true value range of ±20%(20%-p) were used to evaluate the accuracy of the IWPC algorithm and the new algorithm.\n\nResults\nAmong the three different age groups, the warfarin stable dose predictive accuracy of IWPC algorithm was the lowest in the elderly patients above 65-year-old. In this study, the important factors influencing the stable dose of warfarin in the elderly Han-Chinese were height, weight, body surface area, serum creatinine level, amiodarone usage, CYP2C9 (*1*2, *1*3), and VKORC1 (GG/GA) genotypes. By means of stepwise multiple regression analysis, we established a new elder warfarin dosing algorithm (R2=0.3714) containing height, creatinine, amiodarone usage, CYP2C9 (*1*2 or *1*3), and VKORC1 (GA or GG) genotypes. The prediction accuracy and clinical availability of the Elderly algorithm was significantly better than that of IWPC algorithm verified by RMSE, R2, and (20%-p) methods.\n\nConclusions\nThe IWPC model may not be suitable for the elder Han-Chinese population. Polymorphism of CYP2C9 and VKORC1 obviously affected warfarin stable dose of the elder Han-Chinese. Combination of genetic data with demographic and clinical factors could help to better improve warfarin doses in the elder Han-Chinese population.","container-title":"Frontiers in Pharmacology","DOI":"10.3389/fphar.2020.01014","ISSN":"1663-9812","journalAbbreviation":"Front Pharmacol","page":"1014","PMID":"32754031","PMCID":"PMC7365937","source":"PubMed Central","title":"Pharmacogenetic-Guided Algorithm to Improve Daily Dose of Warfarin in Elder Han-Chinese Population","volume":"11","author":[{"family":"Ren","given":"Yirong"},{"family":"Yang","given":"Chenguang"},{"family":"Chen","given":"Hao"},{"family":"Dai","given":"Dapeng"},{"family":"Wang","given":"Yan"},{"family":"Zhu","given":"Huolan"},{"family":"Wang","given":"Fang"}],"issued":{"date-parts":[["2020",7,10]]}}},{"id":230,"uris":["http://zotero.org/users/14784094/items/G7DXXSRW"],"itemData":{"id":230,"type":"article-journal","abstract":"Background\nWarfarin is the most commonly used oral anticoagulant for the treatment and prevention of thromboembolic disorders. Pharmacogenomics studies have shown that variants in CYP2C9 and VKORC1 genes are strongly and consistently associated with warfarin dose variability. Although different populations from the Middle East and North Africa (MENA) region may share the same ancestry, it is still unclear how they compare in the genetic and non-genetic factors affecting their warfarin dosing.\n\nObjective\nTo explore the prevalence of CYP2C9 and VKORC1 variants in MENA, and the effect of these variants along with other non-genetic factors in predicting warfarin dose.\n\nMethods\nIn this systematic review, we included observational cross sectional and cohort studies that enrolled patients on stable warfarin dose and had the genetics and non-genetics factors associated with mean warfarin dose as the primary outcome. We searched PubMed, Medline, Scopus, PharmGKB, PHGKB, Google scholar and reference lists of relevant reviews.\n\nResults\nWe identified 17 studies in eight different populations: Iranian, Israeli, Egyptian, Lebanese, Omani, Kuwaiti, Sudanese and Turkish. Most common genetic variant in all populations was the VKORC1 (-1639G&gt;A), with a minor allele frequency ranging from 30% in Egyptians and up to 52% and 56% in Lebanese and Iranian, respectively. Variants in the CYP2C9 were less common, with the highest MAF for CYP2C9*2 among Iranians (27%). Variants in the VKORC1 and CYP2C9 were the most significant predictors of warfarin dose in all populations. Along with other genetic and non-genetic factors, they explained up to 63% of the dose variability in Omani and Israeli patients.\n\nConclusion\nVariants of VKORC1 and CYP2C9 are the strongest predictors of warfarin dose variability among the different populations from MENA. Although many of those populations share the same ancestry and are similar in their warfarin dose predictors, a population specific dosing algorithm is needed for the prospective estimation of warfarin dose.","container-title":"PLoS ONE","DOI":"10.1371/journal.pone.0168732","ISSN":"1932-6203","issue":"12","journalAbbreviation":"PLoS One","page":"e0168732","PMID":"27992547","PMCID":"PMC5167425","source":"PubMed Central","title":"The Impact of Genetic and Non-Genetic Factors on Warfarin Dose Prediction in MENA Region: A Systematic Review","title-short":"The Impact of Genetic and Non-Genetic Factors on Warfarin Dose Prediction in MENA Region","volume":"11","author":[{"family":"Bader","given":"Loulia Akram"},{"family":"Elewa","given":"Hazem"}],"issued":{"date-parts":[["2016",12,19]]}}}],"schema":"https://github.com/citation-style-language/schema/raw/master/csl-citation.json"} </w:instrText>
      </w:r>
      <w:r w:rsidR="001C1B2B">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[82–84]</w:t>
      </w:r>
      <w:r w:rsidR="001C1B2B">
        <w:rPr>
          <w:rFonts w:ascii="Times New Roman" w:hAnsi="Times New Roman" w:cs="Times New Roman"/>
          <w:sz w:val="28"/>
          <w:szCs w:val="28"/>
          <w:lang w:bidi="ar-SA"/>
        </w:rPr>
        <w:fldChar w:fldCharType="end"/>
      </w:r>
      <w:r w:rsidR="001C1B2B">
        <w:rPr>
          <w:rFonts w:ascii="Times New Roman" w:hAnsi="Times New Roman" w:cs="Times New Roman"/>
          <w:sz w:val="28"/>
          <w:szCs w:val="28"/>
          <w:lang w:bidi="ar-SA"/>
        </w:rPr>
        <w:t xml:space="preserve">. </w:t>
      </w:r>
      <w:r w:rsidR="00136DFD">
        <w:rPr>
          <w:rFonts w:ascii="Times New Roman" w:hAnsi="Times New Roman" w:cs="Times New Roman"/>
          <w:sz w:val="28"/>
          <w:szCs w:val="28"/>
          <w:lang w:bidi="ar-SA"/>
        </w:rPr>
        <w:t>Особое значение имеют взаимодействия со статинами, амиодароном (при комбинации с которым требуется снижение суточной дозы варфарина до 65% от исходной согласно данным источн</w:t>
      </w:r>
      <w:r w:rsidR="009B0CEF">
        <w:rPr>
          <w:rFonts w:ascii="Times New Roman" w:hAnsi="Times New Roman" w:cs="Times New Roman"/>
          <w:sz w:val="28"/>
          <w:szCs w:val="28"/>
          <w:lang w:val="kk-KZ" w:bidi="ar-SA"/>
        </w:rPr>
        <w:t>и</w:t>
      </w:r>
      <w:r w:rsidR="00136DFD">
        <w:rPr>
          <w:rFonts w:ascii="Times New Roman" w:hAnsi="Times New Roman" w:cs="Times New Roman"/>
          <w:sz w:val="28"/>
          <w:szCs w:val="28"/>
          <w:lang w:bidi="ar-SA"/>
        </w:rPr>
        <w:t>ка), торасемидом, лозартаном, антимикотическими препаратами и некоторыми группами антибиотиков, что подтверждается исследованием</w:t>
      </w:r>
      <w:r w:rsidR="00136DFD">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{"citationID":"mClc0D48","properties":{"unsorted":false,"formattedCitation":"[82]","plainCitation":"[82]","noteIndex":0},"citationItems":[{"id":229,"uris":["http://zotero.org/users/14784094/items/ZUAJMWJZ"],"itemData":{"id":229,"type":"article-journal","abstract":"Despite its shortcomings, warfarin is still the most commonly prescribed anticoagulant to prevent thromboembolism in children. In adults, numerous studies confirmed the robust relationship between warfarin maintenance doses and single nucleotide polymorphisms of cytochrome P450 2C9 (CYP2C9), vitamin K epoxide reductase (VKORC1), and cytochrome P450 4F2 (CYP4F2). However, their effect in children still remains to be determined. The primary objective of the present systematic review and meta-analysis is to assess the effect of genotypes of CYP2C9, VKORC1, and CYP4F2 on warfarin maintenance dose in children.","container-title":"Systematic Reviews","DOI":"10.1186/s13643-016-0280-y","ISSN":"2046-4053","issue":"1","journalAbbreviation":"Systematic Reviews","page":"105","source":"BioMed Central","title":"Effect of CYP2C9, VKORC1, and CYP4F2 polymorphisms on warfarin maintenance dose in children aged less than 18 years: a protocol for systematic review and meta-analysis","title-short":"Effect of CYP2C9, VKORC1, and CYP4F2 polymorphisms on warfarin maintenance dose in children aged less than 18 years","volume":"5","author":[{"family":"Takeuchi","given":"Masanobu"},{"family":"Kobayashi","given":"Tohru"},{"family":"Brandão","given":"Leonardo R."},{"family":"Ito","given":"Shinya"}],"issued":{"date-parts":[["2016",6,23]]}}}],"schema":"https://github.com/citation-style-language/schema/raw/master/csl-citation.json"} </w:instrText>
      </w:r>
      <w:r w:rsidR="00136DFD">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[82]</w:t>
      </w:r>
      <w:r w:rsidR="00136DFD">
        <w:rPr>
          <w:rFonts w:ascii="Times New Roman" w:hAnsi="Times New Roman" w:cs="Times New Roman"/>
          <w:sz w:val="28"/>
          <w:szCs w:val="28"/>
          <w:lang w:bidi="ar-SA"/>
        </w:rPr>
        <w:fldChar w:fldCharType="end"/>
      </w:r>
      <w:r w:rsidR="00136DFD">
        <w:rPr>
          <w:rFonts w:ascii="Times New Roman" w:hAnsi="Times New Roman" w:cs="Times New Roman"/>
          <w:sz w:val="28"/>
          <w:szCs w:val="28"/>
          <w:lang w:bidi="ar-SA"/>
        </w:rPr>
        <w:t>. Одновременная терапия варфарином и ацетилсалициловой кислотой (аспирином) приводит к более чем двукратному увеличению риска геморрагических осложнений, как указано в источнике</w:t>
      </w:r>
      <w:r w:rsidR="00136DFD">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{"citationID":"DxgzfWYk","properties":{"unsorted":false,"formattedCitation":"[83]","plainCitation":"[83]","noteIndex":0},"citationItems":[{"id":302,"uris":["http://zotero.org/users/14784094/items/BQNRUXCN"],"itemData":{"id":302,"type":"article-journal","abstract":"Objectives\nTo verify the accuracy of the International Warfarin Pharmacogenetics Consortium (IWPC) algorithm, identify the effects of genetic and clinical factors on warfarin stable dose, and to establish a new warfarin stable dose prediction algorithm for the elderly Han-Chinese population under the guidance of pharmacogenetics.\n\nMethods\nAccording to the inclusion criteria, 544 non-valvular atrial fibrillation patients taking warfarin for anticoagulation treatment were enrolled. Data information of three groups including the whole population, people under 65 years old and over 65 years old were substituted into the IWPC algorithm respectively to verify its accuracy. The basic data and clinical information of 360 elderly people were collected for statistical analysis and the genotypes of VKORC1-G1639A and CYP2C9 were detected by Sanger sequencing. The new algorithm of the elder pharmacogenetics warfarin dosing was obtained by stepwise multiple regression. The determination coefficient (R2), root mean squared error (RMSE), and the proportion of the predicted value within the true value range of ±20%(20%-p) were used to evaluate the accuracy of the IWPC algorithm and the new algorithm.\n\nResults\nAmong the three different age groups, the warfarin stable dose predictive accuracy of IWPC algorithm was the lowest in the elderly patients above 65-year-old. In this study, the important factors influencing the stable dose of warfarin in the elderly Han-Chinese were height, weight, body surface area, serum creatinine level, amiodarone usage, CYP2C9 (*1*2, *1*3), and VKORC1 (GG/GA) genotypes. By means of stepwise multiple regression analysis, we established a new elder warfarin dosing algorithm (R2=0.3714) containing height, creatinine, amiodarone usage, CYP2C9 (*1*2 or *1*3), and VKORC1 (GA or GG) genotypes. The prediction accuracy and clinical availability of the Elderly algorithm was significantly better than that of IWPC algorithm verified by RMSE, R2, and (20%-p) methods.\n\nConclusions\nThe IWPC model may not be suitable for the elder Han-Chinese population. Polymorphism of CYP2C9 and VKORC1 obviously affected warfarin stable dose of the elder Han-Chinese. Combination of genetic data with demographic and clinical factors could help to better improve warfarin doses in the elder Han-Chinese population.","container-title":"Frontiers in Pharmacology","DOI":"10.3389/fphar.2020.01014","ISSN":"1663-9812","journalAbbreviation":"Front Pharmacol","page":"1014","PMID":"32754031","PMCID":"PMC7365937","source":"PubMed Central","title":"Pharmacogenetic-Guided Algorithm to Improve Daily Dose of Warfarin in Elder Han-Chinese Population","volume":"11","author":[{"family":"Ren","given":"Yirong"},{"family":"Yang","given":"Chenguang"},{"family":"Chen","given":"Hao"},{"family":"Dai","given":"Dapeng"},{"family":"Wang","given":"Yan"},{"family":"Zhu","given":"Huolan"},{"family":"Wang","given":"Fang"}],"issued":{"date-parts":[["2020",7,10]]}}}],"schema":"https://github.com/citation-style-language/schema/raw/master/csl-citation.json"} </w:instrText>
      </w:r>
      <w:r w:rsidR="00136DFD">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[83]</w:t>
      </w:r>
      <w:r w:rsidR="00136DFD">
        <w:rPr>
          <w:rFonts w:ascii="Times New Roman" w:hAnsi="Times New Roman" w:cs="Times New Roman"/>
          <w:sz w:val="28"/>
          <w:szCs w:val="28"/>
          <w:lang w:bidi="ar-SA"/>
        </w:rPr>
        <w:fldChar w:fldCharType="end"/>
      </w:r>
      <w:r w:rsidR="00043DBA">
        <w:rPr>
          <w:rFonts w:ascii="Times New Roman" w:hAnsi="Times New Roman" w:cs="Times New Roman"/>
          <w:sz w:val="28"/>
          <w:szCs w:val="28"/>
          <w:lang w:bidi="ar-SA"/>
        </w:rPr>
        <w:t xml:space="preserve">. Холестирамин снижает желудочно-кишечную абсорбцию варфарина. Группа препаратов, включающая </w:t>
      </w:r>
      <w:r w:rsidR="003A3564">
        <w:rPr>
          <w:rFonts w:ascii="Times New Roman" w:hAnsi="Times New Roman" w:cs="Times New Roman"/>
          <w:sz w:val="28"/>
          <w:szCs w:val="28"/>
          <w:lang w:val="kk-KZ" w:bidi="ar-SA"/>
        </w:rPr>
        <w:t xml:space="preserve">амиодарон, флуконазол, флувастатин, флувоксамин, изониазид, ловастатин, фенилбутазон, сертралин, циметидин и хлорамфеникол, ингибирует активность печеночных микросомальных ферментов </w:t>
      </w:r>
      <w:r w:rsidR="003A3564">
        <w:rPr>
          <w:rFonts w:ascii="Times New Roman" w:hAnsi="Times New Roman" w:cs="Times New Roman"/>
          <w:sz w:val="28"/>
          <w:szCs w:val="28"/>
          <w:lang w:val="en-US" w:bidi="ar-SA"/>
        </w:rPr>
        <w:t>CYP</w:t>
      </w:r>
      <w:r w:rsidR="003A3564" w:rsidRPr="003A3564">
        <w:rPr>
          <w:rFonts w:ascii="Times New Roman" w:hAnsi="Times New Roman" w:cs="Times New Roman"/>
          <w:sz w:val="28"/>
          <w:szCs w:val="28"/>
          <w:lang w:bidi="ar-SA"/>
        </w:rPr>
        <w:t>2</w:t>
      </w:r>
      <w:r w:rsidR="003A3564">
        <w:rPr>
          <w:rFonts w:ascii="Times New Roman" w:hAnsi="Times New Roman" w:cs="Times New Roman"/>
          <w:sz w:val="28"/>
          <w:szCs w:val="28"/>
          <w:lang w:val="en-US" w:bidi="ar-SA"/>
        </w:rPr>
        <w:t>C</w:t>
      </w:r>
      <w:r w:rsidR="003A3564" w:rsidRPr="003A3564">
        <w:rPr>
          <w:rFonts w:ascii="Times New Roman" w:hAnsi="Times New Roman" w:cs="Times New Roman"/>
          <w:sz w:val="28"/>
          <w:szCs w:val="28"/>
          <w:lang w:bidi="ar-SA"/>
        </w:rPr>
        <w:t>9,</w:t>
      </w:r>
      <w:r w:rsidR="003A3564">
        <w:rPr>
          <w:rFonts w:ascii="Times New Roman" w:hAnsi="Times New Roman" w:cs="Times New Roman"/>
          <w:sz w:val="28"/>
          <w:szCs w:val="28"/>
          <w:lang w:bidi="ar-SA"/>
        </w:rPr>
        <w:t xml:space="preserve"> ответственных за метаболизм </w:t>
      </w:r>
      <w:r w:rsidR="003A3564">
        <w:rPr>
          <w:rFonts w:ascii="Times New Roman" w:hAnsi="Times New Roman" w:cs="Times New Roman"/>
          <w:sz w:val="28"/>
          <w:szCs w:val="28"/>
          <w:lang w:val="en-US" w:bidi="ar-SA"/>
        </w:rPr>
        <w:t>S</w:t>
      </w:r>
      <w:r w:rsidR="003A3564" w:rsidRPr="003A3564">
        <w:rPr>
          <w:rFonts w:ascii="Times New Roman" w:hAnsi="Times New Roman" w:cs="Times New Roman"/>
          <w:sz w:val="28"/>
          <w:szCs w:val="28"/>
          <w:lang w:bidi="ar-SA"/>
        </w:rPr>
        <w:t>-</w:t>
      </w:r>
      <w:r w:rsidR="003A3564">
        <w:rPr>
          <w:rFonts w:ascii="Times New Roman" w:hAnsi="Times New Roman" w:cs="Times New Roman"/>
          <w:sz w:val="28"/>
          <w:szCs w:val="28"/>
          <w:lang w:bidi="ar-SA"/>
        </w:rPr>
        <w:t>энантиомера варфарина</w:t>
      </w:r>
      <w:r w:rsidR="003A3564">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cU78TpK4","properties":{"unsorted":false,"formattedCitation":"[77,85]","plainCitation":"[77,85]","noteIndex":0},"citationItems":[{"id":341,"uris":["http://zotero.org/users/14784094/items/3BK3FTYF"],"itemData":{"id":341,"type":"article-journal","abstract":"Цель: Изучение взаимосвязи клинических характеристик и особенностей индивидуального подбора варфарина у больных фибрилляцией предсердий.Материалы и методы. У 98 пациентов с сочетанием фибрилляции предсердий и ишемической болезнью сердца анализировались характеристики периода подборы дозы варфарина. Учитывались подобранная терапевтическая доза варфарина в мг, длительность титрации дозы в днях и максимальное значение международного нормализованного отношения (МНО). В качестве клинических характеристик – пол, возраст, перенесенные инфаркты миокарда и инсульты, наличие основных сопутствующих заболеваний, прием амиодарона. Для статистической обработке данных были использованы медиана и квартили.Результаты: В ходе исследования была установлена высокая достоверность различий в длительности подбора дозы антикоагулянта у курящих и некурящих пациентов. Если пациент курит, то М 39,8 (35;44), а если пациент не курит, то М 12 (10;15). Для пациентов с ожирением адекватной оказалась более высокая доза варфарина М 5,1 (4.4;5,7), чем для больных без ожирения М 3,5 (3,1;4,0). А для пациентов, принимающих в качестве антиаритмического средства амиодарон, адекватной оказалась меньшая доза варфарина М 3,1 (2,9;3,4), чем для больных, не принимающих амиодарон М 5,0 (4,4;5,7). Терапевтическая доза варфарина зависела также от наличия или отсутствия инфарктов миокарда в анамнезе. Если у пациента не было инфаркта миокарда М 3,6 (3,2;4,1), а если есть – М 4,3 (3,7;4,9).Выводы:1. При назначении варфарина пациентам с фибрилляцией предсердий необходимо учитывать такие индивидуальные клинические характеристики, как наличие ожирения, инфарктов миокарда в прошлом, курение, сопутствующую терапию.2. У пациентов с сочетанием ИБС и фибрилляции предсердий не установлено существенной зависимости особенностей подбора дозы варфарина от таких клинических характеристик, как пол, возраст, количество сопутствующих заболеваний, наличие желчнокаменной болезни, сахарного диабета II типа, продолжительность аритмии, стойкости фибрилляции предсердий, функционального класса сердечной недостаточности и наличия стенокардии напряжения.","container-title":"Бюллетень медицинских интернет-конференций","issue":"6","note":"number: 6\npublisher-place: Россия, Саратов","page":"952","publisher":"Общество с ограниченной ответственностью «Наука и инновации»","source":"cyberleninka.ru","title":"Особенности подбора дозы варфарина у пациентов с фибрилляцией предсердий в зависимости от клинических факторов","volume":"3","author":[{"family":"Е.л","given":"Долгова"}],"issued":{"date-parts":[["2013"]]}}},{"id":339,"uris":["http://zotero.org/users/14784094/items/EDUNYRFP"],"itemData":{"id":339,"type":"article-journal","container-title":"Вестник хирургии имени И. И. Грекова","ISSN":"0042-4625","issue":"6","note":"number: 6\npublisher-place: Россия, Санкт-Петербург","page":"96-100","publisher":"Федеральное государственное бюджетное образовательное учреждение высшего образования «Первый Санкт-Петербургский государственный медицинский университет имени академика И. П. Павлова» Министерства здравоохранения Российской Федерации","source":"cyberleninka.ru","title":"Риск развития геморрагических осложнений терапии варфарином","volume":"176","author":[{"family":"Ильинична","given":"Филиппова Ольга"},{"family":"Викторович","given":"Колосков Андрей"},{"family":"Владимировна","given":"Чернова Екатерина"}],"issued":{"date-parts":[["2017"]]}}}],"schema":"https://github.com/citation-style-language/schema/raw/master/csl-citation.json"} </w:instrText>
      </w:r>
      <w:r w:rsidR="003A3564">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[77,85]</w:t>
      </w:r>
      <w:r w:rsidR="003A3564">
        <w:rPr>
          <w:rFonts w:ascii="Times New Roman" w:hAnsi="Times New Roman" w:cs="Times New Roman"/>
          <w:sz w:val="28"/>
          <w:szCs w:val="28"/>
          <w:lang w:bidi="ar-SA"/>
        </w:rPr>
        <w:fldChar w:fldCharType="end"/>
      </w:r>
      <w:r w:rsidR="003A3564">
        <w:rPr>
          <w:rFonts w:ascii="Times New Roman" w:hAnsi="Times New Roman" w:cs="Times New Roman"/>
          <w:sz w:val="28"/>
          <w:szCs w:val="28"/>
          <w:lang w:bidi="ar-SA"/>
        </w:rPr>
        <w:t xml:space="preserve">. В противоположность этому, рифампицин и секобарбитал являются индукторами </w:t>
      </w:r>
      <w:r w:rsidR="003A3564">
        <w:rPr>
          <w:rFonts w:ascii="Times New Roman" w:hAnsi="Times New Roman" w:cs="Times New Roman"/>
          <w:sz w:val="28"/>
          <w:szCs w:val="28"/>
          <w:lang w:val="en-US" w:bidi="ar-SA"/>
        </w:rPr>
        <w:t>CYP</w:t>
      </w:r>
      <w:r w:rsidR="003A3564" w:rsidRPr="003A3564">
        <w:rPr>
          <w:rFonts w:ascii="Times New Roman" w:hAnsi="Times New Roman" w:cs="Times New Roman"/>
          <w:sz w:val="28"/>
          <w:szCs w:val="28"/>
          <w:lang w:bidi="ar-SA"/>
        </w:rPr>
        <w:t>2</w:t>
      </w:r>
      <w:r w:rsidR="003A3564">
        <w:rPr>
          <w:rFonts w:ascii="Times New Roman" w:hAnsi="Times New Roman" w:cs="Times New Roman"/>
          <w:sz w:val="28"/>
          <w:szCs w:val="28"/>
          <w:lang w:val="en-US" w:bidi="ar-SA"/>
        </w:rPr>
        <w:t>C</w:t>
      </w:r>
      <w:r w:rsidR="003A3564" w:rsidRPr="003A3564">
        <w:rPr>
          <w:rFonts w:ascii="Times New Roman" w:hAnsi="Times New Roman" w:cs="Times New Roman"/>
          <w:sz w:val="28"/>
          <w:szCs w:val="28"/>
          <w:lang w:bidi="ar-SA"/>
        </w:rPr>
        <w:t>9,</w:t>
      </w:r>
      <w:r w:rsidR="003A3564">
        <w:rPr>
          <w:rFonts w:ascii="Times New Roman" w:hAnsi="Times New Roman" w:cs="Times New Roman"/>
          <w:sz w:val="28"/>
          <w:szCs w:val="28"/>
          <w:lang w:bidi="ar-SA"/>
        </w:rPr>
        <w:t xml:space="preserve"> что может приводить к снижению эффективности варфарина. Хинолоновые антибиотики проявляют ингибирующее действие на ферменты </w:t>
      </w:r>
      <w:r w:rsidR="003A3564">
        <w:rPr>
          <w:rFonts w:ascii="Times New Roman" w:hAnsi="Times New Roman" w:cs="Times New Roman"/>
          <w:sz w:val="28"/>
          <w:szCs w:val="28"/>
          <w:lang w:val="en-US" w:bidi="ar-SA"/>
        </w:rPr>
        <w:t>CYP</w:t>
      </w:r>
      <w:r w:rsidR="003A3564" w:rsidRPr="003A3564">
        <w:rPr>
          <w:rFonts w:ascii="Times New Roman" w:hAnsi="Times New Roman" w:cs="Times New Roman"/>
          <w:sz w:val="28"/>
          <w:szCs w:val="28"/>
          <w:lang w:bidi="ar-SA"/>
        </w:rPr>
        <w:t>1</w:t>
      </w:r>
      <w:r w:rsidR="003A3564">
        <w:rPr>
          <w:rFonts w:ascii="Times New Roman" w:hAnsi="Times New Roman" w:cs="Times New Roman"/>
          <w:sz w:val="28"/>
          <w:szCs w:val="28"/>
          <w:lang w:val="en-US" w:bidi="ar-SA"/>
        </w:rPr>
        <w:t>A</w:t>
      </w:r>
      <w:r w:rsidR="003A3564" w:rsidRPr="003A3564">
        <w:rPr>
          <w:rFonts w:ascii="Times New Roman" w:hAnsi="Times New Roman" w:cs="Times New Roman"/>
          <w:sz w:val="28"/>
          <w:szCs w:val="28"/>
          <w:lang w:bidi="ar-SA"/>
        </w:rPr>
        <w:t>2,</w:t>
      </w:r>
      <w:r w:rsidR="003A3564">
        <w:rPr>
          <w:rFonts w:ascii="Times New Roman" w:hAnsi="Times New Roman" w:cs="Times New Roman"/>
          <w:sz w:val="28"/>
          <w:szCs w:val="28"/>
          <w:lang w:bidi="ar-SA"/>
        </w:rPr>
        <w:t xml:space="preserve"> тогда как макролиды</w:t>
      </w:r>
      <w:r w:rsidR="00724969">
        <w:rPr>
          <w:rFonts w:ascii="Times New Roman" w:hAnsi="Times New Roman" w:cs="Times New Roman"/>
          <w:sz w:val="28"/>
          <w:szCs w:val="28"/>
          <w:lang w:bidi="ar-SA"/>
        </w:rPr>
        <w:t xml:space="preserve"> ингибируют изофермент </w:t>
      </w:r>
      <w:r w:rsidR="00724969">
        <w:rPr>
          <w:rFonts w:ascii="Times New Roman" w:hAnsi="Times New Roman" w:cs="Times New Roman"/>
          <w:sz w:val="28"/>
          <w:szCs w:val="28"/>
          <w:lang w:val="en-US" w:bidi="ar-SA"/>
        </w:rPr>
        <w:t>CYP</w:t>
      </w:r>
      <w:r w:rsidR="00724969" w:rsidRPr="00724969">
        <w:rPr>
          <w:rFonts w:ascii="Times New Roman" w:hAnsi="Times New Roman" w:cs="Times New Roman"/>
          <w:sz w:val="28"/>
          <w:szCs w:val="28"/>
          <w:lang w:bidi="ar-SA"/>
        </w:rPr>
        <w:t>3</w:t>
      </w:r>
      <w:r w:rsidR="00724969">
        <w:rPr>
          <w:rFonts w:ascii="Times New Roman" w:hAnsi="Times New Roman" w:cs="Times New Roman"/>
          <w:sz w:val="28"/>
          <w:szCs w:val="28"/>
          <w:lang w:val="en-US" w:bidi="ar-SA"/>
        </w:rPr>
        <w:t>A</w:t>
      </w:r>
      <w:r w:rsidR="00724969" w:rsidRPr="00724969">
        <w:rPr>
          <w:rFonts w:ascii="Times New Roman" w:hAnsi="Times New Roman" w:cs="Times New Roman"/>
          <w:sz w:val="28"/>
          <w:szCs w:val="28"/>
          <w:lang w:bidi="ar-SA"/>
        </w:rPr>
        <w:t>4.</w:t>
      </w:r>
      <w:r w:rsidR="00724969">
        <w:rPr>
          <w:rFonts w:ascii="Times New Roman" w:hAnsi="Times New Roman" w:cs="Times New Roman"/>
          <w:sz w:val="28"/>
          <w:szCs w:val="28"/>
          <w:lang w:bidi="ar-SA"/>
        </w:rPr>
        <w:t xml:space="preserve"> Препараты азольной группы, такие как метронидазол, флуконазол, триметоприм-сульфаметоксазол, миконазол и вориконазол, также рассматриваются как ингибиторы </w:t>
      </w:r>
      <w:r w:rsidR="00724969">
        <w:rPr>
          <w:rFonts w:ascii="Times New Roman" w:hAnsi="Times New Roman" w:cs="Times New Roman"/>
          <w:sz w:val="28"/>
          <w:szCs w:val="28"/>
          <w:lang w:val="en-US" w:bidi="ar-SA"/>
        </w:rPr>
        <w:t>CYP</w:t>
      </w:r>
      <w:r w:rsidR="00724969" w:rsidRPr="00724969">
        <w:rPr>
          <w:rFonts w:ascii="Times New Roman" w:hAnsi="Times New Roman" w:cs="Times New Roman"/>
          <w:sz w:val="28"/>
          <w:szCs w:val="28"/>
          <w:lang w:bidi="ar-SA"/>
        </w:rPr>
        <w:t>1</w:t>
      </w:r>
      <w:r w:rsidR="00724969">
        <w:rPr>
          <w:rFonts w:ascii="Times New Roman" w:hAnsi="Times New Roman" w:cs="Times New Roman"/>
          <w:sz w:val="28"/>
          <w:szCs w:val="28"/>
          <w:lang w:val="en-US" w:bidi="ar-SA"/>
        </w:rPr>
        <w:t>A</w:t>
      </w:r>
      <w:r w:rsidR="00724969" w:rsidRPr="00724969">
        <w:rPr>
          <w:rFonts w:ascii="Times New Roman" w:hAnsi="Times New Roman" w:cs="Times New Roman"/>
          <w:sz w:val="28"/>
          <w:szCs w:val="28"/>
          <w:lang w:bidi="ar-SA"/>
        </w:rPr>
        <w:t>2</w:t>
      </w:r>
      <w:r w:rsidR="00724969">
        <w:rPr>
          <w:rFonts w:ascii="Times New Roman" w:hAnsi="Times New Roman" w:cs="Times New Roman"/>
          <w:sz w:val="28"/>
          <w:szCs w:val="28"/>
          <w:lang w:bidi="ar-SA"/>
        </w:rPr>
        <w:t xml:space="preserve"> или </w:t>
      </w:r>
      <w:r w:rsidR="00724969">
        <w:rPr>
          <w:rFonts w:ascii="Times New Roman" w:hAnsi="Times New Roman" w:cs="Times New Roman"/>
          <w:sz w:val="28"/>
          <w:szCs w:val="28"/>
          <w:lang w:val="en-US" w:bidi="ar-SA"/>
        </w:rPr>
        <w:t>CYP</w:t>
      </w:r>
      <w:r w:rsidR="00724969" w:rsidRPr="00724969">
        <w:rPr>
          <w:rFonts w:ascii="Times New Roman" w:hAnsi="Times New Roman" w:cs="Times New Roman"/>
          <w:sz w:val="28"/>
          <w:szCs w:val="28"/>
          <w:lang w:bidi="ar-SA"/>
        </w:rPr>
        <w:t>3</w:t>
      </w:r>
      <w:r w:rsidR="00724969">
        <w:rPr>
          <w:rFonts w:ascii="Times New Roman" w:hAnsi="Times New Roman" w:cs="Times New Roman"/>
          <w:sz w:val="28"/>
          <w:szCs w:val="28"/>
          <w:lang w:val="en-US" w:bidi="ar-SA"/>
        </w:rPr>
        <w:t>A</w:t>
      </w:r>
      <w:r w:rsidR="00724969" w:rsidRPr="00724969">
        <w:rPr>
          <w:rFonts w:ascii="Times New Roman" w:hAnsi="Times New Roman" w:cs="Times New Roman"/>
          <w:sz w:val="28"/>
          <w:szCs w:val="28"/>
          <w:lang w:bidi="ar-SA"/>
        </w:rPr>
        <w:t>4</w:t>
      </w:r>
      <w:r w:rsidR="00724969">
        <w:rPr>
          <w:rFonts w:ascii="Times New Roman" w:hAnsi="Times New Roman" w:cs="Times New Roman"/>
          <w:sz w:val="28"/>
          <w:szCs w:val="28"/>
          <w:lang w:bidi="ar-SA"/>
        </w:rPr>
        <w:t xml:space="preserve"> и способны повышать концентрацию варфарина в плазме</w:t>
      </w:r>
      <w:r w:rsidR="0072496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cZeCubOT","properties":{"unsorted":false,"formattedCitation":"[85]","plainCitation":"[85]","noteIndex":0},"citationItems":[{"id":339,"uris":["http://zotero.org/users/14784094/items/EDUNYRFP"],"itemData":{"id":339,"type":"article-journal","container-title":"Вестник хирургии имени И. И. Грекова","ISSN":"0042-4625","issue":"6","note":"number: 6\npublisher-place: Россия, Санкт-Петербург","page":"96-100","publisher":"Федеральное государственное бюджетное образовательное учреждение высшего образования «Первый Санкт-Петербургский государственный медицинский университет имени академика И. П. Павлова» Министерства здравоохранения Российской Федерации","source":"cyberleninka.ru","title":"Риск развития геморрагических осложнений терапии варфарином","volume":"176","author":[{"family":"Ильинична","given":"Филиппова Ольга"},{"family":"Викторович","given":"Колосков Андрей"},{"family":"Владимировна","given":"Чернова Екатерина"}],"issued":{"date-parts":[["2017"]]}}}],"schema":"https://github.com/citation-style-language/schema/raw/master/csl-citation.json"} </w:instrText>
      </w:r>
      <w:r w:rsidR="0072496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[85]</w:t>
      </w:r>
      <w:r w:rsidR="00724969">
        <w:rPr>
          <w:rFonts w:ascii="Times New Roman" w:hAnsi="Times New Roman" w:cs="Times New Roman"/>
          <w:sz w:val="28"/>
          <w:szCs w:val="28"/>
          <w:lang w:bidi="ar-SA"/>
        </w:rPr>
        <w:fldChar w:fldCharType="end"/>
      </w:r>
      <w:r w:rsidR="00724969">
        <w:rPr>
          <w:rFonts w:ascii="Times New Roman" w:hAnsi="Times New Roman" w:cs="Times New Roman"/>
          <w:sz w:val="28"/>
          <w:szCs w:val="28"/>
          <w:lang w:bidi="ar-SA"/>
        </w:rPr>
        <w:t xml:space="preserve">. Комбинированное применение варфарина с другими лекарственными средствами, влияющими на систему гемостаза (включая клопидогрел, тиклопидин, дипиридамол), большинством </w:t>
      </w:r>
      <w:r w:rsidR="00D01BB1">
        <w:rPr>
          <w:rFonts w:ascii="Times New Roman" w:hAnsi="Times New Roman" w:cs="Times New Roman"/>
          <w:sz w:val="28"/>
          <w:szCs w:val="28"/>
          <w:lang w:bidi="ar-SA"/>
        </w:rPr>
        <w:t>нестероидных</w:t>
      </w:r>
      <w:r w:rsidR="00724969">
        <w:rPr>
          <w:rFonts w:ascii="Times New Roman" w:hAnsi="Times New Roman" w:cs="Times New Roman"/>
          <w:sz w:val="28"/>
          <w:szCs w:val="28"/>
          <w:lang w:bidi="ar-SA"/>
        </w:rPr>
        <w:t xml:space="preserve"> противовоспалительных препаратов (за исключением низких доз селективных ингибиторов ЦОГ-2), а также высокими дозами пенициллиновых антибиотиков, ассоциировано с повышенным риском развития кровотечений, что требует особой осторожности и тщательного мониторинга международного нормализованного отношения (МНО) у таких пациентов</w:t>
      </w:r>
      <w:r w:rsidR="0072496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zMT8ozcn","properties":{"unsorted":false,"formattedCitation":"[81,85,86]","plainCitation":"[81,85,86]","noteIndex":0},"citationItems":[{"id":335,"uris":["http://zotero.org/users/14784094/items/72HVP3FU"],"itemData":{"id":335,"type":"article-journal","abstract":"Warfarin is widely used for the prevention of thrombosis and embolism, thrombosis of veins and peripheral arteries, pulmonary embolism, coronary heart disease, chronic atrial fibrillation, prosthetic heart valves and blood vessels. The severity of its anticoagulant action depends on non - genetic and genetic factors. In clinical practice is gradually becoming the methodology of personalized medicine, which implies the choice of safe doses tailored to the individual pharmacokinetics characteristics of patient, consisting in the carriage of allelic variants cytochrome P450 and vitamin-K-epoxide reductase, with a wide variability in the catalytic activity.","container-title":"Медицинские новости","ISSN":"2076-4812","issue":"1 (304)","note":"number: 1 (304)\npublisher-place: Республика Беларусь, Минск","page":"48-53","publisher":"Частное издательское унитарное предприятие «ЮпокомИнфоМед»","source":"cyberleninka.ru","title":"ОПТИМИЗАЦИЯ ФАРМАКОТЕРАПИИ ВАРФАРИНОМ: ПРОБЛЕМЫ И РЕШЕНИЯ","title-short":"ОПТИМИЗАЦИЯ ФАРМАКОТЕРАПИИ ВАРФАРИНОМ","author":[{"family":"О.н","given":"Басалай"},{"family":"М.и","given":"Бушма"},{"family":"О.а","given":"Борисенок"},{"family":"А.ю","given":"Радковец"}],"issued":{"date-parts":[["2020"]]}}},{"id":339,"uris":["http://zotero.org/users/14784094/items/EDUNYRFP"],"itemData":{"id":339,"type":"article-journal","container-title":"Вестник хирургии имени И. И. Грекова","ISSN":"0042-4625","issue":"6","note":"number: 6\npublisher-place: Россия, Санкт-Петербург","page":"96-100","publisher":"Федеральное государственное бюджетное образовательное учреждение высшего образования «Первый Санкт-Петербургский государственный медицинский университет имени академика И. П. Павлова» Министерства здравоохранения Российской Федерации","source":"cyberleninka.ru","title":"Риск развития геморрагических осложнений терапии варфарином","volume":"176","author":[{"family":"Ильинична","given":"Филиппова Ольга"},{"family":"Викторович","given":"Колосков Андрей"},{"family":"Владимировна","given":"Чернова Екатерина"}],"issued":{"date-parts":[["2017"]]}}},{"id":344,"uris":["http://zotero.org/users/14784094/items/HSMMIQGJ"],"itemData":{"id":344,"type":"article-journal","container-title":"Клиническая онкогематология. Фундаментальные исследования и клиническая практика","ISSN":"1997-6933","issue":"4","note":"number: 4\npublisher-place: Россия, Москва","page":"534-535","publisher":"Общество с ограниченной ответственностью «Практическая медицина»","source":"cyberleninka.ru","title":"Влияние различных факторов на риск кровотечений при приеме варфарина","volume":"10","author":[{"family":"Д.е","given":"Гуляихина"}],"issued":{"date-parts":[["2017"]]}}}],"schema":"https://github.com/citation-style-language/schema/raw/master/csl-citation.json"} </w:instrText>
      </w:r>
      <w:r w:rsidR="0072496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[81,85,86]</w:t>
      </w:r>
      <w:r w:rsidR="00724969">
        <w:rPr>
          <w:rFonts w:ascii="Times New Roman" w:hAnsi="Times New Roman" w:cs="Times New Roman"/>
          <w:sz w:val="28"/>
          <w:szCs w:val="28"/>
          <w:lang w:bidi="ar-SA"/>
        </w:rPr>
        <w:fldChar w:fldCharType="end"/>
      </w:r>
      <w:r w:rsidR="00724969">
        <w:rPr>
          <w:rFonts w:ascii="Times New Roman" w:hAnsi="Times New Roman" w:cs="Times New Roman"/>
          <w:sz w:val="28"/>
          <w:szCs w:val="28"/>
          <w:lang w:bidi="ar-SA"/>
        </w:rPr>
        <w:t>. Узкое терапевтическое окно варфарина создает клинические риски: при МНО</w:t>
      </w:r>
      <w:r w:rsidR="00724969" w:rsidRPr="00724969">
        <w:rPr>
          <w:rFonts w:ascii="Times New Roman" w:hAnsi="Times New Roman" w:cs="Times New Roman"/>
          <w:sz w:val="28"/>
          <w:szCs w:val="28"/>
          <w:lang w:bidi="ar-SA"/>
        </w:rPr>
        <w:t>&lt;</w:t>
      </w:r>
      <w:r w:rsidR="00724969">
        <w:rPr>
          <w:rFonts w:ascii="Times New Roman" w:hAnsi="Times New Roman" w:cs="Times New Roman"/>
          <w:sz w:val="28"/>
          <w:szCs w:val="28"/>
          <w:lang w:bidi="ar-SA"/>
        </w:rPr>
        <w:t>2.0 антикоагулянтный эффект становится субоптимальным (риск тромбоэмболических осложнений), тогда как превышение порога МНО</w:t>
      </w:r>
      <w:r w:rsidR="00724969" w:rsidRPr="00724969">
        <w:rPr>
          <w:rFonts w:ascii="Times New Roman" w:hAnsi="Times New Roman" w:cs="Times New Roman"/>
          <w:sz w:val="28"/>
          <w:szCs w:val="28"/>
          <w:lang w:bidi="ar-SA"/>
        </w:rPr>
        <w:t>&gt;</w:t>
      </w:r>
      <w:r w:rsidR="00724969">
        <w:rPr>
          <w:rFonts w:ascii="Times New Roman" w:hAnsi="Times New Roman" w:cs="Times New Roman"/>
          <w:sz w:val="28"/>
          <w:szCs w:val="28"/>
          <w:lang w:bidi="ar-SA"/>
        </w:rPr>
        <w:t>3.0 ассоциировано с экспоненциальным ростом частоты геморрагических событий</w:t>
      </w:r>
      <w:r w:rsidR="0072496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{"citationID":"Ytqy46hX","properties":{"unsorted":false,"formattedCitation":"[87]","plainCitation":"[87]","noteIndex":0},"citationItems":[{"id":216,"uris":["http://zotero.org/users/14784094/items/RIP7LUMY"],"itemData":{"id":216,"type":"article-journal","abstract":"Objective: Oral anticoagulation with vitamin K antagonists is recommended after mechanical heart valve replacement. However, data regarding the association between the quality of vitamin K antagonist treatment and the risk of complications are sparse.\nMethods: Patients undergoing mechanical heart valve replacement (1997-2012) with available data on international normalized ratio values were identiﬁed in Danish registries. The quality of vitamin K antagonist treatment between discharge after valve replacement and 6 months postdischarge (ie, index) was assessed as time in therapeutic range (TTR) 70% or&lt;70% reﬂecting the percentage of time in therapeutic international normalized ratio interval. Patients were followed from index until occurrence of an outcome of interest (ie, thromboembolism and bleeding), death, or end of study (December 31, 2012), whichever came ﬁrst. The risk of outcomes according to quality of vitamin K antagonist treatment was estimated with multivariable Cox regression.\nResults: In total, 659 patients undergoing mechanical heart valve replacement were included in the study. Median number of international normalized ratio measurements in the 6-month period after surgery was 13 (interquartile range, 8-19). Median TTR was 54.9% (interquartile range, 39.0%-72.9%) and 29.1% of patients had a TTR 70%. Median follow-up was 6.1 years. The risk of thromboembolism was signiﬁcantly lower in the group with TTR 70% compared with TTR &lt;70% (hazard ratio, 0.44; 95% conﬁdence interval, 0.22-0.85), whereas no signiﬁcant difference concerning risk of bleeding among groups was found (hazard ratio, 0.63; 95% conﬁdence interval 0.36-1.08).\nConclusions: In patients undergoing mechanical heart valve replacement, TTR &lt;70% in the 6-month period after surgery was associated with an increased risk of thromboembolic events but not bleeding compared with TTR 70%. (J Thorac Cardiovasc Surg 2020;159:74-83)","container-title":"The Journal of Thoracic and Cardiovascular Surgery","DOI":"10.1016/j.jtcvs.2019.02.061","ISSN":"00225223","issue":"1","journalAbbreviation":"The Journal of Thoracic and Cardiovascular Surgery","language":"en","page":"74-83.e4","source":"DOI.org (Crossref)","title":"Time in therapeutic range and risk of thromboembolism and bleeding in patients with a mechanical heart valve prosthesis","volume":"159","author":[{"family":"Havers-Borgersen","given":"Eva"},{"family":"Butt","given":"Jawad H."},{"family":"Vinding","given":"Naja E."},{"family":"Torp-Pedersen","given":"Christian"},{"family":"Gislason","given":"Gunnar"},{"family":"Køber","given":"Lars"},{"family":"Fosbøl","given":"Emil L."}],"issued":{"date-parts":[["2020",1]]}}}],"schema":"https://github.com/citation-style-language/schema/raw/master/csl-citation.json"} </w:instrText>
      </w:r>
      <w:r w:rsidR="0072496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[87]</w:t>
      </w:r>
      <w:r w:rsidR="00724969">
        <w:rPr>
          <w:rFonts w:ascii="Times New Roman" w:hAnsi="Times New Roman" w:cs="Times New Roman"/>
          <w:sz w:val="28"/>
          <w:szCs w:val="28"/>
          <w:lang w:bidi="ar-SA"/>
        </w:rPr>
        <w:fldChar w:fldCharType="end"/>
      </w:r>
      <w:r w:rsidR="00724969">
        <w:rPr>
          <w:rFonts w:ascii="Times New Roman" w:hAnsi="Times New Roman" w:cs="Times New Roman"/>
          <w:sz w:val="28"/>
          <w:szCs w:val="28"/>
          <w:lang w:bidi="ar-SA"/>
        </w:rPr>
        <w:t>. Это обусл</w:t>
      </w:r>
      <w:r w:rsidR="00D01BB1">
        <w:rPr>
          <w:rFonts w:ascii="Times New Roman" w:hAnsi="Times New Roman" w:cs="Times New Roman"/>
          <w:sz w:val="28"/>
          <w:szCs w:val="28"/>
          <w:lang w:bidi="ar-SA"/>
        </w:rPr>
        <w:t>о</w:t>
      </w:r>
      <w:r w:rsidR="00724969">
        <w:rPr>
          <w:rFonts w:ascii="Times New Roman" w:hAnsi="Times New Roman" w:cs="Times New Roman"/>
          <w:sz w:val="28"/>
          <w:szCs w:val="28"/>
          <w:lang w:bidi="ar-SA"/>
        </w:rPr>
        <w:t>вливает необходимость тщательного мониторинга, поскольку отклонения от целевого диапазона МНО (2.0-3.0) приводят либо к неэффективности терапии, либо к ятрогенным кровотечениям</w:t>
      </w:r>
      <w:r w:rsidR="0072496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{"citationID":"BPQmX15A","properties":{"unsorted":false,"formattedCitation":"[87]","plainCitation":"[87]","noteIndex":0},"citationItems":[{"id":216,"uris":["http://zotero.org/users/14784094/items/RIP7LUMY"],"itemData":{"id":216,"type":"article-journal","abstract":"Objective: Oral anticoagulation with vitamin K antagonists is recommended after mechanical heart valve replacement. However, data regarding the association between the quality of vitamin K antagonist treatment and the risk of complications are sparse.\nMethods: Patients undergoing mechanical heart valve replacement (1997-2012) with available data on international normalized ratio values were identiﬁed in Danish registries. The quality of vitamin K antagonist treatment between discharge after valve replacement and 6 months postdischarge (ie, index) was assessed as time in therapeutic range (TTR) 70% or&lt;70% reﬂecting the percentage of time in therapeutic international normalized ratio interval. Patients were followed from index until occurrence of an outcome of interest (ie, thromboembolism and bleeding), death, or end of study (December 31, 2012), whichever came ﬁrst. The risk of outcomes according to quality of vitamin K antagonist treatment was estimated with multivariable Cox regression.\nResults: In total, 659 patients undergoing mechanical heart valve replacement were included in the study. Median number of international normalized ratio measurements in the 6-month period after surgery was 13 (interquartile range, 8-19). Median TTR was 54.9% (interquartile range, 39.0%-72.9%) and 29.1% of patients had a TTR 70%. Median follow-up was 6.1 years. The risk of thromboembolism was signiﬁcantly lower in the group with TTR 70% compared with TTR &lt;70% (hazard ratio, 0.44; 95% conﬁdence interval, 0.22-0.85), whereas no signiﬁcant difference concerning risk of bleeding among groups was found (hazard ratio, 0.63; 95% conﬁdence interval 0.36-1.08).\nConclusions: In patients undergoing mechanical heart valve replacement, TTR &lt;70% in the 6-month period after surgery was associated with an increased risk of thromboembolic events but not bleeding compared with TTR 70%. (J Thorac Cardiovasc Surg 2020;159:74-83)","container-title":"The Journal of Thoracic and Cardiovascular Surgery","DOI":"10.1016/j.jtcvs.2019.02.061","ISSN":"00225223","issue":"1","journalAbbreviation":"The Journal of Thoracic and Cardiovascular Surgery","language":"en","page":"74-83.e4","source":"DOI.org (Crossref)","title":"Time in therapeutic range and risk of thromboembolism and bleeding in patients with a mechanical heart valve prosthesis","volume":"159","author":[{"family":"Havers-Borgersen","given":"Eva"},{"family":"Butt","given":"Jawad H."},{"family":"Vinding","given":"Naja E."},{"family":"Torp-Pedersen","given":"Christian"},{"family":"Gislason","given":"Gunnar"},{"family":"Køber","given":"Lars"},{"family":"Fosbøl","given":"Emil L."}],"issued":{"date-parts":[["2020",1]]}}}],"schema":"https://github.com/citation-style-language/schema/raw/master/csl-citation.json"} </w:instrText>
      </w:r>
      <w:r w:rsidR="0072496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[87]</w:t>
      </w:r>
      <w:r w:rsidR="00724969">
        <w:rPr>
          <w:rFonts w:ascii="Times New Roman" w:hAnsi="Times New Roman" w:cs="Times New Roman"/>
          <w:sz w:val="28"/>
          <w:szCs w:val="28"/>
          <w:lang w:bidi="ar-SA"/>
        </w:rPr>
        <w:fldChar w:fldCharType="end"/>
      </w:r>
      <w:r w:rsidR="0027497C">
        <w:rPr>
          <w:rFonts w:ascii="Times New Roman" w:hAnsi="Times New Roman" w:cs="Times New Roman"/>
          <w:sz w:val="28"/>
          <w:szCs w:val="28"/>
          <w:lang w:bidi="ar-SA"/>
        </w:rPr>
        <w:t>.</w:t>
      </w:r>
    </w:p>
    <w:p w14:paraId="46F1031F" w14:textId="19C1B242" w:rsidR="0027497C" w:rsidRDefault="0027497C" w:rsidP="00724969">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Клинические исследования подтверждают значительную частоту кровотечений, связанных с варфарином: 7,6-16,5% в год, включая жизнеугрожающие случаи (1,3-2,7%)</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Ut8uNOh6","properties":{"unsorted":false,"formattedCitation":"[85,88]","plainCitation":"[85,88]","noteIndex":0},"citationItems":[{"id":339,"uris":["http://zotero.org/users/14784094/items/EDUNYRFP"],"itemData":{"id":339,"type":"article-journal","container-title":"Вестник хирургии имени И. И. Грекова","ISSN":"0042-4625","issue":"6","note":"number: 6\npublisher-place: Россия, Санкт-Петербург","page":"96-100","publisher":"Федеральное государственное бюджетное образовательное учреждение высшего образования «Первый Санкт-Петербургский государственный медицинский университет имени академика И. П. Павлова» Министерства здравоохранения Российской Федерации","source":"cyberleninka.ru","title":"Риск развития геморрагических осложнений терапии варфарином","volume":"176","author":[{"family":"Ильинична","given":"Филиппова Ольга"},{"family":"Викторович","given":"Колосков Андрей"},{"family":"Владимировна","given":"Чернова Екатерина"}],"issued":{"date-parts":[["2017"]]}}},{"id":184,"uris":["http://zotero.org/users/14784094/items/2JRBRKNN"],"itemData":{"id":184,"type":"article-journal","abstract":"The antithrombotic benefits of warfarin are countered by a narrow therapeutic index that contributes to excessive bleeding or cerebrovascular clotting and stroke in some patients. This article reviews the current literature describing warfarin sensitivity genotyping and compares the results of that review to the findings of our study in 189 patients at Mayo Clinic conducted between June 2001 and April 2003. For the review of the literature, we identified relevant peer-reviewed articles by searching the Web of Knowledge using key word warfarin-related adverse event. For the 189 Mayo Clinic patients initiating warfarin therapy to achieve a target international normalized ratio (INR) in the range of 2.0 to 3.5, we analyzed the CYP2C9 (cytochrome P450 2C9) and VKORC1 (vitamin K epoxide reductase complex, subunit 1) genetic loci to study the relationship among the initial warfarin dose, steady-state dose, time to achieve steady-state dose, variations in INR, and allelic variance. Results were compared with those previously reported in the literature for 637 patients. The relationships between allelic variants and warfarin sensitivity found in our study of Mayo Clinic patients are fundamentally the same as in those reported by others. The Mayo Clinic population is predominantly white and shows considerable allelic variability in CYP2C9 and VKORC1. Certain of these alleles are associated with increased sensitivity to warfarin. Polymorphisms in CYP2C9 and VKORC1 have a considerable effect on warfarin dose in white people. A correlation between steady-state warfarin dose and allelic variants of CYP2C9 and VKORC1 has been demonstrated by many previous reports and is reconfirmed in this report. The allelic variants found to most affect warfarin sensitivity are CYP2C9*1*1-VKORC1BB (less warfarin sensitivity than typical); CYP2C9*1*1-VKORC1AA (considerable variance in INR throughout initiation); CYP2C9*1*2-VKORC1AB (more sensitivity to warfarin than typical); CYP2C9*1*3-VKORC1AB (much more sensitivity to warfarin than typical); CYP2C9*1*2-VKORC1AB (much more sensitivity to warfarin than typical); CYP2C9*1*3-VKORC1AA (much more sensitivity to warfarin than typical); and CYP2C9*2*2-VKORC1AB (much more sensitivity to warfarin than typical). Although we were unable to show an association between allelic variants and initial warfarin dose or dose escalation, an association was seen between allelic variant and steady-state warfarin dose. White people show considerable variance in CYP2C9 allele types, whereas people of Asian or African descent infrequently carry CYP2C9 allelic variants. The VKORC1AA allele associated with high warfarin sensitivity predominates in those of Asian descent, whereas white people and those of African descent show diversity, carrying either the VKORC1BB, an allele associated with low warfarin sensitivity, or VKORC1AB or VKORC1AA, alleles associated with moderate and high warfarin sensitivity, respectively.","container-title":"Mayo Clinic Proceedings","DOI":"10.4065/mcp.2009.0278","ISSN":"0025-6196","issue":"12","journalAbbreviation":"Mayo Clin Proc","page":"1079-1094","PMID":"19955245","PMCID":"PMC2787394","source":"PubMed Central","title":"Warfarin Sensitivity Genotyping: A Review of the Literature and Summary of Patient Experience","title-short":"Warfarin Sensitivity Genotyping","volume":"84","author":[{"family":"Moyer","given":"Thomas P."},{"family":"O'Kane","given":"Dennis J."},{"family":"Baudhuin","given":"Linnea M."},{"family":"Wiley","given":"Carmen L."},{"family":"Fortini","given":"Alexandre"},{"family":"Fisher","given":"Pamela K."},{"family":"Dupras","given":"Denise M."},{"family":"Chaudhry","given":"Rajeev"},{"family":"Thapa","given":"Prabin"},{"family":"Zinsmeister","given":"Alan R."},{"family":"Heit","given":"John A."}],"issued":{"date-parts":[["2009",12]]}}}],"schema":"https://github.com/citation-style-language/schema/raw/master/csl-citation.json"}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[85,88]</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Риск кровотечений прогрессивно возрастает: при МНО</w:t>
      </w:r>
      <w:r w:rsidRPr="0027497C">
        <w:rPr>
          <w:rFonts w:ascii="Times New Roman" w:hAnsi="Times New Roman" w:cs="Times New Roman"/>
          <w:sz w:val="28"/>
          <w:szCs w:val="28"/>
          <w:lang w:bidi="ar-SA"/>
        </w:rPr>
        <w:t xml:space="preserve">=2,5 </w:t>
      </w:r>
      <w:r>
        <w:rPr>
          <w:rFonts w:ascii="Times New Roman" w:hAnsi="Times New Roman" w:cs="Times New Roman"/>
          <w:sz w:val="28"/>
          <w:szCs w:val="28"/>
          <w:lang w:bidi="ar-SA"/>
        </w:rPr>
        <w:t>составляет 5%, достигая 50% при МНО=4</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zTVOJx1c","properties":{"unsorted":false,"formattedCitation":"[85,89]","plainCitation":"[85,89]","noteIndex":0},"citationItems":[{"id":339,"uris":["http://zotero.org/users/14784094/items/EDUNYRFP"],"itemData":{"id":339,"type":"article-journal","container-title":"Вестник хирургии имени И. И. Грекова","ISSN":"0042-4625","issue":"6","note":"number: 6\npublisher-place: Россия, Санкт-Петербург","page":"96-100","publisher":"Федеральное государственное бюджетное образовательное учреждение высшего образования «Первый Санкт-Петербургский государственный медицинский университет имени академика И. П. Павлова» Министерства здравоохранения Российской Федерации","source":"cyberleninka.ru","title":"Риск развития геморрагических осложнений терапии варфарином","volume":"176","author":[{"family":"Ильинична","given":"Филиппова Ольга"},{"family":"Викторович","given":"Колосков Андрей"},{"family":"Владимировна","given":"Чернова Екатерина"}],"issued":{"date-parts":[["2017"]]}}},{"id":183,"uris":["http://zotero.org/users/14784094/items/H95V7MP2"],"itemData":{"id":183,"type":"article-journal","abstract":"Coumarins are the mainstay of oral anticoagulation for the treatment and prophylaxis of thromboembolic disorders. They have a narrow therapeutic index and regular monitoring is therefore required to avoid serious adverse effects. There is wide interindividual variability in dosage requirements, which makes anticoagulation response unpredictable. Current dosing titrations are haphazard and inconvenient and poor initial control leads to morbidity, and occasional mortality, because of bleeding and further thromboembolism. Recent discoveries have helped to characterize the factors that contribute to the interindividual variability in responses to coumarins. Patient and environmental factors that affect anticoagulation response to coumarins include age, body size, dietary vitamin K status, concurrent disease and drug interactions. More recently, single nucleotide polymorphisms in the 2C9 isoform of cytochrome P450 (CYP2C9) and vitamin K epoxide reductase (VKOR) have been shown to make significant contributions to the variability in coumarin dosage requirements. Polymorphisms in other genes that mediate the actions of coumarins may also contribute to this variability. Racial and cultural differences influence dosage requirements, which can be explained, at least in part, by genetic and dietary factors. Incorporation of genetic and environmental factors could help in the prediction of more individualized loading and maintenance doses for safer anticoagulation therapy.","container-title":"British Journal of Clinical Pharmacology","DOI":"10.1111/j.1365-2125.2006.02679.x","ISSN":"0306-5251","issue":"6","journalAbbreviation":"Br J Clin Pharmacol","language":"eng","page":"746-751","PMID":"16722840","PMCID":"PMC1885126","source":"PubMed","title":"The future prospects of pharmacogenetics in oral anticoagulation therapy","volume":"61","author":[{"family":"Kamali","given":"Farhad"},{"family":"Pirmohamed","given":"Munir"}],"issued":{"date-parts":[["2006",6]]}}}],"schema":"https://github.com/citation-style-language/schema/raw/master/csl-citation.json"}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[85,89]</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Желудочно-кишечные кровотечения (ЖКК) – наиболее частый тип осложнений, приводящий к госпитализациям и росту затрат</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{"citationID":"gKNUOgAW","properties":{"unsorted":false,"formattedCitation":"[67,90]","plainCitation":"[67,90]","noteIndex":0},"citationItems":[{"id":313,"uris":["http://zotero.org/users/14784094/items/9WYF6YD8"],"itemData":{"id":313,"type":"article-journal","abstract":"The rising prevalence and the complexity of atrial fibrillation (AF) pose major clinical challenges. Stroke prevention is accompanied by non-negligible risks, making anticoagulant treatment an ongoing challenge for the clinician. Current guidelines recommend direct oral anticoagulants (DOACs) over warfarin for stroke prevention in most AF patients, mainly due to the ease of their use. However, assessing the bleeding risk in patients receiving oral anticoagulants remains—particularly in the case of DOACs—highly challenging. Using dose-adjusted warfarin increases threefold the risk of gastrointestinal bleeding (GIB). Although the overall bleeding risk appears to be lower, the use of DOACs has been associated with an increased risk of GIB compared to warfarin. Accurate bleeding (including GIB-specific) risk scores specific for DOACs remain to be developed. Until then, the assessment of bleeding risk factors remains the only available tool, although the extent to which each of these factors contributes to the risk of bleeding is unknown. In this paper, we aim to provide a comprehensive review of the bleeding risk associated with oral anticoagulant therapy in AF patients, with a highlight on the latest insights into GIB associated with oral anticoagulation; we emphasize questions that remain to be answered; and we identify hotspots for future research.","container-title":"International Journal of Molecular Sciences","DOI":"10.3390/ijms24086879","ISSN":"1422-0067","issue":"8","journalAbbreviation":"Int J Mol Sci","page":"6879","PMID":"37108042","PMCID":"PMC10138869","source":"PubMed Central","title":"Challenges of Anticoagulant Therapy in Atrial Fibrillation—Focus on Gastrointestinal Bleeding","volume":"24","author":[{"family":"Scridon","given":"Alina"},{"family":"Balan","given":"Alkora Ioana"}],"issued":{"date-parts":[["2023",4,7]]}}},{"id":647,"uris":["http://zotero.org/users/14784094/items/IIQ35Z6C"],"itemData":{"id":647,"type":"article-journal","abstract":"Gastrointestinal (GI) bleeding control is critical in elderly patients with atrial fibrillation (AF) receiving oral anticoagulants (OAC). This subgroup analysis aimed to clarify the actual state and significance of GI bleeding in elderly non-valvular AF (NVAF) patients. We evaluated the incidence and risk factors of GI bleeding during the 2-year follow-up and examined the GI bleeding impact on mortality. Of the 32,275 patients in the ANAFIE Registry, 1139 patients (3.5%) experienced GI bleeding (incidence rate, 1.92 events per 100 person-years; mean follow-up, 1.88 years); 339 upper and 760 lower GI bleeding events occurred. GI bleeding risk factors included age ≥ 85 years, body mass index ≥ 25.0 kg/m2, prior major bleeding, hyperuricaemia, heart failure, P-glycoprotein inhibitor use, GI disease, and polypharmacy (≥ 5 drugs). No significant differences in GI bleeding risk were found between direct OAC (DOAC) vs warfarin users (adjusted hazard ratios [95% confidence interval], 1.01 [0.88–1.15]). The 1-year post-GI bleeding mortality rate was numerically higher in patients with upper (19.6%) than lower GI bleeding (8.9%). In elderly Japanese NVAF patients, this large-scale study found no significant difference in GI bleeding risk between DOAC vs. warfarin users or 1-year mortality after upper or lower GI bleeding.","container-title":"Scientific Reports","DOI":"10.1038/s41598-024-59932-5","ISSN":"2045-2322","journalAbbreviation":"Sci Rep","page":"9688","PMID":"38678096","PMCID":"PMC11055876","source":"PubMed Central","title":"Gastrointestinal bleeding in elderly patients with atrial fibrillation: prespecified All Nippon Atrial Fibrillation in the Elderly (ANAFIE) Registry subgroup analysis","title-short":"Gastrointestinal bleeding in elderly patients with atrial fibrillation","volume":"14","author":[{"family":"Yamamoto","given":"Takatsugu"},{"family":"Mizokami","given":"Yuji"},{"family":"Yamashita","given":"Takeshi"},{"family":"Akao","given":"Masaharu"},{"family":"Atarashi","given":"Hirotsugu"},{"family":"Ikeda","given":"Takanori"},{"family":"Koretsune","given":"Yukihiro"},{"family":"Okumura","given":"Ken"},{"family":"Shimizu","given":"Wataru"},{"family":"Suzuki","given":"Shinya"},{"family":"Tsutsui","given":"Hiroyuki"},{"family":"Toyoda","given":"Kazunori"},{"family":"Hirayama","given":"Atsushi"},{"family":"Yasaka","given":"Masahiro"},{"family":"Yamaguchi","given":"Takenori"},{"family":"Teramukai","given":"Satoshi"},{"family":"Kimura","given":"Tetsuya"},{"family":"Morishima","given":"Yoshiyuki"},{"family":"Takita","given":"Atsushi"},{"family":"Inoue","given":"Hiroshi"}],"issued":{"date-parts":[["2024",4,27]]}}}],"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[67,90]</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Летальность в течение 30 дней после ЖКК достигает 15,5%, преимущественно обусловленная коморбидной патологией</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{"citationID":"X41WQdsn","properties":{"unsorted":false,"formattedCitation":"[67]","plainCitation":"[67]","noteIndex":0},"citationItems":[{"id":313,"uris":["http://zotero.org/users/14784094/items/9WYF6YD8"],"itemData":{"id":313,"type":"article-journal","abstract":"The rising prevalence and the complexity of atrial fibrillation (AF) pose major clinical challenges. Stroke prevention is accompanied by non-negligible risks, making anticoagulant treatment an ongoing challenge for the clinician. Current guidelines recommend direct oral anticoagulants (DOACs) over warfarin for stroke prevention in most AF patients, mainly due to the ease of their use. However, assessing the bleeding risk in patients receiving oral anticoagulants remains—particularly in the case of DOACs—highly challenging. Using dose-adjusted warfarin increases threefold the risk of gastrointestinal bleeding (GIB). Although the overall bleeding risk appears to be lower, the use of DOACs has been associated with an increased risk of GIB compared to warfarin. Accurate bleeding (including GIB-specific) risk scores specific for DOACs remain to be developed. Until then, the assessment of bleeding risk factors remains the only available tool, although the extent to which each of these factors contributes to the risk of bleeding is unknown. In this paper, we aim to provide a comprehensive review of the bleeding risk associated with oral anticoagulant therapy in AF patients, with a highlight on the latest insights into GIB associated with oral anticoagulation; we emphasize questions that remain to be answered; and we identify hotspots for future research.","container-title":"International Journal of Molecular Sciences","DOI":"10.3390/ijms24086879","ISSN":"1422-0067","issue":"8","journalAbbreviation":"Int J Mol Sci","page":"6879","PMID":"37108042","PMCID":"PMC10138869","source":"PubMed Central","title":"Challenges of Anticoagulant Therapy in Atrial Fibrillation—Focus on Gastrointestinal Bleeding","volume":"24","author":[{"family":"Scridon","given":"Alina"},{"family":"Balan","given":"Alkora Ioana"}],"issued":{"date-parts":[["2023",4,7]]}}}],"schema":"https://github.com/citation-style-language/schema/raw/master/csl-citation.json"}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[67]</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Частота ЖКК у пациентов на варфарине (3,9% на пациент-год) втрое превышает популяционный уровень</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{"citationID":"Vtg3a1zi","properties":{"unsorted":false,"formattedCitation":"[91]","plainCitation":"[91]","noteIndex":0},"citationItems":[{"id":145,"uris":["http://zotero.org/users/14784094/items/24Q52F7B"],"itemData":{"id":145,"type":"article-journal","abstract":"Background. Warfarin reduces the incidence of thromboembolism but increases the risk of gastrointestinal bleeding (GIB). GIB during warfarin anticoagulation is rarely evaluated in Asian patients. Aims. This study aimed at investigating the incidence, risk factors, management, and outcome of GIB in Taiwanese patients treated with warfarin. Methods. We analyzed a cohort of warfarin anticoagulated patients between July 1993 and May 2012. Clinical data were retrieved in a chart-reviewing manner. Results. A total of 401 warfarin anticoagulated patients were enrolled. The incidence of GIB was 3.9% per patient-years. Multivariate analysis with Cox regression showed that age &gt;65 years old (RR: 2.5, 95% CI: 1.2–5.5), a mean international normalized ratio &gt;2.1 (RR: 2.1, 95% CI: 1.0–4.2), a history of GIB (RR: 5.1, 95% CI: 1.9–13.5), and cirrhosis (RR: 6.9, 95% CI: 2.0–24.5) were independent factors predicting GIB. 27.3% of the GIB patients had rebleeding after restarting warfarin while thromboembolic events were found in 16.7% of the patients discontinuing warfarin therapy. Conclusions. Warfarin was associated with a significant incidence of GIB in Taiwanese patients. The intensity of anticoagulation should be monitored closely during warfarin therapy, especially in patients with risk factors of GIB.","container-title":"BioMed Research International","DOI":"10.1155/2014/463767","ISSN":"2314-6133","journalAbbreviation":"Biomed Res Int","page":"463767","PMID":"24987683","PMCID":"PMC4058852","source":"PubMed Central","title":"Gastrointestinal Hemorrhage in Warfarin Anticoagulated Patients: Incidence, Risk Factor, Management, and Outcome","title-short":"Gastrointestinal Hemorrhage in Warfarin Anticoagulated Patients","volume":"2014","author":[{"family":"Chen","given":"Wen-Chi"},{"family":"Chen","given":"Yan-Hua"},{"family":"Hsu","given":"Ping-I"},{"family":"Tsay","given":"Feng-Woei"},{"family":"Chan","given":"Hoi-Hung"},{"family":"Cheng","given":"Jin-Shiung"},{"family":"Lai","given":"Kwok-Hung"}],"issued":{"date-parts":[["2014"]]}}}],"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[91]</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Рецидивы возникают у 27,3% пациентов при возобновлении терапии, локализация кровотечений в верхних отделах ЖКТ: 8-15%, в нижних отделах ЖКТ </w:t>
      </w:r>
      <w:r w:rsidR="00D01BB1">
        <w:rPr>
          <w:rFonts w:ascii="Times New Roman" w:hAnsi="Times New Roman" w:cs="Times New Roman"/>
          <w:sz w:val="28"/>
          <w:szCs w:val="28"/>
          <w:lang w:bidi="ar-SA"/>
        </w:rPr>
        <w:t xml:space="preserve">до </w:t>
      </w:r>
      <w:r>
        <w:rPr>
          <w:rFonts w:ascii="Times New Roman" w:hAnsi="Times New Roman" w:cs="Times New Roman"/>
          <w:sz w:val="28"/>
          <w:szCs w:val="28"/>
          <w:lang w:bidi="ar-SA"/>
        </w:rPr>
        <w:t>7%</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{"citationID":"fbozRKvJ","properties":{"unsorted":false,"formattedCitation":"[91]","plainCitation":"[91]","noteIndex":0},"citationItems":[{"id":145,"uris":["http://zotero.org/users/14784094/items/24Q52F7B"],"itemData":{"id":145,"type":"article-journal","abstract":"Background. Warfarin reduces the incidence of thromboembolism but increases the risk of gastrointestinal bleeding (GIB). GIB during warfarin anticoagulation is rarely evaluated in Asian patients. Aims. This study aimed at investigating the incidence, risk factors, management, and outcome of GIB in Taiwanese patients treated with warfarin. Methods. We analyzed a cohort of warfarin anticoagulated patients between July 1993 and May 2012. Clinical data were retrieved in a chart-reviewing manner. Results. A total of 401 warfarin anticoagulated patients were enrolled. The incidence of GIB was 3.9% per patient-years. Multivariate analysis with Cox regression showed that age &gt;65 years old (RR: 2.5, 95% CI: 1.2–5.5), a mean international normalized ratio &gt;2.1 (RR: 2.1, 95% CI: 1.0–4.2), a history of GIB (RR: 5.1, 95% CI: 1.9–13.5), and cirrhosis (RR: 6.9, 95% CI: 2.0–24.5) were independent factors predicting GIB. 27.3% of the GIB patients had rebleeding after restarting warfarin while thromboembolic events were found in 16.7% of the patients discontinuing warfarin therapy. Conclusions. Warfarin was associated with a significant incidence of GIB in Taiwanese patients. The intensity of anticoagulation should be monitored closely during warfarin therapy, especially in patients with risk factors of GIB.","container-title":"BioMed Research International","DOI":"10.1155/2014/463767","ISSN":"2314-6133","journalAbbreviation":"Biomed Res Int","page":"463767","PMID":"24987683","PMCID":"PMC4058852","source":"PubMed Central","title":"Gastrointestinal Hemorrhage in Warfarin Anticoagulated Patients: Incidence, Risk Factor, Management, and Outcome","title-short":"Gastrointestinal Hemorrhage in Warfarin Anticoagulated Patients","volume":"2014","author":[{"family":"Chen","given":"Wen-Chi"},{"family":"Chen","given":"Yan-Hua"},{"family":"Hsu","given":"Ping-I"},{"family":"Tsay","given":"Feng-Woei"},{"family":"Chan","given":"Hoi-Hung"},{"family":"Cheng","given":"Jin-Shiung"},{"family":"Lai","given":"Kwok-Hung"}],"issued":{"date-parts":[["2014"]]}}}],"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[91]</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w:t>
      </w:r>
    </w:p>
    <w:p w14:paraId="6A7B80D0" w14:textId="77777777" w:rsidR="0027497C" w:rsidRDefault="0027497C" w:rsidP="00724969">
      <w:pPr>
        <w:pStyle w:val="LO-normal"/>
        <w:spacing w:after="0" w:line="240" w:lineRule="auto"/>
        <w:ind w:firstLine="567"/>
        <w:jc w:val="both"/>
        <w:rPr>
          <w:rFonts w:ascii="Times New Roman" w:hAnsi="Times New Roman" w:cs="Times New Roman"/>
          <w:sz w:val="28"/>
          <w:szCs w:val="28"/>
          <w:lang w:bidi="ar-SA"/>
        </w:rPr>
      </w:pPr>
    </w:p>
    <w:p w14:paraId="2EECCE9C" w14:textId="77777777" w:rsidR="0027497C" w:rsidRPr="0027497C" w:rsidRDefault="0027497C" w:rsidP="00724969">
      <w:pPr>
        <w:pStyle w:val="LO-normal"/>
        <w:spacing w:after="0" w:line="240" w:lineRule="auto"/>
        <w:ind w:firstLine="567"/>
        <w:jc w:val="both"/>
        <w:rPr>
          <w:rFonts w:ascii="Times New Roman" w:hAnsi="Times New Roman" w:cs="Times New Roman"/>
          <w:i/>
          <w:iCs/>
          <w:sz w:val="28"/>
          <w:szCs w:val="28"/>
          <w:lang w:bidi="ar-SA"/>
        </w:rPr>
      </w:pPr>
      <w:r w:rsidRPr="0027497C">
        <w:rPr>
          <w:rFonts w:ascii="Times New Roman" w:hAnsi="Times New Roman" w:cs="Times New Roman"/>
          <w:i/>
          <w:iCs/>
          <w:sz w:val="28"/>
          <w:szCs w:val="28"/>
          <w:lang w:bidi="ar-SA"/>
        </w:rPr>
        <w:t>Фармакогенетика варфарина</w:t>
      </w:r>
    </w:p>
    <w:p w14:paraId="7E894377" w14:textId="209A58E6" w:rsidR="00A1683C" w:rsidRDefault="0027497C" w:rsidP="00724969">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Фармакогенетические аспекты дозирования варфарина представляют собой фундаментальную основу для персонализации антикоагулянтной терапии. Исторически потенциал генетических полиморфизмов в предсказании дозы варфарина </w:t>
      </w:r>
      <w:r w:rsidR="003E55BE">
        <w:rPr>
          <w:rFonts w:ascii="Times New Roman" w:hAnsi="Times New Roman" w:cs="Times New Roman"/>
          <w:sz w:val="28"/>
          <w:szCs w:val="28"/>
          <w:lang w:bidi="ar-SA"/>
        </w:rPr>
        <w:t>был впервые осознан в конце ХХ века (1999г.), а последующие масштабные исследования, включая работу</w:t>
      </w:r>
      <w:r w:rsidR="003E55BE" w:rsidRPr="003E55BE">
        <w:rPr>
          <w:rFonts w:ascii="Times New Roman" w:hAnsi="Times New Roman" w:cs="Times New Roman"/>
          <w:sz w:val="28"/>
          <w:szCs w:val="28"/>
          <w:lang w:bidi="ar-SA"/>
        </w:rPr>
        <w:t xml:space="preserve"> </w:t>
      </w:r>
      <w:r w:rsidR="003E55BE">
        <w:rPr>
          <w:rFonts w:ascii="Times New Roman" w:hAnsi="Times New Roman" w:cs="Times New Roman"/>
          <w:sz w:val="28"/>
          <w:szCs w:val="28"/>
          <w:lang w:val="en-US" w:bidi="ar-SA"/>
        </w:rPr>
        <w:t>Johnson</w:t>
      </w:r>
      <w:r w:rsidR="003E55BE" w:rsidRPr="003E55BE">
        <w:rPr>
          <w:rFonts w:ascii="Times New Roman" w:hAnsi="Times New Roman" w:cs="Times New Roman"/>
          <w:sz w:val="28"/>
          <w:szCs w:val="28"/>
          <w:lang w:bidi="ar-SA"/>
        </w:rPr>
        <w:t xml:space="preserve"> (2012)</w:t>
      </w:r>
      <w:r w:rsidR="003E55BE">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{"citationID":"tlO05akV","properties":{"unsorted":false,"formattedCitation":"[92]","plainCitation":"[92]","noteIndex":0},"citationItems":[{"id":143,"uris":["http://zotero.org/users/14784094/items/UMSMNRYF"],"itemData":{"id":143,"type":"article-journal","abstract":"Warfarin is a widely used anticoagulant with a narrow therapeutic index\nand large interpatient variability in the dose required to achieve target\nanticoagulation. Common genetic variants in the cytochrome P450-2C9 (CYP2C9) and\nvitamin K–epoxide reductase complex (VKORC1) enzymes, in addition to\nknown nongenetic factors, account for ~50% of warfarin dose variability. The\npurpose of this article is to assist in the interpretation and use of\nCYP2C9 and VKORC1 geno-type data for\nestimating therapeutic warfarin dose to achieve an INR of 2–3, should\ngenotype results be available to the clinician. The Clinical Pharmacogenetics\nImplementation Consortium (CPIC) of the National Institutes of Health\nPharmacogenomics Research Network develops peer-reviewed gene–drug\nguidelines that are published and updated periodically on http://www.pharmgkb.org based on new developments in the\nfield.","container-title":"Clinical Pharmacology and Therapeutics","DOI":"10.1038/clpt.2011.185","ISSN":"0009-9236","issue":"4","journalAbbreviation":"Clin Pharmacol Ther","page":"625-629","PMID":"21900891","PMCID":"PMC3187550","source":"PubMed Central","title":"Clinical Pharmacogenetics Implementation Consortium Guidelines for CYP2C9 and VKORC1 Genotypes and Warfarin Dosing","volume":"90","author":[{"family":"Johnson","given":"JA"},{"family":"Gong","given":"L"},{"family":"Whirl-Carrillo","given":"M"},{"family":"Gage","given":"BF"},{"family":"Scott","given":"SA"},{"family":"Stein","given":"CM"},{"family":"Anderson","given":"JL"},{"family":"Kimmel","given":"SE"},{"family":"Lee","given":"MTM"},{"family":"Pirmohamed","given":"M"},{"family":"Wadelius","given":"M"},{"family":"Klein","given":"TE"},{"family":"Altman","given":"RB"}],"issued":{"date-parts":[["2011",10]]}}}],"schema":"https://github.com/citation-style-language/schema/raw/master/csl-citation.json"} </w:instrText>
      </w:r>
      <w:r w:rsidR="003E55BE">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[92]</w:t>
      </w:r>
      <w:r w:rsidR="003E55BE">
        <w:rPr>
          <w:rFonts w:ascii="Times New Roman" w:hAnsi="Times New Roman" w:cs="Times New Roman"/>
          <w:sz w:val="28"/>
          <w:szCs w:val="28"/>
          <w:lang w:bidi="ar-SA"/>
        </w:rPr>
        <w:fldChar w:fldCharType="end"/>
      </w:r>
      <w:r w:rsidR="003E55BE">
        <w:rPr>
          <w:rFonts w:ascii="Times New Roman" w:hAnsi="Times New Roman" w:cs="Times New Roman"/>
          <w:sz w:val="28"/>
          <w:szCs w:val="28"/>
          <w:lang w:bidi="ar-SA"/>
        </w:rPr>
        <w:t>, подтвердили, что вариации в геноме пациента являются ключевым фактором, детерминирующим индивидуальную потребность в препарате</w:t>
      </w:r>
      <w:r w:rsidR="003E55BE">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{"citationID":"yIQwLVIx","properties":{"unsorted":false,"formattedCitation":"[93]","plainCitation":"[93]","noteIndex":0},"citationItems":[{"id":144,"uris":["http://zotero.org/users/14784094/items/TKVEIXIZ"],"itemData":{"id":144,"type":"article-journal","abstract":"BACKGROUND: The dose response relationship of warfarin is unpredictable. Polymorphism of the Cytochrome P4502C9 enzyme leads to warfarin hypersensitivity presumably due to decreased metabolism of the S-enantiomer. The purpose of this study was to further characterize the relationship between CYP2C9 genotype and phenotype and to develop a basis for guidelines to interpret CYP2C9 genotype for warfarin dosing.\nMETHODS AND RESULTS: Patients stabilized on warfarin therapy were recruited from an anticoagulation clinic. Patients were genotyped for CYP2C9*2, CYP2C9*3 and CYP2C9*5 alleles by standard methods of polymerase chain reaction amplification and restriction endonuclease digestion. Phenotype was determined by; dose (mg/kg/d) required to maintain anticoagulation, (INR 2.0-3.0), oral plasma S-warfarin clearance, and the plasma S:R-warfarin ratio. In this cohort, no subjects were found to have the CYP2C9*5 allele. The plasma S-warfarin concentration did not differ with age, dose or CYP2C9 genotype. Both CYP2C9*2 and *3 alleles were associated with lower maintenance dosages, lower total and R-warfarin plasma concentrations, decreased oral clearance of S-warfarin, increased plasma S:R-warfarin ratio and extended S-warfarin elimination half-life. Advancing age was found to decrease Warfarin maintenance dose in subjects with the common active CYP2C9*1/*1 genotype but did not influence dose requirement of subjects with one or more variant CYP2C9 alleles.\nCONCLUSIONS: Subjects who have been titrated to a consistent target INR demonstrate comparable plasma S-warfarin concentrations independent of CYP2C9 genotype. The warfarin dose required to maintain a consistent target INR between subjects differs as a function of S-warfarin clearance which is decreased by both CYP2C9*2 and or CYP2C9*3 variant alleles. The variables of CYP2C9 genotype and age can be applied to restrict the dosage range considered for individual patients.","container-title":"Journal of Thrombosis and Thrombolysis","DOI":"10.1023/a:1025052827305","ISSN":"0929-5305","issue":"3","journalAbbreviation":"J Thromb Thrombolysis","language":"eng","page":"227-232","PMID":"12913403","source":"PubMed","title":"Warfarin dose adjustments based on CYP2C9 genetic polymorphisms","volume":"14","author":[{"family":"Linder","given":"Mark W."},{"family":"Looney","given":"Stephen"},{"family":"Adams","given":"Jesse E."},{"family":"Johnson","given":"Nancy"},{"family":"Antonino-Green","given":"Deborah"},{"family":"Lacefield","given":"Nichole"},{"family":"Bukaveckas","given":"Bonny L."},{"family":"Valdes","given":"Roland"}],"issued":{"date-parts":[["2002",12]]}}}],"schema":"https://github.com/citation-style-language/schema/raw/master/csl-citation.json"} </w:instrText>
      </w:r>
      <w:r w:rsidR="003E55BE">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[93]</w:t>
      </w:r>
      <w:r w:rsidR="003E55BE">
        <w:rPr>
          <w:rFonts w:ascii="Times New Roman" w:hAnsi="Times New Roman" w:cs="Times New Roman"/>
          <w:sz w:val="28"/>
          <w:szCs w:val="28"/>
          <w:lang w:bidi="ar-SA"/>
        </w:rPr>
        <w:fldChar w:fldCharType="end"/>
      </w:r>
      <w:r w:rsidR="003E55BE">
        <w:rPr>
          <w:rFonts w:ascii="Times New Roman" w:hAnsi="Times New Roman" w:cs="Times New Roman"/>
          <w:sz w:val="28"/>
          <w:szCs w:val="28"/>
          <w:lang w:bidi="ar-SA"/>
        </w:rPr>
        <w:t>. Особый научный интерес сосредоточен на генах, кодирующих ферменты метаболизма варфарина и его мишени: субъединицу цитохрома Р450 2С9 (</w:t>
      </w:r>
      <w:r w:rsidR="003E55BE">
        <w:rPr>
          <w:rFonts w:ascii="Times New Roman" w:hAnsi="Times New Roman" w:cs="Times New Roman"/>
          <w:sz w:val="28"/>
          <w:szCs w:val="28"/>
          <w:lang w:val="en-US" w:bidi="ar-SA"/>
        </w:rPr>
        <w:t>CYP</w:t>
      </w:r>
      <w:r w:rsidR="003E55BE" w:rsidRPr="003E55BE">
        <w:rPr>
          <w:rFonts w:ascii="Times New Roman" w:hAnsi="Times New Roman" w:cs="Times New Roman"/>
          <w:sz w:val="28"/>
          <w:szCs w:val="28"/>
          <w:lang w:bidi="ar-SA"/>
        </w:rPr>
        <w:t>2</w:t>
      </w:r>
      <w:r w:rsidR="003E55BE">
        <w:rPr>
          <w:rFonts w:ascii="Times New Roman" w:hAnsi="Times New Roman" w:cs="Times New Roman"/>
          <w:sz w:val="28"/>
          <w:szCs w:val="28"/>
          <w:lang w:val="en-US" w:bidi="ar-SA"/>
        </w:rPr>
        <w:t>C</w:t>
      </w:r>
      <w:r w:rsidR="003E55BE" w:rsidRPr="003E55BE">
        <w:rPr>
          <w:rFonts w:ascii="Times New Roman" w:hAnsi="Times New Roman" w:cs="Times New Roman"/>
          <w:sz w:val="28"/>
          <w:szCs w:val="28"/>
          <w:lang w:bidi="ar-SA"/>
        </w:rPr>
        <w:t>9</w:t>
      </w:r>
      <w:r w:rsidR="003E55BE">
        <w:rPr>
          <w:rFonts w:ascii="Times New Roman" w:hAnsi="Times New Roman" w:cs="Times New Roman"/>
          <w:sz w:val="28"/>
          <w:szCs w:val="28"/>
          <w:lang w:bidi="ar-SA"/>
        </w:rPr>
        <w:t>) и витамин К-эпоксидредуктазу (</w:t>
      </w:r>
      <w:r w:rsidR="003E55BE">
        <w:rPr>
          <w:rFonts w:ascii="Times New Roman" w:hAnsi="Times New Roman" w:cs="Times New Roman"/>
          <w:sz w:val="28"/>
          <w:szCs w:val="28"/>
          <w:lang w:val="en-US" w:bidi="ar-SA"/>
        </w:rPr>
        <w:t>VKORC</w:t>
      </w:r>
      <w:r w:rsidR="003E55BE" w:rsidRPr="003E55BE">
        <w:rPr>
          <w:rFonts w:ascii="Times New Roman" w:hAnsi="Times New Roman" w:cs="Times New Roman"/>
          <w:sz w:val="28"/>
          <w:szCs w:val="28"/>
          <w:lang w:bidi="ar-SA"/>
        </w:rPr>
        <w:t>1</w:t>
      </w:r>
      <w:r w:rsidR="003E55BE">
        <w:rPr>
          <w:rFonts w:ascii="Times New Roman" w:hAnsi="Times New Roman" w:cs="Times New Roman"/>
          <w:sz w:val="28"/>
          <w:szCs w:val="28"/>
          <w:lang w:bidi="ar-SA"/>
        </w:rPr>
        <w:t>)</w:t>
      </w:r>
      <w:r w:rsidR="003E55BE">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{"citationID":"OVdpMG8C","properties":{"unsorted":false,"formattedCitation":"[72]","plainCitation":"[72]","noteIndex":0},"citationItems":[{"id":705,"uris":["http://zotero.org/users/14784094/items/YWKZIFFK"],"itemData":{"id":705,"type":"article-journal","abstract":"Oral anticoagulants (OAs) are the recommended drugs to prevent cardiovascular events and recurrence in patients with atrial fibrillation (AF) and cardioembolic stroke. We conducted a literature search to review the current state of OAs pharmacogenomics, focusing on Genome Wide Association Studies (GWAs) in patients treated with vitamin K antagonists (VKAs) and direct oral anticoagulants (DOACs).","container-title":"Oncotarget","DOI":"10.18632/oncotarget.25579","ISSN":"1949-2553","issue":"49","journalAbbreviation":"Oncotarget","language":"en","page":"29238-29258","source":"DOI.org (Crossref)","title":"Pharmacogenetic studies with oral anticoagulants. Genome-wide association studies in vitamin K antagonist and direct oral anticoagulants","volume":"9","author":[{"family":"Cullell","given":"Natalia"},{"family":"Carrera","given":"Caty"},{"family":"Muiño","given":"Elena"},{"family":"Torres","given":"Nuria"},{"family":"Krupinski","given":"Jerzy"},{"family":"Fernandez-Cadenas","given":"Israel"}],"issued":{"date-parts":[["2018",6,26]]}}}],"schema":"https://github.com/citation-style-language/schema/raw/master/csl-citation.json"} </w:instrText>
      </w:r>
      <w:r w:rsidR="003E55BE">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[72]</w:t>
      </w:r>
      <w:r w:rsidR="003E55BE">
        <w:rPr>
          <w:rFonts w:ascii="Times New Roman" w:hAnsi="Times New Roman" w:cs="Times New Roman"/>
          <w:sz w:val="28"/>
          <w:szCs w:val="28"/>
          <w:lang w:bidi="ar-SA"/>
        </w:rPr>
        <w:fldChar w:fldCharType="end"/>
      </w:r>
      <w:r w:rsidR="003E55BE" w:rsidRPr="003E55BE">
        <w:rPr>
          <w:rFonts w:ascii="Times New Roman" w:hAnsi="Times New Roman" w:cs="Times New Roman"/>
          <w:sz w:val="28"/>
          <w:szCs w:val="28"/>
          <w:lang w:bidi="ar-SA"/>
        </w:rPr>
        <w:t>.</w:t>
      </w:r>
      <w:r w:rsidR="003E55BE">
        <w:rPr>
          <w:rFonts w:ascii="Times New Roman" w:hAnsi="Times New Roman" w:cs="Times New Roman"/>
          <w:sz w:val="28"/>
          <w:szCs w:val="28"/>
          <w:lang w:bidi="ar-SA"/>
        </w:rPr>
        <w:t xml:space="preserve"> Более того, крупные наблюдательные исследования показали, что комбинация клинических факторов (возраст, индекс массы тела) с генотипами </w:t>
      </w:r>
      <w:r w:rsidR="003E55BE">
        <w:rPr>
          <w:rFonts w:ascii="Times New Roman" w:hAnsi="Times New Roman" w:cs="Times New Roman"/>
          <w:sz w:val="28"/>
          <w:szCs w:val="28"/>
          <w:lang w:val="en-US" w:bidi="ar-SA"/>
        </w:rPr>
        <w:t>CYP</w:t>
      </w:r>
      <w:r w:rsidR="003E55BE" w:rsidRPr="003E55BE">
        <w:rPr>
          <w:rFonts w:ascii="Times New Roman" w:hAnsi="Times New Roman" w:cs="Times New Roman"/>
          <w:sz w:val="28"/>
          <w:szCs w:val="28"/>
          <w:lang w:bidi="ar-SA"/>
        </w:rPr>
        <w:t>2</w:t>
      </w:r>
      <w:r w:rsidR="003E55BE">
        <w:rPr>
          <w:rFonts w:ascii="Times New Roman" w:hAnsi="Times New Roman" w:cs="Times New Roman"/>
          <w:sz w:val="28"/>
          <w:szCs w:val="28"/>
          <w:lang w:val="en-US" w:bidi="ar-SA"/>
        </w:rPr>
        <w:t>C</w:t>
      </w:r>
      <w:r w:rsidR="003E55BE" w:rsidRPr="003E55BE">
        <w:rPr>
          <w:rFonts w:ascii="Times New Roman" w:hAnsi="Times New Roman" w:cs="Times New Roman"/>
          <w:sz w:val="28"/>
          <w:szCs w:val="28"/>
          <w:lang w:bidi="ar-SA"/>
        </w:rPr>
        <w:t>9</w:t>
      </w:r>
      <w:r w:rsidR="003E55BE">
        <w:rPr>
          <w:rFonts w:ascii="Times New Roman" w:hAnsi="Times New Roman" w:cs="Times New Roman"/>
          <w:sz w:val="28"/>
          <w:szCs w:val="28"/>
          <w:lang w:bidi="ar-SA"/>
        </w:rPr>
        <w:t xml:space="preserve"> и</w:t>
      </w:r>
      <w:r w:rsidR="003E55BE" w:rsidRPr="003E55BE">
        <w:rPr>
          <w:rFonts w:ascii="Times New Roman" w:hAnsi="Times New Roman" w:cs="Times New Roman"/>
          <w:sz w:val="28"/>
          <w:szCs w:val="28"/>
          <w:lang w:bidi="ar-SA"/>
        </w:rPr>
        <w:t xml:space="preserve"> </w:t>
      </w:r>
      <w:r w:rsidR="003E55BE">
        <w:rPr>
          <w:rFonts w:ascii="Times New Roman" w:hAnsi="Times New Roman" w:cs="Times New Roman"/>
          <w:sz w:val="28"/>
          <w:szCs w:val="28"/>
          <w:lang w:val="en-US" w:bidi="ar-SA"/>
        </w:rPr>
        <w:t>VKORC</w:t>
      </w:r>
      <w:r w:rsidR="003E55BE" w:rsidRPr="003E55BE">
        <w:rPr>
          <w:rFonts w:ascii="Times New Roman" w:hAnsi="Times New Roman" w:cs="Times New Roman"/>
          <w:sz w:val="28"/>
          <w:szCs w:val="28"/>
          <w:lang w:bidi="ar-SA"/>
        </w:rPr>
        <w:t>1</w:t>
      </w:r>
      <w:r w:rsidR="003E55BE">
        <w:rPr>
          <w:rFonts w:ascii="Times New Roman" w:hAnsi="Times New Roman" w:cs="Times New Roman"/>
          <w:sz w:val="28"/>
          <w:szCs w:val="28"/>
          <w:lang w:bidi="ar-SA"/>
        </w:rPr>
        <w:t xml:space="preserve"> объясняет почти половину (</w:t>
      </w:r>
      <w:r w:rsidR="003E55BE">
        <w:rPr>
          <w:rFonts w:ascii="Times New Roman" w:hAnsi="Times New Roman" w:cs="Times New Roman"/>
          <w:sz w:val="28"/>
          <w:szCs w:val="28"/>
          <w:lang w:bidi="ar-SA"/>
        </w:rPr>
        <w:sym w:font="Symbol" w:char="F0BB"/>
      </w:r>
      <w:r w:rsidR="003E55BE">
        <w:rPr>
          <w:rFonts w:ascii="Times New Roman" w:hAnsi="Times New Roman" w:cs="Times New Roman"/>
          <w:sz w:val="28"/>
          <w:szCs w:val="28"/>
          <w:lang w:bidi="ar-SA"/>
        </w:rPr>
        <w:t>50%) всей межиндивидуальной вариабельности стабильной дозы варфарина</w:t>
      </w:r>
      <w:r w:rsidR="003E55BE">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{"citationID":"WUPR8tsj","properties":{"unsorted":false,"formattedCitation":"[94]","plainCitation":"[94]","noteIndex":0},"citationItems":[{"id":213,"uris":["http://zotero.org/users/14784094/items/MJ2VNE4R"],"itemData":{"id":213,"type":"article-journal","abstract":"Warfarin is the most widely used oral anticoagulant worldwide, but it has a narrow therapeutic index which necessitates constant monitoring of anticoagulation response. Previous genome-wide studies have focused on identifying factors explaining variance in stable dose, but have not explored the initial patient response to warfarin, and a wider range of clinical and biochemical factors affecting both initial and stable dosing with warfarin.","container-title":"Genome Medicine","DOI":"10.1186/s13073-015-0255-y","ISSN":"1756-994X","issue":"1","journalAbbreviation":"Genome Medicine","page":"2","source":"BioMed Central","title":"A multi-factorial analysis of response to warfarin in a UK prospective cohort","volume":"8","author":[{"family":"Bourgeois","given":"Stephane"},{"family":"Jorgensen","given":"Andrea"},{"family":"Zhang","given":"Eunice J."},{"family":"Hanson","given":"Anita"},{"family":"Gillman","given":"Matthew S."},{"family":"Bumpstead","given":"Suzannah"},{"family":"Toh","given":"Cheng Hock"},{"family":"Williamson","given":"Paula"},{"family":"Daly","given":"Ann K."},{"family":"Kamali","given":"Farhad"},{"family":"Deloukas","given":"Panos"},{"family":"Pirmohamed","given":"Munir"}],"issued":{"date-parts":[["2016",1,6]]}}}],"schema":"https://github.com/citation-style-language/schema/raw/master/csl-citation.json"} </w:instrText>
      </w:r>
      <w:r w:rsidR="003E55BE">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[94]</w:t>
      </w:r>
      <w:r w:rsidR="003E55BE">
        <w:rPr>
          <w:rFonts w:ascii="Times New Roman" w:hAnsi="Times New Roman" w:cs="Times New Roman"/>
          <w:sz w:val="28"/>
          <w:szCs w:val="28"/>
          <w:lang w:bidi="ar-SA"/>
        </w:rPr>
        <w:fldChar w:fldCharType="end"/>
      </w:r>
      <w:r w:rsidR="003E55BE">
        <w:rPr>
          <w:rFonts w:ascii="Times New Roman" w:hAnsi="Times New Roman" w:cs="Times New Roman"/>
          <w:sz w:val="28"/>
          <w:szCs w:val="28"/>
          <w:lang w:bidi="ar-SA"/>
        </w:rPr>
        <w:t>. Это</w:t>
      </w:r>
      <w:r w:rsidR="00D25030">
        <w:rPr>
          <w:rFonts w:ascii="Times New Roman" w:hAnsi="Times New Roman" w:cs="Times New Roman"/>
          <w:sz w:val="28"/>
          <w:szCs w:val="28"/>
          <w:lang w:bidi="ar-SA"/>
        </w:rPr>
        <w:t xml:space="preserve"> подчеркивает критическую важность фармакогенетического подхода. Несмотря на десятилетия интенсивных исследований, сфокусированных на влиянии полиморфизмов </w:t>
      </w:r>
      <w:r w:rsidR="00D25030">
        <w:rPr>
          <w:rFonts w:ascii="Times New Roman" w:hAnsi="Times New Roman" w:cs="Times New Roman"/>
          <w:sz w:val="28"/>
          <w:szCs w:val="28"/>
          <w:lang w:val="en-US" w:bidi="ar-SA"/>
        </w:rPr>
        <w:t>VKORC</w:t>
      </w:r>
      <w:r w:rsidR="00D25030" w:rsidRPr="00D25030">
        <w:rPr>
          <w:rFonts w:ascii="Times New Roman" w:hAnsi="Times New Roman" w:cs="Times New Roman"/>
          <w:sz w:val="28"/>
          <w:szCs w:val="28"/>
          <w:lang w:bidi="ar-SA"/>
        </w:rPr>
        <w:t xml:space="preserve">1, </w:t>
      </w:r>
      <w:r w:rsidR="00D25030">
        <w:rPr>
          <w:rFonts w:ascii="Times New Roman" w:hAnsi="Times New Roman" w:cs="Times New Roman"/>
          <w:sz w:val="28"/>
          <w:szCs w:val="28"/>
          <w:lang w:val="en-US" w:bidi="ar-SA"/>
        </w:rPr>
        <w:t>CYP</w:t>
      </w:r>
      <w:r w:rsidR="00D25030" w:rsidRPr="00D25030">
        <w:rPr>
          <w:rFonts w:ascii="Times New Roman" w:hAnsi="Times New Roman" w:cs="Times New Roman"/>
          <w:sz w:val="28"/>
          <w:szCs w:val="28"/>
          <w:lang w:bidi="ar-SA"/>
        </w:rPr>
        <w:t>2</w:t>
      </w:r>
      <w:r w:rsidR="00D25030">
        <w:rPr>
          <w:rFonts w:ascii="Times New Roman" w:hAnsi="Times New Roman" w:cs="Times New Roman"/>
          <w:sz w:val="28"/>
          <w:szCs w:val="28"/>
          <w:lang w:val="en-US" w:bidi="ar-SA"/>
        </w:rPr>
        <w:t>C</w:t>
      </w:r>
      <w:r w:rsidR="00D25030" w:rsidRPr="00D25030">
        <w:rPr>
          <w:rFonts w:ascii="Times New Roman" w:hAnsi="Times New Roman" w:cs="Times New Roman"/>
          <w:sz w:val="28"/>
          <w:szCs w:val="28"/>
          <w:lang w:bidi="ar-SA"/>
        </w:rPr>
        <w:t>9</w:t>
      </w:r>
      <w:r w:rsidR="00D25030">
        <w:rPr>
          <w:rFonts w:ascii="Times New Roman" w:hAnsi="Times New Roman" w:cs="Times New Roman"/>
          <w:sz w:val="28"/>
          <w:szCs w:val="28"/>
          <w:lang w:bidi="ar-SA"/>
        </w:rPr>
        <w:t xml:space="preserve"> и клинических параметров на дозирование, особые группы пациентов, такие как лица старше 65 лет, часто оставались недостаточно изученными</w:t>
      </w:r>
      <w:r w:rsidR="00D25030">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{"citationID":"VqzInwDe","properties":{"unsorted":false,"formattedCitation":"[95]","plainCitation":"[95]","noteIndex":0},"citationItems":[{"id":214,"uris":["http://zotero.org/users/14784094/items/LBQN5EM7"],"itemData":{"id":214,"type":"article-journal","abstract":"BACKGROUND: The Beers criteria identify inappropriate use of medications in older adults. The number of and risk for adverse events from these medications are unknown.\nOBJECTIVE: To estimate the number of and risk for emergency department visits for adverse events involving Beers criteria medications compared with other medications.\nDESIGN: Nationally representative, public health surveillance of adverse drug events and a cross-sectional survey of outpatient medical visits.\nSETTING: National Electronic Injury Surveillance System-Cooperative Adverse Drug Event Surveillance System, 2004-2005; National Ambulatory Medical Care Survey, 2004; and National Hospital Ambulatory Medical Care Survey, 2004.\nPARTICIPANTS: Persons 65 years of age or older seeking emergency department and outpatient care.\nMEASUREMENTS: Estimated number of and risks for emergency department visits for adverse drug events involving Beers criteria medications and other medications.\nRESULTS: Among U.S. patients 65 years of age or older, an estimated 177,504 emergency department visits (95% CI, 100,155 to 254,854 visits) for adverse drug events occurred both years. An estimated 3.6% (CI, 2.8% to 4.5%) of these visits were for adverse events medications considered to be always potentially inappropriate, according to the Beers criteria, and 33.3% (CI, 27.8% to 38.7%) of visits were for adverse events from 3 other medications (warfarin [17.3%], insulin [13.0%], and digoxin [3.2%]). Accounting for outpatient prescription frequency, the risk for emergency department visits for adverse events due to these 3 medications was 35 times (CI, 9.6 to 61) greater than that for medications considered to be always potentially inappropriate.\nLIMITATION: Adverse events were identified only in emergency departments.\nCONCLUSION: Compared with other medications, Beers criteria medications caused low numbers of and few risks for emergency department visits for adverse events. Performance measures and interventions targeting warfarin, insulin, and digoxin use could prevent more emergency department visits for adverse events.","container-title":"Annals of Internal Medicine","DOI":"10.7326/0003-4819-147-11-200712040-00006","ISSN":"1539-3704","issue":"11","journalAbbreviation":"Ann Intern Med","language":"eng","page":"755-765","PMID":"18056659","source":"PubMed","title":"Medication use leading to emergency department visits for adverse drug events in older adults","volume":"147","author":[{"family":"Budnitz","given":"Daniel S."},{"family":"Shehab","given":"Nadine"},{"family":"Kegler","given":"Scott R."},{"family":"Richards","given":"Chesley L."}],"issued":{"date-parts":[["2007",12,4]]}}}],"schema":"https://github.com/citation-style-language/schema/raw/master/csl-citation.json"} </w:instrText>
      </w:r>
      <w:r w:rsidR="00D25030">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[95]</w:t>
      </w:r>
      <w:r w:rsidR="00D25030">
        <w:rPr>
          <w:rFonts w:ascii="Times New Roman" w:hAnsi="Times New Roman" w:cs="Times New Roman"/>
          <w:sz w:val="28"/>
          <w:szCs w:val="28"/>
          <w:lang w:bidi="ar-SA"/>
        </w:rPr>
        <w:fldChar w:fldCharType="end"/>
      </w:r>
      <w:r w:rsidR="00D25030">
        <w:rPr>
          <w:rFonts w:ascii="Times New Roman" w:hAnsi="Times New Roman" w:cs="Times New Roman"/>
          <w:sz w:val="28"/>
          <w:szCs w:val="28"/>
          <w:lang w:bidi="ar-SA"/>
        </w:rPr>
        <w:t>. Это вызывает серьезную озабоченность, учитывая, что варфарин исторически входит в число лидеров по частоте вызываемых им тяжелых нежелательных явлений, требующих экстренной госпитализации</w:t>
      </w:r>
      <w:r w:rsidR="00D25030">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{"citationID":"FBWOC4Ch","properties":{"unsorted":false,"formattedCitation":"[83]","plainCitation":"[83]","noteIndex":0},"citationItems":[{"id":302,"uris":["http://zotero.org/users/14784094/items/BQNRUXCN"],"itemData":{"id":302,"type":"article-journal","abstract":"Objectives\nTo verify the accuracy of the International Warfarin Pharmacogenetics Consortium (IWPC) algorithm, identify the effects of genetic and clinical factors on warfarin stable dose, and to establish a new warfarin stable dose prediction algorithm for the elderly Han-Chinese population under the guidance of pharmacogenetics.\n\nMethods\nAccording to the inclusion criteria, 544 non-valvular atrial fibrillation patients taking warfarin for anticoagulation treatment were enrolled. Data information of three groups including the whole population, people under 65 years old and over 65 years old were substituted into the IWPC algorithm respectively to verify its accuracy. The basic data and clinical information of 360 elderly people were collected for statistical analysis and the genotypes of VKORC1-G1639A and CYP2C9 were detected by Sanger sequencing. The new algorithm of the elder pharmacogenetics warfarin dosing was obtained by stepwise multiple regression. The determination coefficient (R2), root mean squared error (RMSE), and the proportion of the predicted value within the true value range of ±20%(20%-p) were used to evaluate the accuracy of the IWPC algorithm and the new algorithm.\n\nResults\nAmong the three different age groups, the warfarin stable dose predictive accuracy of IWPC algorithm was the lowest in the elderly patients above 65-year-old. In this study, the important factors influencing the stable dose of warfarin in the elderly Han-Chinese were height, weight, body surface area, serum creatinine level, amiodarone usage, CYP2C9 (*1*2, *1*3), and VKORC1 (GG/GA) genotypes. By means of stepwise multiple regression analysis, we established a new elder warfarin dosing algorithm (R2=0.3714) containing height, creatinine, amiodarone usage, CYP2C9 (*1*2 or *1*3), and VKORC1 (GA or GG) genotypes. The prediction accuracy and clinical availability of the Elderly algorithm was significantly better than that of IWPC algorithm verified by RMSE, R2, and (20%-p) methods.\n\nConclusions\nThe IWPC model may not be suitable for the elder Han-Chinese population. Polymorphism of CYP2C9 and VKORC1 obviously affected warfarin stable dose of the elder Han-Chinese. Combination of genetic data with demographic and clinical factors could help to better improve warfarin doses in the elder Han-Chinese population.","container-title":"Frontiers in Pharmacology","DOI":"10.3389/fphar.2020.01014","ISSN":"1663-9812","journalAbbreviation":"Front Pharmacol","page":"1014","PMID":"32754031","PMCID":"PMC7365937","source":"PubMed Central","title":"Pharmacogenetic-Guided Algorithm to Improve Daily Dose of Warfarin in Elder Han-Chinese Population","volume":"11","author":[{"family":"Ren","given":"Yirong"},{"family":"Yang","given":"Chenguang"},{"family":"Chen","given":"Hao"},{"family":"Dai","given":"Dapeng"},{"family":"Wang","given":"Yan"},{"family":"Zhu","given":"Huolan"},{"family":"Wang","given":"Fang"}],"issued":{"date-parts":[["2020",7,10]]}}}],"schema":"https://github.com/citation-style-language/schema/raw/master/csl-citation.json"} </w:instrText>
      </w:r>
      <w:r w:rsidR="00D25030">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[83]</w:t>
      </w:r>
      <w:r w:rsidR="00D25030">
        <w:rPr>
          <w:rFonts w:ascii="Times New Roman" w:hAnsi="Times New Roman" w:cs="Times New Roman"/>
          <w:sz w:val="28"/>
          <w:szCs w:val="28"/>
          <w:lang w:bidi="ar-SA"/>
        </w:rPr>
        <w:fldChar w:fldCharType="end"/>
      </w:r>
      <w:r w:rsidR="00D25030">
        <w:rPr>
          <w:rFonts w:ascii="Times New Roman" w:hAnsi="Times New Roman" w:cs="Times New Roman"/>
          <w:sz w:val="28"/>
          <w:szCs w:val="28"/>
          <w:lang w:bidi="ar-SA"/>
        </w:rPr>
        <w:t xml:space="preserve">. Так, по данным </w:t>
      </w:r>
      <w:proofErr w:type="spellStart"/>
      <w:r w:rsidR="00D25030">
        <w:rPr>
          <w:rFonts w:ascii="Times New Roman" w:hAnsi="Times New Roman" w:cs="Times New Roman"/>
          <w:sz w:val="28"/>
          <w:szCs w:val="28"/>
          <w:lang w:val="en-US" w:bidi="ar-SA"/>
        </w:rPr>
        <w:t>Budnitz</w:t>
      </w:r>
      <w:proofErr w:type="spellEnd"/>
      <w:r w:rsidR="00D25030" w:rsidRPr="00D25030">
        <w:rPr>
          <w:rFonts w:ascii="Times New Roman" w:hAnsi="Times New Roman" w:cs="Times New Roman"/>
          <w:sz w:val="28"/>
          <w:szCs w:val="28"/>
          <w:lang w:bidi="ar-SA"/>
        </w:rPr>
        <w:t xml:space="preserve"> </w:t>
      </w:r>
      <w:r w:rsidR="00D25030">
        <w:rPr>
          <w:rFonts w:ascii="Times New Roman" w:hAnsi="Times New Roman" w:cs="Times New Roman"/>
          <w:sz w:val="28"/>
          <w:szCs w:val="28"/>
          <w:lang w:val="en-US" w:bidi="ar-SA"/>
        </w:rPr>
        <w:t>et</w:t>
      </w:r>
      <w:r w:rsidR="00D25030" w:rsidRPr="00D25030">
        <w:rPr>
          <w:rFonts w:ascii="Times New Roman" w:hAnsi="Times New Roman" w:cs="Times New Roman"/>
          <w:sz w:val="28"/>
          <w:szCs w:val="28"/>
          <w:lang w:bidi="ar-SA"/>
        </w:rPr>
        <w:t xml:space="preserve"> </w:t>
      </w:r>
      <w:r w:rsidR="00D25030">
        <w:rPr>
          <w:rFonts w:ascii="Times New Roman" w:hAnsi="Times New Roman" w:cs="Times New Roman"/>
          <w:sz w:val="28"/>
          <w:szCs w:val="28"/>
          <w:lang w:val="en-US" w:bidi="ar-SA"/>
        </w:rPr>
        <w:t>al</w:t>
      </w:r>
      <w:r w:rsidR="00D25030" w:rsidRPr="00D25030">
        <w:rPr>
          <w:rFonts w:ascii="Times New Roman" w:hAnsi="Times New Roman" w:cs="Times New Roman"/>
          <w:sz w:val="28"/>
          <w:szCs w:val="28"/>
          <w:lang w:bidi="ar-SA"/>
        </w:rPr>
        <w:t xml:space="preserve">. (2007), </w:t>
      </w:r>
      <w:r w:rsidR="00D25030">
        <w:rPr>
          <w:rFonts w:ascii="Times New Roman" w:hAnsi="Times New Roman" w:cs="Times New Roman"/>
          <w:sz w:val="28"/>
          <w:szCs w:val="28"/>
          <w:lang w:bidi="ar-SA"/>
        </w:rPr>
        <w:t>в США этот препарат был ответственен за треть всех обращений в отделении неотложной помощи, связанных с серьезными побочными эффектами лекарственных средств у пожилых</w:t>
      </w:r>
      <w:r w:rsidR="00D25030">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{"citationID":"XhFboGXf","properties":{"unsorted":false,"formattedCitation":"[95]","plainCitation":"[95]","noteIndex":0},"citationItems":[{"id":214,"uris":["http://zotero.org/users/14784094/items/LBQN5EM7"],"itemData":{"id":214,"type":"article-journal","abstract":"BACKGROUND: The Beers criteria identify inappropriate use of medications in older adults. The number of and risk for adverse events from these medications are unknown.\nOBJECTIVE: To estimate the number of and risk for emergency department visits for adverse events involving Beers criteria medications compared with other medications.\nDESIGN: Nationally representative, public health surveillance of adverse drug events and a cross-sectional survey of outpatient medical visits.\nSETTING: National Electronic Injury Surveillance System-Cooperative Adverse Drug Event Surveillance System, 2004-2005; National Ambulatory Medical Care Survey, 2004; and National Hospital Ambulatory Medical Care Survey, 2004.\nPARTICIPANTS: Persons 65 years of age or older seeking emergency department and outpatient care.\nMEASUREMENTS: Estimated number of and risks for emergency department visits for adverse drug events involving Beers criteria medications and other medications.\nRESULTS: Among U.S. patients 65 years of age or older, an estimated 177,504 emergency department visits (95% CI, 100,155 to 254,854 visits) for adverse drug events occurred both years. An estimated 3.6% (CI, 2.8% to 4.5%) of these visits were for adverse events medications considered to be always potentially inappropriate, according to the Beers criteria, and 33.3% (CI, 27.8% to 38.7%) of visits were for adverse events from 3 other medications (warfarin [17.3%], insulin [13.0%], and digoxin [3.2%]). Accounting for outpatient prescription frequency, the risk for emergency department visits for adverse events due to these 3 medications was 35 times (CI, 9.6 to 61) greater than that for medications considered to be always potentially inappropriate.\nLIMITATION: Adverse events were identified only in emergency departments.\nCONCLUSION: Compared with other medications, Beers criteria medications caused low numbers of and few risks for emergency department visits for adverse events. Performance measures and interventions targeting warfarin, insulin, and digoxin use could prevent more emergency department visits for adverse events.","container-title":"Annals of Internal Medicine","DOI":"10.7326/0003-4819-147-11-200712040-00006","ISSN":"1539-3704","issue":"11","journalAbbreviation":"Ann Intern Med","language":"eng","page":"755-765","PMID":"18056659","source":"PubMed","title":"Medication use leading to emergency department visits for adverse drug events in older adults","volume":"147","author":[{"family":"Budnitz","given":"Daniel S."},{"family":"Shehab","given":"Nadine"},{"family":"Kegler","given":"Scott R."},{"family":"Richards","given":"Chesley L."}],"issued":{"date-parts":[["2007",12,4]]}}}],"schema":"https://github.com/citation-style-language/schema/raw/master/csl-citation.json"} </w:instrText>
      </w:r>
      <w:r w:rsidR="00D25030">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[95]</w:t>
      </w:r>
      <w:r w:rsidR="00D25030">
        <w:rPr>
          <w:rFonts w:ascii="Times New Roman" w:hAnsi="Times New Roman" w:cs="Times New Roman"/>
          <w:sz w:val="28"/>
          <w:szCs w:val="28"/>
          <w:lang w:bidi="ar-SA"/>
        </w:rPr>
        <w:fldChar w:fldCharType="end"/>
      </w:r>
      <w:r w:rsidR="00D25030">
        <w:rPr>
          <w:rFonts w:ascii="Times New Roman" w:hAnsi="Times New Roman" w:cs="Times New Roman"/>
          <w:sz w:val="28"/>
          <w:szCs w:val="28"/>
          <w:lang w:bidi="ar-SA"/>
        </w:rPr>
        <w:t xml:space="preserve">. </w:t>
      </w:r>
    </w:p>
    <w:p w14:paraId="045C26DC" w14:textId="0FD403F5" w:rsidR="00D25030" w:rsidRDefault="00D25030" w:rsidP="00724969">
      <w:pPr>
        <w:pStyle w:val="LO-normal"/>
        <w:spacing w:after="0" w:line="240" w:lineRule="auto"/>
        <w:ind w:firstLine="567"/>
        <w:jc w:val="both"/>
        <w:rPr>
          <w:rFonts w:ascii="Times New Roman" w:hAnsi="Times New Roman" w:cs="Times New Roman"/>
          <w:sz w:val="28"/>
          <w:szCs w:val="28"/>
          <w:lang w:bidi="ar-SA"/>
        </w:rPr>
      </w:pPr>
      <w:r w:rsidRPr="00422C59">
        <w:rPr>
          <w:rFonts w:ascii="Times New Roman" w:hAnsi="Times New Roman" w:cs="Times New Roman"/>
          <w:i/>
          <w:iCs/>
          <w:sz w:val="28"/>
          <w:szCs w:val="28"/>
          <w:lang w:bidi="ar-SA"/>
        </w:rPr>
        <w:t>Ключевые генетические детерминанты и их роль</w:t>
      </w:r>
      <w:r>
        <w:rPr>
          <w:rFonts w:ascii="Times New Roman" w:hAnsi="Times New Roman" w:cs="Times New Roman"/>
          <w:sz w:val="28"/>
          <w:szCs w:val="28"/>
          <w:lang w:bidi="ar-SA"/>
        </w:rPr>
        <w:t xml:space="preserve">. Основу фармакогенетики варфарина составляют три гена: </w:t>
      </w:r>
      <w:r>
        <w:rPr>
          <w:rFonts w:ascii="Times New Roman" w:hAnsi="Times New Roman" w:cs="Times New Roman"/>
          <w:sz w:val="28"/>
          <w:szCs w:val="28"/>
          <w:lang w:val="en-US" w:bidi="ar-SA"/>
        </w:rPr>
        <w:t>VKORC</w:t>
      </w:r>
      <w:r w:rsidRPr="00D25030">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CYP</w:t>
      </w:r>
      <w:r w:rsidRPr="00D25030">
        <w:rPr>
          <w:rFonts w:ascii="Times New Roman" w:hAnsi="Times New Roman" w:cs="Times New Roman"/>
          <w:sz w:val="28"/>
          <w:szCs w:val="28"/>
          <w:lang w:bidi="ar-SA"/>
        </w:rPr>
        <w:t>2</w:t>
      </w:r>
      <w:r>
        <w:rPr>
          <w:rFonts w:ascii="Times New Roman" w:hAnsi="Times New Roman" w:cs="Times New Roman"/>
          <w:sz w:val="28"/>
          <w:szCs w:val="28"/>
          <w:lang w:val="en-US" w:bidi="ar-SA"/>
        </w:rPr>
        <w:t>C</w:t>
      </w:r>
      <w:r w:rsidRPr="00D25030">
        <w:rPr>
          <w:rFonts w:ascii="Times New Roman" w:hAnsi="Times New Roman" w:cs="Times New Roman"/>
          <w:sz w:val="28"/>
          <w:szCs w:val="28"/>
          <w:lang w:bidi="ar-SA"/>
        </w:rPr>
        <w:t xml:space="preserve">9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CYP</w:t>
      </w:r>
      <w:r w:rsidRPr="00D25030">
        <w:rPr>
          <w:rFonts w:ascii="Times New Roman" w:hAnsi="Times New Roman" w:cs="Times New Roman"/>
          <w:sz w:val="28"/>
          <w:szCs w:val="28"/>
          <w:lang w:bidi="ar-SA"/>
        </w:rPr>
        <w:t>4</w:t>
      </w:r>
      <w:r>
        <w:rPr>
          <w:rFonts w:ascii="Times New Roman" w:hAnsi="Times New Roman" w:cs="Times New Roman"/>
          <w:sz w:val="28"/>
          <w:szCs w:val="28"/>
          <w:lang w:val="en-US" w:bidi="ar-SA"/>
        </w:rPr>
        <w:t>F</w:t>
      </w:r>
      <w:r w:rsidRPr="00D25030">
        <w:rPr>
          <w:rFonts w:ascii="Times New Roman" w:hAnsi="Times New Roman" w:cs="Times New Roman"/>
          <w:sz w:val="28"/>
          <w:szCs w:val="28"/>
          <w:lang w:bidi="ar-SA"/>
        </w:rPr>
        <w:t>2</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4TeOsc57","properties":{"unsorted":false,"formattedCitation":"[96\\uc0\\u8211{}99]","plainCitation":"[96–99]","noteIndex":0},"citationItems":[{"id":225,"uris":["http://zotero.org/users/14784094/items/JAZH6EZM"],"itemData":{"id":225,"type":"article-journal","abstract":"Several genome-wide association studies have been performed on warfarin. For acencoumarol, the most frequently used coumarin in many countries worldwide, pharmcodynamic influences are expected to be comparable. Pharmacokinetics however might differ. We aimed to confirm known or identify new genetic variants contributing to interindividual variation on stabilized acenocoumarol dosage by a GWAS. The index population consisted of 1451 Caucasian subjects from the Rotterdam study and results were replicated in 287 subjects from the Rotterdam study extended cohort. Both cohorts were genotyped on the Illumina 550K Human Map SNP array. From polymorphisms tested for association with acenocoumarol dosage, 35 single nucleotide polymorphisms (SNPs) on chromosome 16 and 18 SNPs on chromosome 10 reached genome-wide significance. The SNP with the lowest P -value was rs10871454 on chromosome 16 linked to SNPs within the vitamin K epoxide reductase complex subunit 1 ( VKORC1 ) ( P = 2.0 × 10 −123 ). The lowest P -value on chromosome 10 was obtained by rs4086116 within cytochrome P450 2C9 ( CYP2C9 ) ( P = 3.3 × 10 −24 ). After adjustment for these SNPs, the rs2108622 polymorphism within cytochrome P450 4F2 ( CYP4F2) gene on chromosome 19 reached genome-wide significance ( P = 2.0 × 10 −8 ). On chromosome 10, we further identified genetic variation in the cytochrome P450 2C18 ( CYP2C18) gene contributing to variance of acenocoumarol dosage. Thus we confirmed earlier findings that acenocoumarol dosage mainly depends on polymorphisms in the VKORC1 and CYP2C9 genes. Besides age, gender, body mass index and target INR, one polymorphism within each of the VKORC1, CYP2C9, CYP4F2 and CYP2C18 genes could explain 48.8% of acencoumarol dosage variation.","container-title":"Human Molecular Genetics","DOI":"10.1093/hmg/ddp309","ISSN":"0964-6906","issue":"19","journalAbbreviation":"Human Molecular Genetics","page":"3758-3768","source":"Silverchair","title":"A genome-wide association study of acenocoumarol maintenance dosage","volume":"18","author":[{"family":"Teichert","given":"Martina"},{"family":"Eijgelsheim","given":"Mark"},{"family":"Rivadeneira","given":"Fernando"},{"family":"Uitterlinden","given":"Andrė G."},{"family":"Schaik","given":"Ron H.N.","non-dropping-particle":"van"},{"family":"Hofman","given":"Albert"},{"family":"De Smet","given":"Peter A.G.M."},{"family":"Gelder","given":"Teun","non-dropping-particle":"van"},{"family":"Visser","given":"Loes E."},{"family":"Stricker","given":"Bruno H.Ch."}],"issued":{"date-parts":[["2009",10,1]]}}},{"id":227,"uris":["http://zotero.org/users/14784094/items/NDNLEVFV"],"itemData":{"id":227,"type":"article-journal","abstract":"Warfarin dosing is correlated with polymorphisms in vitamin K epoxide reductase complex 1 (VKORC1) and the cytochrome P450 2C9 (CYP2C9) genes. Recently, the FDA revised warfarin labeling to raise physician awareness about these genetic effects. Randomized clinical trials are underway to test genetically based dosing algorithms. It is thus important to determine whether common single nucleotide polymorphisms (SNPs) in other gene(s) have a large effect on warfarin dosing. A retrospective genome-wide association study was designed to identify polymorphisms that could explain a large fraction of the dose variance. White patients from an index warfarin population (n = 181) and 2 independent replication patient populations (n = 374) were studied. From the approximately 550 000 polymorphisms tested, the most significant independent effect was associated with VKORC1 polymorphisms (P = 6.2 × 10−13) in the index patients. CYP2C9 (rs1057910 CYP2C9*3) and rs4917639) was associated with dose at moderate significance levels (P </w:instrText>
      </w:r>
      <w:r w:rsidR="00171CCC">
        <w:rPr>
          <w:rFonts w:ascii="Cambria Math" w:hAnsi="Cambria Math" w:cs="Cambria Math"/>
          <w:sz w:val="28"/>
          <w:szCs w:val="28"/>
          <w:lang w:bidi="ar-SA"/>
        </w:rPr>
        <w:instrText>∼</w:instrText>
      </w:r>
      <w:r w:rsidR="00171CCC">
        <w:rPr>
          <w:rFonts w:ascii="Times New Roman" w:hAnsi="Times New Roman" w:cs="Times New Roman"/>
          <w:sz w:val="28"/>
          <w:szCs w:val="28"/>
          <w:lang w:bidi="ar-SA"/>
        </w:rPr>
        <w:instrText xml:space="preserve"> 10−4). Replication polymorphisms (355 SNPs) from the index study did not show any significant effects in the replication patient sets. We conclude that common SNPs with large effects on warfarin dose are unlikely to be discovered outside of the CYP2C9 and VKORC1 genes. Randomized clinical trials that account for these 2 genes should therefore produce results that are definitive and broadly applicable.","container-title":"Blood","DOI":"10.1182/blood-2008-01-134247","ISSN":"0006-4971","issue":"4","journalAbbreviation":"Blood","page":"1022-1027","source":"Silverchair","title":"A genome-wide scan for common genetic variants with a large influence on warfarin maintenance dose","volume":"112","author":[{"family":"Cooper","given":"Gregory M."},{"family":"Johnson","given":"Julie A."},{"family":"Langaee","given":"Taimour Y."},{"family":"Feng","given":"Hua"},{"family":"Stanaway","given":"Ian B."},{"family":"Schwarz","given":"Ute I."},{"family":"Ritchie","given":"Marylyn D."},{"family":"Stein","given":"C. Michael"},{"family":"Roden","given":"Dan M."},{"family":"Smith","given":"Joshua D."},{"family":"Veenstra","given":"David L."},{"family":"Rettie","given":"Allan E."},{"family":"Rieder","given":"Mark J."}],"issued":{"date-parts":[["2008",8,15]]}}},{"id":223,"uris":["http://zotero.org/users/14784094/items/T2BH723K"],"itemData":{"id":223,"type":"article-journal","abstract":"Aim: Warfarin, a widely used anticoagulant, exhibits large interindividual variability in dose requirements. CYP2C9 and VKORC1 polymorphisms in various ethnic groups have been extensively studied as genetic markers associated with variable drug response. However, allele frequencies of these variants have not been assessed in major ethnic groups in the Indian population. Materials &amp; methods: To study the functional variants known to affect warfarin dosing, we reanalyzed genotype microarray datasets generated as a part of genome-wide association studies as well as data from the Indian Genome Variation database. We examined data from 2680 individuals across 24 ethnically diverse Indian subpopulations. Results: Allelic distribution of VKORC1 (-1639G&gt;A) showed a greater degree of variation across Indian subpopulations, with frequencies as low as 6.5% in an out-group subpopulation to &gt;70% in Tibeto–Burmans. Risk allele frequency of CYP4F2*3 (V433M) was higher in north Indians (0.30–0.44), as compared with other world populations, such as African–American (0.12), Caucasian (0.34) and Hispanic (0.23). TheVKORC1 variant (-1639A) was shown to be prevalent amongst Tibeto–Burmans, whereas CYP2C9 (R144C, I359L) and CYP4F2 (V433M) variants were observed in considerable variability amongst Indo–Europeans. The frequency of CYP2C9*3 (I359L) in north Indians was found to be higher than in most Asian populations. Furthermore, geographical distribution patterns of these variants in north India showed an increased trend of warfarin extensive metabolizers from the Himalayan to Gangetic region. Combined allele frequency (CYP2C9*3 and CYP4F2*3) data suggest that poor metabolizers varied in the range of 0.38–1.85% in Indo–Europeans. Conclusion: Based on genotypic distribution, the majority of the Indian subpopulation might require higher doses for stable anticoagulation, whereas careful assessment is required for Tibeto–Burmans who are expected to have intermediate dose requirement. This is the largest global genetic epidemiological study examining variants associated with warfarin that could potentially be valuable to clinicians in optimizing dosage strategies. Original submitted 4 April 2014; Revision submitted 23 May 2014","container-title":"Pharmacogenomics","DOI":"10.2217/pgs.14.88","ISSN":"1462-2416","issue":"10","note":"_eprint: https://doi.org/10.2217/pgs.14.88","page":"1337-1354","PMID":"25155935","publisher":"Taylor &amp; Francis","source":"Taylor and Francis+NEJM","title":"Genetic Epidemiology of Pharmacogenetic Variations in CYP2C9, CYP4F2 and VKORC1 Genes Associated with Warfarin Dosage in the Indian Population","volume":"15","author":[{"family":"Giri","given":"Anil K"},{"family":"","given":"Khan ,Nazir M"},{"family":"","given":"Grover ,Sandeep"},{"family":"","given":"Kaur ,Ismeet"},{"family":"","given":"Basu ,Analabha"},{"family":"","given":"Tandon ,Nikhil"},{"family":"","given":"Scaria ,Vinod"},{"family":"","given":"Consortium ,IGV"},{"family":"","given":",INDICO"},{"family":"","given":"Kukreti ,Ritushree"},{"family":"","given":"Brahmachari ,Samir K"},{"family":"Bharadwaj","given":"Dwaipayan","non-dropping-particle":"and"}],"issued":{"date-parts":[["2014",7,1]]}}},{"id":222,"uris":["http://zotero.org/users/14784094/items/653WSRNA"],"itemData":{"id":222,"type":"article-journal","abstract":"Initiation of warfarin therapy using trial-and-error dosing is problematic. Our goal was to develop and validate a pharmacogenetic algorithm. In the derivation cohort of 1,015 participants, the independent predictors of therapeutic dose were: VKORC1 polymorphism −1639/3673 G&gt;A (−28% per allele), body surface area (BSA) (+11% per 0.25 m2), CYP2C9*3 (−33% per allele), CYP2C9*2 (−19% per allele), age (−7% per decade), target international normalized ratio (INR) (+11% per 0.5 unit increase), amiodarone use (−22%), smoker status (+10%), race (−9%), and current thrombosis (+7%). This pharmacogenetic equation explained 53–54% of the variability in the warfarin dose in the derivation and validation (N= 292) cohorts. For comparison, a clinical equation explained only 17–22% of the dose variability (P &lt; 0.001). In the validation cohort, we prospectively used the pharmacogenetic-dosing algorithm in patients initiating warfarin therapy, two of whom had a major hemorrhage. To facilitate use of these pharmacogenetic and clinical algorithms, we developed a nonprofit website, http://www.WarfarinDosing.org. Clinical Pharmacology &amp; Therapeutics (2008); 84, 3, 326–331 doi:10.1038/clpt.2008.10","container-title":"Clinical Pharmacology &amp; Therapeutics","DOI":"10.1038/clpt.2008.10","ISSN":"1532-6535","issue":"3","language":"en","license":"© 2008 American Society for Clinical Pharmacology and Therapeutics","note":"_eprint: https://onlinelibrary.wiley.com/doi/pdf/10.1038/clpt.2008.10","page":"326-331","source":"Wiley Online Library","title":"Use of Pharmacogenetic and Clinical Factors to Predict the Therapeutic Dose of Warfarin","volume":"84","author":[{"family":"Gage","given":"Bf"},{"family":"Eby","given":"C"},{"family":"Johnson","given":"Ja"},{"family":"Deych","given":"E"},{"family":"Rieder","given":"Mj"},{"family":"Ridker","given":"Pm"},{"family":"Milligan","given":"Pe"},{"family":"Grice","given":"G"},{"family":"Lenzini","given":"P"},{"family":"Rettie","given":"Ae"},{"family":"Aquilante","given":"Cl"},{"family":"Grosso","given":"L"},{"family":"Marsh","given":"S"},{"family":"Langaee","given":"T"},{"family":"Farnett","given":"Le"},{"family":"Voora","given":"D"},{"family":"Veenstra","given":"Dl"},{"family":"Glynn","given":"Rj"},{"family":"Barrett","given":"A"},{"family":"McLeod","given":"Hl"}],"issued":{"date-parts":[["2008"]]}}}],"schema":"https://github.com/citation-style-language/schema/raw/master/csl-citation.json"} </w:instrText>
      </w:r>
      <w:r>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[96–99]</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00301947">
        <w:rPr>
          <w:rFonts w:ascii="Times New Roman" w:hAnsi="Times New Roman" w:cs="Times New Roman"/>
          <w:sz w:val="28"/>
          <w:szCs w:val="28"/>
          <w:lang w:bidi="ar-SA"/>
        </w:rPr>
        <w:t>Анализы ассоциаций по всему геному (</w:t>
      </w:r>
      <w:r w:rsidR="00301947">
        <w:rPr>
          <w:rFonts w:ascii="Times New Roman" w:hAnsi="Times New Roman" w:cs="Times New Roman"/>
          <w:sz w:val="28"/>
          <w:szCs w:val="28"/>
          <w:lang w:val="en-US" w:bidi="ar-SA"/>
        </w:rPr>
        <w:t>GWAS</w:t>
      </w:r>
      <w:r w:rsidR="00301947">
        <w:rPr>
          <w:rFonts w:ascii="Times New Roman" w:hAnsi="Times New Roman" w:cs="Times New Roman"/>
          <w:sz w:val="28"/>
          <w:szCs w:val="28"/>
          <w:lang w:bidi="ar-SA"/>
        </w:rPr>
        <w:t>), проведенные в различных этнических группах, последовательно подтверждают ведущую роль этих локусов в определении поддерживающей дозы препарата</w:t>
      </w:r>
      <w:r w:rsidR="0030194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yURimVyl","properties":{"unsorted":false,"formattedCitation":"[75,94,98,100]","plainCitation":"[75,94,98,100]","noteIndex":0},"citationItems":[{"id":224,"uris":["http://zotero.org/users/14784094/items/3SDX2BIV"],"itemData":{"id":224,"type":"article-journal","abstract":"Well-characterized genes that affect warfarin metabolism (cytochrome P450 (CYP) 2C9) and sensitivity (vitamin K epoxide reductase complex 1 (VKORC1)) explain one-third of the variability in therapeutic dose before the international normalized ratio (INR) is measured. To determine genotypic relevance after INR becomes available, we derived clinical and pharmacogenetic refinement algorithms on the basis of INR values (on day 4 or 5 of therapy), clinical factors, and genotype. After adjusting for INR, CYP2C9 and VKORC1 genotypes remained significant predictors (P &lt; 0.001) of warfarin dose. The clinical algorithm had an R2 of 48% (median absolute error (MAE): 7.0 mg/week) and the pharmacogenetic algorithm had an R2 of 63% (MAE: 5.5 mg/week) in the derivation set (N = 969). In independent validation sets, the R2 was 26–43% with the clinical algorithm and 42–58% when genotype was added (P = 0.002). After several days of therapy, a pharmacogenetic algorithm estimates the therapeutic warfarin dose more accurately than one using clinical factors and INR response alone. Clinical Pharmacology &amp; Therapeutics (2010) 87 5, 572–578. doi: 10.1038/clpt.2010.13","container-title":"Clinical Pharmacology &amp; Therapeutics","DOI":"10.1038/clpt.2010.13","ISSN":"1532-6535","issue":"5","language":"en","license":"© 2010 American Society for Clinical Pharmacology and Therapeutics","note":"_eprint: https://onlinelibrary.wiley.com/doi/pdf/10.1038/clpt.2010.13","page":"572-578","source":"Wiley Online Library","title":"Integration of Genetic, Clinical, and INR Data to Refine Warfarin Dosing","volume":"87","author":[{"family":"Lenzini","given":"P"},{"family":"Wadelius","given":"M"},{"family":"Kimmel","given":"S"},{"family":"Anderson","given":"J L"},{"family":"Jorgensen","given":"A L"},{"family":"Pirmohamed","given":"M"},{"family":"Caldwell","given":"M D"},{"family":"Limdi","given":"N"},{"family":"Burmester","given":"J K"},{"family":"Dowd","given":"M B"},{"family":"Angchaisuksiri","given":"P"},{"family":"Bass","given":"A R"},{"family":"Chen","given":"J"},{"family":"Eriksson","given":"N"},{"family":"Rane","given":"A"},{"family":"Lindh","given":"J D"},{"family":"Carlquist","given":"J F"},{"family":"Horne","given":"B D"},{"family":"Grice","given":"G"},{"family":"Milligan","given":"P E"},{"family":"Eby","given":"C"},{"family":"Shin","given":"J"},{"family":"Kim","given":"H"},{"family":"Kurnik","given":"D"},{"family":"Stein","given":"C M"},{"family":"McMillin","given":"G"},{"family":"Pendleton","given":"R C"},{"family":"Berg","given":"R L"},{"family":"Deloukas","given":"P"},{"family":"Gage","given":"B F"}],"issued":{"date-parts":[["2010"]]}}},{"id":213,"uris":["http://zotero.org/users/14784094/items/MJ2VNE4R"],"itemData":{"id":213,"type":"article-journal","abstract":"Warfarin is the most widely used oral anticoagulant worldwide, but it has a narrow therapeutic index which necessitates constant monitoring of anticoagulation response. Previous genome-wide studies have focused on identifying factors explaining variance in stable dose, but have not explored the initial patient response to warfarin, and a wider range of clinical and biochemical factors affecting both initial and stable dosing with warfarin.","container-title":"Genome Medicine","DOI":"10.1186/s13073-015-0255-y","ISSN":"1756-994X","issue":"1","journalAbbreviation":"Genome Medicine","page":"2","source":"BioMed Central","title":"A multi-factorial analysis of response to warfarin in a UK prospective cohort","volume":"8","author":[{"family":"Bourgeois","given":"Stephane"},{"family":"Jorgensen","given":"Andrea"},{"family":"Zhang","given":"Eunice J."},{"family":"Hanson","given":"Anita"},{"family":"Gillman","given":"Matthew S."},{"family":"Bumpstead","given":"Suzannah"},{"family":"Toh","given":"Cheng Hock"},{"family":"Williamson","given":"Paula"},{"family":"Daly","given":"Ann K."},{"family":"Kamali","given":"Farhad"},{"family":"Deloukas","given":"Panos"},{"family":"Pirmohamed","given":"Munir"}],"issued":{"date-parts":[["2016",1,6]]}}},{"id":223,"uris":["http://zotero.org/users/14784094/items/T2BH723K"],"itemData":{"id":223,"type":"article-journal","abstract":"Aim: Warfarin, a widely used anticoagulant, exhibits large interindividual variability in dose requirements. CYP2C9 and VKORC1 polymorphisms in various ethnic groups have been extensively studied as genetic markers associated with variable drug response. However, allele frequencies of these variants have not been assessed in major ethnic groups in the Indian population. Materials &amp; methods: To study the functional variants known to affect warfarin dosing, we reanalyzed genotype microarray datasets generated as a part of genome-wide association studies as well as data from the Indian Genome Variation database. We examined data from 2680 individuals across 24 ethnically diverse Indian subpopulations. Results: Allelic distribution of VKORC1 (-1639G&gt;A) showed a greater degree of variation across Indian subpopulations, with frequencies as low as 6.5% in an out-group subpopulation to &gt;70% in Tibeto–Burmans. Risk allele frequency of CYP4F2*3 (V433M) was higher in north Indians (0.30–0.44), as compared with other world populations, such as African–American (0.12), Caucasian (0.34) and Hispanic (0.23). TheVKORC1 variant (-1639A) was shown to be prevalent amongst Tibeto–Burmans, whereas CYP2C9 (R144C, I359L) and CYP4F2 (V433M) variants were observed in considerable variability amongst Indo–Europeans. The frequency of CYP2C9*3 (I359L) in north Indians was found to be higher than in most Asian populations. Furthermore, geographical distribution patterns of these variants in north India showed an increased trend of warfarin extensive metabolizers from the Himalayan to Gangetic region. Combined allele frequency (CYP2C9*3 and CYP4F2*3) data suggest that poor metabolizers varied in the range of 0.38–1.85% in Indo–Europeans. Conclusion: Based on genotypic distribution, the majority of the Indian subpopulation might require higher doses for stable anticoagulation, whereas careful assessment is required for Tibeto–Burmans who are expected to have intermediate dose requirement. This is the largest global genetic epidemiological study examining variants associated with warfarin that could potentially be valuable to clinicians in optimizing dosage strategies. Original submitted 4 April 2014; Revision submitted 23 May 2014","container-title":"Pharmacogenomics","DOI":"10.2217/pgs.14.88","ISSN":"1462-2416","issue":"10","note":"_eprint: https://doi.org/10.2217/pgs.14.88","page":"1337-1354","PMID":"25155935","publisher":"Taylor &amp; Francis","source":"Taylor and Francis+NEJM","title":"Genetic Epidemiology of Pharmacogenetic Variations in CYP2C9, CYP4F2 and VKORC1 Genes Associated with Warfarin Dosage in the Indian Population","volume":"15","author":[{"family":"Giri","given":"Anil K"},{"family":"","given":"Khan ,Nazir M"},{"family":"","given":"Grover ,Sandeep"},{"family":"","given":"Kaur ,Ismeet"},{"family":"","given":"Basu ,Analabha"},{"family":"","given":"Tandon ,Nikhil"},{"family":"","given":"Scaria ,Vinod"},{"family":"","given":"Consortium ,IGV"},{"family":"","given":",INDICO"},{"family":"","given":"Kukreti ,Ritushree"},{"family":"","given":"Brahmachari ,Samir K"},{"family":"Bharadwaj","given":"Dwaipayan","non-dropping-particle":"and"}],"issued":{"date-parts":[["2014",7,1]]}}},{"id":212,"uris":["http://zotero.org/users/14784094/items/PJ853NVG"],"itemData":{"id":212,"type":"article-journal","abstract":"Studies on the effect of cytochrome P450 2C9 (CYP2C9), vitamin K epoxide reductase complex subunit 1 (VKORC1), and cytochrome P450 4F2 (CYP4F2) polymorphisms on warfarin maintenance dose in children are conflicting. We conducted a systematic review and meta-analysis to evaluate the effect of these polymorphisms on warfarin maintenance dose in children. We searched relevant literature using the MEDLINE, EMBASE, and Cochrane Central Register of Controlled Trial libraries without any language restrictions from their inception to 23 July 2017. Dose differences are expressed as standardized mean difference (SMD) or mean difference (MD) with 95% confidence intervals (CI). This review was registered in the PROSPERO prospective register of systematic reviews (CRD42015016172). We included a total of nine studies (745 participants) in the meta-analysis. Patients with CYP2C9 *1/*2, *1/*3, *2/*2, *2/*3, or *3/*3 required a lower warfarin maintenance dose compared with patients with CYP2C9 *1/*1 (SMD = -0.610, 95% CI: -0.802 to -0.419, I2 = 0%). Patients with VKORC1-1639GA or AA required a lower warfarin maintenance dose compared with patients with VKORC1-1639GG (SMD = -0.666, 95% CI: -0.887 to -0.445, I2 = 33%). However, no associations were observed between CYP4F2 polymorphisms and warfarin maintenance dose (MD = 0.005 mg/kg/day, 95% CI: -0.006 to 0.015, I2 = 0%). These results were not affected by a sensitivity analysis. Our meta-analysis provides evidence that CYP2C9 and VKORC1 variant statuses affect warfarin maintenance dose in children, but not CYP4F2.","container-title":"The Pharmacogenomics Journal","DOI":"10.1038/s41397-019-0117-x","ISSN":"1473-1150","issue":"2","journalAbbreviation":"Pharmacogenomics J","language":"eng","page":"306-319","PMID":"31673144","source":"PubMed","title":"CYP2C9, VKORC1, and CYP4F2 polymorphisms and pediatric warfarin maintenance dose: a systematic review and meta-analysis","title-short":"CYP2C9, VKORC1, and CYP4F2 polymorphisms and pediatric warfarin maintenance dose","volume":"20","author":[{"family":"Takeuchi","given":"Masanobu"},{"family":"Kobayashi","given":"Tohru"},{"family":"Biss","given":"Tina"},{"family":"Kamali","given":"Farhad"},{"family":"Vear","given":"Susan I."},{"family":"Ho","given":"Richard H."},{"family":"Bajolle","given":"Fanny"},{"family":"Loriot","given":"Marie-Anne"},{"family":"Shaw","given":"Kaitlyn"},{"family":"Carleton","given":"Bruce C."},{"family":"Hamberg","given":"Anna-Karin"},{"family":"Wadelius","given":"Mia"},{"family":"Hirono","given":"Keiichi"},{"family":"Taguchi","given":"Masato"},{"family":"Wakamiya","given":"Takuya"},{"family":"Yanagimachi","given":"Masakatsu"},{"family":"Hirai","given":"Keita"},{"family":"Itoh","given":"Kunihiko"},{"family":"Brandão","given":"Leonardo R."},{"family":"Ito","given":"Shinya"}],"issued":{"date-parts":[["2020",4]]}}}],"schema":"https://github.com/citation-style-language/schema/raw/master/csl-citation.json"} </w:instrText>
      </w:r>
      <w:r w:rsidR="0030194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[75,94,98,100]</w:t>
      </w:r>
      <w:r w:rsidR="00301947">
        <w:rPr>
          <w:rFonts w:ascii="Times New Roman" w:hAnsi="Times New Roman" w:cs="Times New Roman"/>
          <w:sz w:val="28"/>
          <w:szCs w:val="28"/>
          <w:lang w:bidi="ar-SA"/>
        </w:rPr>
        <w:fldChar w:fldCharType="end"/>
      </w:r>
      <w:r w:rsidR="00301947">
        <w:rPr>
          <w:rFonts w:ascii="Times New Roman" w:hAnsi="Times New Roman" w:cs="Times New Roman"/>
          <w:sz w:val="28"/>
          <w:szCs w:val="28"/>
          <w:lang w:bidi="ar-SA"/>
        </w:rPr>
        <w:t xml:space="preserve">. Наиболее масштабное из таких исследований, включившее 1508 японских пациентов, выявило четкую иерархию влияния: наибольший вклад в вариабельность дозы вносили полиморфизмы гена </w:t>
      </w:r>
      <w:r w:rsidR="00301947">
        <w:rPr>
          <w:rFonts w:ascii="Times New Roman" w:hAnsi="Times New Roman" w:cs="Times New Roman"/>
          <w:sz w:val="28"/>
          <w:szCs w:val="28"/>
          <w:lang w:val="en-US" w:bidi="ar-SA"/>
        </w:rPr>
        <w:t>VKORC</w:t>
      </w:r>
      <w:r w:rsidR="00301947" w:rsidRPr="00301947">
        <w:rPr>
          <w:rFonts w:ascii="Times New Roman" w:hAnsi="Times New Roman" w:cs="Times New Roman"/>
          <w:sz w:val="28"/>
          <w:szCs w:val="28"/>
          <w:lang w:bidi="ar-SA"/>
        </w:rPr>
        <w:t>1,</w:t>
      </w:r>
      <w:r w:rsidR="00301947">
        <w:rPr>
          <w:rFonts w:ascii="Times New Roman" w:hAnsi="Times New Roman" w:cs="Times New Roman"/>
          <w:sz w:val="28"/>
          <w:szCs w:val="28"/>
          <w:lang w:bidi="ar-SA"/>
        </w:rPr>
        <w:t xml:space="preserve"> за которым следовали </w:t>
      </w:r>
      <w:r w:rsidR="00301947">
        <w:rPr>
          <w:rFonts w:ascii="Times New Roman" w:hAnsi="Times New Roman" w:cs="Times New Roman"/>
          <w:sz w:val="28"/>
          <w:szCs w:val="28"/>
          <w:lang w:val="en-US" w:bidi="ar-SA"/>
        </w:rPr>
        <w:t>CYP</w:t>
      </w:r>
      <w:r w:rsidR="00301947" w:rsidRPr="00301947">
        <w:rPr>
          <w:rFonts w:ascii="Times New Roman" w:hAnsi="Times New Roman" w:cs="Times New Roman"/>
          <w:sz w:val="28"/>
          <w:szCs w:val="28"/>
          <w:lang w:bidi="ar-SA"/>
        </w:rPr>
        <w:t>2</w:t>
      </w:r>
      <w:r w:rsidR="00301947">
        <w:rPr>
          <w:rFonts w:ascii="Times New Roman" w:hAnsi="Times New Roman" w:cs="Times New Roman"/>
          <w:sz w:val="28"/>
          <w:szCs w:val="28"/>
          <w:lang w:val="en-US" w:bidi="ar-SA"/>
        </w:rPr>
        <w:t>C</w:t>
      </w:r>
      <w:r w:rsidR="00301947" w:rsidRPr="00301947">
        <w:rPr>
          <w:rFonts w:ascii="Times New Roman" w:hAnsi="Times New Roman" w:cs="Times New Roman"/>
          <w:sz w:val="28"/>
          <w:szCs w:val="28"/>
          <w:lang w:bidi="ar-SA"/>
        </w:rPr>
        <w:t>9</w:t>
      </w:r>
      <w:r w:rsidR="00301947">
        <w:rPr>
          <w:rFonts w:ascii="Times New Roman" w:hAnsi="Times New Roman" w:cs="Times New Roman"/>
          <w:sz w:val="28"/>
          <w:szCs w:val="28"/>
          <w:lang w:bidi="ar-SA"/>
        </w:rPr>
        <w:t xml:space="preserve"> и</w:t>
      </w:r>
      <w:r w:rsidR="00301947" w:rsidRPr="00301947">
        <w:rPr>
          <w:rFonts w:ascii="Times New Roman" w:hAnsi="Times New Roman" w:cs="Times New Roman"/>
          <w:sz w:val="28"/>
          <w:szCs w:val="28"/>
          <w:lang w:bidi="ar-SA"/>
        </w:rPr>
        <w:t xml:space="preserve"> </w:t>
      </w:r>
      <w:r w:rsidR="00301947">
        <w:rPr>
          <w:rFonts w:ascii="Times New Roman" w:hAnsi="Times New Roman" w:cs="Times New Roman"/>
          <w:sz w:val="28"/>
          <w:szCs w:val="28"/>
          <w:lang w:val="en-US" w:bidi="ar-SA"/>
        </w:rPr>
        <w:t>CYP</w:t>
      </w:r>
      <w:r w:rsidR="00301947" w:rsidRPr="00301947">
        <w:rPr>
          <w:rFonts w:ascii="Times New Roman" w:hAnsi="Times New Roman" w:cs="Times New Roman"/>
          <w:sz w:val="28"/>
          <w:szCs w:val="28"/>
          <w:lang w:bidi="ar-SA"/>
        </w:rPr>
        <w:t>4</w:t>
      </w:r>
      <w:r w:rsidR="00301947">
        <w:rPr>
          <w:rFonts w:ascii="Times New Roman" w:hAnsi="Times New Roman" w:cs="Times New Roman"/>
          <w:sz w:val="28"/>
          <w:szCs w:val="28"/>
          <w:lang w:val="en-US" w:bidi="ar-SA"/>
        </w:rPr>
        <w:t>F</w:t>
      </w:r>
      <w:r w:rsidR="00301947" w:rsidRPr="00301947">
        <w:rPr>
          <w:rFonts w:ascii="Times New Roman" w:hAnsi="Times New Roman" w:cs="Times New Roman"/>
          <w:sz w:val="28"/>
          <w:szCs w:val="28"/>
          <w:lang w:bidi="ar-SA"/>
        </w:rPr>
        <w:t>2</w:t>
      </w:r>
      <w:r w:rsidR="0030194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GIpNE8zh","properties":{"unsorted":false,"formattedCitation":"[101]","plainCitation":"[101]","noteIndex":0},"citationItems":[{"id":211,"uris":["http://zotero.org/users/14784094/items/VLUDEIZW"],"itemData":{"id":211,"type":"article-journal","container-title":"Molecular Diagnosis &amp; Therapy","DOI":"10.1007/s40291-016-0228-x","ISSN":"1179-2000","issue":"5","journalAbbreviation":"Mol Diagn Ther","language":"en","page":"501-501","source":"Springer Link","title":"Erratum to: Effect of VKORC1, CYP2C9, CYP4F2, and GGCX Gene Polymorphisms on Warfarin Dose in Japanese Pediatric Patients","title-short":"Erratum to","volume":"20","author":[{"family":"Wakamiya","given":"Takuya"},{"family":"Hokosaki","given":"Tatsunori"},{"family":"Tsujimoto","given":"Shin-ichi"},{"family":"Kadota","given":"Keisuke"},{"family":"Nakano","given":"Yusuke"},{"family":"Watanabe","given":"Shigeo"},{"family":"Iwamoto","given":"Mari"},{"family":"Yanagimachi","given":"Masakatsu"},{"family":"Ito","given":"Shuichi"}],"issued":{"date-parts":[["2016",10,1]]}}}],"schema":"https://github.com/citation-style-language/schema/raw/master/csl-citation.json"} </w:instrText>
      </w:r>
      <w:r w:rsidR="0030194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[101]</w:t>
      </w:r>
      <w:r w:rsidR="00301947">
        <w:rPr>
          <w:rFonts w:ascii="Times New Roman" w:hAnsi="Times New Roman" w:cs="Times New Roman"/>
          <w:sz w:val="28"/>
          <w:szCs w:val="28"/>
          <w:lang w:bidi="ar-SA"/>
        </w:rPr>
        <w:fldChar w:fldCharType="end"/>
      </w:r>
      <w:r w:rsidR="00301947">
        <w:rPr>
          <w:rFonts w:ascii="Times New Roman" w:hAnsi="Times New Roman" w:cs="Times New Roman"/>
          <w:sz w:val="28"/>
          <w:szCs w:val="28"/>
          <w:lang w:bidi="ar-SA"/>
        </w:rPr>
        <w:t>.</w:t>
      </w:r>
    </w:p>
    <w:p w14:paraId="23AA45CF" w14:textId="2F2069B7" w:rsidR="002C77AB" w:rsidRDefault="00301947" w:rsidP="002C77AB">
      <w:pPr>
        <w:pStyle w:val="LO-normal"/>
        <w:spacing w:after="0" w:line="240" w:lineRule="auto"/>
        <w:ind w:firstLine="567"/>
        <w:jc w:val="both"/>
        <w:rPr>
          <w:rFonts w:ascii="Times New Roman" w:hAnsi="Times New Roman" w:cs="Times New Roman"/>
          <w:sz w:val="28"/>
          <w:szCs w:val="28"/>
          <w:lang w:bidi="ar-SA"/>
        </w:rPr>
      </w:pPr>
      <w:r w:rsidRPr="00315C79">
        <w:rPr>
          <w:rFonts w:ascii="Times New Roman" w:hAnsi="Times New Roman" w:cs="Times New Roman"/>
          <w:i/>
          <w:iCs/>
          <w:sz w:val="28"/>
          <w:szCs w:val="28"/>
          <w:lang w:bidi="ar-SA"/>
        </w:rPr>
        <w:t>Глубинные механизмы влияния генов</w:t>
      </w:r>
      <w:r>
        <w:rPr>
          <w:rFonts w:ascii="Times New Roman" w:hAnsi="Times New Roman" w:cs="Times New Roman"/>
          <w:sz w:val="28"/>
          <w:szCs w:val="28"/>
          <w:lang w:bidi="ar-SA"/>
        </w:rPr>
        <w:t xml:space="preserve">. </w:t>
      </w:r>
      <w:r w:rsidRPr="00315C79">
        <w:rPr>
          <w:rFonts w:ascii="Times New Roman" w:hAnsi="Times New Roman" w:cs="Times New Roman"/>
          <w:i/>
          <w:iCs/>
          <w:sz w:val="28"/>
          <w:szCs w:val="28"/>
          <w:lang w:val="en-US" w:bidi="ar-SA"/>
        </w:rPr>
        <w:t>VKORC</w:t>
      </w:r>
      <w:r w:rsidRPr="00315C79">
        <w:rPr>
          <w:rFonts w:ascii="Times New Roman" w:hAnsi="Times New Roman" w:cs="Times New Roman"/>
          <w:i/>
          <w:iCs/>
          <w:sz w:val="28"/>
          <w:szCs w:val="28"/>
          <w:lang w:bidi="ar-SA"/>
        </w:rPr>
        <w:t>1</w:t>
      </w:r>
      <w:r>
        <w:rPr>
          <w:rFonts w:ascii="Times New Roman" w:hAnsi="Times New Roman" w:cs="Times New Roman"/>
          <w:sz w:val="28"/>
          <w:szCs w:val="28"/>
          <w:lang w:bidi="ar-SA"/>
        </w:rPr>
        <w:t>: Этот ген кодирует каталитическую субъединицу комплекса витамина К-эпоксидредуктазы (</w:t>
      </w:r>
      <w:r>
        <w:rPr>
          <w:rFonts w:ascii="Times New Roman" w:hAnsi="Times New Roman" w:cs="Times New Roman"/>
          <w:sz w:val="28"/>
          <w:szCs w:val="28"/>
          <w:lang w:val="en-US" w:bidi="ar-SA"/>
        </w:rPr>
        <w:t>VKOR</w:t>
      </w:r>
      <w:r>
        <w:rPr>
          <w:rFonts w:ascii="Times New Roman" w:hAnsi="Times New Roman" w:cs="Times New Roman"/>
          <w:sz w:val="28"/>
          <w:szCs w:val="28"/>
          <w:lang w:bidi="ar-SA"/>
        </w:rPr>
        <w:t>)</w:t>
      </w:r>
      <w:r w:rsidRPr="00301947">
        <w:rPr>
          <w:rFonts w:ascii="Times New Roman" w:hAnsi="Times New Roman" w:cs="Times New Roman"/>
          <w:sz w:val="28"/>
          <w:szCs w:val="28"/>
          <w:lang w:bidi="ar-SA"/>
        </w:rPr>
        <w:t>,</w:t>
      </w:r>
      <w:r>
        <w:rPr>
          <w:rFonts w:ascii="Times New Roman" w:hAnsi="Times New Roman" w:cs="Times New Roman"/>
          <w:sz w:val="28"/>
          <w:szCs w:val="28"/>
          <w:lang w:bidi="ar-SA"/>
        </w:rPr>
        <w:t xml:space="preserve"> который является непосредственной молекулярной мишенью варфарина и абсолютно необходим для регенерации активной восстановленной формы витамина К (витамин К-гидрохинона)</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Wu3Dzbew","properties":{"unsorted":false,"formattedCitation":"[102,103]","plainCitation":"[102,103]","noteIndex":0},"citationItems":[{"id":209,"uris":["http://zotero.org/users/14784094/items/CZ7H37DV"],"itemData":{"id":209,"type":"article-journal","abstract":"Coumarin derivatives such as warfarin represent the therapy of choice for the long-term treatment and prevention of thromboembolic events. Coumarins target blood coagulation by inhibiting the vitamin K epoxide reductase multiprotein complex (VKOR). This complex recycles vitamin K 2,3-epoxide to vitamin K hydroquinone, a cofactor that is essential for the post-translational gamma-carboxylation of several blood coagulation factors. Despite extensive efforts, the components of the VKOR complex have not been identified. The complex has been proposed to be involved in two heritable human diseases: combined deficiency of vitamin-K-dependent clotting factors type 2 (VKCFD2; Online Mendelian Inheritance in Man (OMIM) 607473), and resistance to coumarin-type anticoagulant drugs (warfarin resistance, WR; OMIM 122700). Here we identify, by using linkage information from three species, the gene vitamin K epoxide reductase complex subunit 1 (VKORC1), which encodes a small transmembrane protein of the endoplasmic reticulum. VKORC1 contains missense mutations in both human disorders and in a warfarin-resistant rat strain. Overexpression of wild-type VKORC1, but not VKORC1 carrying the VKCFD2 mutation, leads to a marked increase in VKOR activity, which is sensitive to warfarin inhibition.","container-title":"Nature","DOI":"10.1038/nature02214","ISSN":"1476-4687","issue":"6974","journalAbbreviation":"Nature","language":"eng","page":"537-541","PMID":"14765194","source":"PubMed","title":"Mutations in VKORC1 cause warfarin resistance and multiple coagulation factor deficiency type 2","volume":"427","author":[{"family":"Rost","given":"Simone"},{"family":"Fregin","given":"Andreas"},{"family":"Ivaskevicius","given":"Vytautas"},{"family":"Conzelmann","given":"Ernst"},{"family":"Hörtnagel","given":"Konstanze"},{"family":"Pelz","given":"Hans-Joachim"},{"family":"Lappegard","given":"Knut"},{"family":"Seifried","given":"Erhard"},{"family":"Scharrer","given":"Inge"},{"family":"Tuddenham","given":"Edward G. D."},{"family":"Müller","given":"Clemens R."},{"family":"Strom","given":"Tim M."},{"family":"Oldenburg","given":"Johannes"}],"issued":{"date-parts":[["2004",2,5]]}}},{"id":210,"uris":["http://zotero.org/users/14784094/items/APFZRR69"],"itemData":{"id":210,"type":"article-journal","abstract":"Vitamin K epoxide reductase (VKOR) is the target of warfarin, the most widely prescribed anticoagulant for thromboembolic disorders. Although estimated to prevent twenty strokes per induced bleeding episode, warfarin is under-used because of the difficulty of controlling dosage and the fear of inducing bleeding. Although identified in 1974 (ref. 2), the enzyme has yet to be purified or its gene identified. A positional cloning approach has become possible after the mapping of warfarin resistance to rat chromosome 1 (ref. 3) and of vitamin K-dependent protein deficiencies to the syntenic region of human chromosome 16 (ref. 4). Localization of VKOR to 190 genes within human chromosome 16p12-q21 narrowed the search to 13 genes encoding candidate transmembrane proteins, and we used short interfering RNA (siRNA) pools against individual genes to test their ability to inhibit VKOR activity in human cells. Here, we report the identification of the gene for VKOR based on specific inhibition of VKOR activity by a single siRNA pool. We confirmed that MGC11276 messenger RNA encodes VKOR through its expression in insect cells and sensitivity to warfarin. The expressed enzyme is 163 amino acids long, with at least one transmembrane domain. Identification of the VKOR gene extends our understanding of blood clotting, and should facilitate development of new anticoagulant drugs.","container-title":"Nature","DOI":"10.1038/nature02254","ISSN":"1476-4687","issue":"6974","journalAbbreviation":"Nature","language":"eng","page":"541-544","PMID":"14765195","source":"PubMed","title":"Identification of the gene for vitamin K epoxide reductase","volume":"427","author":[{"family":"Li","given":"Tao"},{"family":"Chang","given":"Chun-Yun"},{"family":"Jin","given":"Da-Yun"},{"family":"Lin","given":"Pen-Jen"},{"family":"Khvorova","given":"Anastasia"},{"family":"Stafford","given":"Darrel W."}],"issued":{"date-parts":[["2004",2,5]]}}}],"schema":"https://github.com/citation-style-language/schema/raw/master/csl-citation.json"}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[102,103]</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Систематический обзор и мета-анализ, объединивший данные 19 исследований (4621 пациент), показал убедительную связь определенных аллелей </w:t>
      </w:r>
      <w:r>
        <w:rPr>
          <w:rFonts w:ascii="Times New Roman" w:hAnsi="Times New Roman" w:cs="Times New Roman"/>
          <w:sz w:val="28"/>
          <w:szCs w:val="28"/>
          <w:lang w:val="en-US" w:bidi="ar-SA"/>
        </w:rPr>
        <w:t>VKORC</w:t>
      </w:r>
      <w:r w:rsidRPr="00301947">
        <w:rPr>
          <w:rFonts w:ascii="Times New Roman" w:hAnsi="Times New Roman" w:cs="Times New Roman"/>
          <w:sz w:val="28"/>
          <w:szCs w:val="28"/>
          <w:lang w:bidi="ar-SA"/>
        </w:rPr>
        <w:t xml:space="preserve">1 </w:t>
      </w:r>
      <w:r>
        <w:rPr>
          <w:rFonts w:ascii="Times New Roman" w:hAnsi="Times New Roman" w:cs="Times New Roman"/>
          <w:sz w:val="28"/>
          <w:szCs w:val="28"/>
          <w:lang w:bidi="ar-SA"/>
        </w:rPr>
        <w:t xml:space="preserve">с потребностью в дозе. В частности, аллель С в локусе </w:t>
      </w:r>
      <w:r>
        <w:rPr>
          <w:rFonts w:ascii="Times New Roman" w:hAnsi="Times New Roman" w:cs="Times New Roman"/>
          <w:sz w:val="28"/>
          <w:szCs w:val="28"/>
          <w:lang w:val="en-US" w:bidi="ar-SA"/>
        </w:rPr>
        <w:t>rs</w:t>
      </w:r>
      <w:r w:rsidRPr="00301947">
        <w:rPr>
          <w:rFonts w:ascii="Times New Roman" w:hAnsi="Times New Roman" w:cs="Times New Roman"/>
          <w:sz w:val="28"/>
          <w:szCs w:val="28"/>
          <w:lang w:bidi="ar-SA"/>
        </w:rPr>
        <w:t>9934438</w:t>
      </w:r>
      <w:r>
        <w:rPr>
          <w:rFonts w:ascii="Times New Roman" w:hAnsi="Times New Roman" w:cs="Times New Roman"/>
          <w:sz w:val="28"/>
          <w:szCs w:val="28"/>
          <w:lang w:bidi="ar-SA"/>
        </w:rPr>
        <w:t xml:space="preserve">, аллель А в </w:t>
      </w:r>
      <w:r>
        <w:rPr>
          <w:rFonts w:ascii="Times New Roman" w:hAnsi="Times New Roman" w:cs="Times New Roman"/>
          <w:sz w:val="28"/>
          <w:szCs w:val="28"/>
          <w:lang w:val="en-US" w:bidi="ar-SA"/>
        </w:rPr>
        <w:t>rs</w:t>
      </w:r>
      <w:r w:rsidR="008D7B27" w:rsidRPr="008D7B27">
        <w:rPr>
          <w:rFonts w:ascii="Times New Roman" w:hAnsi="Times New Roman" w:cs="Times New Roman"/>
          <w:sz w:val="28"/>
          <w:szCs w:val="28"/>
          <w:lang w:bidi="ar-SA"/>
        </w:rPr>
        <w:t>7294</w:t>
      </w:r>
      <w:r w:rsidR="008D7B27">
        <w:rPr>
          <w:rFonts w:ascii="Times New Roman" w:hAnsi="Times New Roman" w:cs="Times New Roman"/>
          <w:sz w:val="28"/>
          <w:szCs w:val="28"/>
          <w:lang w:bidi="ar-SA"/>
        </w:rPr>
        <w:t xml:space="preserve"> и аллель </w:t>
      </w:r>
      <w:r w:rsidR="008D7B27">
        <w:rPr>
          <w:rFonts w:ascii="Times New Roman" w:hAnsi="Times New Roman" w:cs="Times New Roman"/>
          <w:sz w:val="28"/>
          <w:szCs w:val="28"/>
          <w:lang w:val="en-US" w:bidi="ar-SA"/>
        </w:rPr>
        <w:t>G</w:t>
      </w:r>
      <w:r w:rsidR="008D7B27" w:rsidRPr="008D7B27">
        <w:rPr>
          <w:rFonts w:ascii="Times New Roman" w:hAnsi="Times New Roman" w:cs="Times New Roman"/>
          <w:sz w:val="28"/>
          <w:szCs w:val="28"/>
          <w:lang w:bidi="ar-SA"/>
        </w:rPr>
        <w:t xml:space="preserve"> </w:t>
      </w:r>
      <w:r w:rsidR="008D7B27">
        <w:rPr>
          <w:rFonts w:ascii="Times New Roman" w:hAnsi="Times New Roman" w:cs="Times New Roman"/>
          <w:sz w:val="28"/>
          <w:szCs w:val="28"/>
          <w:lang w:bidi="ar-SA"/>
        </w:rPr>
        <w:t xml:space="preserve">в </w:t>
      </w:r>
      <w:r w:rsidR="008D7B27">
        <w:rPr>
          <w:rFonts w:ascii="Times New Roman" w:hAnsi="Times New Roman" w:cs="Times New Roman"/>
          <w:sz w:val="28"/>
          <w:szCs w:val="28"/>
          <w:lang w:val="en-US" w:bidi="ar-SA"/>
        </w:rPr>
        <w:t>rs</w:t>
      </w:r>
      <w:r w:rsidR="008D7B27" w:rsidRPr="008D7B27">
        <w:rPr>
          <w:rFonts w:ascii="Times New Roman" w:hAnsi="Times New Roman" w:cs="Times New Roman"/>
          <w:sz w:val="28"/>
          <w:szCs w:val="28"/>
          <w:lang w:bidi="ar-SA"/>
        </w:rPr>
        <w:t>9923231</w:t>
      </w:r>
      <w:r w:rsidR="008D7B27">
        <w:rPr>
          <w:rFonts w:ascii="Times New Roman" w:hAnsi="Times New Roman" w:cs="Times New Roman"/>
          <w:sz w:val="28"/>
          <w:szCs w:val="28"/>
          <w:lang w:bidi="ar-SA"/>
        </w:rPr>
        <w:t xml:space="preserve"> были ассоциированы с необходимостью повышения дозы варфарина</w:t>
      </w:r>
      <w:r w:rsidR="008D7B2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G821pEGp","properties":{"unsorted":false,"formattedCitation":"[104,105]","plainCitation":"[104,105]","noteIndex":0},"citationItems":[{"id":208,"uris":["http://zotero.org/users/14784094/items/JBH2K9Z3"],"itemData":{"id":208,"type":"article-journal","abstract":"BACKGROUND: Genetic variability among patients plays an important role in determining the dose of warfarin that should be used when oral anticoagulation is initiated, but practical methods of using genetic information have not been evaluated in a diverse and large population. We developed and used an algorithm for estimating the appropriate warfarin dose that is based on both clinical and genetic data from a broad population base.\nMETHODS: Clinical and genetic data from 4043 patients were used to create a dose algorithm that was based on clinical variables only and an algorithm in which genetic information was added to the clinical variables. In a validation cohort of 1009 subjects, we evaluated the potential clinical value of each algorithm by calculating the percentage of patients whose predicted dose of warfarin was within 20% of the actual stable therapeutic dose; we also evaluated other clinically relevant indicators.\nRESULTS: In the validation cohort, the pharmacogenetic algorithm accurately identified larger proportions of patients who required 21 mg of warfarin or less per week and of those who required 49 mg or more per week to achieve the target international normalized ratio than did the clinical algorithm (49.4% vs. 33.3%, P&lt;0.001, among patients requiring &lt; or = 21 mg per week; and 24.8% vs. 7.2%, P&lt;0.001, among those requiring &gt; or = 49 mg per week).\nCONCLUSIONS: The use of a pharmacogenetic algorithm for estimating the appropriate initial dose of warfarin produces recommendations that are significantly closer to the required stable therapeutic dose than those derived from a clinical algorithm or a fixed-dose approach. The greatest benefits were observed in the 46.2% of the population that required 21 mg or less of warfarin per week or 49 mg or more per week for therapeutic anticoagulation.","container-title":"The New England Journal of Medicine","DOI":"10.1056/NEJMoa0809329","ISSN":"1533-4406","issue":"8","journalAbbreviation":"N Engl J Med","language":"eng","page":"753-764","PMID":"19228618","PMCID":"PMC2722908","source":"PubMed","title":"Estimation of the warfarin dose with clinical and pharmacogenetic data","volume":"360","author":[{"literal":"International Warfarin Pharmacogenetics Consortium"},{"family":"Klein","given":"T. E."},{"family":"Altman","given":"R. B."},{"family":"Eriksson","given":"N."},{"family":"Gage","given":"B. F."},{"family":"Kimmel","given":"S. E."},{"family":"Lee","given":"M.-T. M."},{"family":"Limdi","given":"N. A."},{"family":"Page","given":"D."},{"family":"Roden","given":"D. M."},{"family":"Wagner","given":"M. J."},{"family":"Caldwell","given":"M. D."},{"family":"Johnson","given":"J. A."}],"issued":{"date-parts":[["2009",2,19]]}}},{"id":207,"uris":["http://zotero.org/users/14784094/items/RIUBQJ9W"],"itemData":{"id":207,"type":"article-journal","abstract":"OBJECTIVE: To analyze the correlation between VKORC1 gene polymorphisms and warfarin maintenance dosage, as well as the correlation of dosage of warfarin with age and ethnicity.\nMETHODS: We retrieved related studies published between January 2000 and March 2016 from PubMed, Embase, the Cochrane Library, Web of Science, VIP, CNKI, and Wan Fang data. Two reviewers independently screened literature according to the inclusion and exclusion criteria, extracted data and crosscheck data. Then, RevMan5.3 software was used to perform a meta-analysis.\nRESULTS: 53 studies were included in the meta-analysis. The most prevalent genotypes were -1639 AA, 1173 TT, and 3730 GG in both Asian and Caucasians, but the distribution frequencies of all three were higher in Asians than in Caucasians. The meta-analysis showed that compared with homozygous VKORC1-1639 AA carriers, carriers of type GA, GG, and G (GA + GG) required 45% (95% confidence interval (CI) 42 - 49), 77% (95% CI 70 - 84), and 51% (95% CI 47 - 55) higher warfarin doses, respectively. Carriers of type CC, TC, and C (CC + TC) required 83% (95% CI 73 - 92), 26% (95% CI 23 - 29), and 53% (95% CI 44 - 62) higher warfarin doses, respectively, compared to homozygous VKORC1 1173 TT carriers. Carriers of type AA, GA, and A (AA + GA) required 40% (95% CI 29 - 51), 25% (95% CI 17 - 33), and 33% (95% CI 21 - 45) higher warfarin doses, respectively, compared to carriers of the homozygous VKORC1 3730 GG polymorphism (all p &lt; 0.05). Subgroup analysis showed that Asian patients aged ≤ 60 years carrying 1173 CC, TC, and C genotypes required 28%, 39%, and 22% higher warfarin doses, respectively, compared with patients aged &gt; 60 years. Caucasian patients aged &gt; 60 years carrying -1639 GA, GG and G genotypes needed 24%, 39%, and 37% lower warfarin doses, respectively, compared with patients aged ≤ 60 years. These differences were statistically significant (p &lt; 0.05).\nCONCLUSIONS: Our study showed that the relationship between &lt;italic&gt;VKORC1&lt;/italic&gt; gene polymorphisms and warfarin maintenance dose differs between individuals, and that individuals with different ages and ethnicities require different doses of warfarin. Caucasians carriers of genotype -1639 GG, G and 1173 CC, TC, C required a higher mean daily warfarin doses compared with Asian patients. Therefore, in order to achieve optimal treatment and lowest risk, VKORC1 gene polymorphism detection is suggested. .","container-title":"International Journal of Clinical Pharmacology and Therapeutics","DOI":"10.5414/CP202833","ISSN":"0946-1965","issue":"4","journalAbbreviation":"Int J Clin Pharmacol Ther","language":"eng","page":"304-321","PMID":"28025970","source":"PubMed","title":"Impact of VKORC1 gene polymorphisms on warfarin maintenance dosage: A novel systematic review and meta-analysis of 53 studies","title-short":"Impact of VKORC1 gene polymorphisms on warfarin maintenance dosage","volume":"55","author":[{"family":"Tang","given":"Wei"},{"family":"Shi","given":"Qing-Ping"},{"family":"Ding","given":"Feng"},{"family":"Yu","given":"Mei-Ling"},{"family":"Hua","given":"Jian"},{"family":"Wang","given":"Yong-Xin"}],"issued":{"date-parts":[["2017",4]]}}}],"schema":"https://github.com/citation-style-language/schema/raw/master/csl-citation.json"} </w:instrText>
      </w:r>
      <w:r w:rsidR="008D7B2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[104,105]</w:t>
      </w:r>
      <w:r w:rsidR="008D7B27">
        <w:rPr>
          <w:rFonts w:ascii="Times New Roman" w:hAnsi="Times New Roman" w:cs="Times New Roman"/>
          <w:sz w:val="28"/>
          <w:szCs w:val="28"/>
          <w:lang w:bidi="ar-SA"/>
        </w:rPr>
        <w:fldChar w:fldCharType="end"/>
      </w:r>
      <w:r w:rsidR="008D7B27">
        <w:rPr>
          <w:rFonts w:ascii="Times New Roman" w:hAnsi="Times New Roman" w:cs="Times New Roman"/>
          <w:sz w:val="28"/>
          <w:szCs w:val="28"/>
          <w:lang w:bidi="ar-SA"/>
        </w:rPr>
        <w:t>. Клинически значимо, что гетерозиготные носители генотипов СТ (</w:t>
      </w:r>
      <w:r w:rsidR="008D7B27">
        <w:rPr>
          <w:rFonts w:ascii="Times New Roman" w:hAnsi="Times New Roman" w:cs="Times New Roman"/>
          <w:sz w:val="28"/>
          <w:szCs w:val="28"/>
          <w:lang w:val="en-US" w:bidi="ar-SA"/>
        </w:rPr>
        <w:t>rs</w:t>
      </w:r>
      <w:r w:rsidR="008D7B27" w:rsidRPr="008D7B27">
        <w:rPr>
          <w:rFonts w:ascii="Times New Roman" w:hAnsi="Times New Roman" w:cs="Times New Roman"/>
          <w:sz w:val="28"/>
          <w:szCs w:val="28"/>
          <w:lang w:bidi="ar-SA"/>
        </w:rPr>
        <w:t>7294</w:t>
      </w:r>
      <w:r w:rsidR="008D7B27">
        <w:rPr>
          <w:rFonts w:ascii="Times New Roman" w:hAnsi="Times New Roman" w:cs="Times New Roman"/>
          <w:sz w:val="28"/>
          <w:szCs w:val="28"/>
          <w:lang w:bidi="ar-SA"/>
        </w:rPr>
        <w:t xml:space="preserve">) и </w:t>
      </w:r>
      <w:r w:rsidR="008D7B27">
        <w:rPr>
          <w:rFonts w:ascii="Times New Roman" w:hAnsi="Times New Roman" w:cs="Times New Roman"/>
          <w:sz w:val="28"/>
          <w:szCs w:val="28"/>
          <w:lang w:val="en-US" w:bidi="ar-SA"/>
        </w:rPr>
        <w:t>GA</w:t>
      </w:r>
      <w:r w:rsidR="008D7B27" w:rsidRPr="008D7B27">
        <w:rPr>
          <w:rFonts w:ascii="Times New Roman" w:hAnsi="Times New Roman" w:cs="Times New Roman"/>
          <w:sz w:val="28"/>
          <w:szCs w:val="28"/>
          <w:lang w:bidi="ar-SA"/>
        </w:rPr>
        <w:t xml:space="preserve"> (</w:t>
      </w:r>
      <w:r w:rsidR="008D7B27">
        <w:rPr>
          <w:rFonts w:ascii="Times New Roman" w:hAnsi="Times New Roman" w:cs="Times New Roman"/>
          <w:sz w:val="28"/>
          <w:szCs w:val="28"/>
          <w:lang w:val="en-US" w:bidi="ar-SA"/>
        </w:rPr>
        <w:t>rs</w:t>
      </w:r>
      <w:r w:rsidR="008D7B27" w:rsidRPr="008D7B27">
        <w:rPr>
          <w:rFonts w:ascii="Times New Roman" w:hAnsi="Times New Roman" w:cs="Times New Roman"/>
          <w:sz w:val="28"/>
          <w:szCs w:val="28"/>
          <w:lang w:bidi="ar-SA"/>
        </w:rPr>
        <w:t>9923231)</w:t>
      </w:r>
      <w:r w:rsidR="008D7B27">
        <w:rPr>
          <w:rFonts w:ascii="Times New Roman" w:hAnsi="Times New Roman" w:cs="Times New Roman"/>
          <w:sz w:val="28"/>
          <w:szCs w:val="28"/>
          <w:lang w:bidi="ar-SA"/>
        </w:rPr>
        <w:t xml:space="preserve"> требовали дозу примерно на 50% выше, чем гомозиготы по соответствующим аллелям (ТТ и АА)</w:t>
      </w:r>
      <w:r w:rsidR="008D7B2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rnUqgF9U","properties":{"unsorted":false,"formattedCitation":"[104,105]","plainCitation":"[104,105]","noteIndex":0},"citationItems":[{"id":208,"uris":["http://zotero.org/users/14784094/items/JBH2K9Z3"],"itemData":{"id":208,"type":"article-journal","abstract":"BACKGROUND: Genetic variability among patients plays an important role in determining the dose of warfarin that should be used when oral anticoagulation is initiated, but practical methods of using genetic information have not been evaluated in a diverse and large population. We developed and used an algorithm for estimating the appropriate warfarin dose that is based on both clinical and genetic data from a broad population base.\nMETHODS: Clinical and genetic data from 4043 patients were used to create a dose algorithm that was based on clinical variables only and an algorithm in which genetic information was added to the clinical variables. In a validation cohort of 1009 subjects, we evaluated the potential clinical value of each algorithm by calculating the percentage of patients whose predicted dose of warfarin was within 20% of the actual stable therapeutic dose; we also evaluated other clinically relevant indicators.\nRESULTS: In the validation cohort, the pharmacogenetic algorithm accurately identified larger proportions of patients who required 21 mg of warfarin or less per week and of those who required 49 mg or more per week to achieve the target international normalized ratio than did the clinical algorithm (49.4% vs. 33.3%, P&lt;0.001, among patients requiring &lt; or = 21 mg per week; and 24.8% vs. 7.2%, P&lt;0.001, among those requiring &gt; or = 49 mg per week).\nCONCLUSIONS: The use of a pharmacogenetic algorithm for estimating the appropriate initial dose of warfarin produces recommendations that are significantly closer to the required stable therapeutic dose than those derived from a clinical algorithm or a fixed-dose approach. The greatest benefits were observed in the 46.2% of the population that required 21 mg or less of warfarin per week or 49 mg or more per week for therapeutic anticoagulation.","container-title":"The New England Journal of Medicine","DOI":"10.1056/NEJMoa0809329","ISSN":"1533-4406","issue":"8","journalAbbreviation":"N Engl J Med","language":"eng","page":"753-764","PMID":"19228618","PMCID":"PMC2722908","source":"PubMed","title":"Estimation of the warfarin dose with clinical and pharmacogenetic data","volume":"360","author":[{"literal":"International Warfarin Pharmacogenetics Consortium"},{"family":"Klein","given":"T. E."},{"family":"Altman","given":"R. B."},{"family":"Eriksson","given":"N."},{"family":"Gage","given":"B. F."},{"family":"Kimmel","given":"S. E."},{"family":"Lee","given":"M.-T. M."},{"family":"Limdi","given":"N. A."},{"family":"Page","given":"D."},{"family":"Roden","given":"D. M."},{"family":"Wagner","given":"M. J."},{"family":"Caldwell","given":"M. D."},{"family":"Johnson","given":"J. A."}],"issued":{"date-parts":[["2009",2,19]]}}},{"id":207,"uris":["http://zotero.org/users/14784094/items/RIUBQJ9W"],"itemData":{"id":207,"type":"article-journal","abstract":"OBJECTIVE: To analyze the correlation between VKORC1 gene polymorphisms and warfarin maintenance dosage, as well as the correlation of dosage of warfarin with age and ethnicity.\nMETHODS: We retrieved related studies published between January 2000 and March 2016 from PubMed, Embase, the Cochrane Library, Web of Science, VIP, CNKI, and Wan Fang data. Two reviewers independently screened literature according to the inclusion and exclusion criteria, extracted data and crosscheck data. Then, RevMan5.3 software was used to perform a meta-analysis.\nRESULTS: 53 studies were included in the meta-analysis. The most prevalent genotypes were -1639 AA, 1173 TT, and 3730 GG in both Asian and Caucasians, but the distribution frequencies of all three were higher in Asians than in Caucasians. The meta-analysis showed that compared with homozygous VKORC1-1639 AA carriers, carriers of type GA, GG, and G (GA + GG) required 45% (95% confidence interval (CI) 42 - 49), 77% (95% CI 70 - 84), and 51% (95% CI 47 - 55) higher warfarin doses, respectively. Carriers of type CC, TC, and C (CC + TC) required 83% (95% CI 73 - 92), 26% (95% CI 23 - 29), and 53% (95% CI 44 - 62) higher warfarin doses, respectively, compared to homozygous VKORC1 1173 TT carriers. Carriers of type AA, GA, and A (AA + GA) required 40% (95% CI 29 - 51), 25% (95% CI 17 - 33), and 33% (95% CI 21 - 45) higher warfarin doses, respectively, compared to carriers of the homozygous VKORC1 3730 GG polymorphism (all p &lt; 0.05). Subgroup analysis showed that Asian patients aged ≤ 60 years carrying 1173 CC, TC, and C genotypes required 28%, 39%, and 22% higher warfarin doses, respectively, compared with patients aged &gt; 60 years. Caucasian patients aged &gt; 60 years carrying -1639 GA, GG and G genotypes needed 24%, 39%, and 37% lower warfarin doses, respectively, compared with patients aged ≤ 60 years. These differences were statistically significant (p &lt; 0.05).\nCONCLUSIONS: Our study showed that the relationship between &lt;italic&gt;VKORC1&lt;/italic&gt; gene polymorphisms and warfarin maintenance dose differs between individuals, and that individuals with different ages and ethnicities require different doses of warfarin. Caucasians carriers of genotype -1639 GG, G and 1173 CC, TC, C required a higher mean daily warfarin doses compared with Asian patients. Therefore, in order to achieve optimal treatment and lowest risk, VKORC1 gene polymorphism detection is suggested. .","container-title":"International Journal of Clinical Pharmacology and Therapeutics","DOI":"10.5414/CP202833","ISSN":"0946-1965","issue":"4","journalAbbreviation":"Int J Clin Pharmacol Ther","language":"eng","page":"304-321","PMID":"28025970","source":"PubMed","title":"Impact of VKORC1 gene polymorphisms on warfarin maintenance dosage: A novel systematic review and meta-analysis of 53 studies","title-short":"Impact of VKORC1 gene polymorphisms on warfarin maintenance dosage","volume":"55","author":[{"family":"Tang","given":"Wei"},{"family":"Shi","given":"Qing-Ping"},{"family":"Ding","given":"Feng"},{"family":"Yu","given":"Mei-Ling"},{"family":"Hua","given":"Jian"},{"family":"Wang","given":"Yong-Xin"}],"issued":{"date-parts":[["2017",4]]}}}],"schema":"https://github.com/citation-style-language/schema/raw/master/csl-citation.json"} </w:instrText>
      </w:r>
      <w:r w:rsidR="008D7B2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[104,105]</w:t>
      </w:r>
      <w:r w:rsidR="008D7B27">
        <w:rPr>
          <w:rFonts w:ascii="Times New Roman" w:hAnsi="Times New Roman" w:cs="Times New Roman"/>
          <w:sz w:val="28"/>
          <w:szCs w:val="28"/>
          <w:lang w:bidi="ar-SA"/>
        </w:rPr>
        <w:fldChar w:fldCharType="end"/>
      </w:r>
      <w:r w:rsidR="008D7B27">
        <w:rPr>
          <w:rFonts w:ascii="Times New Roman" w:hAnsi="Times New Roman" w:cs="Times New Roman"/>
          <w:sz w:val="28"/>
          <w:szCs w:val="28"/>
          <w:lang w:bidi="ar-SA"/>
        </w:rPr>
        <w:t>. Функционально полиморфизм С1173Т (</w:t>
      </w:r>
      <w:r w:rsidR="008D7B27">
        <w:rPr>
          <w:rFonts w:ascii="Times New Roman" w:hAnsi="Times New Roman" w:cs="Times New Roman"/>
          <w:sz w:val="28"/>
          <w:szCs w:val="28"/>
          <w:lang w:val="en-US" w:bidi="ar-SA"/>
        </w:rPr>
        <w:t>rs</w:t>
      </w:r>
      <w:r w:rsidR="008D7B27" w:rsidRPr="008D7B27">
        <w:rPr>
          <w:rFonts w:ascii="Times New Roman" w:hAnsi="Times New Roman" w:cs="Times New Roman"/>
          <w:sz w:val="28"/>
          <w:szCs w:val="28"/>
          <w:lang w:bidi="ar-SA"/>
        </w:rPr>
        <w:t>9934438</w:t>
      </w:r>
      <w:r w:rsidR="008D7B27">
        <w:rPr>
          <w:rFonts w:ascii="Times New Roman" w:hAnsi="Times New Roman" w:cs="Times New Roman"/>
          <w:sz w:val="28"/>
          <w:szCs w:val="28"/>
          <w:lang w:bidi="ar-SA"/>
        </w:rPr>
        <w:t xml:space="preserve">, тесно сцеплен с </w:t>
      </w:r>
      <w:r w:rsidR="008D7B27">
        <w:rPr>
          <w:rFonts w:ascii="Times New Roman" w:hAnsi="Times New Roman" w:cs="Times New Roman"/>
          <w:sz w:val="28"/>
          <w:szCs w:val="28"/>
          <w:lang w:val="en-US" w:bidi="ar-SA"/>
        </w:rPr>
        <w:t>rs</w:t>
      </w:r>
      <w:r w:rsidR="008D7B27" w:rsidRPr="008D7B27">
        <w:rPr>
          <w:rFonts w:ascii="Times New Roman" w:hAnsi="Times New Roman" w:cs="Times New Roman"/>
          <w:sz w:val="28"/>
          <w:szCs w:val="28"/>
          <w:lang w:bidi="ar-SA"/>
        </w:rPr>
        <w:t>9923231</w:t>
      </w:r>
      <w:r w:rsidR="008D7B27">
        <w:rPr>
          <w:rFonts w:ascii="Times New Roman" w:hAnsi="Times New Roman" w:cs="Times New Roman"/>
          <w:sz w:val="28"/>
          <w:szCs w:val="28"/>
          <w:lang w:bidi="ar-SA"/>
        </w:rPr>
        <w:t xml:space="preserve">) в промоторной области </w:t>
      </w:r>
      <w:r w:rsidR="008D7B27">
        <w:rPr>
          <w:rFonts w:ascii="Times New Roman" w:hAnsi="Times New Roman" w:cs="Times New Roman"/>
          <w:sz w:val="28"/>
          <w:szCs w:val="28"/>
          <w:lang w:val="en-US" w:bidi="ar-SA"/>
        </w:rPr>
        <w:t>VKORC</w:t>
      </w:r>
      <w:r w:rsidR="008D7B27" w:rsidRPr="008D7B27">
        <w:rPr>
          <w:rFonts w:ascii="Times New Roman" w:hAnsi="Times New Roman" w:cs="Times New Roman"/>
          <w:sz w:val="28"/>
          <w:szCs w:val="28"/>
          <w:lang w:bidi="ar-SA"/>
        </w:rPr>
        <w:t>1</w:t>
      </w:r>
      <w:r w:rsidR="008D7B27">
        <w:rPr>
          <w:rFonts w:ascii="Times New Roman" w:hAnsi="Times New Roman" w:cs="Times New Roman"/>
          <w:sz w:val="28"/>
          <w:szCs w:val="28"/>
          <w:lang w:bidi="ar-SA"/>
        </w:rPr>
        <w:t xml:space="preserve"> приводит к снижению экспрессии гена и, как следствие, к большей чувствительности к варфарину</w:t>
      </w:r>
      <w:r w:rsidR="008D7B2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{"citationID":"U99i5Z2r","properties":{"unsorted":false,"formattedCitation":"[106]","plainCitation":"[106]","noteIndex":0},"citationItems":[{"id":206,"uris":["http://zotero.org/users/14784094/items/BJMFQYGY"],"itemData":{"id":206,"type":"article-journal","abstract":"BACKGROUND: The management of warfarin therapy is complicated by a wide variation among patients in drug response. Variants in the gene encoding vitamin K epoxide reductase complex 1 (VKORC1) may affect the response to warfarin.\nMETHODS: We conducted a retrospective study of European-American patients receiving long-term warfarin maintenance therapy. Multiple linear-regression analysis was used to determine the effect of VKORC1 haplotypes on the warfarin dose. We determined VKORC1 haplotype frequencies in African-American, European-American, and Asian-American populations and VKORC1 messenger RNA (mRNA) expression in human liver samples.\nRESULTS: We identified 10 common noncoding VKORC1 single-nucleotide polymorphisms and inferred five major haplotypes. We identified a low-dose haplotype group (A) and a high-dose haplotype group (B). The mean (+/-SE) maintenance dose of warfarin differed significantly among the three haplotype group combinations, at 2.7+/-0.2 mg per day for A/A, 4.9+/-0.2 mg per day for A/B, and 6.2+/-0.3 mg per day for B/B (P&lt;0.001). VKORC1 haplotype groups A and B explained approximately 25 percent of the variance in dose. Asian Americans had a higher proportion of group A haplotypes and African Americans a higher proportion of group B haplotypes. VKORC1 mRNA levels varied according to the haplotype combination.\nCONCLUSIONS: VKORC1 haplotypes can be used to stratify patients into low-, intermediate-, and high-dose warfarin groups and may explain differences in dose requirements among patients of different ancestries. The molecular mechanism of this warfarin dose response appears to be regulated at the transcriptional level.","container-title":"The New England Journal of Medicine","DOI":"10.1056/NEJMoa044503","ISSN":"1533-4406","issue":"22","journalAbbreviation":"N Engl J Med","language":"eng","page":"2285-2293","PMID":"15930419","source":"PubMed","title":"Effect of VKORC1 haplotypes on transcriptional regulation and warfarin dose","volume":"352","author":[{"family":"Rieder","given":"Mark J."},{"family":"Reiner","given":"Alexander P."},{"family":"Gage","given":"Brian F."},{"family":"Nickerson","given":"Deborah A."},{"family":"Eby","given":"Charles S."},{"family":"McLeod","given":"Howard L."},{"family":"Blough","given":"David K."},{"family":"Thummel","given":"Kenneth E."},{"family":"Veenstra","given":"David L."},{"family":"Rettie","given":"Allan E."}],"issued":{"date-parts":[["2005",6,2]]}}}],"schema":"https://github.com/citation-style-language/schema/raw/master/csl-citation.json"} </w:instrText>
      </w:r>
      <w:r w:rsidR="008D7B2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[106]</w:t>
      </w:r>
      <w:r w:rsidR="008D7B27">
        <w:rPr>
          <w:rFonts w:ascii="Times New Roman" w:hAnsi="Times New Roman" w:cs="Times New Roman"/>
          <w:sz w:val="28"/>
          <w:szCs w:val="28"/>
          <w:lang w:bidi="ar-SA"/>
        </w:rPr>
        <w:fldChar w:fldCharType="end"/>
      </w:r>
      <w:r w:rsidR="00CE62C5">
        <w:rPr>
          <w:rFonts w:ascii="Times New Roman" w:hAnsi="Times New Roman" w:cs="Times New Roman"/>
          <w:sz w:val="28"/>
          <w:szCs w:val="28"/>
          <w:lang w:bidi="ar-SA"/>
        </w:rPr>
        <w:t>. Это ярко иллюстрируется различиями в поддерживающих дозах: пациенты с генотипом СС требуют около 6,2мг/сут, СТ-</w:t>
      </w:r>
      <w:r w:rsidR="00CE62C5">
        <w:rPr>
          <w:rFonts w:ascii="Times New Roman" w:hAnsi="Times New Roman" w:cs="Times New Roman"/>
          <w:sz w:val="28"/>
          <w:szCs w:val="28"/>
          <w:lang w:bidi="ar-SA"/>
        </w:rPr>
        <w:sym w:font="Symbol" w:char="F07E"/>
      </w:r>
      <w:r w:rsidR="00CE62C5">
        <w:rPr>
          <w:rFonts w:ascii="Times New Roman" w:hAnsi="Times New Roman" w:cs="Times New Roman"/>
          <w:sz w:val="28"/>
          <w:szCs w:val="28"/>
          <w:lang w:bidi="ar-SA"/>
        </w:rPr>
        <w:t xml:space="preserve">4,8мг/сут, ТТ- </w:t>
      </w:r>
      <w:r w:rsidR="00CE62C5">
        <w:rPr>
          <w:rFonts w:ascii="Times New Roman" w:hAnsi="Times New Roman" w:cs="Times New Roman"/>
          <w:sz w:val="28"/>
          <w:szCs w:val="28"/>
          <w:lang w:bidi="ar-SA"/>
        </w:rPr>
        <w:sym w:font="Symbol" w:char="F07E"/>
      </w:r>
      <w:r w:rsidR="00CE62C5">
        <w:rPr>
          <w:rFonts w:ascii="Times New Roman" w:hAnsi="Times New Roman" w:cs="Times New Roman"/>
          <w:sz w:val="28"/>
          <w:szCs w:val="28"/>
          <w:lang w:bidi="ar-SA"/>
        </w:rPr>
        <w:t>3,5мг/сут</w:t>
      </w:r>
      <w:r w:rsidR="00CE62C5">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{"citationID":"jpwoUcIH","properties":{"unsorted":false,"formattedCitation":"[106]","plainCitation":"[106]","noteIndex":0},"citationItems":[{"id":206,"uris":["http://zotero.org/users/14784094/items/BJMFQYGY"],"itemData":{"id":206,"type":"article-journal","abstract":"BACKGROUND: The management of warfarin therapy is complicated by a wide variation among patients in drug response. Variants in the gene encoding vitamin K epoxide reductase complex 1 (VKORC1) may affect the response to warfarin.\nMETHODS: We conducted a retrospective study of European-American patients receiving long-term warfarin maintenance therapy. Multiple linear-regression analysis was used to determine the effect of VKORC1 haplotypes on the warfarin dose. We determined VKORC1 haplotype frequencies in African-American, European-American, and Asian-American populations and VKORC1 messenger RNA (mRNA) expression in human liver samples.\nRESULTS: We identified 10 common noncoding VKORC1 single-nucleotide polymorphisms and inferred five major haplotypes. We identified a low-dose haplotype group (A) and a high-dose haplotype group (B). The mean (+/-SE) maintenance dose of warfarin differed significantly among the three haplotype group combinations, at 2.7+/-0.2 mg per day for A/A, 4.9+/-0.2 mg per day for A/B, and 6.2+/-0.3 mg per day for B/B (P&lt;0.001). VKORC1 haplotype groups A and B explained approximately 25 percent of the variance in dose. Asian Americans had a higher proportion of group A haplotypes and African Americans a higher proportion of group B haplotypes. VKORC1 mRNA levels varied according to the haplotype combination.\nCONCLUSIONS: VKORC1 haplotypes can be used to stratify patients into low-, intermediate-, and high-dose warfarin groups and may explain differences in dose requirements among patients of different ancestries. The molecular mechanism of this warfarin dose response appears to be regulated at the transcriptional level.","container-title":"The New England Journal of Medicine","DOI":"10.1056/NEJMoa044503","ISSN":"1533-4406","issue":"22","journalAbbreviation":"N Engl J Med","language":"eng","page":"2285-2293","PMID":"15930419","source":"PubMed","title":"Effect of VKORC1 haplotypes on transcriptional regulation and warfarin dose","volume":"352","author":[{"family":"Rieder","given":"Mark J."},{"family":"Reiner","given":"Alexander P."},{"family":"Gage","given":"Brian F."},{"family":"Nickerson","given":"Deborah A."},{"family":"Eby","given":"Charles S."},{"family":"McLeod","given":"Howard L."},{"family":"Blough","given":"David K."},{"family":"Thummel","given":"Kenneth E."},{"family":"Veenstra","given":"David L."},{"family":"Rettie","given":"Allan E."}],"issued":{"date-parts":[["2005",6,2]]}}}],"schema":"https://github.com/citation-style-language/schema/raw/master/csl-citation.json"} </w:instrText>
      </w:r>
      <w:r w:rsidR="00CE62C5">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[106]</w:t>
      </w:r>
      <w:r w:rsidR="00CE62C5">
        <w:rPr>
          <w:rFonts w:ascii="Times New Roman" w:hAnsi="Times New Roman" w:cs="Times New Roman"/>
          <w:sz w:val="28"/>
          <w:szCs w:val="28"/>
          <w:lang w:bidi="ar-SA"/>
        </w:rPr>
        <w:fldChar w:fldCharType="end"/>
      </w:r>
      <w:r w:rsidR="00CE62C5">
        <w:rPr>
          <w:rFonts w:ascii="Times New Roman" w:hAnsi="Times New Roman" w:cs="Times New Roman"/>
          <w:sz w:val="28"/>
          <w:szCs w:val="28"/>
          <w:lang w:bidi="ar-SA"/>
        </w:rPr>
        <w:t>. Приблизительно 45% европейцев являются носителями чувствительного Т-аллеля</w:t>
      </w:r>
      <w:r w:rsidR="00CE62C5">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2EaSkO27","properties":{"unsorted":false,"formattedCitation":"[107]","plainCitation":"[107]","noteIndex":0},"citationItems":[{"id":630,"uris":["http://zotero.org/users/14784094/items/33Q2LNGV"],"itemData":{"id":630,"type":"webpage","title":"АНТИКОАГУЛЯНТНАЯ ТЕРАПИЯ ПРИ ФИБРИЛЛЯЦИИ ПРЕДСЕРДИЙ В РЕАЛЬНОЙ ПРАКТИКЕ: ПРОБЛЕМЫ И ПЕРСПЕКТИВЫ","URL":"https://cyberleninka.ru/article/n/antikoagulyantnaya-terapiya-pri-fibrillyatsii-predserdiy-v-realnoy-praktike-problemy-i-perspektivy/viewer","accessed":{"date-parts":[["2024",9,8]]}}}],"schema":"https://github.com/citation-style-language/schema/raw/master/csl-citation.json"} </w:instrText>
      </w:r>
      <w:r w:rsidR="00CE62C5">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[107]</w:t>
      </w:r>
      <w:r w:rsidR="00CE62C5">
        <w:rPr>
          <w:rFonts w:ascii="Times New Roman" w:hAnsi="Times New Roman" w:cs="Times New Roman"/>
          <w:sz w:val="28"/>
          <w:szCs w:val="28"/>
          <w:lang w:bidi="ar-SA"/>
        </w:rPr>
        <w:fldChar w:fldCharType="end"/>
      </w:r>
      <w:r w:rsidR="00CE62C5">
        <w:rPr>
          <w:rFonts w:ascii="Times New Roman" w:hAnsi="Times New Roman" w:cs="Times New Roman"/>
          <w:sz w:val="28"/>
          <w:szCs w:val="28"/>
          <w:lang w:bidi="ar-SA"/>
        </w:rPr>
        <w:t xml:space="preserve">. Аналогично, генотип АА по полиморфизму </w:t>
      </w:r>
      <w:r w:rsidR="00CE62C5">
        <w:rPr>
          <w:rFonts w:ascii="Times New Roman" w:hAnsi="Times New Roman" w:cs="Times New Roman"/>
          <w:sz w:val="28"/>
          <w:szCs w:val="28"/>
          <w:lang w:val="en-US" w:bidi="ar-SA"/>
        </w:rPr>
        <w:t>G</w:t>
      </w:r>
      <w:r w:rsidR="00CE62C5" w:rsidRPr="00CE62C5">
        <w:rPr>
          <w:rFonts w:ascii="Times New Roman" w:hAnsi="Times New Roman" w:cs="Times New Roman"/>
          <w:sz w:val="28"/>
          <w:szCs w:val="28"/>
          <w:lang w:bidi="ar-SA"/>
        </w:rPr>
        <w:t>3673</w:t>
      </w:r>
      <w:r w:rsidR="00CE62C5">
        <w:rPr>
          <w:rFonts w:ascii="Times New Roman" w:hAnsi="Times New Roman" w:cs="Times New Roman"/>
          <w:sz w:val="28"/>
          <w:szCs w:val="28"/>
          <w:lang w:val="en-US" w:bidi="ar-SA"/>
        </w:rPr>
        <w:t>A</w:t>
      </w:r>
      <w:r w:rsidR="00CE62C5" w:rsidRPr="00CE62C5">
        <w:rPr>
          <w:rFonts w:ascii="Times New Roman" w:hAnsi="Times New Roman" w:cs="Times New Roman"/>
          <w:sz w:val="28"/>
          <w:szCs w:val="28"/>
          <w:lang w:bidi="ar-SA"/>
        </w:rPr>
        <w:t xml:space="preserve"> (</w:t>
      </w:r>
      <w:r w:rsidR="00CE62C5">
        <w:rPr>
          <w:rFonts w:ascii="Times New Roman" w:hAnsi="Times New Roman" w:cs="Times New Roman"/>
          <w:sz w:val="28"/>
          <w:szCs w:val="28"/>
          <w:lang w:val="en-US" w:bidi="ar-SA"/>
        </w:rPr>
        <w:t>rs</w:t>
      </w:r>
      <w:r w:rsidR="00CE62C5" w:rsidRPr="00CE62C5">
        <w:rPr>
          <w:rFonts w:ascii="Times New Roman" w:hAnsi="Times New Roman" w:cs="Times New Roman"/>
          <w:sz w:val="28"/>
          <w:szCs w:val="28"/>
          <w:lang w:bidi="ar-SA"/>
        </w:rPr>
        <w:t xml:space="preserve">7294) </w:t>
      </w:r>
      <w:r w:rsidR="00CE62C5">
        <w:rPr>
          <w:rFonts w:ascii="Times New Roman" w:hAnsi="Times New Roman" w:cs="Times New Roman"/>
          <w:sz w:val="28"/>
          <w:szCs w:val="28"/>
          <w:lang w:bidi="ar-SA"/>
        </w:rPr>
        <w:t>ассоциирован с развитием чрезмерной гипокоагуляции при меньших дозах</w:t>
      </w:r>
      <w:r w:rsidR="00CE62C5">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{"citationID":"n77bKkp8","properties":{"unsorted":false,"formattedCitation":"[108]","plainCitation":"[108]","noteIndex":0},"citationItems":[{"id":204,"uris":["http://zotero.org/users/14784094/items/LRUEAHUW"],"itemData":{"id":204,"type":"article-journal","abstract":"Introduction The primary objective of this study was to determine whether variability in warfarin dose requirements is determined by common polymorphisms in genes whose products are involved in the pharmacodynamics and pharmacokinetics of warfarin, namely, the coagulation factors, vitamin K epoxide reductase complex subunit 1 (VKORC1), and cytochrome P450 (CYP) 2C9. Methods Patients (N = 350) receiving stable doses of warfarin at 3 consecutive visits were enrolled, and a deoxyribonucleic acid sample was collected. Samples were genotyped for polymorphisms in the factor II, factor VII, factor X, VKORC1, and CYP2C9 genes. A stepwise linear regression analysis was used to determine the independent effects of genetic and nongenetic factors on mean warfarin dose requirements. Results Variables associated with lower warfarin dose requirements were VKORC1 3673 AA genotype (P &lt; .0001), VKORC1 3673 GA genotype (P &lt; .0001), 1 variant CYP2C9 allele (P &lt; .0001), 2 variant CYP2C9 alleles (P = .0004), increasing age (P = .0005), concomitant CYP2C9 inhibitors (P = .0005), and goal international normalized ratio (P = .01). Variables associated with higher warfarin dose requirements were weight (P &lt; .0001), current smoker status (P = .0009), mean international normalized ratio (P = .001), concomitant CYP2C9 inducers (P = .006), factor X insertion/deletion genotype (P = .01), factor X insertion/insertion genotype (P = .04), factor VII deletion/deletion genotype (P = .04), and calculated vitamin K intake (P = .05). The linear regression model explained 51.4% of the variability in warfarin dose requirements. Conclusion Polymorphisms in warfarin drug target and metabolizing enzyme genes, in addition to nongenetic factors, were important determinants of warfarin dose requirements. Clinical Pharmacology &amp; Therapeutics (2006) 79, 291–302; doi: 10.1016/j.clpt.2005.11.011","container-title":"Clinical Pharmacology &amp; Therapeutics","DOI":"10.1016/j.clpt.2005.11.011","ISSN":"1532-6535","issue":"4","language":"en","license":"© 2006 American Society for Clinical Pharmacology and Therapeutics","note":"_eprint: https://onlinelibrary.wiley.com/doi/pdf/10.1016/j.clpt.2005.11.011","page":"291-302","source":"Wiley Online Library","title":"Influence of coagulation factor, vitamin K epoxide reductase complex subunit 1, and cytochrome P450 2C9 gene polymorphisms on warfarin dose requirements","volume":"79","author":[{"family":"Aquilante","given":"Christina L."},{"family":"Langaee","given":"Taimour Y."},{"family":"Lopez","given":"Larry M."},{"family":"Yarandi","given":"Hossein N."},{"family":"Tromberg","given":"Jennifer S."},{"family":"Mohuczy","given":"Dagmara"},{"family":"Gaston","given":"Katherine L."},{"family":"Waddell","given":"Cassandra D."},{"family":"Chirico","given":"Mark J."},{"family":"Johnson","given":"Julie A."}],"issued":{"date-parts":[["2006"]]}}}],"schema":"https://github.com/citation-style-language/schema/raw/master/csl-citation.json"} </w:instrText>
      </w:r>
      <w:r w:rsidR="00CE62C5">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[108]</w:t>
      </w:r>
      <w:r w:rsidR="00CE62C5">
        <w:rPr>
          <w:rFonts w:ascii="Times New Roman" w:hAnsi="Times New Roman" w:cs="Times New Roman"/>
          <w:sz w:val="28"/>
          <w:szCs w:val="28"/>
          <w:lang w:bidi="ar-SA"/>
        </w:rPr>
        <w:fldChar w:fldCharType="end"/>
      </w:r>
      <w:r w:rsidR="00CE62C5">
        <w:rPr>
          <w:rFonts w:ascii="Times New Roman" w:hAnsi="Times New Roman" w:cs="Times New Roman"/>
          <w:sz w:val="28"/>
          <w:szCs w:val="28"/>
          <w:lang w:bidi="ar-SA"/>
        </w:rPr>
        <w:t xml:space="preserve">. </w:t>
      </w:r>
      <w:r w:rsidR="00CE62C5" w:rsidRPr="00315C79">
        <w:rPr>
          <w:rFonts w:ascii="Times New Roman" w:hAnsi="Times New Roman" w:cs="Times New Roman"/>
          <w:i/>
          <w:iCs/>
          <w:sz w:val="28"/>
          <w:szCs w:val="28"/>
          <w:lang w:val="en-US" w:bidi="ar-SA"/>
        </w:rPr>
        <w:t>CYP</w:t>
      </w:r>
      <w:r w:rsidR="00CE62C5" w:rsidRPr="00315C79">
        <w:rPr>
          <w:rFonts w:ascii="Times New Roman" w:hAnsi="Times New Roman" w:cs="Times New Roman"/>
          <w:i/>
          <w:iCs/>
          <w:sz w:val="28"/>
          <w:szCs w:val="28"/>
          <w:lang w:bidi="ar-SA"/>
        </w:rPr>
        <w:t>2</w:t>
      </w:r>
      <w:r w:rsidR="00CE62C5" w:rsidRPr="00315C79">
        <w:rPr>
          <w:rFonts w:ascii="Times New Roman" w:hAnsi="Times New Roman" w:cs="Times New Roman"/>
          <w:i/>
          <w:iCs/>
          <w:sz w:val="28"/>
          <w:szCs w:val="28"/>
          <w:lang w:val="en-US" w:bidi="ar-SA"/>
        </w:rPr>
        <w:t>C</w:t>
      </w:r>
      <w:r w:rsidR="00CE62C5" w:rsidRPr="00315C79">
        <w:rPr>
          <w:rFonts w:ascii="Times New Roman" w:hAnsi="Times New Roman" w:cs="Times New Roman"/>
          <w:i/>
          <w:iCs/>
          <w:sz w:val="28"/>
          <w:szCs w:val="28"/>
          <w:lang w:bidi="ar-SA"/>
        </w:rPr>
        <w:t>9:</w:t>
      </w:r>
      <w:r w:rsidR="00CE62C5" w:rsidRPr="00CE62C5">
        <w:rPr>
          <w:rFonts w:ascii="Times New Roman" w:hAnsi="Times New Roman" w:cs="Times New Roman"/>
          <w:sz w:val="28"/>
          <w:szCs w:val="28"/>
          <w:lang w:bidi="ar-SA"/>
        </w:rPr>
        <w:t xml:space="preserve"> </w:t>
      </w:r>
      <w:r w:rsidR="00CE62C5">
        <w:rPr>
          <w:rFonts w:ascii="Times New Roman" w:hAnsi="Times New Roman" w:cs="Times New Roman"/>
          <w:sz w:val="28"/>
          <w:szCs w:val="28"/>
          <w:lang w:bidi="ar-SA"/>
        </w:rPr>
        <w:t xml:space="preserve">продукт этого гена – фермент цитохром Р450 2С9 – ответственен за метаболизм фармакологически активного </w:t>
      </w:r>
      <w:r w:rsidR="00CE62C5">
        <w:rPr>
          <w:rFonts w:ascii="Times New Roman" w:hAnsi="Times New Roman" w:cs="Times New Roman"/>
          <w:sz w:val="28"/>
          <w:szCs w:val="28"/>
          <w:lang w:val="en-US" w:bidi="ar-SA"/>
        </w:rPr>
        <w:t>S</w:t>
      </w:r>
      <w:r w:rsidR="00CE62C5" w:rsidRPr="00CE62C5">
        <w:rPr>
          <w:rFonts w:ascii="Times New Roman" w:hAnsi="Times New Roman" w:cs="Times New Roman"/>
          <w:sz w:val="28"/>
          <w:szCs w:val="28"/>
          <w:lang w:bidi="ar-SA"/>
        </w:rPr>
        <w:t>-</w:t>
      </w:r>
      <w:r w:rsidR="00CE62C5">
        <w:rPr>
          <w:rFonts w:ascii="Times New Roman" w:hAnsi="Times New Roman" w:cs="Times New Roman"/>
          <w:sz w:val="28"/>
          <w:szCs w:val="28"/>
          <w:lang w:bidi="ar-SA"/>
        </w:rPr>
        <w:t>энантиомера варфарина, на долю которого приходится основная антикоагулянтная активность рацемической смеси</w:t>
      </w:r>
      <w:r w:rsidR="00CE62C5">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{"citationID":"vh9huU7i","properties":{"unsorted":false,"formattedCitation":"[6]","plainCitation":"[6]","noteIndex":0},"citationItems":[{"id":251,"uris":["http://zotero.org/users/14784094/items/QUQT6BUW"],"itemData":{"id":251,"type":"article-journal","abstract":"В обзоре современной литературы анализируются актуальные проблемы лечения больных фибрилляцией предсердий, а именно тромбопрофилактика и применение антикоагулянтной терапии. В статье описываются современные возможности профилактики тромбоэмболических осложнений у больных фибрилляцией предсердий высокого риска. Демонстрируется факт недостаточного использования профилактической антитромботической терапии у пациентов при фибрилляции предсердий с высоким тромботическим риском, что связано как с неполным выполнением клинических рекомендаций врачом, так и с низкой приверженностью пациентов к приему назначенных антикоагулянтов. В обзоре литературы обсуждаются трудности применения оральных антикоагулянтов, в частности препаратов прямого действия и их высокое финансовое бремя, а также антикоагулянтов непрямого действия и нестабильность их фармакологического эффекта. В статье демонстрируются трудности терапии варфарином, такие как недостаточная приверженность лечению, генетические особенности пациента, алиментарные и лекарственные взаимодействия. Показано, что данные по приверженности к лекарственной терапии не отличаются однородностью и не в полной мере учитывают влияние пациентзависимых характеристик. Отдельно обсуждается разработка индивидуализированного алгоритма по выбору антикоагулянта для длительного применения у больных фибрилляцией предсердий с позиции пациентоориентированного подхода.","container-title":"Annals of the Russian academy of medical sciences","DOI":"10.15690/vramn1116","ISSN":"2414-3545","issue":"2","language":"ru","license":"\"Paediatrician\" Publishers LLC, 2019","note":"number: 2","page":"98-107","source":"vestnikramn.spr-journal.ru","title":"Anticoagulant Therapy for Atrial Fibrillation in Real Practice: Problems and Prospects","title-short":"Anticoagulant Therapy for Atrial Fibrillation in Real Practice","volume":"74","author":[{"family":"Skirdenko","given":"Yuliya P."},{"family":"Петровна","given":"Скирденко Юлия"},{"family":"Nikolaev","given":"Nikolay A."},{"family":"Анатольевич","given":"Николаев Николай"},{"family":"Livzan","given":"Maria А."},{"family":"Анатольевна","given":"Ливзан Мария"},{"family":"Ershov","given":"Anton V."},{"family":"Валерьевич","given":"Ершов Антон"}],"issued":{"date-parts":[["2019",5,20]]}}}],"schema":"https://github.com/citation-style-language/schema/raw/master/csl-citation.json"} </w:instrText>
      </w:r>
      <w:r w:rsidR="00CE62C5">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[6]</w:t>
      </w:r>
      <w:r w:rsidR="00CE62C5">
        <w:rPr>
          <w:rFonts w:ascii="Times New Roman" w:hAnsi="Times New Roman" w:cs="Times New Roman"/>
          <w:sz w:val="28"/>
          <w:szCs w:val="28"/>
          <w:lang w:bidi="ar-SA"/>
        </w:rPr>
        <w:fldChar w:fldCharType="end"/>
      </w:r>
      <w:r w:rsidR="00CE62C5">
        <w:rPr>
          <w:rFonts w:ascii="Times New Roman" w:hAnsi="Times New Roman" w:cs="Times New Roman"/>
          <w:sz w:val="28"/>
          <w:szCs w:val="28"/>
          <w:lang w:bidi="ar-SA"/>
        </w:rPr>
        <w:t xml:space="preserve">. Наибольшее клиническое значение имеют аллели, снижающие активность фермента: </w:t>
      </w:r>
      <w:r w:rsidR="00CE62C5">
        <w:rPr>
          <w:rFonts w:ascii="Times New Roman" w:hAnsi="Times New Roman" w:cs="Times New Roman"/>
          <w:sz w:val="28"/>
          <w:szCs w:val="28"/>
          <w:lang w:val="en-US" w:bidi="ar-SA"/>
        </w:rPr>
        <w:t>CY</w:t>
      </w:r>
      <w:r w:rsidR="00422C59">
        <w:rPr>
          <w:rFonts w:ascii="Times New Roman" w:hAnsi="Times New Roman" w:cs="Times New Roman"/>
          <w:sz w:val="28"/>
          <w:szCs w:val="28"/>
          <w:lang w:val="en-US" w:bidi="ar-SA"/>
        </w:rPr>
        <w:t>P</w:t>
      </w:r>
      <w:r w:rsidR="00CE62C5" w:rsidRPr="00CE62C5">
        <w:rPr>
          <w:rFonts w:ascii="Times New Roman" w:hAnsi="Times New Roman" w:cs="Times New Roman"/>
          <w:sz w:val="28"/>
          <w:szCs w:val="28"/>
          <w:lang w:bidi="ar-SA"/>
        </w:rPr>
        <w:t>2</w:t>
      </w:r>
      <w:r w:rsidR="00CE62C5">
        <w:rPr>
          <w:rFonts w:ascii="Times New Roman" w:hAnsi="Times New Roman" w:cs="Times New Roman"/>
          <w:sz w:val="28"/>
          <w:szCs w:val="28"/>
          <w:lang w:val="en-US" w:bidi="ar-SA"/>
        </w:rPr>
        <w:t>C</w:t>
      </w:r>
      <w:r w:rsidR="00CE62C5" w:rsidRPr="00CE62C5">
        <w:rPr>
          <w:rFonts w:ascii="Times New Roman" w:hAnsi="Times New Roman" w:cs="Times New Roman"/>
          <w:sz w:val="28"/>
          <w:szCs w:val="28"/>
          <w:lang w:bidi="ar-SA"/>
        </w:rPr>
        <w:t xml:space="preserve">9*2 </w:t>
      </w:r>
      <w:r w:rsidR="00CE62C5">
        <w:rPr>
          <w:rFonts w:ascii="Times New Roman" w:hAnsi="Times New Roman" w:cs="Times New Roman"/>
          <w:sz w:val="28"/>
          <w:szCs w:val="28"/>
          <w:lang w:bidi="ar-SA"/>
        </w:rPr>
        <w:t>(</w:t>
      </w:r>
      <w:r w:rsidR="00CE62C5">
        <w:rPr>
          <w:rFonts w:ascii="Times New Roman" w:hAnsi="Times New Roman" w:cs="Times New Roman"/>
          <w:sz w:val="28"/>
          <w:szCs w:val="28"/>
          <w:lang w:val="en-US" w:bidi="ar-SA"/>
        </w:rPr>
        <w:t>rs</w:t>
      </w:r>
      <w:r w:rsidR="00CE62C5" w:rsidRPr="00CE62C5">
        <w:rPr>
          <w:rFonts w:ascii="Times New Roman" w:hAnsi="Times New Roman" w:cs="Times New Roman"/>
          <w:sz w:val="28"/>
          <w:szCs w:val="28"/>
          <w:lang w:bidi="ar-SA"/>
        </w:rPr>
        <w:t>1799853</w:t>
      </w:r>
      <w:r w:rsidR="00CE62C5">
        <w:rPr>
          <w:rFonts w:ascii="Times New Roman" w:hAnsi="Times New Roman" w:cs="Times New Roman"/>
          <w:sz w:val="28"/>
          <w:szCs w:val="28"/>
          <w:lang w:bidi="ar-SA"/>
        </w:rPr>
        <w:t>, замена аргинина на цистеин в позиции</w:t>
      </w:r>
      <w:r w:rsidR="00CE62C5" w:rsidRPr="00CE62C5">
        <w:rPr>
          <w:rFonts w:ascii="Times New Roman" w:hAnsi="Times New Roman" w:cs="Times New Roman"/>
          <w:sz w:val="28"/>
          <w:szCs w:val="28"/>
          <w:lang w:bidi="ar-SA"/>
        </w:rPr>
        <w:t xml:space="preserve"> 144-</w:t>
      </w:r>
      <w:r w:rsidR="00CE62C5">
        <w:rPr>
          <w:rFonts w:ascii="Times New Roman" w:hAnsi="Times New Roman" w:cs="Times New Roman"/>
          <w:sz w:val="28"/>
          <w:szCs w:val="28"/>
          <w:lang w:val="en-US" w:bidi="ar-SA"/>
        </w:rPr>
        <w:t>R</w:t>
      </w:r>
      <w:r w:rsidR="00CE62C5" w:rsidRPr="00CE62C5">
        <w:rPr>
          <w:rFonts w:ascii="Times New Roman" w:hAnsi="Times New Roman" w:cs="Times New Roman"/>
          <w:sz w:val="28"/>
          <w:szCs w:val="28"/>
          <w:lang w:bidi="ar-SA"/>
        </w:rPr>
        <w:t>144</w:t>
      </w:r>
      <w:r w:rsidR="00CE62C5">
        <w:rPr>
          <w:rFonts w:ascii="Times New Roman" w:hAnsi="Times New Roman" w:cs="Times New Roman"/>
          <w:sz w:val="28"/>
          <w:szCs w:val="28"/>
          <w:lang w:val="en-US" w:bidi="ar-SA"/>
        </w:rPr>
        <w:t>C</w:t>
      </w:r>
      <w:r w:rsidR="00CE62C5">
        <w:rPr>
          <w:rFonts w:ascii="Times New Roman" w:hAnsi="Times New Roman" w:cs="Times New Roman"/>
          <w:sz w:val="28"/>
          <w:szCs w:val="28"/>
          <w:lang w:bidi="ar-SA"/>
        </w:rPr>
        <w:t>).</w:t>
      </w:r>
      <w:r w:rsidR="00CE62C5" w:rsidRPr="00CE62C5">
        <w:rPr>
          <w:rFonts w:ascii="Times New Roman" w:hAnsi="Times New Roman" w:cs="Times New Roman"/>
          <w:sz w:val="28"/>
          <w:szCs w:val="28"/>
          <w:lang w:bidi="ar-SA"/>
        </w:rPr>
        <w:t xml:space="preserve"> </w:t>
      </w:r>
      <w:r w:rsidR="00CE62C5">
        <w:rPr>
          <w:rFonts w:ascii="Times New Roman" w:hAnsi="Times New Roman" w:cs="Times New Roman"/>
          <w:sz w:val="28"/>
          <w:szCs w:val="28"/>
          <w:lang w:val="en-US" w:bidi="ar-SA"/>
        </w:rPr>
        <w:t>CYP</w:t>
      </w:r>
      <w:r w:rsidR="00CE62C5" w:rsidRPr="00CE62C5">
        <w:rPr>
          <w:rFonts w:ascii="Times New Roman" w:hAnsi="Times New Roman" w:cs="Times New Roman"/>
          <w:sz w:val="28"/>
          <w:szCs w:val="28"/>
          <w:lang w:bidi="ar-SA"/>
        </w:rPr>
        <w:t>2</w:t>
      </w:r>
      <w:r w:rsidR="00CE62C5">
        <w:rPr>
          <w:rFonts w:ascii="Times New Roman" w:hAnsi="Times New Roman" w:cs="Times New Roman"/>
          <w:sz w:val="28"/>
          <w:szCs w:val="28"/>
          <w:lang w:val="en-US" w:bidi="ar-SA"/>
        </w:rPr>
        <w:t>C</w:t>
      </w:r>
      <w:r w:rsidR="00CE62C5" w:rsidRPr="00CE62C5">
        <w:rPr>
          <w:rFonts w:ascii="Times New Roman" w:hAnsi="Times New Roman" w:cs="Times New Roman"/>
          <w:sz w:val="28"/>
          <w:szCs w:val="28"/>
          <w:lang w:bidi="ar-SA"/>
        </w:rPr>
        <w:t xml:space="preserve">9*3 </w:t>
      </w:r>
      <w:r w:rsidR="00CE62C5">
        <w:rPr>
          <w:rFonts w:ascii="Times New Roman" w:hAnsi="Times New Roman" w:cs="Times New Roman"/>
          <w:sz w:val="28"/>
          <w:szCs w:val="28"/>
          <w:lang w:bidi="ar-SA"/>
        </w:rPr>
        <w:t>(</w:t>
      </w:r>
      <w:r w:rsidR="00CE62C5">
        <w:rPr>
          <w:rFonts w:ascii="Times New Roman" w:hAnsi="Times New Roman" w:cs="Times New Roman"/>
          <w:sz w:val="28"/>
          <w:szCs w:val="28"/>
          <w:lang w:val="en-US" w:bidi="ar-SA"/>
        </w:rPr>
        <w:t>rs</w:t>
      </w:r>
      <w:r w:rsidR="00CE62C5" w:rsidRPr="00CE62C5">
        <w:rPr>
          <w:rFonts w:ascii="Times New Roman" w:hAnsi="Times New Roman" w:cs="Times New Roman"/>
          <w:sz w:val="28"/>
          <w:szCs w:val="28"/>
          <w:lang w:bidi="ar-SA"/>
        </w:rPr>
        <w:t>1057910</w:t>
      </w:r>
      <w:r w:rsidR="00CE62C5">
        <w:rPr>
          <w:rFonts w:ascii="Times New Roman" w:hAnsi="Times New Roman" w:cs="Times New Roman"/>
          <w:sz w:val="28"/>
          <w:szCs w:val="28"/>
          <w:lang w:bidi="ar-SA"/>
        </w:rPr>
        <w:t>, замена изолейцина на лейцин в позиции 359-</w:t>
      </w:r>
      <w:r w:rsidR="00CE62C5">
        <w:rPr>
          <w:rFonts w:ascii="Times New Roman" w:hAnsi="Times New Roman" w:cs="Times New Roman"/>
          <w:sz w:val="28"/>
          <w:szCs w:val="28"/>
          <w:lang w:val="en-US" w:bidi="ar-SA"/>
        </w:rPr>
        <w:t>I</w:t>
      </w:r>
      <w:r w:rsidR="00CE62C5" w:rsidRPr="00E22AF8">
        <w:rPr>
          <w:rFonts w:ascii="Times New Roman" w:hAnsi="Times New Roman" w:cs="Times New Roman"/>
          <w:sz w:val="28"/>
          <w:szCs w:val="28"/>
          <w:lang w:bidi="ar-SA"/>
        </w:rPr>
        <w:t>359</w:t>
      </w:r>
      <w:r w:rsidR="00CE62C5">
        <w:rPr>
          <w:rFonts w:ascii="Times New Roman" w:hAnsi="Times New Roman" w:cs="Times New Roman"/>
          <w:sz w:val="28"/>
          <w:szCs w:val="28"/>
          <w:lang w:val="en-US" w:bidi="ar-SA"/>
        </w:rPr>
        <w:t>L</w:t>
      </w:r>
      <w:r w:rsidR="00CE62C5" w:rsidRPr="00E22AF8">
        <w:rPr>
          <w:rFonts w:ascii="Times New Roman" w:hAnsi="Times New Roman" w:cs="Times New Roman"/>
          <w:sz w:val="28"/>
          <w:szCs w:val="28"/>
          <w:lang w:bidi="ar-SA"/>
        </w:rPr>
        <w:t>).</w:t>
      </w:r>
      <w:r w:rsidR="00CE62C5">
        <w:rPr>
          <w:rFonts w:ascii="Times New Roman" w:hAnsi="Times New Roman" w:cs="Times New Roman"/>
          <w:sz w:val="28"/>
          <w:szCs w:val="28"/>
          <w:lang w:bidi="ar-SA"/>
        </w:rPr>
        <w:t xml:space="preserve"> </w:t>
      </w:r>
      <w:r w:rsidR="00E22AF8">
        <w:rPr>
          <w:rFonts w:ascii="Times New Roman" w:hAnsi="Times New Roman" w:cs="Times New Roman"/>
          <w:sz w:val="28"/>
          <w:szCs w:val="28"/>
          <w:lang w:bidi="ar-SA"/>
        </w:rPr>
        <w:t xml:space="preserve">Носители этих аллелей относятся к фенотипу «медленных метаболизаторов» и требуют существенно меньших доз варфарина по сравнению с носителями «дикого» аллеля </w:t>
      </w:r>
      <w:r w:rsidR="00E22AF8" w:rsidRPr="00E22AF8">
        <w:rPr>
          <w:rFonts w:ascii="Times New Roman" w:hAnsi="Times New Roman" w:cs="Times New Roman"/>
          <w:sz w:val="28"/>
          <w:szCs w:val="28"/>
          <w:lang w:bidi="ar-SA"/>
        </w:rPr>
        <w:t>*</w:t>
      </w:r>
      <w:r w:rsidR="00E22AF8">
        <w:rPr>
          <w:rFonts w:ascii="Times New Roman" w:hAnsi="Times New Roman" w:cs="Times New Roman"/>
          <w:sz w:val="28"/>
          <w:szCs w:val="28"/>
          <w:lang w:bidi="ar-SA"/>
        </w:rPr>
        <w:t>1 (стандартные метаболизаторы)</w:t>
      </w:r>
      <w:r w:rsidR="00E22AF8">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Hhz96thS","properties":{"unsorted":false,"formattedCitation":"[109,110]","plainCitation":"[109,110]","noteIndex":0},"citationItems":[{"id":202,"uris":["http://zotero.org/users/14784094/items/ZZGLHESL"],"itemData":{"id":202,"type":"article-journal","abstract":"Rationale: Vitamin K antagonists (VKA), such as warfarin and acenocoumarol, are widely used for the prevention and treatment of thromboembolic diseases and they are some of the most commonly prescribed types of medications. They are characterized by narrow therapeutic indices and inter-individual or intra-individual variability in response to the treatment., Objective: to establish the influence of several genetic factors on VKA efficacy and adverse reactions., Methods and Results: The metabolism of VKA differs depending on their chemical structure: indandiones derivatives (fluindione) or coumarin derivatives (acenocoumarol, phenprocoumon or warfarin). They are mostly metabolized in hepatocytes via a monooxygenase, cytochrome P450 2C9 (CYP2C9), resulting in inactive products. The gene encoding CYP2C9 is polymorphic, its genetic variants being associated with differences in the enzymatic activity of CYP2C9. The most important in terms of their frequency in the general population are CYP2C9*2 and CYP2C9*3. Both alleles are associated with a marked decrease in CYP2C9 enzyme activity. VK epoxide reductase (VKOR) is an enzyme with an important role in VK metabolism. Various polymorphisms in the VKORC1 gene have been described. VKORC1*2 haplotype seems to be the most important in relation to the variability in response to VKA. , Discussions: Various studies have shown a relationship between the genotype and the mean warfarin maintenance dosing: in patients carrying 2C9*1/ *2 alleles, the dose is reduced by 18-40% in patients carrying 2C9*2/ *2 alleles, by 21-49% in patients carrying 2C9*1/ *3 alleles. The A allele of the c.-1639G&gt;A polymorphism in the VKORC1 gene is associated with the need for a lower dose of acenocoumarol in patients on anticoagulant therapy., Abbreviations: SNP = Single Nucleotide Polymorphism, VKA = vitamin K antagonists, C1 - VKORC1 = vitamin K epoxide reductase complex subunit, INR = International Normalized Ratio","container-title":"Journal of Medicine and Life","ISSN":"1844-122X","issue":"2","journalAbbreviation":"J Med Life","page":"171-175","PMID":"25866574","PMCID":"PMC4392103","source":"PubMed Central","title":"Pharmacogenetics aspects of oral anticoagulants therapy","volume":"8","author":[{"family":"Militaru","given":"FC"},{"family":"Vesa","given":"SC"},{"family":"Pop","given":"TR"},{"family":"Buzoianu","given":"AD"}],"issued":{"date-parts":[["2015"]]}}},{"id":203,"uris":["http://zotero.org/users/14784094/items/GB4LA8TZ"],"itemData":{"id":203,"type":"article-journal","abstract":"Genetic variants of cytochrome P450 2C9 (CYP2C9) and vitamin K epoxide reductase (VKORC1) are known to influence warfarin dose, but the effect of other genes has not been fully elucidated. We genotyped 183 polymorphisms in 29 candidate genes in 1496 Swedish patients starting warfarin treatment, and tested for association with response. CYP2C9*2 and *3 explained 12% (P = 6.63 x 10(-34)) of the variation in warfarin dose, while a single VKORC1 SNP explained 30% (P = 9.82 x 10(-100)). No SNP outside the CYP2C gene cluster and VKORC1 regions was significantly associated with dose after correction for multiple testing. During initiation of therapy, homozygosity for CYP2C9 and VKORC1 variant alleles increased the risk of over-anticoagulation, hazard ratios 21.84 (95% CI 9.46; 50.42) and 4.56 (95% CI 2.85; 7.30), respectively. One of 8 patients with CYP2C9*3/*3 (12.5%) experienced severe bleeding during the first month compared with 0.27% of other patients (P = .066). A multiple regression model using the predictors CYP2C9, VKORC1, age, sex, and druginteractions explained 59% of the variance in warfarin dose, and 53% in an independent sample of 181 Swedish individuals. In conclusion, CYP2C9 and VKORC1 significantly influenced warfarin dose and predicted individuals predisposed to unstable anticoagulation. Our results strongly support that initiation of warfarin guided by pharmacogenetics would improve clinical outcome.","container-title":"Blood","DOI":"10.1182/blood-2008-04-149070","ISSN":"1528-0020","issue":"4","journalAbbreviation":"Blood","language":"eng","page":"784-792","PMID":"18574025","PMCID":"PMC2630264","source":"PubMed","title":"The largest prospective warfarin-treated cohort supports genetic forecasting","volume":"113","author":[{"family":"Wadelius","given":"Mia"},{"family":"Chen","given":"Leslie Y."},{"family":"Lindh","given":"Jonatan D."},{"family":"Eriksson","given":"Niclas"},{"family":"Ghori","given":"Mohammed J. R."},{"family":"Bumpstead","given":"Suzannah"},{"family":"Holm","given":"Lennart"},{"family":"McGinnis","given":"Ralph"},{"family":"Rane","given":"Anders"},{"family":"Deloukas","given":"Panos"}],"issued":{"date-parts":[["2009",1,22]]}}}],"schema":"https://github.com/citation-style-language/schema/raw/master/csl-citation.json"} </w:instrText>
      </w:r>
      <w:r w:rsidR="00E22AF8">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[109,110]</w:t>
      </w:r>
      <w:r w:rsidR="00E22AF8">
        <w:rPr>
          <w:rFonts w:ascii="Times New Roman" w:hAnsi="Times New Roman" w:cs="Times New Roman"/>
          <w:sz w:val="28"/>
          <w:szCs w:val="28"/>
          <w:lang w:bidi="ar-SA"/>
        </w:rPr>
        <w:fldChar w:fldCharType="end"/>
      </w:r>
      <w:r w:rsidR="00E22AF8">
        <w:rPr>
          <w:rFonts w:ascii="Times New Roman" w:hAnsi="Times New Roman" w:cs="Times New Roman"/>
          <w:sz w:val="28"/>
          <w:szCs w:val="28"/>
          <w:lang w:bidi="ar-SA"/>
        </w:rPr>
        <w:t xml:space="preserve">. Крупный мета-анализ, охвативший почти 8000 генотипированных пациентов, количественно оценил это снижение потребности в дозе: генотипы </w:t>
      </w:r>
      <w:r w:rsidR="00E22AF8" w:rsidRPr="00E22AF8">
        <w:rPr>
          <w:rFonts w:ascii="Times New Roman" w:hAnsi="Times New Roman" w:cs="Times New Roman"/>
          <w:sz w:val="28"/>
          <w:szCs w:val="28"/>
          <w:lang w:bidi="ar-SA"/>
        </w:rPr>
        <w:t>*1/*2 (12)</w:t>
      </w:r>
      <w:r w:rsidR="00E22AF8">
        <w:rPr>
          <w:rFonts w:ascii="Times New Roman" w:hAnsi="Times New Roman" w:cs="Times New Roman"/>
          <w:sz w:val="28"/>
          <w:szCs w:val="28"/>
          <w:lang w:bidi="ar-SA"/>
        </w:rPr>
        <w:t xml:space="preserve"> – снижение дозы на </w:t>
      </w:r>
      <w:r w:rsidR="00E22AF8">
        <w:rPr>
          <w:rFonts w:ascii="Times New Roman" w:hAnsi="Times New Roman" w:cs="Times New Roman"/>
          <w:sz w:val="28"/>
          <w:szCs w:val="28"/>
          <w:lang w:bidi="ar-SA"/>
        </w:rPr>
        <w:sym w:font="Symbol" w:char="F0BB"/>
      </w:r>
      <w:r w:rsidR="00E22AF8">
        <w:rPr>
          <w:rFonts w:ascii="Times New Roman" w:hAnsi="Times New Roman" w:cs="Times New Roman"/>
          <w:sz w:val="28"/>
          <w:szCs w:val="28"/>
          <w:lang w:bidi="ar-SA"/>
        </w:rPr>
        <w:t xml:space="preserve">19,6%; генотипы </w:t>
      </w:r>
      <w:r w:rsidR="00E22AF8" w:rsidRPr="00E22AF8">
        <w:rPr>
          <w:rFonts w:ascii="Times New Roman" w:hAnsi="Times New Roman" w:cs="Times New Roman"/>
          <w:sz w:val="28"/>
          <w:szCs w:val="28"/>
          <w:lang w:bidi="ar-SA"/>
        </w:rPr>
        <w:t xml:space="preserve">*1/*3 (13) </w:t>
      </w:r>
      <w:r w:rsidR="00E22AF8">
        <w:rPr>
          <w:rFonts w:ascii="Times New Roman" w:hAnsi="Times New Roman" w:cs="Times New Roman"/>
          <w:sz w:val="28"/>
          <w:szCs w:val="28"/>
          <w:lang w:bidi="ar-SA"/>
        </w:rPr>
        <w:t>–</w:t>
      </w:r>
      <w:r w:rsidR="00E22AF8" w:rsidRPr="00E22AF8">
        <w:rPr>
          <w:rFonts w:ascii="Times New Roman" w:hAnsi="Times New Roman" w:cs="Times New Roman"/>
          <w:sz w:val="28"/>
          <w:szCs w:val="28"/>
          <w:lang w:bidi="ar-SA"/>
        </w:rPr>
        <w:t xml:space="preserve"> </w:t>
      </w:r>
      <w:r w:rsidR="00E22AF8">
        <w:rPr>
          <w:rFonts w:ascii="Times New Roman" w:hAnsi="Times New Roman" w:cs="Times New Roman"/>
          <w:sz w:val="28"/>
          <w:szCs w:val="28"/>
          <w:lang w:bidi="ar-SA"/>
        </w:rPr>
        <w:t xml:space="preserve">снижение дозы на </w:t>
      </w:r>
      <w:r w:rsidR="00E22AF8">
        <w:rPr>
          <w:rFonts w:ascii="Times New Roman" w:hAnsi="Times New Roman" w:cs="Times New Roman"/>
          <w:sz w:val="28"/>
          <w:szCs w:val="28"/>
          <w:lang w:bidi="ar-SA"/>
        </w:rPr>
        <w:sym w:font="Symbol" w:char="F0BB"/>
      </w:r>
      <w:r w:rsidR="00E22AF8">
        <w:rPr>
          <w:rFonts w:ascii="Times New Roman" w:hAnsi="Times New Roman" w:cs="Times New Roman"/>
          <w:sz w:val="28"/>
          <w:szCs w:val="28"/>
          <w:lang w:bidi="ar-SA"/>
        </w:rPr>
        <w:t xml:space="preserve">33,7%; генотипы </w:t>
      </w:r>
      <w:r w:rsidR="00E22AF8" w:rsidRPr="00E22AF8">
        <w:rPr>
          <w:rFonts w:ascii="Times New Roman" w:hAnsi="Times New Roman" w:cs="Times New Roman"/>
          <w:sz w:val="28"/>
          <w:szCs w:val="28"/>
          <w:lang w:bidi="ar-SA"/>
        </w:rPr>
        <w:t xml:space="preserve">*2/*3 (23) </w:t>
      </w:r>
      <w:r w:rsidR="00E22AF8">
        <w:rPr>
          <w:rFonts w:ascii="Times New Roman" w:hAnsi="Times New Roman" w:cs="Times New Roman"/>
          <w:sz w:val="28"/>
          <w:szCs w:val="28"/>
          <w:lang w:bidi="ar-SA"/>
        </w:rPr>
        <w:t>–</w:t>
      </w:r>
      <w:r w:rsidR="00E22AF8" w:rsidRPr="00E22AF8">
        <w:rPr>
          <w:rFonts w:ascii="Times New Roman" w:hAnsi="Times New Roman" w:cs="Times New Roman"/>
          <w:sz w:val="28"/>
          <w:szCs w:val="28"/>
          <w:lang w:bidi="ar-SA"/>
        </w:rPr>
        <w:t xml:space="preserve"> </w:t>
      </w:r>
      <w:r w:rsidR="00E22AF8">
        <w:rPr>
          <w:rFonts w:ascii="Times New Roman" w:hAnsi="Times New Roman" w:cs="Times New Roman"/>
          <w:sz w:val="28"/>
          <w:szCs w:val="28"/>
          <w:lang w:bidi="ar-SA"/>
        </w:rPr>
        <w:t xml:space="preserve">снижение дозы на </w:t>
      </w:r>
      <w:r w:rsidR="00E22AF8">
        <w:rPr>
          <w:rFonts w:ascii="Times New Roman" w:hAnsi="Times New Roman" w:cs="Times New Roman"/>
          <w:sz w:val="28"/>
          <w:szCs w:val="28"/>
          <w:lang w:bidi="ar-SA"/>
        </w:rPr>
        <w:sym w:font="Symbol" w:char="F0BB"/>
      </w:r>
      <w:r w:rsidR="00E22AF8">
        <w:rPr>
          <w:rFonts w:ascii="Times New Roman" w:hAnsi="Times New Roman" w:cs="Times New Roman"/>
          <w:sz w:val="28"/>
          <w:szCs w:val="28"/>
          <w:lang w:bidi="ar-SA"/>
        </w:rPr>
        <w:t xml:space="preserve">56,7%; гомозиготы </w:t>
      </w:r>
      <w:r w:rsidR="00E22AF8" w:rsidRPr="00E22AF8">
        <w:rPr>
          <w:rFonts w:ascii="Times New Roman" w:hAnsi="Times New Roman" w:cs="Times New Roman"/>
          <w:sz w:val="28"/>
          <w:szCs w:val="28"/>
          <w:lang w:bidi="ar-SA"/>
        </w:rPr>
        <w:t xml:space="preserve">*2/*2 (22) </w:t>
      </w:r>
      <w:r w:rsidR="00E22AF8">
        <w:rPr>
          <w:rFonts w:ascii="Times New Roman" w:hAnsi="Times New Roman" w:cs="Times New Roman"/>
          <w:sz w:val="28"/>
          <w:szCs w:val="28"/>
          <w:lang w:bidi="ar-SA"/>
        </w:rPr>
        <w:t>–</w:t>
      </w:r>
      <w:r w:rsidR="00E22AF8" w:rsidRPr="00E22AF8">
        <w:rPr>
          <w:rFonts w:ascii="Times New Roman" w:hAnsi="Times New Roman" w:cs="Times New Roman"/>
          <w:sz w:val="28"/>
          <w:szCs w:val="28"/>
          <w:lang w:bidi="ar-SA"/>
        </w:rPr>
        <w:t xml:space="preserve"> </w:t>
      </w:r>
      <w:r w:rsidR="00E22AF8">
        <w:rPr>
          <w:rFonts w:ascii="Times New Roman" w:hAnsi="Times New Roman" w:cs="Times New Roman"/>
          <w:sz w:val="28"/>
          <w:szCs w:val="28"/>
          <w:lang w:bidi="ar-SA"/>
        </w:rPr>
        <w:t xml:space="preserve">снижение дозы на </w:t>
      </w:r>
      <w:r w:rsidR="00E22AF8">
        <w:rPr>
          <w:rFonts w:ascii="Times New Roman" w:hAnsi="Times New Roman" w:cs="Times New Roman"/>
          <w:sz w:val="28"/>
          <w:szCs w:val="28"/>
          <w:lang w:bidi="ar-SA"/>
        </w:rPr>
        <w:sym w:font="Symbol" w:char="F0BB"/>
      </w:r>
      <w:r w:rsidR="00E22AF8">
        <w:rPr>
          <w:rFonts w:ascii="Times New Roman" w:hAnsi="Times New Roman" w:cs="Times New Roman"/>
          <w:sz w:val="28"/>
          <w:szCs w:val="28"/>
          <w:lang w:bidi="ar-SA"/>
        </w:rPr>
        <w:t xml:space="preserve">36%; гомозиготы </w:t>
      </w:r>
      <w:r w:rsidR="00E22AF8" w:rsidRPr="00E22AF8">
        <w:rPr>
          <w:rFonts w:ascii="Times New Roman" w:hAnsi="Times New Roman" w:cs="Times New Roman"/>
          <w:sz w:val="28"/>
          <w:szCs w:val="28"/>
          <w:lang w:bidi="ar-SA"/>
        </w:rPr>
        <w:t>*3/*3 (33)</w:t>
      </w:r>
      <w:r w:rsidR="00E22AF8">
        <w:rPr>
          <w:rFonts w:ascii="Times New Roman" w:hAnsi="Times New Roman" w:cs="Times New Roman"/>
          <w:sz w:val="28"/>
          <w:szCs w:val="28"/>
          <w:lang w:bidi="ar-SA"/>
        </w:rPr>
        <w:t xml:space="preserve"> – снижение дозы на </w:t>
      </w:r>
      <w:r w:rsidR="00E22AF8">
        <w:rPr>
          <w:rFonts w:ascii="Times New Roman" w:hAnsi="Times New Roman" w:cs="Times New Roman"/>
          <w:sz w:val="28"/>
          <w:szCs w:val="28"/>
          <w:lang w:bidi="ar-SA"/>
        </w:rPr>
        <w:sym w:font="Symbol" w:char="F0BB"/>
      </w:r>
      <w:r w:rsidR="00E22AF8">
        <w:rPr>
          <w:rFonts w:ascii="Times New Roman" w:hAnsi="Times New Roman" w:cs="Times New Roman"/>
          <w:sz w:val="28"/>
          <w:szCs w:val="28"/>
          <w:lang w:bidi="ar-SA"/>
        </w:rPr>
        <w:t>78,1%</w:t>
      </w:r>
      <w:r w:rsidR="00E22AF8">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1CcpnXRi","properties":{"unsorted":false,"formattedCitation":"[99,111,112]","plainCitation":"[99,111,112]","noteIndex":0},"citationItems":[{"id":222,"uris":["http://zotero.org/users/14784094/items/653WSRNA"],"itemData":{"id":222,"type":"article-journal","abstract":"Initiation of warfarin therapy using trial-and-error dosing is problematic. Our goal was to develop and validate a pharmacogenetic algorithm. In the derivation cohort of 1,015 participants, the independent predictors of therapeutic dose were: VKORC1 polymorphism −1639/3673 G&gt;A (−28% per allele), body surface area (BSA) (+11% per 0.25 m2), CYP2C9*3 (−33% per allele), CYP2C9*2 (−19% per allele), age (−7% per decade), target international normalized ratio (INR) (+11% per 0.5 unit increase), amiodarone use (−22%), smoker status (+10%), race (−9%), and current thrombosis (+7%). This pharmacogenetic equation explained 53–54% of the variability in the warfarin dose in the derivation and validation (N= 292) cohorts. For comparison, a clinical equation explained only 17–22% of the dose variability (P &lt; 0.001). In the validation cohort, we prospectively used the pharmacogenetic-dosing algorithm in patients initiating warfarin therapy, two of whom had a major hemorrhage. To facilitate use of these pharmacogenetic and clinical algorithms, we developed a nonprofit website, http://www.WarfarinDosing.org. Clinical Pharmacology &amp; Therapeutics (2008); 84, 3, 326–331 doi:10.1038/clpt.2008.10","container-title":"Clinical Pharmacology &amp; Therapeutics","DOI":"10.1038/clpt.2008.10","ISSN":"1532-6535","issue":"3","language":"en","license":"© 2008 American Society for Clinical Pharmacology and Therapeutics","note":"_eprint: https://onlinelibrary.wiley.com/doi/pdf/10.1038/clpt.2008.10","page":"326-331","source":"Wiley Online Library","title":"Use of Pharmacogenetic and Clinical Factors to Predict the Therapeutic Dose of Warfarin","volume":"84","author":[{"family":"Gage","given":"Bf"},{"family":"Eby","given":"C"},{"family":"Johnson","given":"Ja"},{"family":"Deych","given":"E"},{"family":"Rieder","given":"Mj"},{"family":"Ridker","given":"Pm"},{"family":"Milligan","given":"Pe"},{"family":"Grice","given":"G"},{"family":"Lenzini","given":"P"},{"family":"Rettie","given":"Ae"},{"family":"Aquilante","given":"Cl"},{"family":"Grosso","given":"L"},{"family":"Marsh","given":"S"},{"family":"Langaee","given":"T"},{"family":"Farnett","given":"Le"},{"family":"Voora","given":"D"},{"family":"Veenstra","given":"Dl"},{"family":"Glynn","given":"Rj"},{"family":"Barrett","given":"A"},{"family":"McLeod","given":"Hl"}],"issued":{"date-parts":[["2008"]]}}},{"id":199,"uris":["http://zotero.org/users/14784094/items/IKG78IGC"],"itemData":{"id":199,"type":"article-journal","abstract":"BACKGROUND: The level of anticoagulation in response to a fixed-dose regimen of warfarin is difficult to predict during the initiation of therapy. We prospectively compared the effect of genotype-guided dosing with that of standard dosing on anticoagulation control in patients starting warfarin therapy.\nMETHODS: We conducted a multicenter, randomized, controlled trial involving patients with atrial fibrillation or venous thromboembolism. Genotyping for CYP2C9*2, CYP2C9*3, and VKORC1 (-1639G→A) was performed with the use of a point-of-care test. For patients assigned to the genotype-guided group, warfarin doses were prescribed according to pharmacogenetic-based algorithms for the first 5 days. Patients in the control (standard dosing) group received a 3-day loading-dose regimen. After the initiation period, the treatment of all patients was managed according to routine clinical practice. The primary outcome measure was the percentage of time in the therapeutic range of 2.0 to 3.0 for the international normalized ratio (INR) during the first 12 weeks after warfarin initiation.\nRESULTS: A total of 455 patients were recruited, with 227 randomly assigned to the genotype-guided group and 228 assigned to the control group. The mean percentage of time in the therapeutic range was 67.4% in the genotype-guided group as compared with 60.3% in the control group (adjusted difference, 7.0 percentage points; 95% confidence interval, 3.3 to 10.6; P&lt;0.001). There were significantly fewer incidences of excessive anticoagulation (INR ≥4.0) in the genotype-guided group. The median time to reach a therapeutic INR was 21 days in the genotype-guided group as compared with 29 days in the control group (P&lt;0.001).\nCONCLUSIONS: Pharmacogenetic-based dosing was associated with a higher percentage of time in the therapeutic INR range than was standard dosing during the initiation of warfarin therapy. (Funded by the European Commission Seventh Framework Programme and others; ClinicalTrials.gov number, NCT01119300.).","container-title":"The New England Journal of Medicine","DOI":"10.1056/NEJMoa1311386","ISSN":"1533-4406","issue":"24","journalAbbreviation":"N Engl J Med","language":"eng","page":"2294-2303","PMID":"24251363","source":"PubMed","title":"A randomized trial of genotype-guided dosing of warfarin","volume":"369","author":[{"family":"Pirmohamed","given":"Munir"},{"family":"Burnside","given":"Girvan"},{"family":"Eriksson","given":"Niclas"},{"family":"Jorgensen","given":"Andrea L."},{"family":"Toh","given":"Cheng Hock"},{"family":"Nicholson","given":"Toby"},{"family":"Kesteven","given":"Patrick"},{"family":"Christersson","given":"Christina"},{"family":"Wahlström","given":"Bengt"},{"family":"Stafberg","given":"Christina"},{"family":"Zhang","given":"J. Eunice"},{"family":"Leathart","given":"Julian B."},{"family":"Kohnke","given":"Hugo"},{"family":"Maitland-van der Zee","given":"Anke H."},{"family":"Williamson","given":"Paula R."},{"family":"Daly","given":"Ann K."},{"family":"Avery","given":"Peter"},{"family":"Kamali","given":"Farhad"},{"family":"Wadelius","given":"Mia"},{"literal":"EU-PACT Group"}],"issued":{"date-parts":[["2013",12,12]]}}},{"id":200,"uris":["http://zotero.org/users/14784094/items/55WJKRRR"],"itemData":{"id":200,"type":"article-journal","abstract":"Many lines of evidence suggest that warfarin dosing variability is significantly associated with cytochrome P450 2C9 (CYP2C9) and vitamin K epoxide reductase complex subunit 1 (VKORC1) variant alleles. Therefore, we investigated the influence of CYP2C9*2 (430C/T), *3 (1075A/C) and VKORC1 (-1639G/A) polymorphisms on warfarin dose requirements in patients who underwent cardiac valve surgery during the postoperative period.A total of 100 patients with heart valve replacement who had a prescribed target international normalized ratio (INR) range of 2-3 were enrolled in the study. Genotyping of CYP2C9 and VKORC1 was carried out using polymerase chain reaction-restriction fragment length polymorphism (PCR-RFLP) technique. The demographic and clinical data were collected using a precodified questionnaire and clinical examination and then were analyzed.Our findings revealed that the prevalence of CYP2C9 *2, *3 and VKORC1 -1639A alleles in patients were 10.5%, 39%, and 48%, respectively. We also found that patients with CYP2C9 *1 and VKORC1 -1639G alleles required the highest dosages of warfarin, while the carriers of CYP2C9 variant *2 and *3 alleles and VKORC1 -1639A required less warfarin. Univariate regression analysis showed that age and presence of CYP2C9 *2 allele significantly influenced the daily warfarin dose requirement. Our findings provide additional evidence to support the hypothesis that CYP2C9*2 (430C/T), *3 (1075A/C) and VKORC1 (-1639G/A) polymorphisms explain a considerable proportion of interindividual variability in warfarin dose. Therefore, testing for these variants might be helpful for adjusting patient warfarin dosage to an effective and safe level.","container-title":"Laboratory Medicine","DOI":"10.1093/labmed/lmx072","ISSN":"1943-7730","issue":"1","journalAbbreviation":"Lab Med","language":"eng","page":"25-34","PMID":"29182754","source":"PubMed","title":"Pharmacogenetics-Based Warfarin Dosing in Patients With Cardiac Valve Replacement: The Effects of CYP2C9 and VKORC1 Gene Polymorphisms","title-short":"Pharmacogenetics-Based Warfarin Dosing in Patients With Cardiac Valve Replacement","volume":"49","author":[{"family":"Farzamikia","given":"Negin"},{"family":"Sakhinia","given":"Ebrahim"},{"family":"Afrasiabirad","given":"Abbas"}],"issued":{"date-parts":[["2017",12,22]]}}}],"schema":"https://github.com/citation-style-language/schema/raw/master/csl-citation.json"} </w:instrText>
      </w:r>
      <w:r w:rsidR="00E22AF8">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[99,111,112]</w:t>
      </w:r>
      <w:r w:rsidR="00E22AF8">
        <w:rPr>
          <w:rFonts w:ascii="Times New Roman" w:hAnsi="Times New Roman" w:cs="Times New Roman"/>
          <w:sz w:val="28"/>
          <w:szCs w:val="28"/>
          <w:lang w:bidi="ar-SA"/>
        </w:rPr>
        <w:fldChar w:fldCharType="end"/>
      </w:r>
      <w:r w:rsidR="00E22AF8">
        <w:rPr>
          <w:rFonts w:ascii="Times New Roman" w:hAnsi="Times New Roman" w:cs="Times New Roman"/>
          <w:sz w:val="28"/>
          <w:szCs w:val="28"/>
          <w:lang w:bidi="ar-SA"/>
        </w:rPr>
        <w:t xml:space="preserve">.  Важно отметить, что сниженный клиренс </w:t>
      </w:r>
      <w:r w:rsidR="00E22AF8">
        <w:rPr>
          <w:rFonts w:ascii="Times New Roman" w:hAnsi="Times New Roman" w:cs="Times New Roman"/>
          <w:sz w:val="28"/>
          <w:szCs w:val="28"/>
          <w:lang w:val="en-US" w:bidi="ar-SA"/>
        </w:rPr>
        <w:t>S</w:t>
      </w:r>
      <w:r w:rsidR="00E22AF8" w:rsidRPr="00E22AF8">
        <w:rPr>
          <w:rFonts w:ascii="Times New Roman" w:hAnsi="Times New Roman" w:cs="Times New Roman"/>
          <w:sz w:val="28"/>
          <w:szCs w:val="28"/>
          <w:lang w:bidi="ar-SA"/>
        </w:rPr>
        <w:t>-</w:t>
      </w:r>
      <w:r w:rsidR="00E22AF8">
        <w:rPr>
          <w:rFonts w:ascii="Times New Roman" w:hAnsi="Times New Roman" w:cs="Times New Roman"/>
          <w:sz w:val="28"/>
          <w:szCs w:val="28"/>
          <w:lang w:bidi="ar-SA"/>
        </w:rPr>
        <w:t>варфарина у медленных метаболизаторов сопряжен с повышенным (до 3 раз) риском кровотечений, особенно в начале терапии</w:t>
      </w:r>
      <w:r w:rsidR="00E22AF8">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EK8R5BHe","properties":{"unsorted":false,"formattedCitation":"[113]","plainCitation":"[113]","noteIndex":0},"citationItems":[{"id":234,"uris":["http://zotero.org/users/14784094/items/9Z57XYJT"],"itemData":{"id":234,"type":"article-journal","abstract":"ContextWarfarin is a commonly used anticoagulant that requires careful clinical\nmanagement to balance the risks of overanticoagulation and bleeding with those\nof underanticoagulation and clotting. The principal enzyme involved in warfarin\nmetabolism is CYP2C9, and 2 relatively common variant forms with reduced activity\nhave been identified, CYP2C9*2 and CYP2C9*3. Patients with these genetic variants have been shown to require\nlower maintenance doses of warfarin, but a direct association between CYP2C9\ngenotype and anticoagulation status or bleeding risk has not been established.ObjectiveTo determine if CYP2C9*2 and CYP2C9*3 variants are associated with overanticoagulation and bleeding\nevents during warfarin therapy.Design and SettingRetrospective cohort study conducted at 2 anticoagulation clinics based\nin Seattle, Wash.ParticipantsTwo hundred patients receiving long-term warfarin therapy for various\nindications during April 3, 1990, to May 31, 2001. Only patients with a complete\nhistory of warfarin exposure were included.Main Outcome MeasuresAnticoagulation status, measured by time to therapeutic international\nnormalized ratio (INR), rate of above-range INRs, and time to stable warfarin\ndosing; and time to serious or life-threatening bleeding events.ResultsAmong 185 patients with analyzable data, 58 (31.4%) had at least 1 variant\nCYP2C9 allele and 127 (68.6%) had the wild-type (*1/*1)\ngenotype. Mean maintenance dose varied significantly among the 6 genotype\ngroups (*1/*1 [n = 127], *1/*2 [n = 28], *1/*3 [n = 18], *2/*2 [n = 4], *2/*3 [n = 3], *3/*3 [n = 5]) (by Kruskall-Wallis test, χ25\n= 37.348; P&amp;lt;.001). Compared with patients with\nthe wild-type genotype, patients with at least 1 variant allele had an increased\nrisk of above-range INRs (hazard ratio [HR], 1.40; 95% confidence interval\n[CI], 1.03-1.90). The variant group also required more time to achieve stable\ndosing (HR, 0.65; 95% CI, 0.45-0.94), with a median difference of 95 days\n(P = .004). In addition, although numbers were small\nfor some genotypes, representing potentially unstable estimates, patients\nwith a variant genotype had a significantly increased risk of a serious or\nlife-threatening bleeding event (HR, 2.39; 95% CI, 1.18-4.86).ConclusionsThe results of our study suggest that the CYP2C9*2 and CYP2C9*3 polymorphisms are associated\nwith an increased risk of overanticoagulation and of bleeding events among\npatients in a warfarin anticoagulation clinic setting, although small numbers\nin some cases would suggest the need for caution in interpretation. Screening\nfor CYP2C9 variants may allow clinicians to develop dosing protocols and surveillance\ntechniques to reduce the risk of adverse drug reactions in patients receiving\nwarfarin.","container-title":"JAMA","DOI":"10.1001/jama.287.13.1690","ISSN":"0098-7484","issue":"13","journalAbbreviation":"JAMA","page":"1690-1698","source":"Silverchair","title":"Association Between CYP2C9 Genetic Variants and Anticoagulation-Related Outcomes During Warfarin Therapy","volume":"287","author":[{"family":"Higashi","given":"Mitchell K."},{"family":"Veenstra","given":"David L."},{"family":"Kondo","given":"L. Midori"},{"family":"Wittkowsky","given":"Ann K."},{"family":"Srinouanprachanh","given":"Sengkeo L."},{"family":"Farin","given":"Fred M."},{"family":"Rettie","given":"Allan E."}],"issued":{"date-parts":[["2002",4,3]]}}}],"schema":"https://github.com/citation-style-language/schema/raw/master/csl-citation.json"} </w:instrText>
      </w:r>
      <w:r w:rsidR="00E22AF8">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[113]</w:t>
      </w:r>
      <w:r w:rsidR="00E22AF8">
        <w:rPr>
          <w:rFonts w:ascii="Times New Roman" w:hAnsi="Times New Roman" w:cs="Times New Roman"/>
          <w:sz w:val="28"/>
          <w:szCs w:val="28"/>
          <w:lang w:bidi="ar-SA"/>
        </w:rPr>
        <w:fldChar w:fldCharType="end"/>
      </w:r>
      <w:r w:rsidR="00E22AF8">
        <w:rPr>
          <w:rFonts w:ascii="Times New Roman" w:hAnsi="Times New Roman" w:cs="Times New Roman"/>
          <w:sz w:val="28"/>
          <w:szCs w:val="28"/>
          <w:lang w:bidi="ar-SA"/>
        </w:rPr>
        <w:t xml:space="preserve">. </w:t>
      </w:r>
      <w:r w:rsidR="00E22AF8" w:rsidRPr="00422C59">
        <w:rPr>
          <w:rFonts w:ascii="Times New Roman" w:hAnsi="Times New Roman" w:cs="Times New Roman"/>
          <w:i/>
          <w:iCs/>
          <w:sz w:val="28"/>
          <w:szCs w:val="28"/>
          <w:lang w:val="en-US" w:bidi="ar-SA"/>
        </w:rPr>
        <w:t>CYP</w:t>
      </w:r>
      <w:r w:rsidR="00E22AF8" w:rsidRPr="00422C59">
        <w:rPr>
          <w:rFonts w:ascii="Times New Roman" w:hAnsi="Times New Roman" w:cs="Times New Roman"/>
          <w:i/>
          <w:iCs/>
          <w:sz w:val="28"/>
          <w:szCs w:val="28"/>
          <w:lang w:bidi="ar-SA"/>
        </w:rPr>
        <w:t>4</w:t>
      </w:r>
      <w:r w:rsidR="00E22AF8" w:rsidRPr="00422C59">
        <w:rPr>
          <w:rFonts w:ascii="Times New Roman" w:hAnsi="Times New Roman" w:cs="Times New Roman"/>
          <w:i/>
          <w:iCs/>
          <w:sz w:val="28"/>
          <w:szCs w:val="28"/>
          <w:lang w:val="en-US" w:bidi="ar-SA"/>
        </w:rPr>
        <w:t>F</w:t>
      </w:r>
      <w:r w:rsidR="00E22AF8" w:rsidRPr="00422C59">
        <w:rPr>
          <w:rFonts w:ascii="Times New Roman" w:hAnsi="Times New Roman" w:cs="Times New Roman"/>
          <w:i/>
          <w:iCs/>
          <w:sz w:val="28"/>
          <w:szCs w:val="28"/>
          <w:lang w:bidi="ar-SA"/>
        </w:rPr>
        <w:t>2</w:t>
      </w:r>
      <w:r w:rsidR="00E22AF8">
        <w:rPr>
          <w:rFonts w:ascii="Times New Roman" w:hAnsi="Times New Roman" w:cs="Times New Roman"/>
          <w:sz w:val="28"/>
          <w:szCs w:val="28"/>
          <w:lang w:bidi="ar-SA"/>
        </w:rPr>
        <w:t xml:space="preserve">: этот фермент участвует </w:t>
      </w:r>
      <w:r w:rsidR="002C77AB">
        <w:rPr>
          <w:rFonts w:ascii="Times New Roman" w:hAnsi="Times New Roman" w:cs="Times New Roman"/>
          <w:sz w:val="28"/>
          <w:szCs w:val="28"/>
          <w:lang w:bidi="ar-SA"/>
        </w:rPr>
        <w:t>в метаболизме витамина К1 (филлохинона) в печени</w:t>
      </w:r>
      <w:r w:rsidR="002C77A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6xeNOzEO","properties":{"unsorted":false,"formattedCitation":"[100,114]","plainCitation":"[100,114]","noteIndex":0},"citationItems":[{"id":212,"uris":["http://zotero.org/users/14784094/items/PJ853NVG"],"itemData":{"id":212,"type":"article-journal","abstract":"Studies on the effect of cytochrome P450 2C9 (CYP2C9), vitamin K epoxide reductase complex subunit 1 (VKORC1), and cytochrome P450 4F2 (CYP4F2) polymorphisms on warfarin maintenance dose in children are conflicting. We conducted a systematic review and meta-analysis to evaluate the effect of these polymorphisms on warfarin maintenance dose in children. We searched relevant literature using the MEDLINE, EMBASE, and Cochrane Central Register of Controlled Trial libraries without any language restrictions from their inception to 23 July 2017. Dose differences are expressed as standardized mean difference (SMD) or mean difference (MD) with 95% confidence intervals (CI). This review was registered in the PROSPERO prospective register of systematic reviews (CRD42015016172). We included a total of nine studies (745 participants) in the meta-analysis. Patients with CYP2C9 *1/*2, *1/*3, *2/*2, *2/*3, or *3/*3 required a lower warfarin maintenance dose compared with patients with CYP2C9 *1/*1 (SMD = -0.610, 95% CI: -0.802 to -0.419, I2 = 0%). Patients with VKORC1-1639GA or AA required a lower warfarin maintenance dose compared with patients with VKORC1-1639GG (SMD = -0.666, 95% CI: -0.887 to -0.445, I2 = 33%). However, no associations were observed between CYP4F2 polymorphisms and warfarin maintenance dose (MD = 0.005 mg/kg/day, 95% CI: -0.006 to 0.015, I2 = 0%). These results were not affected by a sensitivity analysis. Our meta-analysis provides evidence that CYP2C9 and VKORC1 variant statuses affect warfarin maintenance dose in children, but not CYP4F2.","container-title":"The Pharmacogenomics Journal","DOI":"10.1038/s41397-019-0117-x","ISSN":"1473-1150","issue":"2","journalAbbreviation":"Pharmacogenomics J","language":"eng","page":"306-319","PMID":"31673144","source":"PubMed","title":"CYP2C9, VKORC1, and CYP4F2 polymorphisms and pediatric warfarin maintenance dose: a systematic review and meta-analysis","title-short":"CYP2C9, VKORC1, and CYP4F2 polymorphisms and pediatric warfarin maintenance dose","volume":"20","author":[{"family":"Takeuchi","given":"Masanobu"},{"family":"Kobayashi","given":"Tohru"},{"family":"Biss","given":"Tina"},{"family":"Kamali","given":"Farhad"},{"family":"Vear","given":"Susan I."},{"family":"Ho","given":"Richard H."},{"family":"Bajolle","given":"Fanny"},{"family":"Loriot","given":"Marie-Anne"},{"family":"Shaw","given":"Kaitlyn"},{"family":"Carleton","given":"Bruce C."},{"family":"Hamberg","given":"Anna-Karin"},{"family":"Wadelius","given":"Mia"},{"family":"Hirono","given":"Keiichi"},{"family":"Taguchi","given":"Masato"},{"family":"Wakamiya","given":"Takuya"},{"family":"Yanagimachi","given":"Masakatsu"},{"family":"Hirai","given":"Keita"},{"family":"Itoh","given":"Kunihiko"},{"family":"Brandão","given":"Leonardo R."},{"family":"Ito","given":"Shinya"}],"issued":{"date-parts":[["2020",4]]}}},{"id":197,"uris":["http://zotero.org/users/14784094/items/WHZBZB7Q"],"itemData":{"id":197,"type":"article-journal","abstract":"Warfarin is an effective, commonly prescribed anticoagulant used to treat and prevent thrombotic events. Because of historically high rates of drug-associated adverse events, warfarin remains underprescribed. Further, interindividual variability in therapeutic dose mandates frequent monitoring until target anticoagulation is achieved. Genetic polymorphisms involved in warfarin metabolism and sensitivity have been implicated in variability of dose. Here, we describe a novel variant that influences warfarin requirements. To identify additional genetic variants that contribute to warfarin requirements, screening of DNA variants in additional genes that code for drug-metabolizing enzymes and drug transport proteins was undertaken using the Affymetrix drug-metabolizing enzymes and transporters panel. A DNA variant (rs2108622; V433M) in cytochrome P450 4F2 (CYP4F2) was associated with warfarin dose in 3 independent white cohorts of patients stabilized on warfarin representing diverse geographic regions in the United States and accounted for a difference in warfarin dose of approximately 1 mg/day between CC and TT subjects. Genetic variation of CYP4F2 was associated with a clinically relevant effect on warfarin requirement.","container-title":"Blood","DOI":"10.1182/blood-2007-11-122010","ISSN":"0006-4971","issue":"8","journalAbbreviation":"Blood","page":"4106-4112","source":"Silverchair","title":"CYP4F2 genetic variant alters required warfarin dose","volume":"111","author":[{"family":"Caldwell","given":"Michael D."},{"family":"Awad","given":"Tarif"},{"family":"Johnson","given":"Julie A."},{"family":"Gage","given":"Brian F."},{"family":"Falkowski","given":"Mat"},{"family":"Gardina","given":"Paul"},{"family":"Hubbard","given":"Jason"},{"family":"Turpaz","given":"Yaron"},{"family":"Langaee","given":"Taimour Y."},{"family":"Eby","given":"Charles"},{"family":"King","given":"Cristi R."},{"family":"Brower","given":"Amy"},{"family":"Schmelzer","given":"John R."},{"family":"Glurich","given":"Ingrid"},{"family":"Vidaillet","given":"Humberto J."},{"family":"Yale","given":"Steven H."},{"family":"Qi Zhang","given":"Kai"},{"family":"Berg","given":"Richard L."},{"family":"Burmester","given":"James K."}],"issued":{"date-parts":[["2008",4,15]]}}}],"schema":"https://github.com/citation-style-language/schema/raw/master/csl-citation.json"} </w:instrText>
      </w:r>
      <w:r w:rsidR="002C77A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[100,114]</w:t>
      </w:r>
      <w:r w:rsidR="002C77AB">
        <w:rPr>
          <w:rFonts w:ascii="Times New Roman" w:hAnsi="Times New Roman" w:cs="Times New Roman"/>
          <w:sz w:val="28"/>
          <w:szCs w:val="28"/>
          <w:lang w:bidi="ar-SA"/>
        </w:rPr>
        <w:fldChar w:fldCharType="end"/>
      </w:r>
      <w:r w:rsidR="002C77AB">
        <w:rPr>
          <w:rFonts w:ascii="Times New Roman" w:hAnsi="Times New Roman" w:cs="Times New Roman"/>
          <w:sz w:val="28"/>
          <w:szCs w:val="28"/>
          <w:lang w:bidi="ar-SA"/>
        </w:rPr>
        <w:t xml:space="preserve">. Полиморфизм </w:t>
      </w:r>
      <w:r w:rsidR="002C77AB">
        <w:rPr>
          <w:rFonts w:ascii="Times New Roman" w:hAnsi="Times New Roman" w:cs="Times New Roman"/>
          <w:sz w:val="28"/>
          <w:szCs w:val="28"/>
          <w:lang w:val="en-US" w:bidi="ar-SA"/>
        </w:rPr>
        <w:t>CYP</w:t>
      </w:r>
      <w:r w:rsidR="002C77AB" w:rsidRPr="002C77AB">
        <w:rPr>
          <w:rFonts w:ascii="Times New Roman" w:hAnsi="Times New Roman" w:cs="Times New Roman"/>
          <w:sz w:val="28"/>
          <w:szCs w:val="28"/>
          <w:lang w:bidi="ar-SA"/>
        </w:rPr>
        <w:t>4</w:t>
      </w:r>
      <w:r w:rsidR="002C77AB">
        <w:rPr>
          <w:rFonts w:ascii="Times New Roman" w:hAnsi="Times New Roman" w:cs="Times New Roman"/>
          <w:sz w:val="28"/>
          <w:szCs w:val="28"/>
          <w:lang w:val="en-US" w:bidi="ar-SA"/>
        </w:rPr>
        <w:t>F</w:t>
      </w:r>
      <w:r w:rsidR="002C77AB" w:rsidRPr="002C77AB">
        <w:rPr>
          <w:rFonts w:ascii="Times New Roman" w:hAnsi="Times New Roman" w:cs="Times New Roman"/>
          <w:sz w:val="28"/>
          <w:szCs w:val="28"/>
          <w:lang w:bidi="ar-SA"/>
        </w:rPr>
        <w:t>23 (</w:t>
      </w:r>
      <w:r w:rsidR="002C77AB">
        <w:rPr>
          <w:rFonts w:ascii="Times New Roman" w:hAnsi="Times New Roman" w:cs="Times New Roman"/>
          <w:sz w:val="28"/>
          <w:szCs w:val="28"/>
          <w:lang w:val="en-US" w:bidi="ar-SA"/>
        </w:rPr>
        <w:t>rs</w:t>
      </w:r>
      <w:r w:rsidR="002C77AB" w:rsidRPr="002C77AB">
        <w:rPr>
          <w:rFonts w:ascii="Times New Roman" w:hAnsi="Times New Roman" w:cs="Times New Roman"/>
          <w:sz w:val="28"/>
          <w:szCs w:val="28"/>
          <w:lang w:bidi="ar-SA"/>
        </w:rPr>
        <w:t>2108622</w:t>
      </w:r>
      <w:r w:rsidR="002C77AB">
        <w:rPr>
          <w:rFonts w:ascii="Times New Roman" w:hAnsi="Times New Roman" w:cs="Times New Roman"/>
          <w:sz w:val="28"/>
          <w:szCs w:val="28"/>
          <w:lang w:bidi="ar-SA"/>
        </w:rPr>
        <w:t xml:space="preserve">, замена валина на метионин – </w:t>
      </w:r>
      <w:r w:rsidR="002C77AB">
        <w:rPr>
          <w:rFonts w:ascii="Times New Roman" w:hAnsi="Times New Roman" w:cs="Times New Roman"/>
          <w:sz w:val="28"/>
          <w:szCs w:val="28"/>
          <w:lang w:val="en-US" w:bidi="ar-SA"/>
        </w:rPr>
        <w:t>V</w:t>
      </w:r>
      <w:r w:rsidR="002C77AB" w:rsidRPr="002C77AB">
        <w:rPr>
          <w:rFonts w:ascii="Times New Roman" w:hAnsi="Times New Roman" w:cs="Times New Roman"/>
          <w:sz w:val="28"/>
          <w:szCs w:val="28"/>
          <w:lang w:bidi="ar-SA"/>
        </w:rPr>
        <w:t>433</w:t>
      </w:r>
      <w:r w:rsidR="002C77AB">
        <w:rPr>
          <w:rFonts w:ascii="Times New Roman" w:hAnsi="Times New Roman" w:cs="Times New Roman"/>
          <w:sz w:val="28"/>
          <w:szCs w:val="28"/>
          <w:lang w:val="en-US" w:bidi="ar-SA"/>
        </w:rPr>
        <w:t>M</w:t>
      </w:r>
      <w:r w:rsidR="002C77AB" w:rsidRPr="002C77AB">
        <w:rPr>
          <w:rFonts w:ascii="Times New Roman" w:hAnsi="Times New Roman" w:cs="Times New Roman"/>
          <w:sz w:val="28"/>
          <w:szCs w:val="28"/>
          <w:lang w:bidi="ar-SA"/>
        </w:rPr>
        <w:t xml:space="preserve">) </w:t>
      </w:r>
      <w:r w:rsidR="002C77AB">
        <w:rPr>
          <w:rFonts w:ascii="Times New Roman" w:hAnsi="Times New Roman" w:cs="Times New Roman"/>
          <w:sz w:val="28"/>
          <w:szCs w:val="28"/>
          <w:lang w:bidi="ar-SA"/>
        </w:rPr>
        <w:t>ассоциирован с потребностью в повышенной дозе варфарина</w:t>
      </w:r>
      <w:r w:rsidR="002C77A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RGp7PTtY","properties":{"unsorted":false,"formattedCitation":"[114,115]","plainCitation":"[114,115]","noteIndex":0},"citationItems":[{"id":197,"uris":["http://zotero.org/users/14784094/items/WHZBZB7Q"],"itemData":{"id":197,"type":"article-journal","abstract":"Warfarin is an effective, commonly prescribed anticoagulant used to treat and prevent thrombotic events. Because of historically high rates of drug-associated adverse events, warfarin remains underprescribed. Further, interindividual variability in therapeutic dose mandates frequent monitoring until target anticoagulation is achieved. Genetic polymorphisms involved in warfarin metabolism and sensitivity have been implicated in variability of dose. Here, we describe a novel variant that influences warfarin requirements. To identify additional genetic variants that contribute to warfarin requirements, screening of DNA variants in additional genes that code for drug-metabolizing enzymes and drug transport proteins was undertaken using the Affymetrix drug-metabolizing enzymes and transporters panel. A DNA variant (rs2108622; V433M) in cytochrome P450 4F2 (CYP4F2) was associated with warfarin dose in 3 independent white cohorts of patients stabilized on warfarin representing diverse geographic regions in the United States and accounted for a difference in warfarin dose of approximately 1 mg/day between CC and TT subjects. Genetic variation of CYP4F2 was associated with a clinically relevant effect on warfarin requirement.","container-title":"Blood","DOI":"10.1182/blood-2007-11-122010","ISSN":"0006-4971","issue":"8","journalAbbreviation":"Blood","page":"4106-4112","source":"Silverchair","title":"CYP4F2 genetic variant alters required warfarin dose","volume":"111","author":[{"family":"Caldwell","given":"Michael D."},{"family":"Awad","given":"Tarif"},{"family":"Johnson","given":"Julie A."},{"family":"Gage","given":"Brian F."},{"family":"Falkowski","given":"Mat"},{"family":"Gardina","given":"Paul"},{"family":"Hubbard","given":"Jason"},{"family":"Turpaz","given":"Yaron"},{"family":"Langaee","given":"Taimour Y."},{"family":"Eby","given":"Charles"},{"family":"King","given":"Cristi R."},{"family":"Brower","given":"Amy"},{"family":"Schmelzer","given":"John R."},{"family":"Glurich","given":"Ingrid"},{"family":"Vidaillet","given":"Humberto J."},{"family":"Yale","given":"Steven H."},{"family":"Qi Zhang","given":"Kai"},{"family":"Berg","given":"Richard L."},{"family":"Burmester","given":"James K."}],"issued":{"date-parts":[["2008",4,15]]}}},{"id":194,"uris":["http://zotero.org/users/14784094/items/XK9TH9ER"],"itemData":{"id":194,"type":"article-journal","abstract":"Genetic polymorphisms in VKORC1 and CYP2C9, genes controlling vitamin K(1) (VK1) epoxide reduction and (S)-warfarin metabolism, respectively, are major contributors to interindividual variability in warfarin dose. The V433M polymorphism (rs2108622) in CYP4F2 has also been associated with warfarin dose and speculatively linked to altered VK1 metabolism. Therefore, the purpose of the present study was to determine the role of CYP4F2 and the V433M polymorphism in the metabolism of VK1 by human liver. In vitro metabolic experiments with accompanying liquid chromatography-tandem mass spectrometry analysis demonstrated that recombinant CYP4F2 (Supersomes) and human liver microsomes supplemented with NADPH converted VK1 to a single product. A screen of all commercially available P450 Supersomes showed that only CYP4F2 was capable of metabolizing VK1 to this product. Steady-state kinetic analysis with recombinant CYP4F2 and with human liver microsomes revealed a substrate K(m) of 8 to 10 microM. Moreover, anti-CYP4F2 IgG, as well as several CYP4F2-selective chemical inhibitors, substantially attenuated the microsomal reaction. Finally, human liver microsomes genotyped for rs2108622 demonstrated reduced vitamin K(1) oxidation and lower CYP4F2 protein concentrations in carriers of the 433M minor allele. These data demonstrate that CYP4F2 is a vitamin K(1) oxidase and that carriers of the CYP4F2 V433M allele have a reduced capacity to metabolize VK1, secondary to an rs2108622-dependent decrease in steady-state hepatic concentrations of the enzyme. Therefore, patients with the rs2108622 polymorphism are likely to have elevated hepatic levels of VK1, necessitating a higher warfarin dose to elicit the same anticoagulant response.","container-title":"Molecular Pharmacology","DOI":"10.1124/mol.109.054833","ISSN":"1521-0111","issue":"6","journalAbbreviation":"Mol Pharmacol","language":"eng","page":"1337-1346","PMID":"19297519","PMCID":"PMC2684883","source":"PubMed","title":"CYP4F2 is a vitamin K1 oxidase: An explanation for altered warfarin dose in carriers of the V433M variant","title-short":"CYP4F2 is a vitamin K1 oxidase","volume":"75","author":[{"family":"McDonald","given":"Matthew G."},{"family":"Rieder","given":"Mark J."},{"family":"Nakano","given":"Mariko"},{"family":"Hsia","given":"Clara K."},{"family":"Rettie","given":"Allan E."}],"issued":{"date-parts":[["2009",6]]}}}],"schema":"https://github.com/citation-style-language/schema/raw/master/csl-citation.json"} </w:instrText>
      </w:r>
      <w:r w:rsidR="002C77A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[114,115]</w:t>
      </w:r>
      <w:r w:rsidR="002C77AB">
        <w:rPr>
          <w:rFonts w:ascii="Times New Roman" w:hAnsi="Times New Roman" w:cs="Times New Roman"/>
          <w:sz w:val="28"/>
          <w:szCs w:val="28"/>
          <w:lang w:bidi="ar-SA"/>
        </w:rPr>
        <w:fldChar w:fldCharType="end"/>
      </w:r>
      <w:r w:rsidR="002C77AB">
        <w:rPr>
          <w:rFonts w:ascii="Times New Roman" w:hAnsi="Times New Roman" w:cs="Times New Roman"/>
          <w:sz w:val="28"/>
          <w:szCs w:val="28"/>
          <w:lang w:bidi="ar-SA"/>
        </w:rPr>
        <w:t>. Механизм связывают с тем</w:t>
      </w:r>
      <w:r w:rsidR="006D6E45">
        <w:rPr>
          <w:rFonts w:ascii="Times New Roman" w:hAnsi="Times New Roman" w:cs="Times New Roman"/>
          <w:sz w:val="28"/>
          <w:szCs w:val="28"/>
          <w:lang w:bidi="ar-SA"/>
        </w:rPr>
        <w:t xml:space="preserve">, что носители аллеля </w:t>
      </w:r>
      <w:r w:rsidR="006D6E45" w:rsidRPr="006D6E45">
        <w:rPr>
          <w:rFonts w:ascii="Times New Roman" w:hAnsi="Times New Roman" w:cs="Times New Roman"/>
          <w:sz w:val="28"/>
          <w:szCs w:val="28"/>
          <w:lang w:bidi="ar-SA"/>
        </w:rPr>
        <w:t>*3</w:t>
      </w:r>
      <w:r w:rsidR="006D6E45">
        <w:rPr>
          <w:rFonts w:ascii="Times New Roman" w:hAnsi="Times New Roman" w:cs="Times New Roman"/>
          <w:sz w:val="28"/>
          <w:szCs w:val="28"/>
          <w:lang w:bidi="ar-SA"/>
        </w:rPr>
        <w:t xml:space="preserve"> (аллель Т) имеют более высокие базальные уровни витамина К1 в печени, что требует назначения дополнительных 1-2,5мг варфарина в сутки для достижения целевого антикоагулянтного эффекта</w:t>
      </w:r>
      <w:r w:rsidR="006D6E45">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{"citationID":"UdEbuXe7","properties":{"unsorted":false,"formattedCitation":"[114]","plainCitation":"[114]","noteIndex":0},"citationItems":[{"id":197,"uris":["http://zotero.org/users/14784094/items/WHZBZB7Q"],"itemData":{"id":197,"type":"article-journal","abstract":"Warfarin is an effective, commonly prescribed anticoagulant used to treat and prevent thrombotic events. Because of historically high rates of drug-associated adverse events, warfarin remains underprescribed. Further, interindividual variability in therapeutic dose mandates frequent monitoring until target anticoagulation is achieved. Genetic polymorphisms involved in warfarin metabolism and sensitivity have been implicated in variability of dose. Here, we describe a novel variant that influences warfarin requirements. To identify additional genetic variants that contribute to warfarin requirements, screening of DNA variants in additional genes that code for drug-metabolizing enzymes and drug transport proteins was undertaken using the Affymetrix drug-metabolizing enzymes and transporters panel. A DNA variant (rs2108622; V433M) in cytochrome P450 4F2 (CYP4F2) was associated with warfarin dose in 3 independent white cohorts of patients stabilized on warfarin representing diverse geographic regions in the United States and accounted for a difference in warfarin dose of approximately 1 mg/day between CC and TT subjects. Genetic variation of CYP4F2 was associated with a clinically relevant effect on warfarin requirement.","container-title":"Blood","DOI":"10.1182/blood-2007-11-122010","ISSN":"0006-4971","issue":"8","journalAbbreviation":"Blood","page":"4106-4112","source":"Silverchair","title":"CYP4F2 genetic variant alters required warfarin dose","volume":"111","author":[{"family":"Caldwell","given":"Michael D."},{"family":"Awad","given":"Tarif"},{"family":"Johnson","given":"Julie A."},{"family":"Gage","given":"Brian F."},{"family":"Falkowski","given":"Mat"},{"family":"Gardina","given":"Paul"},{"family":"Hubbard","given":"Jason"},{"family":"Turpaz","given":"Yaron"},{"family":"Langaee","given":"Taimour Y."},{"family":"Eby","given":"Charles"},{"family":"King","given":"Cristi R."},{"family":"Brower","given":"Amy"},{"family":"Schmelzer","given":"John R."},{"family":"Glurich","given":"Ingrid"},{"family":"Vidaillet","given":"Humberto J."},{"family":"Yale","given":"Steven H."},{"family":"Qi Zhang","given":"Kai"},{"family":"Berg","given":"Richard L."},{"family":"Burmester","given":"James K."}],"issued":{"date-parts":[["2008",4,15]]}}}],"schema":"https://github.com/citation-style-language/schema/raw/master/csl-citation.json"} </w:instrText>
      </w:r>
      <w:r w:rsidR="006D6E45">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[114]</w:t>
      </w:r>
      <w:r w:rsidR="006D6E45">
        <w:rPr>
          <w:rFonts w:ascii="Times New Roman" w:hAnsi="Times New Roman" w:cs="Times New Roman"/>
          <w:sz w:val="28"/>
          <w:szCs w:val="28"/>
          <w:lang w:bidi="ar-SA"/>
        </w:rPr>
        <w:fldChar w:fldCharType="end"/>
      </w:r>
      <w:r w:rsidR="00E536A3">
        <w:rPr>
          <w:rFonts w:ascii="Times New Roman" w:hAnsi="Times New Roman" w:cs="Times New Roman"/>
          <w:sz w:val="28"/>
          <w:szCs w:val="28"/>
          <w:lang w:bidi="ar-SA"/>
        </w:rPr>
        <w:t xml:space="preserve">. Хотя вклад </w:t>
      </w:r>
      <w:r w:rsidR="00E536A3">
        <w:rPr>
          <w:rFonts w:ascii="Times New Roman" w:hAnsi="Times New Roman" w:cs="Times New Roman"/>
          <w:sz w:val="28"/>
          <w:szCs w:val="28"/>
          <w:lang w:val="en-US" w:bidi="ar-SA"/>
        </w:rPr>
        <w:t>CYP</w:t>
      </w:r>
      <w:r w:rsidR="00E536A3" w:rsidRPr="00E536A3">
        <w:rPr>
          <w:rFonts w:ascii="Times New Roman" w:hAnsi="Times New Roman" w:cs="Times New Roman"/>
          <w:sz w:val="28"/>
          <w:szCs w:val="28"/>
          <w:lang w:bidi="ar-SA"/>
        </w:rPr>
        <w:t>4</w:t>
      </w:r>
      <w:r w:rsidR="00E536A3">
        <w:rPr>
          <w:rFonts w:ascii="Times New Roman" w:hAnsi="Times New Roman" w:cs="Times New Roman"/>
          <w:sz w:val="28"/>
          <w:szCs w:val="28"/>
          <w:lang w:val="en-US" w:bidi="ar-SA"/>
        </w:rPr>
        <w:t>F</w:t>
      </w:r>
      <w:r w:rsidR="00E536A3" w:rsidRPr="00E536A3">
        <w:rPr>
          <w:rFonts w:ascii="Times New Roman" w:hAnsi="Times New Roman" w:cs="Times New Roman"/>
          <w:sz w:val="28"/>
          <w:szCs w:val="28"/>
          <w:lang w:bidi="ar-SA"/>
        </w:rPr>
        <w:t>2</w:t>
      </w:r>
      <w:r w:rsidR="00E536A3">
        <w:rPr>
          <w:rFonts w:ascii="Times New Roman" w:hAnsi="Times New Roman" w:cs="Times New Roman"/>
          <w:sz w:val="28"/>
          <w:szCs w:val="28"/>
          <w:lang w:bidi="ar-SA"/>
        </w:rPr>
        <w:t xml:space="preserve"> в общую вариабельность дозы относительно невелик (около 1,5%), его значимость возрастает при рассмотрении межэтнических различий.</w:t>
      </w:r>
    </w:p>
    <w:p w14:paraId="58525787" w14:textId="130A954A" w:rsidR="00E536A3" w:rsidRDefault="00E536A3" w:rsidP="002C77AB">
      <w:pPr>
        <w:pStyle w:val="LO-normal"/>
        <w:spacing w:after="0" w:line="240" w:lineRule="auto"/>
        <w:ind w:firstLine="567"/>
        <w:jc w:val="both"/>
        <w:rPr>
          <w:rFonts w:ascii="Times New Roman" w:hAnsi="Times New Roman" w:cs="Times New Roman"/>
          <w:sz w:val="28"/>
          <w:szCs w:val="28"/>
          <w:lang w:bidi="ar-SA"/>
        </w:rPr>
      </w:pPr>
      <w:r w:rsidRPr="00315C79">
        <w:rPr>
          <w:rFonts w:ascii="Times New Roman" w:hAnsi="Times New Roman" w:cs="Times New Roman"/>
          <w:i/>
          <w:iCs/>
          <w:sz w:val="28"/>
          <w:szCs w:val="28"/>
          <w:lang w:bidi="ar-SA"/>
        </w:rPr>
        <w:t>Этническая специфика фармакогенетики</w:t>
      </w:r>
      <w:r>
        <w:rPr>
          <w:rFonts w:ascii="Times New Roman" w:hAnsi="Times New Roman" w:cs="Times New Roman"/>
          <w:sz w:val="28"/>
          <w:szCs w:val="28"/>
          <w:lang w:bidi="ar-SA"/>
        </w:rPr>
        <w:t>. Распространенность ключевых фармакогенетических маркеров и их вклад в дозу варфарина существенно различаются среди популяций, что имеет прямое клиническое значение</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mUalE58j","properties":{"unsorted":false,"formattedCitation":"[107]","plainCitation":"[107]","noteIndex":0},"citationItems":[{"id":630,"uris":["http://zotero.org/users/14784094/items/33Q2LNGV"],"itemData":{"id":630,"type":"webpage","title":"АНТИКОАГУЛЯНТНАЯ ТЕРАПИЯ ПРИ ФИБРИЛЛЯЦИИ ПРЕДСЕРДИЙ В РЕАЛЬНОЙ ПРАКТИКЕ: ПРОБЛЕМЫ И ПЕРСПЕКТИВЫ","URL":"https://cyberleninka.ru/article/n/antikoagulyantnaya-terapiya-pri-fibrillyatsii-predserdiy-v-realnoy-praktike-problemy-i-perspektivy/viewer","accessed":{"date-parts":[["2024",9,8]]}}}],"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[107]</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Наиболее выражены различия для аллелей </w:t>
      </w:r>
      <w:r>
        <w:rPr>
          <w:rFonts w:ascii="Times New Roman" w:hAnsi="Times New Roman" w:cs="Times New Roman"/>
          <w:sz w:val="28"/>
          <w:szCs w:val="28"/>
          <w:lang w:val="en-US" w:bidi="ar-SA"/>
        </w:rPr>
        <w:t>CYP</w:t>
      </w:r>
      <w:r w:rsidRPr="00E536A3">
        <w:rPr>
          <w:rFonts w:ascii="Times New Roman" w:hAnsi="Times New Roman" w:cs="Times New Roman"/>
          <w:sz w:val="28"/>
          <w:szCs w:val="28"/>
          <w:lang w:bidi="ar-SA"/>
        </w:rPr>
        <w:t>2</w:t>
      </w:r>
      <w:r>
        <w:rPr>
          <w:rFonts w:ascii="Times New Roman" w:hAnsi="Times New Roman" w:cs="Times New Roman"/>
          <w:sz w:val="28"/>
          <w:szCs w:val="28"/>
          <w:lang w:val="en-US" w:bidi="ar-SA"/>
        </w:rPr>
        <w:t>C</w:t>
      </w:r>
      <w:r w:rsidRPr="00E536A3">
        <w:rPr>
          <w:rFonts w:ascii="Times New Roman" w:hAnsi="Times New Roman" w:cs="Times New Roman"/>
          <w:sz w:val="28"/>
          <w:szCs w:val="28"/>
          <w:lang w:bidi="ar-SA"/>
        </w:rPr>
        <w:t xml:space="preserve">9*2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CYP</w:t>
      </w:r>
      <w:r w:rsidRPr="00E536A3">
        <w:rPr>
          <w:rFonts w:ascii="Times New Roman" w:hAnsi="Times New Roman" w:cs="Times New Roman"/>
          <w:sz w:val="28"/>
          <w:szCs w:val="28"/>
          <w:lang w:bidi="ar-SA"/>
        </w:rPr>
        <w:t>2</w:t>
      </w:r>
      <w:r>
        <w:rPr>
          <w:rFonts w:ascii="Times New Roman" w:hAnsi="Times New Roman" w:cs="Times New Roman"/>
          <w:sz w:val="28"/>
          <w:szCs w:val="28"/>
          <w:lang w:val="en-US" w:bidi="ar-SA"/>
        </w:rPr>
        <w:t>C</w:t>
      </w:r>
      <w:r w:rsidRPr="00E536A3">
        <w:rPr>
          <w:rFonts w:ascii="Times New Roman" w:hAnsi="Times New Roman" w:cs="Times New Roman"/>
          <w:sz w:val="28"/>
          <w:szCs w:val="28"/>
          <w:lang w:bidi="ar-SA"/>
        </w:rPr>
        <w:t>9*3</w:t>
      </w:r>
      <w:r>
        <w:rPr>
          <w:rFonts w:ascii="Times New Roman" w:hAnsi="Times New Roman" w:cs="Times New Roman"/>
          <w:sz w:val="28"/>
          <w:szCs w:val="28"/>
          <w:lang w:bidi="ar-SA"/>
        </w:rPr>
        <w:t xml:space="preserve">: их частота среди европеоидов составляет 10-14% и 8-10% соответственно, тогда как у азиатов </w:t>
      </w:r>
      <w:r w:rsidRPr="00E536A3">
        <w:rPr>
          <w:rFonts w:ascii="Times New Roman" w:hAnsi="Times New Roman" w:cs="Times New Roman"/>
          <w:sz w:val="28"/>
          <w:szCs w:val="28"/>
          <w:lang w:bidi="ar-SA"/>
        </w:rPr>
        <w:t>*2</w:t>
      </w:r>
      <w:r>
        <w:rPr>
          <w:rFonts w:ascii="Times New Roman" w:hAnsi="Times New Roman" w:cs="Times New Roman"/>
          <w:sz w:val="28"/>
          <w:szCs w:val="28"/>
          <w:lang w:bidi="ar-SA"/>
        </w:rPr>
        <w:t xml:space="preserve"> встречается крайне редко (1-2%), а </w:t>
      </w:r>
      <w:r w:rsidRPr="00E536A3">
        <w:rPr>
          <w:rFonts w:ascii="Times New Roman" w:hAnsi="Times New Roman" w:cs="Times New Roman"/>
          <w:sz w:val="28"/>
          <w:szCs w:val="28"/>
          <w:lang w:bidi="ar-SA"/>
        </w:rPr>
        <w:t>*3</w:t>
      </w:r>
      <w:r>
        <w:rPr>
          <w:rFonts w:ascii="Times New Roman" w:hAnsi="Times New Roman" w:cs="Times New Roman"/>
          <w:sz w:val="28"/>
          <w:szCs w:val="28"/>
          <w:lang w:bidi="ar-SA"/>
        </w:rPr>
        <w:t xml:space="preserve"> практически отсутствует, а у африканцев частота </w:t>
      </w:r>
      <w:r w:rsidRPr="00E536A3">
        <w:rPr>
          <w:rFonts w:ascii="Times New Roman" w:hAnsi="Times New Roman" w:cs="Times New Roman"/>
          <w:sz w:val="28"/>
          <w:szCs w:val="28"/>
          <w:lang w:bidi="ar-SA"/>
        </w:rPr>
        <w:t>*2</w:t>
      </w:r>
      <w:r>
        <w:rPr>
          <w:rFonts w:ascii="Times New Roman" w:hAnsi="Times New Roman" w:cs="Times New Roman"/>
          <w:sz w:val="28"/>
          <w:szCs w:val="28"/>
          <w:lang w:bidi="ar-SA"/>
        </w:rPr>
        <w:t xml:space="preserve"> составляет 0,5-1%, </w:t>
      </w:r>
      <w:r w:rsidRPr="00E536A3">
        <w:rPr>
          <w:rFonts w:ascii="Times New Roman" w:hAnsi="Times New Roman" w:cs="Times New Roman"/>
          <w:sz w:val="28"/>
          <w:szCs w:val="28"/>
          <w:lang w:bidi="ar-SA"/>
        </w:rPr>
        <w:t xml:space="preserve">*3 </w:t>
      </w:r>
      <w:r>
        <w:rPr>
          <w:rFonts w:ascii="Times New Roman" w:hAnsi="Times New Roman" w:cs="Times New Roman"/>
          <w:sz w:val="28"/>
          <w:szCs w:val="28"/>
          <w:lang w:bidi="ar-SA"/>
        </w:rPr>
        <w:t>около 1%</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qPT4M58e","properties":{"unsorted":false,"formattedCitation":"[116\\uc0\\u8211{}118]","plainCitation":"[116–118]","noteIndex":0},"citationItems":[{"id":191,"uris":["http://zotero.org/users/14784094/items/94TP2Q2N"],"itemData":{"id":191,"type":"article-journal","abstract":"Late postoperative thrombotic and haemorrhagic complications in anticoagulant-treated patients remain one of the key problems of the modern clinical medicine. At present, the most widely used anticoagulant is warfarin, a vitamin K antagonist. One of the reasons for a pathological reaction to the therapeutic concentration of warfarin could be individual features of warfarin metabolism, determined by relevant genes. The literature data suggest that protein-coding CYP2C9 and VKORC1 genes play an important role in the development of postoperative complications. However, the individual warfarin dosage can be influenced by a wide range of other genetic polymorphisms.","container-title":"Cardiovascular Therapy and Prevention","DOI":"10.15829/1728-8800-2013-3-89-94","ISSN":"2619-0125, 1728-8800","issue":"3","journalAbbreviation":"Cardiovasc Ther Prev","language":"ru","license":"https://cardiovascular.elpub.ru/jour/about/editorialPolicies#openAccessPolicy","page":"89-94","source":"DOI.org (Crossref)","title":"GENETIC FACTORS INFLUENCING THE EFFECTIVENESS AND SAFETY OF LONG-TERM ANTICOAGULANT THERAPY","volume":"12","author":[{"family":"Burkova","given":"T. V."},{"family":"Goncharova","given":"I. A."}],"issued":{"date-parts":[["2013",6,20]]}}},{"id":192,"uris":["http://zotero.org/users/14784094/items/K8I65FGN"],"itemData":{"id":192,"type":"article-journal","abstract":"Aim. To study the ethnic characteristics of the carriage of combinations of genotypes of the CYP2C9 and VKORC1 genes among patients with cardioembolic ischemic stroke. Materials and methods. We studied patients with ischemic stroke of the cardioembolic type in the acute stage on the background of atrial fibrillation and/or prosthetic heart valves, belonging to the Asian (first group) or Caucasian race (second group). The identification of the carriage of CYP2C9*1 polymorphisms («wild type») CYP2C9*2 (rs1799853), CYP2C9*3 (rs1057910) of the CYP2C9 gene, and variants of the G3673A (rs9923321) polymorphism of the VKORC1 gene was carried out using the polymerase chain reaction method.","container-title":"Consilium Medicum","DOI":"10.26442/20751753.2020.2.200033","ISSN":"20751753, 25422170","issue":"2","journalAbbreviation":"C M","language":"ru","page":"9-12","source":"DOI.org (Crossref)","title":"Ethnic features of carrier of combinations of CYP2C9 and VKORC1 genotypes among patients with a cardioembolic ischemic stroke","volume":"22","author":[{"literal":"Ammosov North-Eastern Federal University, Yakutsk, Russia"},{"family":"Nikolaeva","given":"T. Ia."},{"family":"Everstova","given":"T. E."},{"literal":"Ammosov North-Eastern Federal University, Yakutsk, Russia"},{"family":"Chugunova","given":"S. A."},{"literal":"Ammosov North-Eastern Federal University, Yakutsk, Russia"},{"family":"Chertovskikh","given":"Ia. V."},{"literal":"Republican Clinical Hospital №3, Yakutsk, Russia"},{"family":"Popova","given":"N. V."},{"literal":"Republican Clinical Hospital №3, Yakutsk, Russia"}],"issued":{"date-parts":[["2020"]]}}},{"id":190,"uris":["http://zotero.org/users/14784094/items/IRY6AJH3"],"itemData":{"id":190,"type":"article-journal","abstract":"Prior knowledge of allele frequencies of cytochrome P450 polymorphisms in a population is crucial for the revision and optimization of existing medication choices and doses. In the current study, the frequency of the CYP2C9*2, CYP2C9*3, CYP2C19*2, CYP2C19*3, CYP2C19*6, CYP2C19*17, and CYP3A4 (rs4646437) alleles in a Thai population across different regions of Thailand was examined. Tests for polymorphisms of CYP2C9 and CYP3A4 were performed using TaqMan SNP genotyping assay and CYP2C19 was performed using two different methods; TaqMan SNP genotyping assay and Luminex x Tag V3. The blood samples were collected from 1205 unrelated healthy individuals across different regions within Thailand. Polymorphisms of CYP2C9 and CYP2C19 were transformed into phenotypes, which included normal metabolizer (NM), intermediate metabolizer (IM), poor metabolizer (PM), and rapid metabolizers (RM). The CYP2C9 allele frequencies among the Thai population were 0.08% and 5.27% for the CYP2C9*2 and CYP2C9*3 alleles, respectively. The CYP2C19 allele frequencies among the Thai population were 25.60%, 2.50%, 0.10%, and 1.80% for the CYP2C19*2, CYP2C19*3, CYP2C19*6, and CYP2C19*17 alleles, respectively. The allele frequency of the CYP3A4 (rs4646437) variant allele was 28.50% in the Thai population. The frequency of the CYP2C9*3 allele was significantly lower among the Northern Thai population (P &lt; 0.001). The frequency of the CYP2C19*17 allele was significantly higher in the Southern Thai population (P &lt; 0.001). Our results may provide an understanding of the ethnic differences in drug responses and support for the utilization of pharmacogenomics testing in clinical practice.","container-title":"Scientific Reports","DOI":"10.1038/s41598-021-90969-y","ISSN":"2045-2322","issue":"1","journalAbbreviation":"Sci Rep","language":"en","license":"2021 The Author(s)","page":"12343","publisher":"Nature Publishing Group","source":"www.nature.com","title":"Allele frequencies of single nucleotide polymorphisms of clinically important drug-metabolizing enzymes CYP2C9, CYP2C19, and CYP3A4 in a Thai population","volume":"11","author":[{"family":"Sukprasong","given":"Rattanaporn"},{"family":"Chuwongwattana","given":"Sumonrat"},{"family":"Koomdee","given":"Napatrupron"},{"family":"Jantararoungtong","given":"Thawinee"},{"family":"Prommas","given":"Santirhat"},{"family":"Jinda","given":"Pimonpan"},{"family":"Rachanakul","given":"Jiratha"},{"family":"Nuntharadthanaphong","given":"Nutthan"},{"family":"Jongjitsook","given":"Nutcha"},{"family":"Puangpetch","given":"Apichaya"},{"family":"Sukasem","given":"Chonlaphat"}],"issued":{"date-parts":[["2021",6,11]]}}}],"schema":"https://github.com/citation-style-language/schema/raw/master/csl-citation.json"} </w:instrText>
      </w:r>
      <w:r>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[116–118]</w:t>
      </w:r>
      <w:r>
        <w:rPr>
          <w:rFonts w:ascii="Times New Roman" w:hAnsi="Times New Roman" w:cs="Times New Roman"/>
          <w:sz w:val="28"/>
          <w:szCs w:val="28"/>
          <w:lang w:bidi="ar-SA"/>
        </w:rPr>
        <w:fldChar w:fldCharType="end"/>
      </w:r>
      <w:r w:rsidR="00CC3ACF">
        <w:rPr>
          <w:rFonts w:ascii="Times New Roman" w:hAnsi="Times New Roman" w:cs="Times New Roman"/>
          <w:sz w:val="28"/>
          <w:szCs w:val="28"/>
          <w:lang w:bidi="ar-SA"/>
        </w:rPr>
        <w:t xml:space="preserve">. Частота чувствительного аллеля А гена </w:t>
      </w:r>
      <w:r w:rsidR="00CC3ACF">
        <w:rPr>
          <w:rFonts w:ascii="Times New Roman" w:hAnsi="Times New Roman" w:cs="Times New Roman"/>
          <w:sz w:val="28"/>
          <w:szCs w:val="28"/>
          <w:lang w:val="en-US" w:bidi="ar-SA"/>
        </w:rPr>
        <w:t>VKORC</w:t>
      </w:r>
      <w:r w:rsidR="00CC3ACF" w:rsidRPr="00CC3ACF">
        <w:rPr>
          <w:rFonts w:ascii="Times New Roman" w:hAnsi="Times New Roman" w:cs="Times New Roman"/>
          <w:sz w:val="28"/>
          <w:szCs w:val="28"/>
          <w:lang w:bidi="ar-SA"/>
        </w:rPr>
        <w:t>1 (</w:t>
      </w:r>
      <w:r w:rsidR="00CC3ACF">
        <w:rPr>
          <w:rFonts w:ascii="Times New Roman" w:hAnsi="Times New Roman" w:cs="Times New Roman"/>
          <w:sz w:val="28"/>
          <w:szCs w:val="28"/>
          <w:lang w:val="en-US" w:bidi="ar-SA"/>
        </w:rPr>
        <w:t>rs</w:t>
      </w:r>
      <w:r w:rsidR="00CC3ACF" w:rsidRPr="00CC3ACF">
        <w:rPr>
          <w:rFonts w:ascii="Times New Roman" w:hAnsi="Times New Roman" w:cs="Times New Roman"/>
          <w:sz w:val="28"/>
          <w:szCs w:val="28"/>
          <w:lang w:bidi="ar-SA"/>
        </w:rPr>
        <w:t xml:space="preserve">9923231) </w:t>
      </w:r>
      <w:r w:rsidR="00CC3ACF">
        <w:rPr>
          <w:rFonts w:ascii="Times New Roman" w:hAnsi="Times New Roman" w:cs="Times New Roman"/>
          <w:sz w:val="28"/>
          <w:szCs w:val="28"/>
          <w:lang w:bidi="ar-SA"/>
        </w:rPr>
        <w:t xml:space="preserve">также варьирует: </w:t>
      </w:r>
      <w:r w:rsidR="00CC3ACF">
        <w:rPr>
          <w:rFonts w:ascii="Times New Roman" w:hAnsi="Times New Roman" w:cs="Times New Roman"/>
          <w:sz w:val="28"/>
          <w:szCs w:val="28"/>
          <w:lang w:bidi="ar-SA"/>
        </w:rPr>
        <w:sym w:font="Symbol" w:char="F07E"/>
      </w:r>
      <w:r w:rsidR="00CC3ACF">
        <w:rPr>
          <w:rFonts w:ascii="Times New Roman" w:hAnsi="Times New Roman" w:cs="Times New Roman"/>
          <w:sz w:val="28"/>
          <w:szCs w:val="28"/>
          <w:lang w:bidi="ar-SA"/>
        </w:rPr>
        <w:t>80% у азиатов, 35% у европейских американцев и лишь 10,6% у афроамериканцев</w:t>
      </w:r>
      <w:r w:rsidR="00CC3AC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VyBlfyKe","properties":{"unsorted":false,"formattedCitation":"[119]","plainCitation":"[119]","noteIndex":0},"citationItems":[{"id":188,"uris":["http://zotero.org/users/14784094/items/G7RFUL8H"],"itemData":{"id":188,"type":"chapter","container-title":"Cardiovascular Therapeutics: A Companion to Braunwald's Heart Disease (Fourth Edition)","DOI":"10.1016/B978-1-4557-0101-8.00004-7","ISBN":"978-1-4557-0101-8","page":"53-66","publisher":"W.B. Saunders","publisher-place":"Philadelphia","source":"ScienceDirect","title":"Chapter 4 - Pharmacogenetics","URL":"https://www.sciencedirect.com/science/article/pii/B9781455701018000047","author":[{"family":"Chyou","given":"Janice Y."},{"family":"Mega","given":"Jessica L."},{"family":"Sabatine","given":"Marc S."}],"editor":[{"family":"Antman","given":"Elliott M."},{"family":"Sabatine","given":"Marc S."}],"accessed":{"date-parts":[["2025",6,7]]},"issued":{"date-parts":[["2013",1,1]]}}}],"schema":"https://github.com/citation-style-language/schema/raw/master/csl-citation.json"} </w:instrText>
      </w:r>
      <w:r w:rsidR="00CC3AC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[119]</w:t>
      </w:r>
      <w:r w:rsidR="00CC3ACF">
        <w:rPr>
          <w:rFonts w:ascii="Times New Roman" w:hAnsi="Times New Roman" w:cs="Times New Roman"/>
          <w:sz w:val="28"/>
          <w:szCs w:val="28"/>
          <w:lang w:bidi="ar-SA"/>
        </w:rPr>
        <w:fldChar w:fldCharType="end"/>
      </w:r>
      <w:r w:rsidR="00CC3ACF">
        <w:rPr>
          <w:rFonts w:ascii="Times New Roman" w:hAnsi="Times New Roman" w:cs="Times New Roman"/>
          <w:sz w:val="28"/>
          <w:szCs w:val="28"/>
          <w:lang w:bidi="ar-SA"/>
        </w:rPr>
        <w:t xml:space="preserve">. Как следствие, совокупный вклад </w:t>
      </w:r>
      <w:r w:rsidR="00CC3ACF">
        <w:rPr>
          <w:rFonts w:ascii="Times New Roman" w:hAnsi="Times New Roman" w:cs="Times New Roman"/>
          <w:sz w:val="28"/>
          <w:szCs w:val="28"/>
          <w:lang w:val="en-US" w:bidi="ar-SA"/>
        </w:rPr>
        <w:t>VKORC</w:t>
      </w:r>
      <w:r w:rsidR="00CC3ACF" w:rsidRPr="00CC3ACF">
        <w:rPr>
          <w:rFonts w:ascii="Times New Roman" w:hAnsi="Times New Roman" w:cs="Times New Roman"/>
          <w:sz w:val="28"/>
          <w:szCs w:val="28"/>
          <w:lang w:bidi="ar-SA"/>
        </w:rPr>
        <w:t xml:space="preserve">1 </w:t>
      </w:r>
      <w:r w:rsidR="00CC3ACF">
        <w:rPr>
          <w:rFonts w:ascii="Times New Roman" w:hAnsi="Times New Roman" w:cs="Times New Roman"/>
          <w:sz w:val="28"/>
          <w:szCs w:val="28"/>
          <w:lang w:bidi="ar-SA"/>
        </w:rPr>
        <w:t xml:space="preserve">и </w:t>
      </w:r>
      <w:r w:rsidR="00CC3ACF">
        <w:rPr>
          <w:rFonts w:ascii="Times New Roman" w:hAnsi="Times New Roman" w:cs="Times New Roman"/>
          <w:sz w:val="28"/>
          <w:szCs w:val="28"/>
          <w:lang w:val="en-US" w:bidi="ar-SA"/>
        </w:rPr>
        <w:t>CYP</w:t>
      </w:r>
      <w:r w:rsidR="00CC3ACF" w:rsidRPr="00CC3ACF">
        <w:rPr>
          <w:rFonts w:ascii="Times New Roman" w:hAnsi="Times New Roman" w:cs="Times New Roman"/>
          <w:sz w:val="28"/>
          <w:szCs w:val="28"/>
          <w:lang w:bidi="ar-SA"/>
        </w:rPr>
        <w:t>2</w:t>
      </w:r>
      <w:r w:rsidR="00CC3ACF">
        <w:rPr>
          <w:rFonts w:ascii="Times New Roman" w:hAnsi="Times New Roman" w:cs="Times New Roman"/>
          <w:sz w:val="28"/>
          <w:szCs w:val="28"/>
          <w:lang w:val="en-US" w:bidi="ar-SA"/>
        </w:rPr>
        <w:t>C</w:t>
      </w:r>
      <w:r w:rsidR="00CC3ACF" w:rsidRPr="00CC3ACF">
        <w:rPr>
          <w:rFonts w:ascii="Times New Roman" w:hAnsi="Times New Roman" w:cs="Times New Roman"/>
          <w:sz w:val="28"/>
          <w:szCs w:val="28"/>
          <w:lang w:bidi="ar-SA"/>
        </w:rPr>
        <w:t>9</w:t>
      </w:r>
      <w:r w:rsidR="00CC3ACF">
        <w:rPr>
          <w:rFonts w:ascii="Times New Roman" w:hAnsi="Times New Roman" w:cs="Times New Roman"/>
          <w:sz w:val="28"/>
          <w:szCs w:val="28"/>
          <w:lang w:bidi="ar-SA"/>
        </w:rPr>
        <w:t xml:space="preserve"> в вариабельность дозы максимален у лиц европейского происхождения (40-50%) и заметно ниже у азиатов, африканцев и латиноамериканцев</w:t>
      </w:r>
      <w:r w:rsidR="00CC3AC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kRqKRa41","properties":{"unsorted":false,"formattedCitation":"[120,121]","plainCitation":"[120,121]","noteIndex":0},"citationItems":[{"id":187,"uris":["http://zotero.org/users/14784094/items/PVMHAR54"],"itemData":{"id":187,"type":"article-journal","abstract":"Warfarin dose requirements are highly variable because of clinical and genetic factors. Although genetic variants influencing warfarin dose have been identified in European and East Asian populations, more work is needed to identify African-specific genetic variants to help optimize warfarin dosing. We performed genome-wide association studies (GWASs) in 4 African cohorts from Uganda, South Africa, and Zimbabwe, totaling 989 warfarin-treated participants who reached stable dose and had international normalized ratios within therapeutic ranges. We also included 2 African American cohorts recruited by the International Warfarin Pharmacogenetics Consortium (n = 316) and the University of Alabama at Birmingham (n = 199). After the GWAS, we performed standard error-weighted meta-analyses and then conducted stepwise conditional analyses to account for known loci in chromosomes 10 and 16. The genome-wide significance threshold was set at P &amp;lt; 5 × 10−8. The meta-analysis, comprising 1504 participants, identified 242 significant SNPs across 3 genomic loci, with 99.6% of these located within known loci on chromosomes 10 (top SNP: rs58800757, P = 4.27 × 10−13) and 16 (top SNP: rs9925964, P = 9.97 × 10−16). Adjustment for the VKORC1 SNP -1639G&amp;gt;A revealed an additional locus on chromosome 2 (top SNPs rs116057875/rs115254730/rs115240773, P = 3.64 × 10−8), implicating the MALL gene, that could indirectly influence warfarin response through interactions with caveolin-1. In conclusion, we reaffirmed the importance of CYP2C9 and VKORC1 in influencing warfarin dose requirements, and identified a new locus (MALL), that still requires direct evidence of biological plausibility.","container-title":"Blood Advances","DOI":"10.1182/bloodadvances.2024014227","ISSN":"2473-9529","issue":"20","journalAbbreviation":"Blood Advances","page":"5248-5261","source":"Silverchair","title":"Meta-analysis of genome-wide association studies of stable warfarin dose in patients of African ancestry","volume":"8","author":[{"family":"Asiimwe","given":"Innocent G."},{"family":"Blockman","given":"Marc"},{"family":"Cavallari","given":"Larisa H."},{"family":"Cohen","given":"Karen"},{"family":"Cupido","given":"Clint"},{"family":"Dandara","given":"Collet"},{"family":"Davis","given":"Brittney H."},{"family":"Jacobson","given":"Barry"},{"family":"Johnson","given":"Julie A."},{"family":"Lamorde","given":"Mohammed"},{"family":"Limdi","given":"Nita A."},{"family":"Morgan","given":"Jennie"},{"family":"Mouton","given":"Johannes P."},{"family":"Muyambo","given":"Sarudzai"},{"family":"Nakagaayi","given":"Doreen"},{"family":"Ndadza","given":"Arinao"},{"family":"Okello","given":"Emmy"},{"family":"Perera","given":"Minoli A."},{"family":"Schapkaitz","given":"Elise"},{"family":"Sekaggya-Wiltshire","given":"Christine"},{"family":"Semakula","given":"Jerome R."},{"family":"Tatz","given":"Gayle"},{"family":"Waitt","given":"Catriona"},{"family":"Yang","given":"Guang"},{"family":"Zhang","given":"Eunice J."},{"family":"Jorgensen","given":"Andrea L."},{"family":"Pirmohamed","given":"Munir"}],"issued":{"date-parts":[["2024",10,9]]}}},{"id":186,"uris":["http://zotero.org/users/14784094/items/58JRYA2X"],"itemData":{"id":186,"type":"article-journal","abstract":"Warfarin has remained the most commonly prescribed vitamin K oral anticoagulant worldwide since its approval in 1954. Dosing challenges including having a narrow therapeutic window and a wide interpatient variability in dosing requirements have contributed to making it the most studied drug in terms of genotype-phenotype relationships. However, most of these studies have been conducted in Whites or Asians which means the current pharmacogenomics evidence-base does not reflect ethnic diversity. Due to differences in minor allele frequencies of key genetic variants, studies conducted in Whites/Asians may not be applicable to underrepresented populations such as Blacks, Hispanics/Latinos, American Indians/Alaska Natives and Native Hawaiians/other Pacific Islanders. This may exacerbate health inequalities when Whites/Asians have better anticoagulation profiles due to the existence of validated pharmacogenomic dosing algorithms which fail to perform similarly in the underrepresented populations. To examine the extent to which individual races/ethnicities are represented in the existing body of pharmacogenomic evidence, we review evidence pertaining to published pharmacogenomic dosing algorithms, including clinical utility studies, cost-effectiveness studies and clinical implementation guidelines that have been published in the warfarin field.","container-title":"Frontiers in Pharmacology","DOI":"10.3389/fphar.2022.866058","ISSN":"1663-9812","journalAbbreviation":"Front. Pharmacol.","language":"English","publisher":"Frontiers","source":"Frontiers","title":"Ethnic Diversity and Warfarin Pharmacogenomics","URL":"https://www.frontiersin.org/journals/pharmacology/articles/10.3389/fphar.2022.866058/full","volume":"13","author":[{"family":"Asiimwe","given":"Innocent G."},{"family":"Pirmohamed","given":"Munir"}],"accessed":{"date-parts":[["2025",6,7]]},"issued":{"date-parts":[["2022",4,4]]}}}],"schema":"https://github.com/citation-style-language/schema/raw/master/csl-citation.json"} </w:instrText>
      </w:r>
      <w:r w:rsidR="00CC3AC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[120,121]</w:t>
      </w:r>
      <w:r w:rsidR="00CC3ACF">
        <w:rPr>
          <w:rFonts w:ascii="Times New Roman" w:hAnsi="Times New Roman" w:cs="Times New Roman"/>
          <w:sz w:val="28"/>
          <w:szCs w:val="28"/>
          <w:lang w:bidi="ar-SA"/>
        </w:rPr>
        <w:fldChar w:fldCharType="end"/>
      </w:r>
      <w:r w:rsidR="00CC3ACF">
        <w:rPr>
          <w:rFonts w:ascii="Times New Roman" w:hAnsi="Times New Roman" w:cs="Times New Roman"/>
          <w:sz w:val="28"/>
          <w:szCs w:val="28"/>
          <w:lang w:bidi="ar-SA"/>
        </w:rPr>
        <w:t xml:space="preserve">. </w:t>
      </w:r>
      <w:r w:rsidR="00CC3ACF">
        <w:rPr>
          <w:rFonts w:ascii="Times New Roman" w:hAnsi="Times New Roman" w:cs="Times New Roman"/>
          <w:sz w:val="28"/>
          <w:szCs w:val="28"/>
          <w:lang w:val="en-US" w:bidi="ar-SA"/>
        </w:rPr>
        <w:t>Scott</w:t>
      </w:r>
      <w:r w:rsidR="00CC3ACF" w:rsidRPr="00CC3ACF">
        <w:rPr>
          <w:rFonts w:ascii="Times New Roman" w:hAnsi="Times New Roman" w:cs="Times New Roman"/>
          <w:sz w:val="28"/>
          <w:szCs w:val="28"/>
          <w:lang w:bidi="ar-SA"/>
        </w:rPr>
        <w:t xml:space="preserve"> </w:t>
      </w:r>
      <w:r w:rsidR="00CC3ACF">
        <w:rPr>
          <w:rFonts w:ascii="Times New Roman" w:hAnsi="Times New Roman" w:cs="Times New Roman"/>
          <w:sz w:val="28"/>
          <w:szCs w:val="28"/>
          <w:lang w:val="en-US" w:bidi="ar-SA"/>
        </w:rPr>
        <w:t>at</w:t>
      </w:r>
      <w:r w:rsidR="00CC3ACF" w:rsidRPr="00CC3ACF">
        <w:rPr>
          <w:rFonts w:ascii="Times New Roman" w:hAnsi="Times New Roman" w:cs="Times New Roman"/>
          <w:sz w:val="28"/>
          <w:szCs w:val="28"/>
          <w:lang w:bidi="ar-SA"/>
        </w:rPr>
        <w:t xml:space="preserve"> </w:t>
      </w:r>
      <w:r w:rsidR="00CC3ACF">
        <w:rPr>
          <w:rFonts w:ascii="Times New Roman" w:hAnsi="Times New Roman" w:cs="Times New Roman"/>
          <w:sz w:val="28"/>
          <w:szCs w:val="28"/>
          <w:lang w:val="en-US" w:bidi="ar-SA"/>
        </w:rPr>
        <w:t>al</w:t>
      </w:r>
      <w:r w:rsidR="00CC3ACF" w:rsidRPr="00CC3ACF">
        <w:rPr>
          <w:rFonts w:ascii="Times New Roman" w:hAnsi="Times New Roman" w:cs="Times New Roman"/>
          <w:sz w:val="28"/>
          <w:szCs w:val="28"/>
          <w:lang w:bidi="ar-SA"/>
        </w:rPr>
        <w:t>.</w:t>
      </w:r>
      <w:r w:rsidR="00CC3ACF">
        <w:rPr>
          <w:rFonts w:ascii="Times New Roman" w:hAnsi="Times New Roman" w:cs="Times New Roman"/>
          <w:sz w:val="28"/>
          <w:szCs w:val="28"/>
          <w:lang w:bidi="ar-SA"/>
        </w:rPr>
        <w:t xml:space="preserve"> (2010) определяли частоту функционально значимых вариантов вышеперечисленных генов среди различных этнических групп. Максимальные значения </w:t>
      </w:r>
      <w:r w:rsidR="00CC3ACF">
        <w:rPr>
          <w:rFonts w:ascii="Times New Roman" w:hAnsi="Times New Roman" w:cs="Times New Roman"/>
          <w:sz w:val="28"/>
          <w:szCs w:val="28"/>
          <w:lang w:val="en-US" w:bidi="ar-SA"/>
        </w:rPr>
        <w:t>CYP</w:t>
      </w:r>
      <w:r w:rsidR="00CC3ACF" w:rsidRPr="00CC3ACF">
        <w:rPr>
          <w:rFonts w:ascii="Times New Roman" w:hAnsi="Times New Roman" w:cs="Times New Roman"/>
          <w:sz w:val="28"/>
          <w:szCs w:val="28"/>
          <w:lang w:bidi="ar-SA"/>
        </w:rPr>
        <w:t>2</w:t>
      </w:r>
      <w:r w:rsidR="00CC3ACF">
        <w:rPr>
          <w:rFonts w:ascii="Times New Roman" w:hAnsi="Times New Roman" w:cs="Times New Roman"/>
          <w:sz w:val="28"/>
          <w:szCs w:val="28"/>
          <w:lang w:val="en-US" w:bidi="ar-SA"/>
        </w:rPr>
        <w:t>C</w:t>
      </w:r>
      <w:r w:rsidR="00CC3ACF" w:rsidRPr="00CC3ACF">
        <w:rPr>
          <w:rFonts w:ascii="Times New Roman" w:hAnsi="Times New Roman" w:cs="Times New Roman"/>
          <w:sz w:val="28"/>
          <w:szCs w:val="28"/>
          <w:lang w:bidi="ar-SA"/>
        </w:rPr>
        <w:t>9</w:t>
      </w:r>
      <w:r w:rsidR="00CC3ACF">
        <w:rPr>
          <w:rFonts w:ascii="Times New Roman" w:hAnsi="Times New Roman" w:cs="Times New Roman"/>
          <w:sz w:val="28"/>
          <w:szCs w:val="28"/>
          <w:lang w:bidi="ar-SA"/>
        </w:rPr>
        <w:t xml:space="preserve"> (2 и 3) зафиксированы у европеоидов и ашкеназских евреев (21,2%), тогда как у афроамериканцев она не превышает 13,3%</w:t>
      </w:r>
      <w:r w:rsidR="00CC3ACF">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{"citationID":"zdHaVITh","properties":{"unsorted":false,"formattedCitation":"[122]","plainCitation":"[122]","noteIndex":0},"citationItems":[{"id":221,"uris":["http://zotero.org/users/14784094/items/45YQXAS8"],"itemData":{"id":221,"type":"article-journal","abstract":"Aims: CYP4F2*3 (p.V433M) has been associated with higher warfarin dose requirements; however, its frequency, like other CYP2C9 and VKORC1 variants, has not been systematically assessed in major racial/ethnic populations. Thus, we determined the individual and combined frequencies of important CYP2C9, VKORC1 and CYP4F2 variants in several racial/ethnic groups. Materials &amp; methods: Healthy African–American, Asian, Caucasian, Hispanic and Ashkenazi Jewish (AJ) blood donors were genotyped for CYP2C9(*2, *3, *4, *5, *6, *8, *11 and *13), VKORC1 (g.-1639G&gt;A) and CYP4F2 (*3 [p.V433M] and rs2189784). Results: The combined frequencies of variant CYP2C9 alleles were 0.133, 0.078, 0.212, 0.178 and 0.212 among African–American, Asian, Caucasian, Hispanic and AJ individuals, respectively. CYP4F2*3 frequencies were prevalent (0.233–0.342) among Asian, Caucasian, Hispanic and AJ individuals, while significantly less frequent among African–Americans (0.117; p &lt; 0.0001). In addition, CYP4F2*3 was in linkage disequilibrium with rs2189784, an allele recently associated with time-to-therapeutic international normalized ratio, among all studied populations. Importantly, 87–95% of Asian, Caucasian, Hispanic and AJ individuals had a variant CYP2C9, VKORC1 and/or CYP4F2*3 allele, compared with only 53% of African–Americans (p &lt; 0.0001). Conclusions: Compared with other racial/ethnic populations studied, only approximately one in 80 African–Americans were CYP4F2*3 homozygous, indicating that this population would benefit less from dosing algorithms that include this variant. In addition, the unique allele frequency profiles identified among the different populations partly explain why genotype-guided warfarin dosing algorithms perform less well for African–Americans and suggest that other unidentified genetic and/or nongenetic factors that influence warfarin dosage may exist in this population.","container-title":"Pharmacogenomics","DOI":"10.2217/pgs.10.49","ISSN":"1462-2416","issue":"6","note":"_eprint: https://doi.org/10.2217/pgs.10.49","page":"781-791","PMID":"20504253","publisher":"Taylor &amp; Francis","source":"Taylor and Francis+NEJM","title":"Combined CYP2C9, VKORC1 and CYP4F2 Frequencies among Racial and Ethnic Groups","volume":"11","author":[{"family":"Scott","given":"Stuart A"},{"family":"","given":"Khasawneh ,Rame"},{"family":"","given":"Peter ,Inga"},{"family":"","given":"Kornreich ,Ruth"},{"family":"Desnick","given":"Robert J","non-dropping-particle":"and"}],"issued":{"date-parts":[["2010",6,1]]}}}],"schema":"https://github.com/citation-style-language/schema/raw/master/csl-citation.json"} </w:instrText>
      </w:r>
      <w:r w:rsidR="00CC3ACF">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[122]</w:t>
      </w:r>
      <w:r w:rsidR="00CC3ACF">
        <w:rPr>
          <w:rFonts w:ascii="Times New Roman" w:hAnsi="Times New Roman" w:cs="Times New Roman"/>
          <w:sz w:val="28"/>
          <w:szCs w:val="28"/>
          <w:lang w:bidi="ar-SA"/>
        </w:rPr>
        <w:fldChar w:fldCharType="end"/>
      </w:r>
      <w:r w:rsidR="00CC3ACF">
        <w:rPr>
          <w:rFonts w:ascii="Times New Roman" w:hAnsi="Times New Roman" w:cs="Times New Roman"/>
          <w:sz w:val="28"/>
          <w:szCs w:val="28"/>
          <w:lang w:bidi="ar-SA"/>
        </w:rPr>
        <w:t>. В противоположность этому</w:t>
      </w:r>
      <w:r w:rsidR="00315C79">
        <w:rPr>
          <w:rFonts w:ascii="Times New Roman" w:hAnsi="Times New Roman" w:cs="Times New Roman"/>
          <w:sz w:val="28"/>
          <w:szCs w:val="28"/>
          <w:lang w:bidi="ar-SA"/>
        </w:rPr>
        <w:t xml:space="preserve">, аллель </w:t>
      </w:r>
      <w:r w:rsidR="00315C79">
        <w:rPr>
          <w:rFonts w:ascii="Times New Roman" w:hAnsi="Times New Roman" w:cs="Times New Roman"/>
          <w:sz w:val="28"/>
          <w:szCs w:val="28"/>
          <w:lang w:val="en-US" w:bidi="ar-SA"/>
        </w:rPr>
        <w:t>CYP</w:t>
      </w:r>
      <w:r w:rsidR="00315C79" w:rsidRPr="00315C79">
        <w:rPr>
          <w:rFonts w:ascii="Times New Roman" w:hAnsi="Times New Roman" w:cs="Times New Roman"/>
          <w:sz w:val="28"/>
          <w:szCs w:val="28"/>
          <w:lang w:bidi="ar-SA"/>
        </w:rPr>
        <w:t>4</w:t>
      </w:r>
      <w:r w:rsidR="00315C79">
        <w:rPr>
          <w:rFonts w:ascii="Times New Roman" w:hAnsi="Times New Roman" w:cs="Times New Roman"/>
          <w:sz w:val="28"/>
          <w:szCs w:val="28"/>
          <w:lang w:val="en-US" w:bidi="ar-SA"/>
        </w:rPr>
        <w:t>F</w:t>
      </w:r>
      <w:r w:rsidR="00315C79" w:rsidRPr="00315C79">
        <w:rPr>
          <w:rFonts w:ascii="Times New Roman" w:hAnsi="Times New Roman" w:cs="Times New Roman"/>
          <w:sz w:val="28"/>
          <w:szCs w:val="28"/>
          <w:lang w:bidi="ar-SA"/>
        </w:rPr>
        <w:t>2*3 (</w:t>
      </w:r>
      <w:r w:rsidR="00315C79">
        <w:rPr>
          <w:rFonts w:ascii="Times New Roman" w:hAnsi="Times New Roman" w:cs="Times New Roman"/>
          <w:sz w:val="28"/>
          <w:szCs w:val="28"/>
          <w:lang w:val="en-US" w:bidi="ar-SA"/>
        </w:rPr>
        <w:t>rs</w:t>
      </w:r>
      <w:r w:rsidR="00315C79" w:rsidRPr="00315C79">
        <w:rPr>
          <w:rFonts w:ascii="Times New Roman" w:hAnsi="Times New Roman" w:cs="Times New Roman"/>
          <w:sz w:val="28"/>
          <w:szCs w:val="28"/>
          <w:lang w:bidi="ar-SA"/>
        </w:rPr>
        <w:t xml:space="preserve">2108622) </w:t>
      </w:r>
      <w:r w:rsidR="00315C79">
        <w:rPr>
          <w:rFonts w:ascii="Times New Roman" w:hAnsi="Times New Roman" w:cs="Times New Roman"/>
          <w:sz w:val="28"/>
          <w:szCs w:val="28"/>
          <w:lang w:bidi="ar-SA"/>
        </w:rPr>
        <w:t xml:space="preserve">демонстрирует высокую распространенность в азиатских, европейских, латиноамериканских и ашкеназских популяциях (23,3-34,2%), но существенно реже встречается среди афроамериканцев (11,7%; </w:t>
      </w:r>
      <w:r w:rsidR="00315C79">
        <w:rPr>
          <w:rFonts w:ascii="Times New Roman" w:hAnsi="Times New Roman" w:cs="Times New Roman"/>
          <w:sz w:val="28"/>
          <w:szCs w:val="28"/>
          <w:lang w:val="en-US" w:bidi="ar-SA"/>
        </w:rPr>
        <w:t>p</w:t>
      </w:r>
      <w:r w:rsidR="00315C79" w:rsidRPr="00315C79">
        <w:rPr>
          <w:rFonts w:ascii="Times New Roman" w:hAnsi="Times New Roman" w:cs="Times New Roman"/>
          <w:sz w:val="28"/>
          <w:szCs w:val="28"/>
          <w:lang w:bidi="ar-SA"/>
        </w:rPr>
        <w:t>&lt;</w:t>
      </w:r>
      <w:r w:rsidR="00315C79">
        <w:rPr>
          <w:rFonts w:ascii="Times New Roman" w:hAnsi="Times New Roman" w:cs="Times New Roman"/>
          <w:sz w:val="28"/>
          <w:szCs w:val="28"/>
          <w:lang w:bidi="ar-SA"/>
        </w:rPr>
        <w:t>0,0001)</w:t>
      </w:r>
      <w:r w:rsidR="00315C7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{"citationID":"I7HgSTpS","properties":{"unsorted":false,"formattedCitation":"[122]","plainCitation":"[122]","noteIndex":0},"citationItems":[{"id":221,"uris":["http://zotero.org/users/14784094/items/45YQXAS8"],"itemData":{"id":221,"type":"article-journal","abstract":"Aims: CYP4F2*3 (p.V433M) has been associated with higher warfarin dose requirements; however, its frequency, like other CYP2C9 and VKORC1 variants, has not been systematically assessed in major racial/ethnic populations. Thus, we determined the individual and combined frequencies of important CYP2C9, VKORC1 and CYP4F2 variants in several racial/ethnic groups. Materials &amp; methods: Healthy African–American, Asian, Caucasian, Hispanic and Ashkenazi Jewish (AJ) blood donors were genotyped for CYP2C9(*2, *3, *4, *5, *6, *8, *11 and *13), VKORC1 (g.-1639G&gt;A) and CYP4F2 (*3 [p.V433M] and rs2189784). Results: The combined frequencies of variant CYP2C9 alleles were 0.133, 0.078, 0.212, 0.178 and 0.212 among African–American, Asian, Caucasian, Hispanic and AJ individuals, respectively. CYP4F2*3 frequencies were prevalent (0.233–0.342) among Asian, Caucasian, Hispanic and AJ individuals, while significantly less frequent among African–Americans (0.117; p &lt; 0.0001). In addition, CYP4F2*3 was in linkage disequilibrium with rs2189784, an allele recently associated with time-to-therapeutic international normalized ratio, among all studied populations. Importantly, 87–95% of Asian, Caucasian, Hispanic and AJ individuals had a variant CYP2C9, VKORC1 and/or CYP4F2*3 allele, compared with only 53% of African–Americans (p &lt; 0.0001). Conclusions: Compared with other racial/ethnic populations studied, only approximately one in 80 African–Americans were CYP4F2*3 homozygous, indicating that this population would benefit less from dosing algorithms that include this variant. In addition, the unique allele frequency profiles identified among the different populations partly explain why genotype-guided warfarin dosing algorithms perform less well for African–Americans and suggest that other unidentified genetic and/or nongenetic factors that influence warfarin dosage may exist in this population.","container-title":"Pharmacogenomics","DOI":"10.2217/pgs.10.49","ISSN":"1462-2416","issue":"6","note":"_eprint: https://doi.org/10.2217/pgs.10.49","page":"781-791","PMID":"20504253","publisher":"Taylor &amp; Francis","source":"Taylor and Francis+NEJM","title":"Combined CYP2C9, VKORC1 and CYP4F2 Frequencies among Racial and Ethnic Groups","volume":"11","author":[{"family":"Scott","given":"Stuart A"},{"family":"","given":"Khasawneh ,Rame"},{"family":"","given":"Peter ,Inga"},{"family":"","given":"Kornreich ,Ruth"},{"family":"Desnick","given":"Robert J","non-dropping-particle":"and"}],"issued":{"date-parts":[["2010",6,1]]}}}],"schema":"https://github.com/citation-style-language/schema/raw/master/csl-citation.json"} </w:instrText>
      </w:r>
      <w:r w:rsidR="00315C7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[122]</w:t>
      </w:r>
      <w:r w:rsidR="00315C79">
        <w:rPr>
          <w:rFonts w:ascii="Times New Roman" w:hAnsi="Times New Roman" w:cs="Times New Roman"/>
          <w:sz w:val="28"/>
          <w:szCs w:val="28"/>
          <w:lang w:bidi="ar-SA"/>
        </w:rPr>
        <w:fldChar w:fldCharType="end"/>
      </w:r>
      <w:r w:rsidR="00315C79">
        <w:rPr>
          <w:rFonts w:ascii="Times New Roman" w:hAnsi="Times New Roman" w:cs="Times New Roman"/>
          <w:sz w:val="28"/>
          <w:szCs w:val="28"/>
          <w:lang w:bidi="ar-SA"/>
        </w:rPr>
        <w:t xml:space="preserve">. Дополнительно выявлена ассоциация </w:t>
      </w:r>
      <w:r w:rsidR="00315C79">
        <w:rPr>
          <w:rFonts w:ascii="Times New Roman" w:hAnsi="Times New Roman" w:cs="Times New Roman"/>
          <w:sz w:val="28"/>
          <w:szCs w:val="28"/>
          <w:lang w:val="en-US" w:bidi="ar-SA"/>
        </w:rPr>
        <w:t>CYP</w:t>
      </w:r>
      <w:r w:rsidR="00315C79" w:rsidRPr="00315C79">
        <w:rPr>
          <w:rFonts w:ascii="Times New Roman" w:hAnsi="Times New Roman" w:cs="Times New Roman"/>
          <w:sz w:val="28"/>
          <w:szCs w:val="28"/>
          <w:lang w:bidi="ar-SA"/>
        </w:rPr>
        <w:t>4</w:t>
      </w:r>
      <w:r w:rsidR="00315C79">
        <w:rPr>
          <w:rFonts w:ascii="Times New Roman" w:hAnsi="Times New Roman" w:cs="Times New Roman"/>
          <w:sz w:val="28"/>
          <w:szCs w:val="28"/>
          <w:lang w:val="en-US" w:bidi="ar-SA"/>
        </w:rPr>
        <w:t>F</w:t>
      </w:r>
      <w:r w:rsidR="00315C79" w:rsidRPr="00315C79">
        <w:rPr>
          <w:rFonts w:ascii="Times New Roman" w:hAnsi="Times New Roman" w:cs="Times New Roman"/>
          <w:sz w:val="28"/>
          <w:szCs w:val="28"/>
          <w:lang w:bidi="ar-SA"/>
        </w:rPr>
        <w:t>2*3</w:t>
      </w:r>
      <w:r w:rsidR="00315C79">
        <w:rPr>
          <w:rFonts w:ascii="Times New Roman" w:hAnsi="Times New Roman" w:cs="Times New Roman"/>
          <w:sz w:val="28"/>
          <w:szCs w:val="28"/>
          <w:lang w:bidi="ar-SA"/>
        </w:rPr>
        <w:t xml:space="preserve"> с маркером </w:t>
      </w:r>
      <w:r w:rsidR="00315C79">
        <w:rPr>
          <w:rFonts w:ascii="Times New Roman" w:hAnsi="Times New Roman" w:cs="Times New Roman"/>
          <w:sz w:val="28"/>
          <w:szCs w:val="28"/>
          <w:lang w:val="en-US" w:bidi="ar-SA"/>
        </w:rPr>
        <w:t>rs</w:t>
      </w:r>
      <w:r w:rsidR="00315C79" w:rsidRPr="00315C79">
        <w:rPr>
          <w:rFonts w:ascii="Times New Roman" w:hAnsi="Times New Roman" w:cs="Times New Roman"/>
          <w:sz w:val="28"/>
          <w:szCs w:val="28"/>
          <w:lang w:bidi="ar-SA"/>
        </w:rPr>
        <w:t>2189784,</w:t>
      </w:r>
      <w:r w:rsidR="00315C79">
        <w:rPr>
          <w:rFonts w:ascii="Times New Roman" w:hAnsi="Times New Roman" w:cs="Times New Roman"/>
          <w:sz w:val="28"/>
          <w:szCs w:val="28"/>
          <w:lang w:bidi="ar-SA"/>
        </w:rPr>
        <w:t xml:space="preserve"> ранее связанным с ускоренным достижением терапевтического МНО</w:t>
      </w:r>
      <w:r w:rsidR="00315C7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{"citationID":"v3q2ByAI","properties":{"unsorted":false,"formattedCitation":"[122]","plainCitation":"[122]","noteIndex":0},"citationItems":[{"id":221,"uris":["http://zotero.org/users/14784094/items/45YQXAS8"],"itemData":{"id":221,"type":"article-journal","abstract":"Aims: CYP4F2*3 (p.V433M) has been associated with higher warfarin dose requirements; however, its frequency, like other CYP2C9 and VKORC1 variants, has not been systematically assessed in major racial/ethnic populations. Thus, we determined the individual and combined frequencies of important CYP2C9, VKORC1 and CYP4F2 variants in several racial/ethnic groups. Materials &amp; methods: Healthy African–American, Asian, Caucasian, Hispanic and Ashkenazi Jewish (AJ) blood donors were genotyped for CYP2C9(*2, *3, *4, *5, *6, *8, *11 and *13), VKORC1 (g.-1639G&gt;A) and CYP4F2 (*3 [p.V433M] and rs2189784). Results: The combined frequencies of variant CYP2C9 alleles were 0.133, 0.078, 0.212, 0.178 and 0.212 among African–American, Asian, Caucasian, Hispanic and AJ individuals, respectively. CYP4F2*3 frequencies were prevalent (0.233–0.342) among Asian, Caucasian, Hispanic and AJ individuals, while significantly less frequent among African–Americans (0.117; p &lt; 0.0001). In addition, CYP4F2*3 was in linkage disequilibrium with rs2189784, an allele recently associated with time-to-therapeutic international normalized ratio, among all studied populations. Importantly, 87–95% of Asian, Caucasian, Hispanic and AJ individuals had a variant CYP2C9, VKORC1 and/or CYP4F2*3 allele, compared with only 53% of African–Americans (p &lt; 0.0001). Conclusions: Compared with other racial/ethnic populations studied, only approximately one in 80 African–Americans were CYP4F2*3 homozygous, indicating that this population would benefit less from dosing algorithms that include this variant. In addition, the unique allele frequency profiles identified among the different populations partly explain why genotype-guided warfarin dosing algorithms perform less well for African–Americans and suggest that other unidentified genetic and/or nongenetic factors that influence warfarin dosage may exist in this population.","container-title":"Pharmacogenomics","DOI":"10.2217/pgs.10.49","ISSN":"1462-2416","issue":"6","note":"_eprint: https://doi.org/10.2217/pgs.10.49","page":"781-791","PMID":"20504253","publisher":"Taylor &amp; Francis","source":"Taylor and Francis+NEJM","title":"Combined CYP2C9, VKORC1 and CYP4F2 Frequencies among Racial and Ethnic Groups","volume":"11","author":[{"family":"Scott","given":"Stuart A"},{"family":"","given":"Khasawneh ,Rame"},{"family":"","given":"Peter ,Inga"},{"family":"","given":"Kornreich ,Ruth"},{"family":"Desnick","given":"Robert J","non-dropping-particle":"and"}],"issued":{"date-parts":[["2010",6,1]]}}}],"schema":"https://github.com/citation-style-language/schema/raw/master/csl-citation.json"} </w:instrText>
      </w:r>
      <w:r w:rsidR="00315C7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[122]</w:t>
      </w:r>
      <w:r w:rsidR="00315C79">
        <w:rPr>
          <w:rFonts w:ascii="Times New Roman" w:hAnsi="Times New Roman" w:cs="Times New Roman"/>
          <w:sz w:val="28"/>
          <w:szCs w:val="28"/>
          <w:lang w:bidi="ar-SA"/>
        </w:rPr>
        <w:fldChar w:fldCharType="end"/>
      </w:r>
      <w:r w:rsidR="00315C79">
        <w:rPr>
          <w:rFonts w:ascii="Times New Roman" w:hAnsi="Times New Roman" w:cs="Times New Roman"/>
          <w:sz w:val="28"/>
          <w:szCs w:val="28"/>
          <w:lang w:bidi="ar-SA"/>
        </w:rPr>
        <w:t xml:space="preserve">. Примечательно, что 87-95% представителей неафриканских популяций несут хотя бы один клинически значимый вариант в генах </w:t>
      </w:r>
      <w:r w:rsidR="00315C79">
        <w:rPr>
          <w:rFonts w:ascii="Times New Roman" w:hAnsi="Times New Roman" w:cs="Times New Roman"/>
          <w:sz w:val="28"/>
          <w:szCs w:val="28"/>
          <w:lang w:val="en-US" w:bidi="ar-SA"/>
        </w:rPr>
        <w:t>CYP</w:t>
      </w:r>
      <w:r w:rsidR="00315C79" w:rsidRPr="00315C79">
        <w:rPr>
          <w:rFonts w:ascii="Times New Roman" w:hAnsi="Times New Roman" w:cs="Times New Roman"/>
          <w:sz w:val="28"/>
          <w:szCs w:val="28"/>
          <w:lang w:bidi="ar-SA"/>
        </w:rPr>
        <w:t>2</w:t>
      </w:r>
      <w:r w:rsidR="00315C79">
        <w:rPr>
          <w:rFonts w:ascii="Times New Roman" w:hAnsi="Times New Roman" w:cs="Times New Roman"/>
          <w:sz w:val="28"/>
          <w:szCs w:val="28"/>
          <w:lang w:val="en-US" w:bidi="ar-SA"/>
        </w:rPr>
        <w:t>C</w:t>
      </w:r>
      <w:r w:rsidR="00315C79" w:rsidRPr="00315C79">
        <w:rPr>
          <w:rFonts w:ascii="Times New Roman" w:hAnsi="Times New Roman" w:cs="Times New Roman"/>
          <w:sz w:val="28"/>
          <w:szCs w:val="28"/>
          <w:lang w:bidi="ar-SA"/>
        </w:rPr>
        <w:t xml:space="preserve">9, </w:t>
      </w:r>
      <w:r w:rsidR="00315C79">
        <w:rPr>
          <w:rFonts w:ascii="Times New Roman" w:hAnsi="Times New Roman" w:cs="Times New Roman"/>
          <w:sz w:val="28"/>
          <w:szCs w:val="28"/>
          <w:lang w:val="en-US" w:bidi="ar-SA"/>
        </w:rPr>
        <w:t>VKORC</w:t>
      </w:r>
      <w:r w:rsidR="00315C79" w:rsidRPr="00315C79">
        <w:rPr>
          <w:rFonts w:ascii="Times New Roman" w:hAnsi="Times New Roman" w:cs="Times New Roman"/>
          <w:sz w:val="28"/>
          <w:szCs w:val="28"/>
          <w:lang w:bidi="ar-SA"/>
        </w:rPr>
        <w:t xml:space="preserve">1 </w:t>
      </w:r>
      <w:r w:rsidR="00315C79">
        <w:rPr>
          <w:rFonts w:ascii="Times New Roman" w:hAnsi="Times New Roman" w:cs="Times New Roman"/>
          <w:sz w:val="28"/>
          <w:szCs w:val="28"/>
          <w:lang w:bidi="ar-SA"/>
        </w:rPr>
        <w:t xml:space="preserve">или </w:t>
      </w:r>
      <w:r w:rsidR="00315C79">
        <w:rPr>
          <w:rFonts w:ascii="Times New Roman" w:hAnsi="Times New Roman" w:cs="Times New Roman"/>
          <w:sz w:val="28"/>
          <w:szCs w:val="28"/>
          <w:lang w:val="en-US" w:bidi="ar-SA"/>
        </w:rPr>
        <w:t>CYP</w:t>
      </w:r>
      <w:r w:rsidR="00315C79" w:rsidRPr="00315C79">
        <w:rPr>
          <w:rFonts w:ascii="Times New Roman" w:hAnsi="Times New Roman" w:cs="Times New Roman"/>
          <w:sz w:val="28"/>
          <w:szCs w:val="28"/>
          <w:lang w:bidi="ar-SA"/>
        </w:rPr>
        <w:t>4</w:t>
      </w:r>
      <w:r w:rsidR="00315C79">
        <w:rPr>
          <w:rFonts w:ascii="Times New Roman" w:hAnsi="Times New Roman" w:cs="Times New Roman"/>
          <w:sz w:val="28"/>
          <w:szCs w:val="28"/>
          <w:lang w:val="en-US" w:bidi="ar-SA"/>
        </w:rPr>
        <w:t>F</w:t>
      </w:r>
      <w:r w:rsidR="00315C79" w:rsidRPr="00315C79">
        <w:rPr>
          <w:rFonts w:ascii="Times New Roman" w:hAnsi="Times New Roman" w:cs="Times New Roman"/>
          <w:sz w:val="28"/>
          <w:szCs w:val="28"/>
          <w:lang w:bidi="ar-SA"/>
        </w:rPr>
        <w:t>2</w:t>
      </w:r>
      <w:r w:rsidR="00315C79">
        <w:rPr>
          <w:rFonts w:ascii="Times New Roman" w:hAnsi="Times New Roman" w:cs="Times New Roman"/>
          <w:sz w:val="28"/>
          <w:szCs w:val="28"/>
          <w:lang w:bidi="ar-SA"/>
        </w:rPr>
        <w:t>, тогда как у афроамериканцев этот показатель ограничен до 53% (р</w:t>
      </w:r>
      <w:r w:rsidR="00315C79" w:rsidRPr="00315C79">
        <w:rPr>
          <w:rFonts w:ascii="Times New Roman" w:hAnsi="Times New Roman" w:cs="Times New Roman"/>
          <w:sz w:val="28"/>
          <w:szCs w:val="28"/>
          <w:lang w:bidi="ar-SA"/>
        </w:rPr>
        <w:t>&lt;0,0001</w:t>
      </w:r>
      <w:r w:rsidR="00315C79">
        <w:rPr>
          <w:rFonts w:ascii="Times New Roman" w:hAnsi="Times New Roman" w:cs="Times New Roman"/>
          <w:sz w:val="28"/>
          <w:szCs w:val="28"/>
          <w:lang w:bidi="ar-SA"/>
        </w:rPr>
        <w:t>)</w:t>
      </w:r>
      <w:r w:rsidR="00315C79">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{"citationID":"Ys12fyTF","properties":{"unsorted":false,"formattedCitation":"[122]","plainCitation":"[122]","noteIndex":0},"citationItems":[{"id":221,"uris":["http://zotero.org/users/14784094/items/45YQXAS8"],"itemData":{"id":221,"type":"article-journal","abstract":"Aims: CYP4F2*3 (p.V433M) has been associated with higher warfarin dose requirements; however, its frequency, like other CYP2C9 and VKORC1 variants, has not been systematically assessed in major racial/ethnic populations. Thus, we determined the individual and combined frequencies of important CYP2C9, VKORC1 and CYP4F2 variants in several racial/ethnic groups. Materials &amp; methods: Healthy African–American, Asian, Caucasian, Hispanic and Ashkenazi Jewish (AJ) blood donors were genotyped for CYP2C9(*2, *3, *4, *5, *6, *8, *11 and *13), VKORC1 (g.-1639G&gt;A) and CYP4F2 (*3 [p.V433M] and rs2189784). Results: The combined frequencies of variant CYP2C9 alleles were 0.133, 0.078, 0.212, 0.178 and 0.212 among African–American, Asian, Caucasian, Hispanic and AJ individuals, respectively. CYP4F2*3 frequencies were prevalent (0.233–0.342) among Asian, Caucasian, Hispanic and AJ individuals, while significantly less frequent among African–Americans (0.117; p &lt; 0.0001). In addition, CYP4F2*3 was in linkage disequilibrium with rs2189784, an allele recently associated with time-to-therapeutic international normalized ratio, among all studied populations. Importantly, 87–95% of Asian, Caucasian, Hispanic and AJ individuals had a variant CYP2C9, VKORC1 and/or CYP4F2*3 allele, compared with only 53% of African–Americans (p &lt; 0.0001). Conclusions: Compared with other racial/ethnic populations studied, only approximately one in 80 African–Americans were CYP4F2*3 homozygous, indicating that this population would benefit less from dosing algorithms that include this variant. In addition, the unique allele frequency profiles identified among the different populations partly explain why genotype-guided warfarin dosing algorithms perform less well for African–Americans and suggest that other unidentified genetic and/or nongenetic factors that influence warfarin dosage may exist in this population.","container-title":"Pharmacogenomics","DOI":"10.2217/pgs.10.49","ISSN":"1462-2416","issue":"6","note":"_eprint: https://doi.org/10.2217/pgs.10.49","page":"781-791","PMID":"20504253","publisher":"Taylor &amp; Francis","source":"Taylor and Francis+NEJM","title":"Combined CYP2C9, VKORC1 and CYP4F2 Frequencies among Racial and Ethnic Groups","volume":"11","author":[{"family":"Scott","given":"Stuart A"},{"family":"","given":"Khasawneh ,Rame"},{"family":"","given":"Peter ,Inga"},{"family":"","given":"Kornreich ,Ruth"},{"family":"Desnick","given":"Robert J","non-dropping-particle":"and"}],"issued":{"date-parts":[["2010",6,1]]}}}],"schema":"https://github.com/citation-style-language/schema/raw/master/csl-citation.json"} </w:instrText>
      </w:r>
      <w:r w:rsidR="00315C79">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[122]</w:t>
      </w:r>
      <w:r w:rsidR="00315C79">
        <w:rPr>
          <w:rFonts w:ascii="Times New Roman" w:hAnsi="Times New Roman" w:cs="Times New Roman"/>
          <w:sz w:val="28"/>
          <w:szCs w:val="28"/>
          <w:lang w:bidi="ar-SA"/>
        </w:rPr>
        <w:fldChar w:fldCharType="end"/>
      </w:r>
      <w:r w:rsidR="00315C79">
        <w:rPr>
          <w:rFonts w:ascii="Times New Roman" w:hAnsi="Times New Roman" w:cs="Times New Roman"/>
          <w:sz w:val="28"/>
          <w:szCs w:val="28"/>
          <w:lang w:bidi="ar-SA"/>
        </w:rPr>
        <w:t>.</w:t>
      </w:r>
    </w:p>
    <w:p w14:paraId="358F3687" w14:textId="77777777" w:rsidR="00315C79" w:rsidRDefault="00315C79" w:rsidP="002C77AB">
      <w:pPr>
        <w:pStyle w:val="LO-normal"/>
        <w:spacing w:after="0" w:line="240" w:lineRule="auto"/>
        <w:ind w:firstLine="567"/>
        <w:jc w:val="both"/>
        <w:rPr>
          <w:rFonts w:ascii="Times New Roman" w:hAnsi="Times New Roman" w:cs="Times New Roman"/>
          <w:sz w:val="28"/>
          <w:szCs w:val="28"/>
          <w:lang w:bidi="ar-SA"/>
        </w:rPr>
      </w:pPr>
    </w:p>
    <w:p w14:paraId="721592C9" w14:textId="7A49AA29" w:rsidR="00315C79" w:rsidRDefault="00315C79" w:rsidP="002C77AB">
      <w:pPr>
        <w:pStyle w:val="LO-normal"/>
        <w:spacing w:after="0" w:line="240" w:lineRule="auto"/>
        <w:ind w:firstLine="567"/>
        <w:jc w:val="both"/>
        <w:rPr>
          <w:rFonts w:ascii="Times New Roman" w:hAnsi="Times New Roman" w:cs="Times New Roman"/>
          <w:b/>
          <w:bCs/>
          <w:sz w:val="28"/>
          <w:szCs w:val="28"/>
          <w:lang w:bidi="ar-SA"/>
        </w:rPr>
      </w:pPr>
      <w:r w:rsidRPr="00315C79">
        <w:rPr>
          <w:rFonts w:ascii="Times New Roman" w:hAnsi="Times New Roman" w:cs="Times New Roman"/>
          <w:b/>
          <w:bCs/>
          <w:sz w:val="28"/>
          <w:szCs w:val="28"/>
          <w:lang w:bidi="ar-SA"/>
        </w:rPr>
        <w:t>1.4.2 Прямые оральные антикоагулянты (ПОАК)</w:t>
      </w:r>
    </w:p>
    <w:p w14:paraId="5EA1021D" w14:textId="4C65A5A0" w:rsidR="00422C59" w:rsidRDefault="00422C59" w:rsidP="002C77AB">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Устойчивый рост назначений пероральных антикоагулянтов прямого действия (ПОАК) обусловлен их благоприятными фармакокинетическими и фармакодинамическими характеристиками. В данную группу включены дабигатран (прямой ингибитор фактора свертывания </w:t>
      </w:r>
      <w:r>
        <w:rPr>
          <w:rFonts w:ascii="Times New Roman" w:hAnsi="Times New Roman" w:cs="Times New Roman"/>
          <w:sz w:val="28"/>
          <w:szCs w:val="28"/>
          <w:lang w:val="en-US" w:bidi="ar-SA"/>
        </w:rPr>
        <w:t>IIa</w:t>
      </w:r>
      <w:r>
        <w:rPr>
          <w:rFonts w:ascii="Times New Roman" w:hAnsi="Times New Roman" w:cs="Times New Roman"/>
          <w:sz w:val="28"/>
          <w:szCs w:val="28"/>
          <w:lang w:bidi="ar-SA"/>
        </w:rPr>
        <w:t>), а также апиксабан, ривароксабан и эдоксабан (прямые ингибиторы фактора Ха)</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{"citationID":"j2nEq21l","properties":{"unsorted":false,"formattedCitation":"[14]","plainCitation":"[14]","noteIndex":0},"citationItems":[{"id":248,"uris":["http://zotero.org/users/14784094/items/3QLQY7JC"],"itemData":{"id":248,"type":"article-journal","abstract":"Direct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[14]</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По сравнению с варфарином, эти средства не требуют регулярного лабораторного мониторинга коагуляции или сложной титрации доз</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{"citationID":"HSKkjVD0","properties":{"unsorted":false,"formattedCitation":"[16]","plainCitation":"[16]","noteIndex":0},"citationItems":[{"id":730,"uris":["http://zotero.org/users/14784094/items/FFTTVT9G"],"itemData":{"id":730,"type":"article-journal","abstract":"Dabigatran, rivaroxaban, apixaban, edoxaban, and betrixaban are direct oral anticoagulants (DOACs). Their inter-individual variability in pharmacodynamics and pharmacokinetics (transport and metabolism) is high, and could result from genetic polymorphisms. As recommended by the French Network of Pharmacogenetics (RNPGx), the management of some treatments in cardiovascular diseases (as antiplatelet agents, oral vitamin K antagonists, and statins) can rely on genetic testing in order to improve healthcare by reducing therapeutic resistance or toxicity. This paper is a review of association studies between single nucleotide polymorphisms (SNPs) and systemic exposure variation of DOACs. Most of the results presented here have a lot to do with some SNPs of CES1 (rs2244613, rs8192935, and rs71647871) and ABCB1 (rs1128503, rs2032582, rs1045642, and rs4148738) genes, and dabigatran, rivaroxaban, and apixaban. Regarding edoxaban and betrixaban, as well as SNPs in the CYP3A4 and CYP3A5 genes, literature is scarce, and further studies are needed.","container-title":"Journal of Personalized Medicine","DOI":"10.3390/jpm11010037","ISSN":"2075-4426","issue":"1","journalAbbreviation":"JPM","language":"en","license":"https://creativecommons.org/licenses/by/4.0/","page":"37","source":"DOI.org (Crossref)","title":"Pharmacogenetics of Direct Oral Anticoagulants: A Systematic Review","title-short":"Pharmacogenetics of Direct Oral Anticoagulants","volume":"11","author":[{"family":"Raymond","given":"Johanna"},{"family":"Imbert","given":"Laurent"},{"family":"Cousin","given":"Thibault"},{"family":"Duflot","given":"Thomas"},{"family":"Varin","given":"Rémi"},{"family":"Wils","given":"Julien"},{"family":"Lamoureux","given":"Fabien"}],"issued":{"date-parts":[["2021",1,11]]}}}],"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[16]</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Они обладают значительным </w:t>
      </w:r>
      <w:r w:rsidR="002B5147">
        <w:rPr>
          <w:rFonts w:ascii="Times New Roman" w:hAnsi="Times New Roman" w:cs="Times New Roman"/>
          <w:sz w:val="28"/>
          <w:szCs w:val="28"/>
          <w:lang w:bidi="ar-SA"/>
        </w:rPr>
        <w:t>«терапевтическим окном», обеспечивая стабильный и прогнозируемый антикоагулянтный эффект</w:t>
      </w:r>
      <w:r w:rsidR="002B514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{"citationID":"Med9dNis","properties":{"unsorted":false,"formattedCitation":"[15]","plainCitation":"[15]","noteIndex":0},"citationItems":[{"id":727,"uris":["http://zotero.org/users/14784094/items/A5RFIEWD"],"itemData":{"id":727,"type":"article-journal","abstract":"Dabigatran, rivaroxaban, apixaban, and edoxaban are direct oral anticoagulants (DOACs) that are increasingly used worldwide. Taking into account their widespread use for the prevention of thromboembolism in cardiology, neurology, orthopedics, and coronavirus disease 2019 (COVID 19) as well as their different pharmacokinetics and pharmacogenetics dependence, it is critical to explore new opportunities for DOACs administration and predict their dosage when used as monotherapy or in combination with other drugs. In this review, we describe the details of the relative pharmacogenetics on the pharmacokinetics of DOACs as well as new data concerning the clinical characteristics that predetermine the needed dosage and the risk of adverse drug reactions (ADRs). The usefulness of genetic information before and shortly after the initiation of DOACs is also discussed. The reasons for particular attention to these issues are not only new genetic knowledge and genotyping possibilities, but also the risk of serious ADRs (primarily, gastrointestinal bleeding). Taking into account the effect of the carriership of single nucleotide variants (SNVs) of genes encoding biotransformation enzymes and DOACs metabolism, the use of these measures is important to predict changes in pharmacokinetics and the risk of ADRs in patients with a high risk of thromboembolism who receive anticoagulant therapy.","container-title":"Biomedicines","DOI":"10.3390/biomedicines9050451","ISSN":"2227-9059","issue":"5","journalAbbreviation":"Biomedicines","language":"en","license":"https://creativecommons.org/licenses/by/4.0/","page":"451","source":"DOI.org (Crossref)","title":"Using Pharmacogenetics of Direct Oral Anticoagulants to Predict Changes in Their Pharmacokinetics and the Risk of Adverse Drug Reactions","volume":"9","author":[{"family":"Shnayder","given":"Natalia A."},{"family":"Petrova","given":"Marina M."},{"family":"Shesternya","given":"Pavel A."},{"family":"Savinova","given":"Alina V."},{"family":"Bochanova","given":"Elena N."},{"family":"Zimnitskaya","given":"Olga V."},{"family":"Pozhilenkova","given":"Elena A."},{"family":"Nasyrova","given":"Regina F."}],"issued":{"date-parts":[["2021",4,22]]}}}],"schema":"https://github.com/citation-style-language/schema/raw/master/csl-citation.json"} </w:instrText>
      </w:r>
      <w:r w:rsidR="002B514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[15]</w:t>
      </w:r>
      <w:r w:rsidR="002B5147">
        <w:rPr>
          <w:rFonts w:ascii="Times New Roman" w:hAnsi="Times New Roman" w:cs="Times New Roman"/>
          <w:sz w:val="28"/>
          <w:szCs w:val="28"/>
          <w:lang w:bidi="ar-SA"/>
        </w:rPr>
        <w:fldChar w:fldCharType="end"/>
      </w:r>
      <w:r w:rsidR="002B5147">
        <w:rPr>
          <w:rFonts w:ascii="Times New Roman" w:hAnsi="Times New Roman" w:cs="Times New Roman"/>
          <w:sz w:val="28"/>
          <w:szCs w:val="28"/>
          <w:lang w:bidi="ar-SA"/>
        </w:rPr>
        <w:t>. Дополнительным преимуществом является их низкий потенциал лекарственного взаимодействия, отсутствие влияния на ферменты цитохрома Р450 и независимость от метаболизма данной системы</w:t>
      </w:r>
      <w:r w:rsidR="002B514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{"citationID":"Ds3WUxCn","properties":{"unsorted":false,"formattedCitation":"[14,22]","plainCitation":"[14,22]","noteIndex":0},"citationItems":[{"id":248,"uris":["http://zotero.org/users/14784094/items/3QLQY7JC"],"itemData":{"id":248,"type":"article-journal","abstract":"Direct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P."}],"issued":{"date-parts":[["2019",1,17]]}}},{"id":728,"uris":["http://zotero.org/users/14784094/items/4M7BUGNC"],"itemData":{"id":728,"type":"article-journal","container-title":"Rational Pharmacotherapy in Cardiology","DOI":"10.20996/1819-6446-2017-13-3-416-421","ISSN":"2225-3653, 1819-6446","issue":"3","journalAbbreviation":"Racionalʹnaâ farmakoterapiâ v kardiologii","language":"ru","page":"416-421","source":"DOI.org (Crossref)","title":"PHARMACOGENETIC ASPECTS OF NEW ORAL ANTICOAGULANTS APPLICATION","volume":"13","author":[{"family":"Kryukov","given":"A. V."},{"family":"Sychev","given":"D. A."},{"family":"Tereshchenko","given":"O. V."}],"issued":{"date-parts":[["2017",1,1]]}}}],"schema":"https://github.com/citation-style-language/schema/raw/master/csl-citation.json"} </w:instrText>
      </w:r>
      <w:r w:rsidR="002B514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[14,22]</w:t>
      </w:r>
      <w:r w:rsidR="002B5147">
        <w:rPr>
          <w:rFonts w:ascii="Times New Roman" w:hAnsi="Times New Roman" w:cs="Times New Roman"/>
          <w:sz w:val="28"/>
          <w:szCs w:val="28"/>
          <w:lang w:bidi="ar-SA"/>
        </w:rPr>
        <w:fldChar w:fldCharType="end"/>
      </w:r>
      <w:r w:rsidR="002B5147">
        <w:rPr>
          <w:rFonts w:ascii="Times New Roman" w:hAnsi="Times New Roman" w:cs="Times New Roman"/>
          <w:sz w:val="28"/>
          <w:szCs w:val="28"/>
          <w:lang w:bidi="ar-SA"/>
        </w:rPr>
        <w:t>. Тем не менее, применение ПОАК сопряжено с определенными ограничениями. Отсутствие возможностей для рутинного контроля коагуляции приводит к значительной межиндивидуальной вариабельности концентраций препаратов в плазме крови</w:t>
      </w:r>
      <w:r w:rsidR="002B514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{"citationID":"MXFCKHN8","properties":{"unsorted":false,"formattedCitation":"[123]","plainCitation":"[123]","noteIndex":0},"citationItems":[{"id":142,"uris":["http://zotero.org/users/14784094/items/83VR3HFZ"],"itemData":{"id":142,"type":"article-journal","abstract":"abstract\n            The class of new oral anticoagulants (NOACs) has been developed to provide reliable oral anticoagulation without the need for therapeutic drug monitoring. Based on phase I and II trials and pharmacokinetic and pharmacodynamic modeling, fixed drug doses have been selected for large phase III clinical trials for each currently available NOAC. In these trials, the use of the fixed dose without plasma level assessments was shown to be at least as effective and at least as safe as vitamin K antagonists with continuous therapeutic drug monitoring. Real world evidence reaffirms that the use of a fixed NOAC dose without plasma level assessment is safe and effective in a large variety of patients. Nevertheless, measurement of NOAC plasma levels can add information that may be useful in some clinical scenarios. This review discusses the possible use cases, the limitations, and the practical implementation of measuring NOAC plasma concentrations.","container-title":"European Heart Journal Supplements","DOI":"10.1093/eurheartj/suab153","ISSN":"1520-765X, 1554-2815","issue":"Supplement_A","language":"en","license":"https://creativecommons.org/licenses/by-nc/4.0/","page":"A32-A41","source":"DOI.org (Crossref)","title":"The value and limitations of new oral anticoagulant plasma level assessments","volume":"24","author":[{"family":"Van Der Linden","given":"Lorenz"},{"family":"Hias","given":"Julie"},{"family":"Vanassche","given":"Thomas"}],"issued":{"date-parts":[["2022",2,16]]}}}],"schema":"https://github.com/citation-style-language/schema/raw/master/csl-citation.json"} </w:instrText>
      </w:r>
      <w:r w:rsidR="002B514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[123]</w:t>
      </w:r>
      <w:r w:rsidR="002B5147">
        <w:rPr>
          <w:rFonts w:ascii="Times New Roman" w:hAnsi="Times New Roman" w:cs="Times New Roman"/>
          <w:sz w:val="28"/>
          <w:szCs w:val="28"/>
          <w:lang w:bidi="ar-SA"/>
        </w:rPr>
        <w:fldChar w:fldCharType="end"/>
      </w:r>
      <w:r w:rsidR="002B5147">
        <w:rPr>
          <w:rFonts w:ascii="Times New Roman" w:hAnsi="Times New Roman" w:cs="Times New Roman"/>
          <w:sz w:val="28"/>
          <w:szCs w:val="28"/>
          <w:lang w:bidi="ar-SA"/>
        </w:rPr>
        <w:t>. Кроме того, сохраняется риск взаимодействия с некоторыми лекарственными средствами, часто применяемыми при фибрилляции предсердий. У пациентов из уязвимых групп это может способствовать увеличению вероятности геморрагических осложнений</w:t>
      </w:r>
      <w:r w:rsidR="002B514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{"citationID":"IAVPGcYa","properties":{"unsorted":false,"formattedCitation":"[124]","plainCitation":"[124]","noteIndex":0},"citationItems":[{"id":141,"uris":["http://zotero.org/users/14784094/items/GVE5SWN8"],"itemData":{"id":141,"type":"article-journal","abstract":"Atrial fibrillation (AF) and venous thromboembolism (VTE) are highly prevalent conditions with a significant healthcare burden, and represent the main indications for anticoagulation. Direct oral anticoagulants (DOACs) are the first choice treatment of AF/VTE, and have become the most prescribed class of anticoagulants globally, overtaking vitamin K antagonists (VKAs). Compared to VKAs, DOACs have a similar or better efficacy/safety profile, with reduced risk of intracerebral hemorrhage (ICH), while the risk of major bleeding and other bleeding harms may vary depending on the type of DOAC. We have critically reviewed available evidence from randomized controlled trials and observational studies regarding the risk of bleeding complications of DOACs compared to VKAs in patients with AF and VTE. Special patient populations (e.g., elderly, extreme body weights, chronic kidney disease) have specifically been addressed. Management of bleeding complications and possible resumption of anticoagulation, in particular after ICH and gastrointestinal bleeding, are also discussed. Finally, some suggestions are provided to choose the optimal DOAC to minimize adverse events according to individual patient characteristics and bleeding risk.","container-title":"Advances in Therapy","DOI":"10.1007/s12325-022-02333-9","ISSN":"0741-238X","issue":"1","journalAbbreviation":"Adv Ther","page":"41-66","PMID":"36244055","PMCID":"PMC9569921","source":"PubMed Central","title":"Risk and Management of Bleeding Complications with Direct Oral Anticoagulants in Patients with Atrial Fibrillation and Venous Thromboembolism: a Narrative Review","title-short":"Risk and Management of Bleeding Complications with Direct Oral Anticoagulants in Patients with Atrial Fibrillation and Venous Thromboembolism","volume":"40","author":[{"family":"Ballestri","given":"Stefano"},{"family":"Romagnoli","given":"Elisa"},{"family":"Arioli","given":"Dimitriy"},{"family":"Coluccio","given":"Valeria"},{"family":"Marrazzo","given":"Alessandra"},{"family":"Athanasiou","given":"Afroditi"},{"family":"Di Girolamo","given":"Maria"},{"family":"Cappi","given":"Cinzia"},{"family":"Marietta","given":"Marco"},{"family":"Capitelli","given":"Mariano"}],"issued":{"date-parts":[["2023"]]}}}],"schema":"https://github.com/citation-style-language/schema/raw/master/csl-citation.json"} </w:instrText>
      </w:r>
      <w:r w:rsidR="002B5147">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[124]</w:t>
      </w:r>
      <w:r w:rsidR="002B5147">
        <w:rPr>
          <w:rFonts w:ascii="Times New Roman" w:hAnsi="Times New Roman" w:cs="Times New Roman"/>
          <w:sz w:val="28"/>
          <w:szCs w:val="28"/>
          <w:lang w:bidi="ar-SA"/>
        </w:rPr>
        <w:fldChar w:fldCharType="end"/>
      </w:r>
      <w:r w:rsidR="002B5147">
        <w:rPr>
          <w:rFonts w:ascii="Times New Roman" w:hAnsi="Times New Roman" w:cs="Times New Roman"/>
          <w:sz w:val="28"/>
          <w:szCs w:val="28"/>
          <w:lang w:bidi="ar-SA"/>
        </w:rPr>
        <w:t xml:space="preserve">. К таким группам риска традиционно относят лиц пожилого и </w:t>
      </w:r>
      <w:r w:rsidR="0070134E">
        <w:rPr>
          <w:rFonts w:ascii="Times New Roman" w:hAnsi="Times New Roman" w:cs="Times New Roman"/>
          <w:sz w:val="28"/>
          <w:szCs w:val="28"/>
          <w:lang w:bidi="ar-SA"/>
        </w:rPr>
        <w:t>старческого</w:t>
      </w:r>
      <w:r w:rsidR="002B5147">
        <w:rPr>
          <w:rFonts w:ascii="Times New Roman" w:hAnsi="Times New Roman" w:cs="Times New Roman"/>
          <w:sz w:val="28"/>
          <w:szCs w:val="28"/>
          <w:lang w:bidi="ar-SA"/>
        </w:rPr>
        <w:t xml:space="preserve"> возраста с признаками «хрупкости», пациентов с хронической болезнью почек (ХБП) и сахарным диабетом</w:t>
      </w:r>
      <w:r w:rsidR="002B5147">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0w6o8XU9","properties":{"unsorted":false,"formattedCitation":"[124\\uc0\\u8211{}126]","plainCitation":"[124–126]","noteIndex":0},"citationItems":[{"id":141,"uris":["http://zotero.org/users/14784094/items/GVE5SWN8"],"itemData":{"id":141,"type":"article-journal","abstract":"Atrial fibrillation (AF) and venous thromboembolism (VTE) are highly prevalent conditions with a significant healthcare burden, and represent the main indications for anticoagulation. Direct oral anticoagulants (DOACs) are the first choice treatment of AF/VTE, and have become the most prescribed class of anticoagulants globally, overtaking vitamin K antagonists (VKAs). Compared to VKAs, DOACs have a similar or better efficacy/safety profile, with reduced risk of intracerebral hemorrhage (ICH), while the risk of major bleeding and other bleeding harms may vary depending on the type of DOAC. We have critically reviewed available evidence from randomized controlled trials and observational studies regarding the risk of bleeding complications of DOACs compared to VKAs in patients with AF and VTE. Special patient populations (e.g., elderly, extreme body weights, chronic kidney disease) have specifically been addressed. Management of bleeding complications and possible resumption of anticoagulation, in particular after ICH and gastrointestinal bleeding, are also discussed. Finally, some suggestions are provided to choose the optimal DOAC to minimize adverse events according to individual patient characteristics and bleeding risk.","container-title":"Advances in Therapy","DOI":"10.1007/s12325-022-02333-9","ISSN":"0741-238X","issue":"1","journalAbbreviation":"Adv Ther","page":"41-66","PMID":"36244055","PMCID":"PMC9569921","source":"PubMed Central","title":"Risk and Management of Bleeding Complications with Direct Oral Anticoagulants in Patients with Atrial Fibrillation and Venous Thromboembolism: a Narrative Review","title-short":"Risk and Management of Bleeding Complications with Direct Oral Anticoagulants in Patients with Atrial Fibrillation and Venous Thromboembolism","volume":"40","author":[{"family":"Ballestri","given":"Stefano"},{"family":"Romagnoli","given":"Elisa"},{"family":"Arioli","given":"Dimitriy"},{"family":"Coluccio","given":"Valeria"},{"family":"Marrazzo","given":"Alessandra"},{"family":"Athanasiou","given":"Afroditi"},{"family":"Di Girolamo","given":"Maria"},{"family":"Cappi","given":"Cinzia"},{"family":"Marietta","given":"Marco"},{"family":"Capitelli","given":"Mariano"}],"issued":{"date-parts":[["2023"]]}}},{"id":140,"uris":["http://zotero.org/users/14784094/items/LZ9FUJ3X"],"itemData":{"id":140,"type":"article-journal","abstract":"Background\nDose reduction of non–vitamin K antagonist oral anticoagulants (NOACs) is indicated in patients with atrial fibrillation (AF) with renal impairment. Failure to reduce the dose in patients with severe kidney disease may increase bleeding risk, whereas dose reductions without a firm indication may decrease the effectiveness of stroke prevention.\nObjectives\nThe goal of this study was to investigate NOAC dosing patterns and associated outcomes, i.e., stroke (ischemic stroke and systemic embolism) and major bleeding in patients treated in routine clinical practice.\nMethods\nUsing a large U.S. administrative database, 14,865 patients with AF were identified who initiated apixaban, dabigatran, or rivaroxaban between October 1, 2010, and September 30, 2015. We examined use of a standard dose in patients with a renal indication for dose reduction (potential overdosing) and use of a reduced dose when the renal indication is not present (potential underdosing). Cox proportional hazards regression was performed in propensity score–matched cohorts to investigate the outcomes.\nResults\nAmong the 1,473 patients with a renal indication for dose reduction, 43.0% were potentially overdosed, which was associated with a higher risk of major bleeding (hazard ratio: 2.19; 95% confidence interval: 1.07 to 4.46) but no statistically significant difference in stroke (3 NOACs pooled). Among the 13,392 patients with no renal indication for dose reduction, 13.3% were potentially underdosed. This underdosing was associated with a higher risk of stroke (hazard ratio: 4.87; 95% confidence interval: 1.30 to 18.26) but no statistically significant difference in major bleeding in apixaban-treated patients. There were no statistically significant relationships in dabigatran- or rivaroxaban-treated patients without a renal indication.\nConclusions\nIn routine clinical practice, prescribed NOAC doses are often inconsistent with drug labeling. These prescribing patterns may be associated with worse safety with no benefit in effectiveness in patients with severe kidney disease and worse effectiveness with no benefit in safety in apixaban-treated patients with normal or mildly impaired renal function.","container-title":"Journal of the American College of Cardiology","DOI":"10.1016/j.jacc.2017.03.600","ISSN":"0735-1097","issue":"23","journalAbbreviation":"Journal of the American College of Cardiology","page":"2779-2790","source":"ScienceDirect","title":"Non–Vitamin K Antagonist Oral Anticoagulant Dosing in Patients With Atrial Fibrillation and Renal Dysfunction","volume":"69","author":[{"family":"Yao","given":"Xiaoxi"},{"family":"Shah","given":"Nilay D."},{"family":"Sangaralingham","given":"Lindsey R."},{"family":"Gersh","given":"Bernard J."},{"family":"Noseworthy","given":"Peter A."}],"issued":{"date-parts":[["2017",6,13]]}}},{"id":457,"uris":["http://zotero.org/users/14784094/items/JVCWQ25G"],"itemData":{"id":457,"type":"article-journal","abstract":"Non–vitamin K antagonist oral anticoagulants (NOACs) are a widely prescribed treatment to prevent stroke in patients with nonvalvular atrial fibrillation, and a therapy and preventative measure to prevent recurrences following venous thromboembolism. Optimal use of NOACs requires a thorough knowledge of the pharmacology of these drugs, as well as an understanding of patient factors affecting their use. The 4 NOACs—dabigatran, apixaban, edoxaban, and rivaroxaban are available in a range of doses suitable for differing indications and with a variety of dose reduction criteria. Identification of the correct dose is one of the key challenges in the individualization of treatment. Elderly patients with atrial fibrillation are at a greater risk of both ischemic and bleeding events than younger patients. Consequently, it is essential to achieve balance in anticoagulation strategies. Medication adherence to NOACs is important for safe and effective treatment, particularly in elderly populations. A growing body of evidence shows that once-daily dosing improves adherence and persistence to therapy, without having an impact on bleeding risk.","container-title":"Journal of Cardiovascular Pharmacology","DOI":"10.1097/FJC.0000000000000927","ISSN":"0160-2446","issue":"1","journalAbbreviation":"J Cardiovasc Pharmacol","page":"11-21","PMID":"33060545","PMCID":"PMC7774815","source":"PubMed Central","title":"Non–Vitamin K Antagonist Oral Anticoagulants and Factors Influencing the Ischemic and Bleeding Risk in Elderly Patients With Atrial Fibrillation: A Review of Current Evidence","title-short":"Non–Vitamin K Antagonist Oral Anticoagulants and Factors Influencing the Ischemic and Bleeding Risk in Elderly Patients With Atrial Fibrillation","volume":"77","author":[{"family":"Patti","given":"Giuseppe"},{"family":"Haas","given":"Sylvia"}],"issued":{"date-parts":[["2021",1]]}}}],"schema":"https://github.com/citation-style-language/schema/raw/master/csl-citation.json"} </w:instrText>
      </w:r>
      <w:r w:rsidR="002B5147">
        <w:rPr>
          <w:rFonts w:ascii="Times New Roman" w:hAnsi="Times New Roman" w:cs="Times New Roman"/>
          <w:sz w:val="28"/>
          <w:szCs w:val="28"/>
          <w:lang w:bidi="ar-SA"/>
        </w:rPr>
        <w:fldChar w:fldCharType="separate"/>
      </w:r>
      <w:r w:rsidR="00171CCC" w:rsidRPr="00171CCC">
        <w:rPr>
          <w:rFonts w:ascii="Times New Roman" w:eastAsiaTheme="minorHAnsi" w:hAnsi="Times New Roman" w:cs="Times New Roman"/>
          <w:sz w:val="28"/>
          <w:szCs w:val="24"/>
          <w:lang w:eastAsia="en-US"/>
          <w14:ligatures w14:val="standardContextual"/>
        </w:rPr>
        <w:t>[124–126]</w:t>
      </w:r>
      <w:r w:rsidR="002B5147">
        <w:rPr>
          <w:rFonts w:ascii="Times New Roman" w:hAnsi="Times New Roman" w:cs="Times New Roman"/>
          <w:sz w:val="28"/>
          <w:szCs w:val="28"/>
          <w:lang w:bidi="ar-SA"/>
        </w:rPr>
        <w:fldChar w:fldCharType="end"/>
      </w:r>
      <w:r w:rsidR="002B5147">
        <w:rPr>
          <w:rFonts w:ascii="Times New Roman" w:hAnsi="Times New Roman" w:cs="Times New Roman"/>
          <w:sz w:val="28"/>
          <w:szCs w:val="28"/>
          <w:lang w:bidi="ar-SA"/>
        </w:rPr>
        <w:t xml:space="preserve">. </w:t>
      </w:r>
    </w:p>
    <w:p w14:paraId="040CCA22" w14:textId="2ECEDEA3" w:rsidR="002B5147" w:rsidRDefault="0085172B" w:rsidP="002C77AB">
      <w:pPr>
        <w:pStyle w:val="LO-normal"/>
        <w:spacing w:after="0" w:line="240" w:lineRule="auto"/>
        <w:ind w:firstLine="567"/>
        <w:jc w:val="both"/>
        <w:rPr>
          <w:rFonts w:ascii="Times New Roman" w:hAnsi="Times New Roman" w:cs="Times New Roman"/>
          <w:b/>
          <w:bCs/>
          <w:sz w:val="28"/>
          <w:szCs w:val="28"/>
          <w:lang w:bidi="ar-SA"/>
        </w:rPr>
      </w:pPr>
      <w:r w:rsidRPr="0085172B">
        <w:rPr>
          <w:rFonts w:ascii="Times New Roman" w:hAnsi="Times New Roman" w:cs="Times New Roman"/>
          <w:b/>
          <w:bCs/>
          <w:sz w:val="28"/>
          <w:szCs w:val="28"/>
          <w:lang w:bidi="ar-SA"/>
        </w:rPr>
        <w:t>1.4.2.1 Апиксабан</w:t>
      </w:r>
    </w:p>
    <w:p w14:paraId="1C59450E" w14:textId="54E89943" w:rsidR="0085172B" w:rsidRDefault="0085172B" w:rsidP="002C77AB">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Апиксабан активно применяется для предотвращения инсульта у больных с неклапанной фибрилляцией предсердий, а также при терапии тромбоэмболии легочной артерии и тромбоза глубоких вен</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P7kB9ink","properties":{"unsorted":false,"formattedCitation":"[10,14,127]","plainCitation":"[10,14,127]","noteIndex":0},"citationItems":[{"id":249,"uris":["http://zotero.org/users/14784094/items/EFGCFX5S"],"itemData":{"id":249,"type":"article-journal","abstract":"The vitamin K antagonist warfarin is an essential medicine from a group of anticoagulants, which is used to treat antiphospholipid syndrome (APS). However, it has a number of disadvantages especially in patients who need longterm and frequently lifetime prevention of thromboses. New oral anticoagulants, such as dabigatran etexilate (Pradaxa®), rivaroxaban (Xarelto®), apixaban (Eliquis) and others, have been recently synthesized. Unlike warfarin, they are administered at fixed doses, require neither routine monitoring nor diet, and interact with drugs only in small amounts. The new oral anticoagulants have been approved for certain indications, but the data of performed trials are inapplicable to patients with APS. These medicines are expected to improve quality of life in patients with this condition.","container-title":"Rheumatology Science and Practice","DOI":"10.14412/1995-4484-2016-219-226","ISSN":"1995-4492","issue":"2","language":"ru","license":"Authors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).","note":"number: 2","page":"219-226","section":"REVIEW","source":"rsp.mediar-press.net","title":"NEW ORAL ANTICOAGULANTS IN THE THERAPY OF ANTIPHOSPHOLIPID SYNDROME","volume":"54","author":[{"family":"Satybaldyeva","given":"M. A."},{"family":"Reshetnyak","given":"T. M."}],"issued":{"date-parts":[["2016",7,19]]}}},{"id":248,"uris":["http://zotero.org/users/14784094/items/3QLQY7JC"],"itemData":{"id":248,"type":"article-journal","abstract":"Direct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P."}],"issued":{"date-parts":[["2019",1,17]]}}},{"id":742,"uris":["http://zotero.org/users/14784094/items/7Y68CG3G"],"itemData":{"id":742,"type":"article-journal","abstract":"Introduction: Difficulties in non-vitamin K anticoagulant (NOAC) administration in acute stroke can be associated with changes in pharmacokinetic parameters of NOAC such as biotransformation, distribution, and excretion. Therefore, obtaining data on pharmacokinetics of NOAC and factors that affect it may help develop algorithms for personalized use of this drug class in patients with acute cardioembolic stroke. Patients and methods: Pharmacokinetics of apixaban in patients with acute stroke was studied earlier by Kryukov et al. The present study enrolled 17 patients with cardioembolic stroke, who received 5 mg of apixaban. In order to evaluate the pharmacokinetic parameters of apixaban, venous blood samples were collected before taking 5 mg of apixaban (point 0) and 1, 2, 3, 4, 10, and 12 hours after drug intake. Blood samples were centrifuged at 3000 rpm for 15 minutes. Separate plasma was aliquoted in Eppendorf tubes and frozen at -70°C until analysis. High-performance liquid chromatography mass spectrometry analysis was used to determine apixaban plasma concentration. Genotyping was performed by real-time polymerase chain reaction. CYP3A isoenzyme group activity was evaluated by determining urinary concentration of endogenous substrate of the enzyme and its metabolite (6-β-hydroxycortisol to cortisol ratio). Statistical analysis was performed using SPSS Statistics version 20.0. The protocol of this study was reviewed and approved by the ethics committee; patients or their representatives signed an informed consent.\nResults: ABCB1 (rs1045642 and rs4148738) gene polymorphisms do not affect the pharmacokinetics of apixaban as well as CYP3A5 (rs776746) gene polymorphisms. Apixaban pharmacokinetics in groups with different genotypes did not differ statistically significantly. Correlation analysis showed no statistically significant relationship between pharmacokinetic parameters of apixaban and the metabolic activity of CYP3A.\nConclusion: Questions such as depending on genotyping results for apixaban dosing and implementation of express genotyping in clinical practice remain open for NOACs. Large population studies are required to clarify the clinical significance of genotyping for this drug class.","container-title":"Pharmacogenomics and Personalized Medicine","DOI":"10.2147/PGPM.S157111","ISSN":"1178-7066","journalAbbreviation":"PGPM","language":"en","license":"http://creativecommons.org/licenses/by-nc/3.0/","page":"43-49","source":"DOI.org (Crossref)","title":"Influence of ABCB1 and CYP3A5 gene polymorphisms on pharmacokinetics of apixaban in patients with atrial fibrillation and acute stroke","volume":"Volume 11","author":[{"family":"Kryukov","given":"Alexander Valerevich"},{"family":"Sychev","given":"Dmitry Alekseevich"},{"family":"Andreev","given":"Denis Anatolevich"},{"family":"Ryzhikova","given":"Kristina Anatolievna"},{"family":"Grishina","given":"Elena Anatolievna"},{"family":"Ryabova","given":"Anastasia Vladislavovna"},{"family":"Loskutnikov","given":"Mark Alekseevich"},{"family":"Smirnov","given":"Valeriy Valerevich"},{"family":"Konova","given":"Olga Dmitrievna"},{"family":"Matsneva","given":"Irina Andreevna"},{"family":"Bochkov","given":"Pavel Olegovich"}],"issued":{"date-parts":[["2018",3]]}}}],"schema":"https://github.com/citation-style-language/schema/raw/master/csl-citation.json"}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[10,14,127]</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00D30CCB">
        <w:rPr>
          <w:rFonts w:ascii="Times New Roman" w:hAnsi="Times New Roman" w:cs="Times New Roman"/>
          <w:sz w:val="28"/>
          <w:szCs w:val="28"/>
          <w:lang w:bidi="ar-SA"/>
        </w:rPr>
        <w:t xml:space="preserve">Доказательная база по его использованию в предотвращении тромбоэмболических событий у данной категории пациентов сформирована на основе двух крупных исследований – </w:t>
      </w:r>
      <w:r w:rsidR="00D30CCB">
        <w:rPr>
          <w:rFonts w:ascii="Times New Roman" w:hAnsi="Times New Roman" w:cs="Times New Roman"/>
          <w:sz w:val="28"/>
          <w:szCs w:val="28"/>
          <w:lang w:val="en-US" w:bidi="ar-SA"/>
        </w:rPr>
        <w:t>AVERROES</w:t>
      </w:r>
      <w:r w:rsidR="00D30CCB">
        <w:rPr>
          <w:rFonts w:ascii="Times New Roman" w:hAnsi="Times New Roman" w:cs="Times New Roman"/>
          <w:sz w:val="28"/>
          <w:szCs w:val="28"/>
          <w:lang w:bidi="ar-SA"/>
        </w:rPr>
        <w:t xml:space="preserve"> и </w:t>
      </w:r>
      <w:r w:rsidR="00D30CCB">
        <w:rPr>
          <w:rFonts w:ascii="Times New Roman" w:hAnsi="Times New Roman" w:cs="Times New Roman"/>
          <w:sz w:val="28"/>
          <w:szCs w:val="28"/>
          <w:lang w:val="en-US" w:bidi="ar-SA"/>
        </w:rPr>
        <w:t>ARISTOTLE</w:t>
      </w:r>
      <w:r w:rsidR="00D30CCB">
        <w:rPr>
          <w:rFonts w:ascii="Times New Roman" w:hAnsi="Times New Roman" w:cs="Times New Roman"/>
          <w:sz w:val="28"/>
          <w:szCs w:val="28"/>
          <w:lang w:val="en-US" w:bidi="ar-SA"/>
        </w:rPr>
        <w:fldChar w:fldCharType="begin"/>
      </w:r>
      <w:r w:rsidR="00171CCC">
        <w:rPr>
          <w:rFonts w:ascii="Times New Roman" w:hAnsi="Times New Roman" w:cs="Times New Roman"/>
          <w:sz w:val="28"/>
          <w:szCs w:val="28"/>
          <w:lang w:bidi="ar-SA"/>
        </w:rPr>
        <w:instrText xml:space="preserve"> ADDIN ZOTERO_ITEM CSL_CITATION {"citationID":"cWntZAQX","properties":{"unsorted":false,"formattedCitation":"[10,128]","plainCitation":"[10,128]","noteIndex":0},"citationItems":[{"id":249,"uris":["http://zotero.org/users/14784094/items/EFGCFX5S"],"itemData":{"id":249,"type":"article-journal","abstract":"The vitamin K antagonist warfarin is an essential medicine from a group of anticoagulants, which is used to treat antiphospholipid syndrome (APS). However, it has a number of disadvantages especially in patients who need longterm and frequently lifetime prevention of thromboses. New oral anticoagulants, such as dabigatran etexilate (Pradaxa®), rivaroxaban (Xarelto®), apixaban (Eliquis) and others, have been recently synthesized. Unlike warfarin, they are administered at fixed doses, require neither routine monitoring nor diet, and interact with drugs only in small amounts. The new oral anticoagulants have been approved for certain indications, but the data of performed trials are inapplicable to patients with APS. These medicines are expected to improve quality of life in patients with this condition.","container-title":"Rheumatology Science and Practice","DOI":"10.14412/1995-4484-2016-219-226","ISSN":"1995-4492","issue":"2","language":"ru","license":"Authors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).","note":"number: 2","page":"219-226","section":"REVIEW","source":"rsp.mediar-press.net","title":"NEW ORAL ANTICOAGULANTS IN THE THERAPY OF ANTIPHOSPHOLIPID SYNDROME","volume":"54","author":[{"family":"Satybaldyeva","given":"M. A."},{"family":"Reshetnyak","given":"T. M."}],"issued":{"date-parts":[["2016",7,19]]}}},{"id":598,"uris":["http://zotero.org/users/14784094/items/PQYB6MZ4"],"itemData":{"id":598,"type":"article-journal","abstract":"Atrial fibrillation (AF) accounts for 40% of all cardiac arrhythmias and is associated with a high risk of stroke and systemic thromboembolic complications. Dabigatran, rivaroxaban, apixaban, and edoxaban are direct oral anticoagulants (DOACs) that have been proven to prevent stroke in patients with non-valvular AF. This review summarizes the pharmacokinetics, pharmacodynamics, and drug interactions of DOACs, as well as new data from pharmacogenetic studies of these drugs. This review is aimed at analyzing the scientific literature on the gene polymorphisms involved in the metabolism of DOACs. We searched PubMed, Cochrane, Google Scholar, and CyberLeninka (Russian version) databases with keywords: ‘dabigatran’, ‘apixaban’, ‘rivaroxaban’, ‘edoxaban’, ‘gene polymorphism’, ‘pharmacogenetics’, ‘ABCB1’, ‘CES1’, ‘SULT1A’, ‘ABCG2’, and ‘CYP3A4’. The articles referred for this review include (1) full-text articles; (2) study design with meta-analysis, an observational study in patients taking DOAC; and (3) data on the single-nucleotide polymorphisms and kinetic parameters of DOACs (plasma concentration), or a particular clinical outcome, published in English and Russian languages during the last 10 years. The ages of the patients ranged from 18 to 75 years. Out of 114 reviewed works, 24 were found eligible. As per the available pharmacogenomic data, polymorphisms affecting DOACs are different. This may aid in developing individual approaches to optimize DOAC pharmacotherapy to reduce the risk of hemorrhagic complications. However, large-scale population studies are required to determine the dosage of the new oral anticoagulants based on genotyping. Information on the genetic effects is limited owing to the lack of large-scale studies. Uncovering the mechanisms of the genetic basis of sensitivity to DOACs helps in developing personalized therapy based on patient-specific genetic variants and improves the efficacy and safety of DOACs in the general population., \nGene polymorphism as a cause of hemorrhagic complications in patients with non-valvular atrial fibrillation treated with oral vitamin K-independent anticoagulants\n, Atrial fibrillation (AF) accounts for 40% of all cardiac arrhythmias and is associated with a high risk of stroke and systemic thromboembolic complications. Dabigatran, rivaroxaban, apixaban, and edoxaban are direct oral anticoagulants (DOACs) that have been proven to prevent stroke in patients with non-valvular AF. This review summarizes the pharmacokinetics, pharmacodynamics, and drug interactions of DOACs, as well as new data from pharmacogenetic studies of these drugs.","container-title":"Therapeutic Advances in Cardiovascular Disease","DOI":"10.1177/17539447241249886","ISSN":"1753-9447","journalAbbreviation":"Ther Adv Cardiovasc Dis","page":"17539447241249886","PMID":"38801157","PMCID":"PMC11131409","source":"PubMed Central","title":"Gene polymorphism as a cause of hemorrhagic complications in patients with non-valvular atrial fibrillation treated with oral vitamin K-independent anticoagulants","volume":"18","author":[{"family":"Abdrakhmanov","given":"Ayan"},{"family":"Shaimerdinova","given":"Aizhana"},{"family":"Suleimen","given":"Zhanasyl"},{"family":"Abildinova","given":"Svetlana"},{"family":"Albayev","given":"Rustam"},{"family":"Tuyakova","given":"Gulnar"},{"family":"Rib","given":"Elena"},{"family":"Beysenbayeva","given":"Akmaral"},{"family":"Kabduyeva","given":"Gulden"},{"family":"Bekbossynova","given":"Makhabbat"}],"issued":{"date-parts":[["2024",5,27]]}}}],"schema":"https://github.com/citation-style-language/schema/raw/master/csl-citation.json"} </w:instrText>
      </w:r>
      <w:r w:rsidR="00D30CCB">
        <w:rPr>
          <w:rFonts w:ascii="Times New Roman" w:hAnsi="Times New Roman" w:cs="Times New Roman"/>
          <w:sz w:val="28"/>
          <w:szCs w:val="28"/>
          <w:lang w:val="en-US" w:bidi="ar-SA"/>
        </w:rPr>
        <w:fldChar w:fldCharType="separate"/>
      </w:r>
      <w:r w:rsidR="00171CCC">
        <w:rPr>
          <w:rFonts w:ascii="Times New Roman" w:hAnsi="Times New Roman" w:cs="Times New Roman"/>
          <w:noProof/>
          <w:sz w:val="28"/>
          <w:szCs w:val="28"/>
          <w:lang w:bidi="ar-SA"/>
        </w:rPr>
        <w:t>[10,128]</w:t>
      </w:r>
      <w:r w:rsidR="00D30CCB">
        <w:rPr>
          <w:rFonts w:ascii="Times New Roman" w:hAnsi="Times New Roman" w:cs="Times New Roman"/>
          <w:sz w:val="28"/>
          <w:szCs w:val="28"/>
          <w:lang w:val="en-US" w:bidi="ar-SA"/>
        </w:rPr>
        <w:fldChar w:fldCharType="end"/>
      </w:r>
      <w:r w:rsidR="00D30CCB">
        <w:rPr>
          <w:rFonts w:ascii="Times New Roman" w:hAnsi="Times New Roman" w:cs="Times New Roman"/>
          <w:sz w:val="28"/>
          <w:szCs w:val="28"/>
          <w:lang w:bidi="ar-SA"/>
        </w:rPr>
        <w:t xml:space="preserve">. В ходе этих работ была подтверждена эффективность апиксабана в снижении риска инсультов и геморрагических осложнений по сравнению с антагонистом витамина </w:t>
      </w:r>
      <w:r w:rsidR="00D30CCB">
        <w:rPr>
          <w:rFonts w:ascii="Times New Roman" w:hAnsi="Times New Roman" w:cs="Times New Roman"/>
          <w:sz w:val="28"/>
          <w:szCs w:val="28"/>
          <w:lang w:val="en-US" w:bidi="ar-SA"/>
        </w:rPr>
        <w:t>K</w:t>
      </w:r>
      <w:r w:rsidR="00D30CCB">
        <w:rPr>
          <w:rFonts w:ascii="Times New Roman" w:hAnsi="Times New Roman" w:cs="Times New Roman"/>
          <w:sz w:val="28"/>
          <w:szCs w:val="28"/>
          <w:lang w:bidi="ar-SA"/>
        </w:rPr>
        <w:t xml:space="preserve"> (варфарином)</w:t>
      </w:r>
      <w:r w:rsidR="00D30CCB">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{"citationID":"5twKjEey","properties":{"unsorted":false,"formattedCitation":"[10]","plainCitation":"[10]","noteIndex":0},"citationItems":[{"id":249,"uris":["http://zotero.org/users/14784094/items/EFGCFX5S"],"itemData":{"id":249,"type":"article-journal","abstract":"The vitamin K antagonist warfarin is an essential medicine from a group of anticoagulants, which is used to treat antiphospholipid syndrome (APS). However, it has a number of disadvantages especially in patients who need longterm and frequently lifetime prevention of thromboses. New oral anticoagulants, such as dabigatran etexilate (Pradaxa®), rivaroxaban (Xarelto®), apixaban (Eliquis) and others, have been recently synthesized. Unlike warfarin, they are administered at fixed doses, require neither routine monitoring nor diet, and interact with drugs only in small amounts. The new oral anticoagulants have been approved for certain indications, but the data of performed trials are inapplicable to patients with APS. These medicines are expected to improve quality of life in patients with this condition.","container-title":"Rheumatology Science and Practice","DOI":"10.14412/1995-4484-2016-219-226","ISSN":"1995-4492","issue":"2","language":"ru","license":"Authors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).","note":"number: 2","page":"219-226","section":"REVIEW","source":"rsp.mediar-press.net","title":"NEW ORAL ANTICOAGULANTS IN THE THERAPY OF ANTIPHOSPHOLIPID SYNDROME","volume":"54","author":[{"family":"Satybaldyeva","given":"M. A."},{"family":"Reshetnyak","given":"T. M."}],"issued":{"date-parts":[["2016",7,19]]}}}],"schema":"https://github.com/citation-style-language/schema/raw/master/csl-citation.json"} </w:instrText>
      </w:r>
      <w:r w:rsidR="00D30CCB">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[10]</w:t>
      </w:r>
      <w:r w:rsidR="00D30CCB">
        <w:rPr>
          <w:rFonts w:ascii="Times New Roman" w:hAnsi="Times New Roman" w:cs="Times New Roman"/>
          <w:sz w:val="28"/>
          <w:szCs w:val="28"/>
          <w:lang w:bidi="ar-SA"/>
        </w:rPr>
        <w:fldChar w:fldCharType="end"/>
      </w:r>
      <w:r w:rsidR="00D30CCB">
        <w:rPr>
          <w:rFonts w:ascii="Times New Roman" w:hAnsi="Times New Roman" w:cs="Times New Roman"/>
          <w:sz w:val="28"/>
          <w:szCs w:val="28"/>
          <w:lang w:bidi="ar-SA"/>
        </w:rPr>
        <w:t xml:space="preserve">. Согласно рекомендациям, вытекающим из клинических данных, апиксабан </w:t>
      </w:r>
      <w:r w:rsidR="00455CE5">
        <w:rPr>
          <w:rFonts w:ascii="Times New Roman" w:hAnsi="Times New Roman" w:cs="Times New Roman"/>
          <w:sz w:val="28"/>
          <w:szCs w:val="28"/>
          <w:lang w:bidi="ar-SA"/>
        </w:rPr>
        <w:t>особенно предпочтителен для лиц с факторами риска: предшествующий инсульт, артериальная гипертензия, сахарный диабет, сердечная недостаточность или возраст</w:t>
      </w:r>
      <w:r w:rsidR="00455CE5">
        <w:rPr>
          <w:rFonts w:ascii="Times New Roman" w:hAnsi="Times New Roman" w:cs="Times New Roman"/>
          <w:sz w:val="28"/>
          <w:szCs w:val="28"/>
          <w:lang w:bidi="ar-SA"/>
        </w:rPr>
        <w:sym w:font="Symbol" w:char="F0B3"/>
      </w:r>
      <w:r w:rsidR="00455CE5">
        <w:rPr>
          <w:rFonts w:ascii="Times New Roman" w:hAnsi="Times New Roman" w:cs="Times New Roman"/>
          <w:sz w:val="28"/>
          <w:szCs w:val="28"/>
          <w:lang w:bidi="ar-SA"/>
        </w:rPr>
        <w:t>75 лет</w:t>
      </w:r>
      <w:r w:rsidR="00455CE5">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{"citationID":"XUGIqRft","properties":{"unsorted":false,"formattedCitation":"[129]","plainCitation":"[129]","noteIndex":0},"citationItems":[{"id":136,"uris":["http://zotero.org/users/14784094/items/7BAZAPS7"],"itemData":{"id":136,"type":"article-journal","abstract":"Background and Purpose—The use of oral anticoagulant therapy for stroke prevention in atrial fibrillation has been transformed by the availability of the nonvitamin K antagonist oral anticoagulants. Real-world studies on the use of nonvitamin K antagonist oral anticoagulants would help elucidate their effectiveness and safety in daily clinical practice. Apixaban was the third nonvitamin K antagonist oral anticoagulants introduced to clinical practice, and increasing real-world studies have been published. Our aim was to summarize current evidence about real-world studies on apixaban for stroke prevention in atrial fibrillation.Methods—We performed a systematic review and meta-analysis of all observational real-world studies comparing apixaban with other available oral anticoagulant drugs.Results—From the original 9680 results retrieved, 16 studies have been included in the final meta-analysis. Compared with warfarin, apixaban regular dose was more effective in reducing any thromboembolic event (odds ratio: 0.77; 95% confidence interval: 0.64–0.93), but no significant difference was found for stroke risk. Apixaban was as effective as dabigatran and rivaroxaban in reducing thromboembolic events and stroke. The risk of major bleeding was significantly lower for apixaban compared with warfarin, dabigatran, and rivaroxaban (relative risk reduction, 38%, 35%, and 46%, respectively). Similarly, the risk for intracranial hemorrhage was significantly lower for apixaban than warfarin and rivaroxaban (46% and 54%, respectively) but not dabigatran. The risk of gastrointestinal bleeding was lower with apixaban when compared with all oral anticoagulant agents (P&lt;0.00001 for all comparisons).Conclusions—Use of apixaban in real-life is associated with an overall similar effectiveness in reducing stroke and any thromboembolic events when compared with warfarin. A better safety profile was found with apixaban compared with warfarin, dabigatran, and rivaroxaban.","container-title":"Stroke","DOI":"10.1161/STROKEAHA.117.018395","issue":"1","page":"98-106","publisher":"American Heart Association","source":"ahajournals.org (Atypon)","title":"Real-World Use of Apixaban for Stroke Prevention in Atrial Fibrillation","volume":"49","author":[{"family":"Proietti","given":"Marco"},{"family":"Romanazzi","given":"Imma"},{"family":"Romiti","given":"Giulio Francesco"},{"family":"Farcomeni","given":"Alessio"},{"family":"Lip","given":"Gregory Y.H."}],"issued":{"date-parts":[["2018",1]]}}}],"schema":"https://github.com/citation-style-language/schema/raw/master/csl-citation.json"} </w:instrText>
      </w:r>
      <w:r w:rsidR="00455CE5">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[129]</w:t>
      </w:r>
      <w:r w:rsidR="00455CE5">
        <w:rPr>
          <w:rFonts w:ascii="Times New Roman" w:hAnsi="Times New Roman" w:cs="Times New Roman"/>
          <w:sz w:val="28"/>
          <w:szCs w:val="28"/>
          <w:lang w:bidi="ar-SA"/>
        </w:rPr>
        <w:fldChar w:fldCharType="end"/>
      </w:r>
      <w:r w:rsidR="00455CE5">
        <w:rPr>
          <w:rFonts w:ascii="Times New Roman" w:hAnsi="Times New Roman" w:cs="Times New Roman"/>
          <w:sz w:val="28"/>
          <w:szCs w:val="28"/>
          <w:lang w:bidi="ar-SA"/>
        </w:rPr>
        <w:t>. Дополнительное обоснование выбора апиксабана предоставляет мета</w:t>
      </w:r>
      <w:r w:rsidR="0079144C">
        <w:rPr>
          <w:rFonts w:ascii="Times New Roman" w:hAnsi="Times New Roman" w:cs="Times New Roman"/>
          <w:sz w:val="28"/>
          <w:szCs w:val="28"/>
          <w:lang w:bidi="ar-SA"/>
        </w:rPr>
        <w:t>-анализ, включивший 17 ретроспективных когортных исследований для сопоставления эффективности и безопасности пероральных антикоагулянтов</w:t>
      </w:r>
      <w:r w:rsidR="0079144C">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{"citationID":"3PAS7NeW","properties":{"unsorted":false,"formattedCitation":"[130]","plainCitation":"[130]","noteIndex":0},"citationItems":[{"id":137,"uris":["http://zotero.org/users/14784094/items/J3GILBIB"],"itemData":{"id":137,"type":"article-journal","abstract":"BACKGROUND AND PURPOSE: Several observational studies have compared the effect of the non-vitamin K antagonist oral anticoagulants to each other in patients with atrial fibrillation. However, confounding by indication is a major problem when comparing non-vitamin K antagonist oral anticoagulant treatments in some of these studies. This meta-analysis was conducted to compare the effectiveness and safety between non-vitamin K antagonist oral anticoagulant and non-vitamin K antagonist oral anticoagulant by only including the propensity score matching studies.\nMETHODS: We systematically searched the PubMed and Ovid databases until May 2020 to identify relevant observational studies. Hazard ratios (HRs) and 95% CIs of the reported outcomes were collected and then pooled by a random-effects model complemented with an inverse variance heterogeneity or quality effects model.\nRESULTS: A total of 17 retrospective cohort studies were included in this meta-analysis. Compared with dabigatran use, the use of rivaroxaban was significantly associated with increased risks of stroke or systemic embolism (HR, 1.16 [95% CI, 1.05-1.29]) and major bleeding (HR, 1.32 [95% CI, 1.24-1.41]), whereas the use of apixaban was associated with a reduced risk of major bleeding (HR, 0.78 [95% CI, 0.67-0.90]) but not stroke or systemic embolism (HR, 0.84 [95% CI, 0.56-1.28]). Compared with rivaroxaban use, the use of apixaban was associated with a decreased risk of major bleeding (HR, 0.63 [95% CI, 0.54-0.73]) but not stroke or systemic embolism (HR, 0.83 [95% CI, 0.67-1.04]). Reanalyses with the inverse variance heterogeneity or quality effects model produced similar results as the random-effects model.\nCONCLUSIONS: Current observational comparisons with propensity score matching methods suggest that apixaban might be a better choice compared with dabigatran or rivaroxaban for stroke prevention in atrial fibrillation patients.","container-title":"Stroke","DOI":"10.1161/STROKEAHA.120.031007","ISSN":"1524-4628","issue":"4","journalAbbreviation":"Stroke","language":"eng","page":"1225-1233","PMID":"33596677","source":"PubMed","title":"Comparative Effectiveness and Safety of Non-Vitamin K Antagonist Oral Anticoagulants in Atrial Fibrillation Patients","volume":"52","author":[{"family":"Zhu","given":"Wengen"},{"family":"Ye","given":"Zi"},{"family":"Chen","given":"Shilan"},{"family":"Wu","given":"Dexi"},{"family":"He","given":"Jiangui"},{"family":"Dong","given":"Yugang"},{"family":"Lip","given":"Gregory Y. H."},{"family":"Liu","given":"Chen"}],"issued":{"date-parts":[["2021",4]]}}}],"schema":"https://github.com/citation-style-language/schema/raw/master/csl-citation.json"} </w:instrText>
      </w:r>
      <w:r w:rsidR="0079144C">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[130]</w:t>
      </w:r>
      <w:r w:rsidR="0079144C">
        <w:rPr>
          <w:rFonts w:ascii="Times New Roman" w:hAnsi="Times New Roman" w:cs="Times New Roman"/>
          <w:sz w:val="28"/>
          <w:szCs w:val="28"/>
          <w:lang w:bidi="ar-SA"/>
        </w:rPr>
        <w:fldChar w:fldCharType="end"/>
      </w:r>
      <w:r w:rsidR="0079144C">
        <w:rPr>
          <w:rFonts w:ascii="Times New Roman" w:hAnsi="Times New Roman" w:cs="Times New Roman"/>
          <w:sz w:val="28"/>
          <w:szCs w:val="28"/>
          <w:lang w:bidi="ar-SA"/>
        </w:rPr>
        <w:t>. Авторы этого анализа пришли к заключению, что у пациентов с неклапанной ФП апиксабан демонстрирует преимущества перед дабигатраном и ривароксабаном</w:t>
      </w:r>
      <w:r w:rsidR="0079144C">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{"citationID":"Vf0BAcAg","properties":{"unsorted":false,"formattedCitation":"[130]","plainCitation":"[130]","noteIndex":0},"citationItems":[{"id":137,"uris":["http://zotero.org/users/14784094/items/J3GILBIB"],"itemData":{"id":137,"type":"article-journal","abstract":"BACKGROUND AND PURPOSE: Several observational studies have compared the effect of the non-vitamin K antagonist oral anticoagulants to each other in patients with atrial fibrillation. However, confounding by indication is a major problem when comparing non-vitamin K antagonist oral anticoagulant treatments in some of these studies. This meta-analysis was conducted to compare the effectiveness and safety between non-vitamin K antagonist oral anticoagulant and non-vitamin K antagonist oral anticoagulant by only including the propensity score matching studies.\nMETHODS: We systematically searched the PubMed and Ovid databases until May 2020 to identify relevant observational studies. Hazard ratios (HRs) and 95% CIs of the reported outcomes were collected and then pooled by a random-effects model complemented with an inverse variance heterogeneity or quality effects model.\nRESULTS: A total of 17 retrospective cohort studies were included in this meta-analysis. Compared with dabigatran use, the use of rivaroxaban was significantly associated with increased risks of stroke or systemic embolism (HR, 1.16 [95% CI, 1.05-1.29]) and major bleeding (HR, 1.32 [95% CI, 1.24-1.41]), whereas the use of apixaban was associated with a reduced risk of major bleeding (HR, 0.78 [95% CI, 0.67-0.90]) but not stroke or systemic embolism (HR, 0.84 [95% CI, 0.56-1.28]). Compared with rivaroxaban use, the use of apixaban was associated with a decreased risk of major bleeding (HR, 0.63 [95% CI, 0.54-0.73]) but not stroke or systemic embolism (HR, 0.83 [95% CI, 0.67-1.04]). Reanalyses with the inverse variance heterogeneity or quality effects model produced similar results as the random-effects model.\nCONCLUSIONS: Current observational comparisons with propensity score matching methods suggest that apixaban might be a better choice compared with dabigatran or rivaroxaban for stroke prevention in atrial fibrillation patients.","container-title":"Stroke","DOI":"10.1161/STROKEAHA.120.031007","ISSN":"1524-4628","issue":"4","journalAbbreviation":"Stroke","language":"eng","page":"1225-1233","PMID":"33596677","source":"PubMed","title":"Comparative Effectiveness and Safety of Non-Vitamin K Antagonist Oral Anticoagulants in Atrial Fibrillation Patients","volume":"52","author":[{"family":"Zhu","given":"Wengen"},{"family":"Ye","given":"Zi"},{"family":"Chen","given":"Shilan"},{"family":"Wu","given":"Dexi"},{"family":"He","given":"Jiangui"},{"family":"Dong","given":"Yugang"},{"family":"Lip","given":"Gregory Y. H."},{"family":"Liu","given":"Chen"}],"issued":{"date-parts":[["2021",4]]}}}],"schema":"https://github.com/citation-style-language/schema/raw/master/csl-citation.json"} </w:instrText>
      </w:r>
      <w:r w:rsidR="0079144C">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[130]</w:t>
      </w:r>
      <w:r w:rsidR="0079144C">
        <w:rPr>
          <w:rFonts w:ascii="Times New Roman" w:hAnsi="Times New Roman" w:cs="Times New Roman"/>
          <w:sz w:val="28"/>
          <w:szCs w:val="28"/>
          <w:lang w:bidi="ar-SA"/>
        </w:rPr>
        <w:fldChar w:fldCharType="end"/>
      </w:r>
      <w:r w:rsidR="0079144C">
        <w:rPr>
          <w:rFonts w:ascii="Times New Roman" w:hAnsi="Times New Roman" w:cs="Times New Roman"/>
          <w:sz w:val="28"/>
          <w:szCs w:val="28"/>
          <w:lang w:bidi="ar-SA"/>
        </w:rPr>
        <w:t>.</w:t>
      </w:r>
    </w:p>
    <w:p w14:paraId="497C2CC5" w14:textId="7BB5CE03" w:rsidR="0079144C" w:rsidRDefault="0079144C" w:rsidP="002C77AB">
      <w:pPr>
        <w:pStyle w:val="LO-normal"/>
        <w:spacing w:after="0" w:line="240" w:lineRule="auto"/>
        <w:ind w:firstLine="567"/>
        <w:jc w:val="both"/>
        <w:rPr>
          <w:rFonts w:ascii="Times New Roman" w:hAnsi="Times New Roman" w:cs="Times New Roman"/>
          <w:i/>
          <w:iCs/>
          <w:sz w:val="28"/>
          <w:szCs w:val="28"/>
          <w:lang w:bidi="ar-SA"/>
        </w:rPr>
      </w:pPr>
      <w:r w:rsidRPr="0079144C">
        <w:rPr>
          <w:rFonts w:ascii="Times New Roman" w:hAnsi="Times New Roman" w:cs="Times New Roman"/>
          <w:i/>
          <w:iCs/>
          <w:sz w:val="28"/>
          <w:szCs w:val="28"/>
          <w:lang w:bidi="ar-SA"/>
        </w:rPr>
        <w:t>Фармакодинамика и фармакокинетика</w:t>
      </w:r>
    </w:p>
    <w:p w14:paraId="5ACD0D35" w14:textId="5DD1FF75" w:rsidR="0079144C" w:rsidRDefault="00B87FBA" w:rsidP="002C77AB">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Биодоступность апиксабана оценивается приблизительно в 50%</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{"citationID":"xLsgtT19","properties":{"unsorted":false,"formattedCitation":"[131]","plainCitation":"[131]","noteIndex":0},"citationItems":[{"id":544,"uris":["http://zotero.org/users/14784094/items/DLIJ7N5N"],"itemData":{"id":544,"type":"article-journal","abstract":"Apixaban is an oral, direct factor Xa inhibitor that inhibits both free and clot-bound factor Xa, and has been approved for clinical use in several thromboembolic disorders, including reduction of stroke risk in non-valvular atrial fibrillation, thromboprophylaxis following hip or knee replacement surgery, the treatment of deep vein thrombosis or pulmonary embolism, and prevention of recurrent deep vein thrombosis and pulmonary embolism. The absolute oral bioavailability of apixaban is ~ 50%. Food does not have a clinically meaningful impact on the bioavailability. Apixaban exposure increases dose proportionally for oral doses up to 10 mg. Apixaban is rapidly absorbed, with maximum concentration occurring 3–4 h after oral administration, and has a half-life of approximately 12 h. Elimination occurs via multiple pathways including metabolism, biliary excretion, and direct intestinal excretion, with approximately 27% of total apixaban clearance occurring via renal excretion. The pharmacokinetics of apixaban are consistent across a broad range of patients, and apixaban has limited clinically relevant interactions with most commonly prescribed medications, allowing for fixed dosages without the need for therapeutic drug monitoring. The pharmacodynamic effect of apixaban is closely correlated with apixaban plasma concentration. This review provides a summary of the pharmacokinetic, pharmacodynamic, biopharmaceutical, and drug–drug interaction profiles of apixaban. Additionally, the population-pharmacokinetic analyses of apixaban in both healthy subjects and in the target patient populations are discussed.","container-title":"Clinical Pharmacokinetics","DOI":"10.1007/s40262-019-00775-z","ISSN":"0312-5963","issue":"10","journalAbbreviation":"Clin Pharmacokinet","page":"1265-1279","PMID":"31089975","PMCID":"PMC6769096","source":"PubMed Central","title":"Apixaban: A Clinical Pharmacokinetic and Pharmacodynamic Review","title-short":"Apixaban","volume":"58","author":[{"family":"Byon","given":"Wonkyung"},{"family":"Garonzik","given":"Samira"},{"family":"Boyd","given":"Rebecca A."},{"family":"Frost","given":"Charles E."}],"issued":{"date-parts":[["2019"]]}}}],"schema":"https://github.com/citation-style-language/schema/raw/master/csl-citation.json"}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[131]</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Период полувыведения препарата варьируется от 8 до 15 часов, при этом максимальная концентрация в плазме крови регистрируется спустя 3-4 часа после перорального приема</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1NbfQoKD","properties":{"unsorted":false,"formattedCitation":"[131,132]","plainCitation":"[131,132]","noteIndex":0},"citationItems":[{"id":544,"uris":["http://zotero.org/users/14784094/items/DLIJ7N5N"],"itemData":{"id":544,"type":"article-journal","abstract":"Apixaban is an oral, direct factor Xa inhibitor that inhibits both free and clot-bound factor Xa, and has been approved for clinical use in several thromboembolic disorders, including reduction of stroke risk in non-valvular atrial fibrillation, thromboprophylaxis following hip or knee replacement surgery, the treatment of deep vein thrombosis or pulmonary embolism, and prevention of recurrent deep vein thrombosis and pulmonary embolism. The absolute oral bioavailability of apixaban is ~ 50%. Food does not have a clinically meaningful impact on the bioavailability. Apixaban exposure increases dose proportionally for oral doses up to 10 mg. Apixaban is rapidly absorbed, with maximum concentration occurring 3–4 h after oral administration, and has a half-life of approximately 12 h. Elimination occurs via multiple pathways including metabolism, biliary excretion, and direct intestinal excretion, with approximately 27% of total apixaban clearance occurring via renal excretion. The pharmacokinetics of apixaban are consistent across a broad range of patients, and apixaban has limited clinically relevant interactions with most commonly prescribed medications, allowing for fixed dosages without the need for therapeutic drug monitoring. The pharmacodynamic effect of apixaban is closely correlated with apixaban plasma concentration. This review provides a summary of the pharmacokinetic, pharmacodynamic, biopharmaceutical, and drug–drug interaction profiles of apixaban. Additionally, the population-pharmacokinetic analyses of apixaban in both healthy subjects and in the target patient populations are discussed.","container-title":"Clinical Pharmacokinetics","DOI":"10.1007/s40262-019-00775-z","ISSN":"0312-5963","issue":"10","journalAbbreviation":"Clin Pharmacokinet","page":"1265-1279","PMID":"31089975","PMCID":"PMC6769096","source":"PubMed Central","title":"Apixaban: A Clinical Pharmacokinetic and Pharmacodynamic Review","title-short":"Apixaban","volume":"58","author":[{"family":"Byon","given":"Wonkyung"},{"family":"Garonzik","given":"Samira"},{"family":"Boyd","given":"Rebecca A."},{"family":"Frost","given":"Charles E."}],"issued":{"date-parts":[["2019"]]}}},{"id":134,"uris":["http://zotero.org/users/14784094/items/M4H3GMMV"],"itemData":{"id":134,"type":"article-journal","abstract":"Although their first application in clinical practice occurred in the 1940s, vitamin K antagonists remain the only form of oral anticoagulant medication approved for long-term use. Although the available vitamin K antagonists are highly effective for the prevention and/or treatment of most thrombotic disease, the significant interpatient and intrapatient variability in dose-response, the narrow therapeutic index, and the numerous drug and dietary interactions associated with these agents have led clinicians, patients, and investigators to search for alternative agents. Three new orally administered anticoagulants (apixaban, dabigatran, and rivaroxaban) are in the late stages of development and several others are just entering (or moving through) earlier phases of investigation. These novel anticoagulant medications are being studied for the prevention and treatment of venous thromboembolism, the treatment of acute coronary syndromes and the prevention of stroke in patients with atrial fibrillation. This review summarizes published clinical trial data pertinent to apixaban, dabigatran, and rivaroxaban.","container-title":"Blood","DOI":"10.1182/blood-2009-09-241851","ISSN":"0006-4971","issue":"1","journalAbbreviation":"Blood","page":"15-20","source":"Silverchair","title":"The new oral anticoagulants","volume":"115","author":[{"family":"Garcia","given":"David"},{"family":"Libby","given":"Edward"},{"family":"Crowther","given":"Mark A."}],"issued":{"date-parts":[["2010",1,7]]}}}],"schema":"https://github.com/citation-style-language/schema/raw/master/csl-citation.json"}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[131,132]</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Прием пищи не оказывает влияния на биодоступность апиксабана, что позволяет принимать его независимо от еды</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{"citationID":"PPyFQ5PH","properties":{"unsorted":false,"formattedCitation":"[15]","plainCitation":"[15]","noteIndex":0},"citationItems":[{"id":727,"uris":["http://zotero.org/users/14784094/items/A5RFIEWD"],"itemData":{"id":727,"type":"article-journal","abstract":"Dabigatran, rivaroxaban, apixaban, and edoxaban are direct oral anticoagulants (DOACs) that are increasingly used worldwide. Taking into account their widespread use for the prevention of thromboembolism in cardiology, neurology, orthopedics, and coronavirus disease 2019 (COVID 19) as well as their different pharmacokinetics and pharmacogenetics dependence, it is critical to explore new opportunities for DOACs administration and predict their dosage when used as monotherapy or in combination with other drugs. In this review, we describe the details of the relative pharmacogenetics on the pharmacokinetics of DOACs as well as new data concerning the clinical characteristics that predetermine the needed dosage and the risk of adverse drug reactions (ADRs). The usefulness of genetic information before and shortly after the initiation of DOACs is also discussed. The reasons for particular attention to these issues are not only new genetic knowledge and genotyping possibilities, but also the risk of serious ADRs (primarily, gastrointestinal bleeding). Taking into account the effect of the carriership of single nucleotide variants (SNVs) of genes encoding biotransformation enzymes and DOACs metabolism, the use of these measures is important to predict changes in pharmacokinetics and the risk of ADRs in patients with a high risk of thromboembolism who receive anticoagulant therapy.","container-title":"Biomedicines","DOI":"10.3390/biomedicines9050451","ISSN":"2227-9059","issue":"5","journalAbbreviation":"Biomedicines","language":"en","license":"https://creativecommons.org/licenses/by/4.0/","page":"451","source":"DOI.org (Crossref)","title":"Using Pharmacogenetics of Direct Oral Anticoagulants to Predict Changes in Their Pharmacokinetics and the Risk of Adverse Drug Reactions","volume":"9","author":[{"family":"Shnayder","given":"Natalia A."},{"family":"Petrova","given":"Marina M."},{"family":"Shesternya","given":"Pavel A."},{"family":"Savinova","given":"Alina V."},{"family":"Bochanova","given":"Elena N."},{"family":"Zimnitskaya","given":"Olga V."},{"family":"Pozhilenkova","given":"Elena A."},{"family":"Nasyrova","given":"Regina F."}],"issued":{"date-parts":[["2021",4,22]]}}}],"schema":"https://github.com/citation-style-language/schema/raw/master/csl-citation.json"}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[15]</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Основной зоной всасывания препарата является тонкий кишечник. Связывание апиксабана с белками плазмы достигает 87%, по отдельным источникам – 93%</w:t>
      </w:r>
      <w:r>
        <w:rPr>
          <w:rFonts w:ascii="Times New Roman" w:hAnsi="Times New Roman" w:cs="Times New Roman"/>
          <w:sz w:val="28"/>
          <w:szCs w:val="28"/>
          <w:lang w:bidi="ar-SA"/>
        </w:rPr>
        <w:fldChar w:fldCharType="begin"/>
      </w:r>
      <w:r w:rsidR="00171CCC">
        <w:rPr>
          <w:rFonts w:ascii="Times New Roman" w:hAnsi="Times New Roman" w:cs="Times New Roman"/>
          <w:sz w:val="28"/>
          <w:szCs w:val="28"/>
          <w:lang w:bidi="ar-SA"/>
        </w:rPr>
        <w:instrText xml:space="preserve"> ADDIN ZOTERO_ITEM CSL_CITATION {"citationID":"4WFQ1wS9","properties":{"unsorted":false,"formattedCitation":"[131,133]","plainCitation":"[131,133]","noteIndex":0},"citationItems":[{"id":544,"uris":["http://zotero.org/users/14784094/items/DLIJ7N5N"],"itemData":{"id":544,"type":"article-journal","abstract":"Apixaban is an oral, direct factor Xa inhibitor that inhibits both free and clot-bound factor Xa, and has been approved for clinical use in several thromboembolic disorders, including reduction of stroke risk in non-valvular atrial fibrillation, thromboprophylaxis following hip or knee replacement surgery, the treatment of deep vein thrombosis or pulmonary embolism, and prevention of recurrent deep vein thrombosis and pulmonary embolism. The absolute oral bioavailability of apixaban is ~ 50%. Food does not have a clinically meaningful impact on the bioavailability. Apixaban exposure increases dose proportionally for oral doses up to 10 mg. Apixaban is rapidly absorbed, with maximum concentration occurring 3–4 h after oral administration, and has a half-life of approximately 12 h. Elimination occurs via multiple pathways including metabolism, biliary excretion, and direct intestinal excretion, with approximately 27% of total apixaban clearance occurring via renal excretion. The pharmacokinetics of apixaban are consistent across a broad range of patients, and apixaban has limited clinically relevant interactions with most commonly prescribed medications, allowing for fixed dosages without the need for therapeutic drug monitoring. The pharmacodynamic effect of apixaban is closely correlated with apixaban plasma concentration. This review provides a summary of the pharmacokinetic, pharmacodynamic, biopharmaceutical, and drug–drug interaction profiles of apixaban. Additionally, the population-pharmacokinetic analyses of apixaban in both healthy subjects and in the target patient populations are discussed.","container-title":"Clinical Pharmacokinetics","DOI":"10.1007/s40262-019-00775-z","ISSN":"0312-5963","issue":"10","journalAbbreviation":"Clin Pharmacokinet","page":"1265-1279","PMID":"31089975","PMCID":"PMC6769096","source":"PubMed Central","title":"Apixaban: A Clinical Pharmacokinetic and Pharmacodynamic Review","title-short":"Apixaban","volume":"58","author":[{"family":"Byon","given":"Wonkyung"},{"family":"Garonzik","given":"Samira"},{"family":"Boyd","given":"Rebecca A."},{"family":"Frost","given":"Charles E."}],"issued":{"date-parts":[["2019"]]}}},{"id":133,"uris":["http://zotero.org/users/14784094/items/UZ5CD99R"],"itemData":{"id":133,"type":"article-journal","abstract":"Apixaban is a potent, highly selective, reversible, oral, direct factor Xa (fXa) inhibitor in development for thrombosis prevention and treatment. The preclinical pharmacokinetic (PK) attributes of apixaban feature small volume of distribution (Vd), low systemic clearance (CL), and good oral bioavailability. Apixaban is well absorbed in rat, dog, and chimpanzee, with absolute oral bioavailability of approximately 50% or greater. The steady-state Vd of apixaban is approximately 0.5, 0.2, and 0.17 l/kg in rats, dogs, and chimpanzees, while CL is approximately 0.9, 0.04, and 0.018 l/h/kg, respectively. In vitro metabolic clearance of apixaban is also low. Renal clearance comprises approximately 10-30% of systemic clearance in rat, dog, and chimpanzee. Anti-fXa activity, prothrombin time (PT), and HEPTEST(®) clotting time (HCT) prolongation correlated well with plasma apixaban concentration in rat, dog and chimpanzee. There was no lag time between apixaban plasma concentration and the pharmacodynamic (PD) markers, suggesting a rapid onset of action of apixaban. The PK/PD analyses were performed using an inhibitory E (max) model for anti-fXa assay and a linear model for PT and HCT assays. The IC(50) values for anti-fXa activity were 0.73 ± 0.03 and 1.5 ± 0.15 μM for rat and dog, respectively. The apparent K ( i ) values for PT were approximately 1.7, 6.6, and 4.8 μM for rat, dog and chimpanzee, respectively. The apparent K ( i ) for HCT was approximately 1.3 μM for dog. Apixaban exhibits desirable PK and PD properties for clinical development with good oral bioavailability, small Vd, low CL, and direct, predictable, concentration-dependent PD responses.","container-title":"European Journal of Drug Metabolism and Pharmacokinetics","DOI":"10.1007/s13318-011-0037-x","ISSN":"0378-7966","issue":"3","journalAbbreviation":"Eur J Drug Metab Pharmacokinet","language":"eng","page":"129-139","PMID":"21461793","source":"PubMed","title":"Preclinical pharmacokinetics and pharmacodynamics of apixaban, a potent and selective factor Xa inhibitor","volume":"36","author":[{"family":"He","given":"Kan"},{"family":"Luettgen","given":"Joseph M."},{"family":"Zhang","given":"Donglu"},{"family":"He","given":"Bing"},{"family":"Grace","given":"James E."},{"family":"Xin","given":"Baomin"},{"family":"Pinto","given":"Donald J. P."},{"family":"Wong","given":"Pancras C."},{"family":"Knabb","given":"Robert M."},{"family":"Lam","given":"Patrick Y. S."},{"family":"Wexler","given":"Ruth R."},{"family":"Grossman","given":"Scott J."}],"issued":{"date-parts":[["2011",9]]}}}],"schema":"https://github.com/citation-style-language/schema/raw/master/csl-citation.json"} </w:instrText>
      </w:r>
      <w:r>
        <w:rPr>
          <w:rFonts w:ascii="Times New Roman" w:hAnsi="Times New Roman" w:cs="Times New Roman"/>
          <w:sz w:val="28"/>
          <w:szCs w:val="28"/>
          <w:lang w:bidi="ar-SA"/>
        </w:rPr>
        <w:fldChar w:fldCharType="separate"/>
      </w:r>
      <w:r w:rsidR="00171CCC">
        <w:rPr>
          <w:rFonts w:ascii="Times New Roman" w:hAnsi="Times New Roman" w:cs="Times New Roman"/>
          <w:noProof/>
          <w:sz w:val="28"/>
          <w:szCs w:val="28"/>
          <w:lang w:bidi="ar-SA"/>
        </w:rPr>
        <w:t>[131,133]</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Исследования </w:t>
      </w:r>
      <w:r>
        <w:rPr>
          <w:rFonts w:ascii="Times New Roman" w:hAnsi="Times New Roman" w:cs="Times New Roman"/>
          <w:sz w:val="28"/>
          <w:szCs w:val="28"/>
          <w:lang w:val="en-US" w:bidi="ar-SA"/>
        </w:rPr>
        <w:t>Frost</w:t>
      </w:r>
      <w:r w:rsidRPr="00B87FBA">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и </w:t>
      </w:r>
      <w:proofErr w:type="spellStart"/>
      <w:r>
        <w:rPr>
          <w:rFonts w:ascii="Times New Roman" w:hAnsi="Times New Roman" w:cs="Times New Roman"/>
          <w:sz w:val="28"/>
          <w:szCs w:val="28"/>
          <w:lang w:bidi="ar-SA"/>
        </w:rPr>
        <w:t>соавт</w:t>
      </w:r>
      <w:proofErr w:type="spellEnd"/>
      <w:r>
        <w:rPr>
          <w:rFonts w:ascii="Times New Roman" w:hAnsi="Times New Roman" w:cs="Times New Roman"/>
          <w:sz w:val="28"/>
          <w:szCs w:val="28"/>
          <w:lang w:bidi="ar-SA"/>
        </w:rPr>
        <w:t>. продемонстрировали зависимость концентрации апиксабана в плазме от пола (более высокие и продолжительные уровни у женщин), возраста (повышенная концентрация у лиц старше 65 лет) и массы тела (снижение концентрации при весе свыше 100 кг)</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k9JpeXR","properties":{"unsorted":false,"formattedCitation":"[134,135]","plainCitation":"[134,135]","noteIndex":0},"citationItems":[{"id":132,"uris":["http://zotero.org/users/14784094/items/VWDWJQT6"],"itemData":{"id":132,"type":"article-journal","abstract":"BACKGROUND AND OBJECTIVES: The effects of age and sex on apixaban pharmacokinetics and pharmacodynamics were studied.\nMETHODS: This was an open-label, single-dose, 2 × 2 factorial study. Healthy young (aged 18-40 years) and elderly (aged ≥ 65 years) male and female subjects received a single oral 20 mg dose of apixaban. Blood and urine samples were collected for pharmacokinetic and pharmacodynamic (blood only) analyses. Subjects were monitored for adverse events throughout the study.\nRESULTS: Seventy-nine subjects were enrolled into four groups: young males (n = 20), elderly males (n = 20), young females (n = 20) and elderly females (n = 19). Age did not affect the maximum observed plasma concentration (C max). The mean area under the concentration-time curve from time zero extrapolated to infinite time (AUC∞) was 32% greater in elderly subjects than in young subjects. The mean C max and AUC∞ values were 18 and 15% higher, respectively, in females than in males. The time course of the mean international normalized ratio (INR), modified prothrombin time (mPT) and anti-Xa activity tracked the apixaban concentration-time curve. All three pharmacodynamic measures exhibited a positive linear correlation with the plasma apixaban concentration. Differences in the mean INR, mPT and anti-Xa activity between age and sex groups were small (&lt;15% at the maximum mean values) and were generally related to pharmacokinetic differences. However, anti-Xa activity demonstrated less variability than the INR or mPT, and may have utility as a bioassay for apixaban. Apixaban was well tolerated, with no serious adverse events.\nCONCLUSION: There were no clinically meaningful age- or sex-related differences in the pharmacokinetics and pharmacodynamics of apixaban that would require dose modification on the basis of age or sex alone.","container-title":"Clinical Pharmacokinetics","DOI":"10.1007/s40262-014-0228-0","ISSN":"1179-1926","issue":"6","journalAbbreviation":"Clin Pharmacokinet","language":"eng","page":"651-662","PMID":"25573421","PMCID":"PMC4449375","source":"PubMed","title":"Effects of age and sex on the single-dose pharmacokinetics and pharmacodynamics of apixaban","volume":"54","author":[{"family":"Frost","given":"Charles E."},{"family":"Song","given":"Yan"},{"family":"Shenker","given":"Andrew"},{"family":"Wang","given":"Jessie"},{"family":"Barrett","given":"Yu Chen"},{"family":"Schuster","given":"Alan"},{"family":"Harris","given":"Stuart I."},{"family":"LaCreta","given":"Frank"}],"issued":{"date-parts":[["2015",6]]}}},{"id":131,"uris":["http://zotero.org/users/14784094/items/WUF23KEQ"],"itemData":{"id":131,"type":"article-journal","abstract":"Considerable clinically actionable pharmacogenomic information for cardiovascular drugs exists, supporting the idea that consideration of such information when prescribing is warranted.","container-title":"Mayo Clinic proceedings","DOI":"10.1016/j.mayocp.2015.03.016","ISSN":"1942-5546","issue":"6","language":"en","PMID":"26046407","publisher":"Mayo Clin Proc","source":"pubmed.ncbi.nlm.nih.gov","title":"Evidence for Clinical Implementation of Pharmacogenomics in Cardiac Drugs","URL":"https://pubmed.ncbi.nlm.nih.gov/26046407/","volume":"90","author":[{"family":"Al","given":"Kaufman"},{"family":"J","given":"Spitz"},{"family":"M","given":"Jacobs"},{"family":"M","given":"Sorrentino"},{"family":"S","given":"Yuen"},{"family":"K","given":"Danahey"},{"family":"D","given":"Saner"},{"family":"Te","given":"Klein"},{"family":"Rb","given":"Altman"},{"family":"Mj","given":"Ratain"},{"family":"Ph","given":"O'Donnell"}],"accessed":{"date-parts":[["2025",6,9]]},"issued":{"date-parts":[["2015",6]]}}}],"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[134,135]</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Метаболизм апиксабана осуществляется преимущественно при участии изофермента </w:t>
      </w:r>
      <w:r>
        <w:rPr>
          <w:rFonts w:ascii="Times New Roman" w:hAnsi="Times New Roman" w:cs="Times New Roman"/>
          <w:sz w:val="28"/>
          <w:szCs w:val="28"/>
          <w:lang w:val="en-US" w:bidi="ar-SA"/>
        </w:rPr>
        <w:t>CYP</w:t>
      </w:r>
      <w:r w:rsidRPr="00B87FBA">
        <w:rPr>
          <w:rFonts w:ascii="Times New Roman" w:hAnsi="Times New Roman" w:cs="Times New Roman"/>
          <w:sz w:val="28"/>
          <w:szCs w:val="28"/>
          <w:lang w:bidi="ar-SA"/>
        </w:rPr>
        <w:t>3</w:t>
      </w:r>
      <w:r>
        <w:rPr>
          <w:rFonts w:ascii="Times New Roman" w:hAnsi="Times New Roman" w:cs="Times New Roman"/>
          <w:sz w:val="28"/>
          <w:szCs w:val="28"/>
          <w:lang w:val="en-US" w:bidi="ar-SA"/>
        </w:rPr>
        <w:t>A</w:t>
      </w:r>
      <w:r w:rsidRPr="00B87FBA">
        <w:rPr>
          <w:rFonts w:ascii="Times New Roman" w:hAnsi="Times New Roman" w:cs="Times New Roman"/>
          <w:sz w:val="28"/>
          <w:szCs w:val="28"/>
          <w:lang w:bidi="ar-SA"/>
        </w:rPr>
        <w:t>4/5</w:t>
      </w:r>
      <w:r>
        <w:rPr>
          <w:rFonts w:ascii="Times New Roman" w:hAnsi="Times New Roman" w:cs="Times New Roman"/>
          <w:sz w:val="28"/>
          <w:szCs w:val="28"/>
          <w:lang w:bidi="ar-SA"/>
        </w:rPr>
        <w:t xml:space="preserve"> системы цитохрома Р450, с незначительным вкладом </w:t>
      </w:r>
      <w:r>
        <w:rPr>
          <w:rFonts w:ascii="Times New Roman" w:hAnsi="Times New Roman" w:cs="Times New Roman"/>
          <w:sz w:val="28"/>
          <w:szCs w:val="28"/>
          <w:lang w:val="en-US" w:bidi="ar-SA"/>
        </w:rPr>
        <w:t>CYP</w:t>
      </w:r>
      <w:r w:rsidRPr="00B87FBA">
        <w:rPr>
          <w:rFonts w:ascii="Times New Roman" w:hAnsi="Times New Roman" w:cs="Times New Roman"/>
          <w:sz w:val="28"/>
          <w:szCs w:val="28"/>
          <w:lang w:bidi="ar-SA"/>
        </w:rPr>
        <w:t>1</w:t>
      </w:r>
      <w:r>
        <w:rPr>
          <w:rFonts w:ascii="Times New Roman" w:hAnsi="Times New Roman" w:cs="Times New Roman"/>
          <w:sz w:val="28"/>
          <w:szCs w:val="28"/>
          <w:lang w:val="en-US" w:bidi="ar-SA"/>
        </w:rPr>
        <w:t>A</w:t>
      </w:r>
      <w:r w:rsidRPr="00B87FBA">
        <w:rPr>
          <w:rFonts w:ascii="Times New Roman" w:hAnsi="Times New Roman" w:cs="Times New Roman"/>
          <w:sz w:val="28"/>
          <w:szCs w:val="28"/>
          <w:lang w:bidi="ar-SA"/>
        </w:rPr>
        <w:t xml:space="preserve">2, </w:t>
      </w:r>
      <w:r>
        <w:rPr>
          <w:rFonts w:ascii="Times New Roman" w:hAnsi="Times New Roman" w:cs="Times New Roman"/>
          <w:sz w:val="28"/>
          <w:szCs w:val="28"/>
          <w:lang w:val="en-US" w:bidi="ar-SA"/>
        </w:rPr>
        <w:t>CYP</w:t>
      </w:r>
      <w:r w:rsidRPr="00B87FBA">
        <w:rPr>
          <w:rFonts w:ascii="Times New Roman" w:hAnsi="Times New Roman" w:cs="Times New Roman"/>
          <w:sz w:val="28"/>
          <w:szCs w:val="28"/>
          <w:lang w:bidi="ar-SA"/>
        </w:rPr>
        <w:t>2</w:t>
      </w:r>
      <w:r>
        <w:rPr>
          <w:rFonts w:ascii="Times New Roman" w:hAnsi="Times New Roman" w:cs="Times New Roman"/>
          <w:sz w:val="28"/>
          <w:szCs w:val="28"/>
          <w:lang w:val="en-US" w:bidi="ar-SA"/>
        </w:rPr>
        <w:t>C</w:t>
      </w:r>
      <w:r w:rsidRPr="00B87FBA">
        <w:rPr>
          <w:rFonts w:ascii="Times New Roman" w:hAnsi="Times New Roman" w:cs="Times New Roman"/>
          <w:sz w:val="28"/>
          <w:szCs w:val="28"/>
          <w:lang w:bidi="ar-SA"/>
        </w:rPr>
        <w:t xml:space="preserve">8, </w:t>
      </w:r>
      <w:r>
        <w:rPr>
          <w:rFonts w:ascii="Times New Roman" w:hAnsi="Times New Roman" w:cs="Times New Roman"/>
          <w:sz w:val="28"/>
          <w:szCs w:val="28"/>
          <w:lang w:val="en-US" w:bidi="ar-SA"/>
        </w:rPr>
        <w:t>CYP</w:t>
      </w:r>
      <w:r w:rsidRPr="00B87FBA">
        <w:rPr>
          <w:rFonts w:ascii="Times New Roman" w:hAnsi="Times New Roman" w:cs="Times New Roman"/>
          <w:sz w:val="28"/>
          <w:szCs w:val="28"/>
          <w:lang w:bidi="ar-SA"/>
        </w:rPr>
        <w:t>2</w:t>
      </w:r>
      <w:r>
        <w:rPr>
          <w:rFonts w:ascii="Times New Roman" w:hAnsi="Times New Roman" w:cs="Times New Roman"/>
          <w:sz w:val="28"/>
          <w:szCs w:val="28"/>
          <w:lang w:val="en-US" w:bidi="ar-SA"/>
        </w:rPr>
        <w:t>C</w:t>
      </w:r>
      <w:r w:rsidRPr="00B87FBA">
        <w:rPr>
          <w:rFonts w:ascii="Times New Roman" w:hAnsi="Times New Roman" w:cs="Times New Roman"/>
          <w:sz w:val="28"/>
          <w:szCs w:val="28"/>
          <w:lang w:bidi="ar-SA"/>
        </w:rPr>
        <w:t>9,</w:t>
      </w:r>
      <w:r w:rsidR="004A12A2" w:rsidRPr="004A12A2">
        <w:rPr>
          <w:rFonts w:ascii="Times New Roman" w:hAnsi="Times New Roman" w:cs="Times New Roman"/>
          <w:sz w:val="28"/>
          <w:szCs w:val="28"/>
          <w:lang w:bidi="ar-SA"/>
        </w:rPr>
        <w:t xml:space="preserve"> </w:t>
      </w:r>
      <w:r w:rsidR="004A12A2">
        <w:rPr>
          <w:rFonts w:ascii="Times New Roman" w:hAnsi="Times New Roman" w:cs="Times New Roman"/>
          <w:sz w:val="28"/>
          <w:szCs w:val="28"/>
          <w:lang w:val="en-US" w:bidi="ar-SA"/>
        </w:rPr>
        <w:t>CYP</w:t>
      </w:r>
      <w:r w:rsidR="004A12A2" w:rsidRPr="004A12A2">
        <w:rPr>
          <w:rFonts w:ascii="Times New Roman" w:hAnsi="Times New Roman" w:cs="Times New Roman"/>
          <w:sz w:val="28"/>
          <w:szCs w:val="28"/>
          <w:lang w:bidi="ar-SA"/>
        </w:rPr>
        <w:t>2</w:t>
      </w:r>
      <w:r w:rsidR="004A12A2">
        <w:rPr>
          <w:rFonts w:ascii="Times New Roman" w:hAnsi="Times New Roman" w:cs="Times New Roman"/>
          <w:sz w:val="28"/>
          <w:szCs w:val="28"/>
          <w:lang w:val="en-US" w:bidi="ar-SA"/>
        </w:rPr>
        <w:t>C</w:t>
      </w:r>
      <w:r w:rsidR="004A12A2" w:rsidRPr="004A12A2">
        <w:rPr>
          <w:rFonts w:ascii="Times New Roman" w:hAnsi="Times New Roman" w:cs="Times New Roman"/>
          <w:sz w:val="28"/>
          <w:szCs w:val="28"/>
          <w:lang w:bidi="ar-SA"/>
        </w:rPr>
        <w:t>19,</w:t>
      </w:r>
      <w:r w:rsidRPr="00B87FBA">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CYP</w:t>
      </w:r>
      <w:r w:rsidRPr="00B87FBA">
        <w:rPr>
          <w:rFonts w:ascii="Times New Roman" w:hAnsi="Times New Roman" w:cs="Times New Roman"/>
          <w:sz w:val="28"/>
          <w:szCs w:val="28"/>
          <w:lang w:bidi="ar-SA"/>
        </w:rPr>
        <w:t>2</w:t>
      </w:r>
      <w:r>
        <w:rPr>
          <w:rFonts w:ascii="Times New Roman" w:hAnsi="Times New Roman" w:cs="Times New Roman"/>
          <w:sz w:val="28"/>
          <w:szCs w:val="28"/>
          <w:lang w:val="en-US" w:bidi="ar-SA"/>
        </w:rPr>
        <w:t>J</w:t>
      </w:r>
      <w:r w:rsidRPr="00B87FBA">
        <w:rPr>
          <w:rFonts w:ascii="Times New Roman" w:hAnsi="Times New Roman" w:cs="Times New Roman"/>
          <w:sz w:val="28"/>
          <w:szCs w:val="28"/>
          <w:lang w:bidi="ar-SA"/>
        </w:rPr>
        <w:t>2</w:t>
      </w:r>
      <w:r w:rsidR="004A12A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viMF5RZ","properties":{"unsorted":false,"formattedCitation":"[131,136]","plainCitation":"[131,136]","noteIndex":0},"citationItems":[{"id":544,"uris":["http://zotero.org/users/14784094/items/DLIJ7N5N"],"itemData":{"id":544,"type":"article-journal","abstract":"Apixaban is an oral, direct factor Xa inhibitor that inhibits both free and clot-bound factor Xa, and has been approved for clinical use in several thromboembolic disorders, including reduction of stroke risk in non-valvular atrial fibrillation, thromboprophylaxis following hip or knee replacement surgery, the treatment of deep vein thrombosis or pulmonary embolism, and prevention of recurrent deep vein thrombosis and pulmonary embolism. The absolute oral bioavailability of apixaban is ~ 50%. Food does not have a clinically meaningful impact on the bioavailability. Apixaban exposure increases dose proportionally for oral doses up to 10 mg. Apixaban is rapidly absorbed, with maximum concentration occurring 3–4 h after oral administration, and has a half-life of approximately 12 h. Elimination occurs via multiple pathways including metabolism, biliary excretion, and direct intestinal excretion, with approximately 27% of total apixaban clearance occurring via renal excretion. The pharmacokinetics of apixaban are consistent across a broad range of patients, and apixaban has limited clinically relevant interactions with most commonly prescribed medications, allowing for fixed dosages without the need for therapeutic drug monitoring. The pharmacodynamic effect of apixaban is closely correlated with apixaban plasma concentration. This review provides a summary of the pharmacokinetic, pharmacodynamic, biopharmaceutical, and drug–drug interaction profiles of apixaban. Additionally, the population-pharmacokinetic analyses of apixaban in both healthy subjects and in the target patient populations are discussed.","container-title":"Clinical Pharmacokinetics","DOI":"10.1007/s40262-019-00775-z","ISSN":"0312-5963","issue":"10","journalAbbreviation":"Clin Pharmacokinet","page":"1265-1279","PMID":"31089975","PMCID":"PMC6769096","source":"PubMed Central","title":"Apixaban: A Clinical Pharmacokinetic and Pharmacodynamic Review","title-short":"Apixaban","volume":"58","author":[{"family":"Byon","given":"Wonkyung"},{"family":"Garonzik","given":"Samira"},{"family":"Boyd","given":"Rebecca A."},{"family":"Frost","given":"Charles E."}],"issued":{"date-parts":[["2019"]]}}},{"id":130,"uris":["http://zotero.org/users/14784094/items/MVRAWZEA"],"itemData":{"id":130,"type":"article-journal","abstract":"Apixaban is an oral, direct, and highly selective factor Xa inhibitor in late-stage clinical development for the prevention and treatment of thromboembolic diseases. The metabolic drug-drug interaction potential of apixaban was evaluated in vitro. The compound did not show cytochrome P450 inhibition (IC(50) values &gt;20 microM) in incubations of human liver microsomes with the probe substrates of CYP1A2, 2B6, 2C8, 2C9, 2C19, 2D6, or 3A4/5. Apixaban did not show any effect at concentrations up to 20 muM on enzyme activities or mRNA levels of selected P450 enzymes (CYP1A2, 2B6, and 3A4/5) that are sensitive to induction in incubations with primary human hepatocytes. Apixaban showed a slow metabolic turnover in incubations of human liver microsomes with formation of O-demethylation (M2) and hydroxylation products (M4 and M7) as prominent in vitro metabolites. Experiments with human cDNA-expressed P450 enzymes and P450 chemical inhibitors and correlation with P450 activities in individual human liver microsomes demonstrated that the oxidative metabolism of apixaban for formation of all metabolites was predominantly catalyzed by CYP3A4/5 with a minor contribution of CYP1A2 and CYP2J2 for formation of M2. The contribution of CYP2C8, 2C9, and 2C19 to metabolism of apixaban was less significant. In addition, a human absorption, distribution, metabolism, and excretion study showed that more than half of the dose was excreted as unchanged parent (f(m CYP) &lt;0.5), thus significantly reducing the overall metabolic drug-drug interaction potential of apixaban. Together with a low clinical efficacious concentration and multiple clearance pathways, these results demonstrate that the metabolic drug-drug interaction potential between apixaban and coadministered drugs is low.","container-title":"Drug Metabolism and Disposition: The Biological Fate of Chemicals","DOI":"10.1124/dmd.109.029694","ISSN":"1521-009X","issue":"3","journalAbbreviation":"Drug Metab Dispos","language":"eng","page":"448-458","PMID":"19940026","source":"PubMed","title":"In vitro assessment of metabolic drug-drug interaction potential of apixaban through cytochrome P450 phenotyping, inhibition, and induction studies","volume":"38","author":[{"family":"Wang","given":"Lifei"},{"family":"Zhang","given":"Donglu"},{"family":"Raghavan","given":"Nirmala"},{"family":"Yao","given":"Ming"},{"family":"Ma","given":"Li"},{"family":"Frost","given":"Charles E."},{"family":"Maxwell","given":"Brad D."},{"family":"Chen","given":"Shiang-yuan"},{"family":"He","given":"Kan"},{"family":"Goosen","given":"Theunis C."},{"family":"Humphreys","given":"W. Griffith"},{"family":"Grossman","given":"Scott J."}],"issued":{"date-parts":[["2010",3]]}}}],"schema":"https://github.com/citation-style-language/schema/raw/master/csl-citation.json"} </w:instrText>
      </w:r>
      <w:r w:rsidR="004A12A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[131,136]</w:t>
      </w:r>
      <w:r w:rsidR="004A12A2">
        <w:rPr>
          <w:rFonts w:ascii="Times New Roman" w:hAnsi="Times New Roman" w:cs="Times New Roman"/>
          <w:sz w:val="28"/>
          <w:szCs w:val="28"/>
          <w:lang w:bidi="ar-SA"/>
        </w:rPr>
        <w:fldChar w:fldCharType="end"/>
      </w:r>
      <w:r w:rsidR="004A12A2">
        <w:rPr>
          <w:rFonts w:ascii="Times New Roman" w:hAnsi="Times New Roman" w:cs="Times New Roman"/>
          <w:sz w:val="28"/>
          <w:szCs w:val="28"/>
          <w:lang w:bidi="ar-SA"/>
        </w:rPr>
        <w:t xml:space="preserve">. Дополнительно задействованы сульфотрансферазы </w:t>
      </w:r>
      <w:r w:rsidR="004A12A2">
        <w:rPr>
          <w:rFonts w:ascii="Times New Roman" w:hAnsi="Times New Roman" w:cs="Times New Roman"/>
          <w:sz w:val="28"/>
          <w:szCs w:val="28"/>
          <w:lang w:val="en-US" w:bidi="ar-SA"/>
        </w:rPr>
        <w:t>SULT</w:t>
      </w:r>
      <w:r w:rsidR="004A12A2" w:rsidRPr="004A12A2">
        <w:rPr>
          <w:rFonts w:ascii="Times New Roman" w:hAnsi="Times New Roman" w:cs="Times New Roman"/>
          <w:sz w:val="28"/>
          <w:szCs w:val="28"/>
          <w:lang w:bidi="ar-SA"/>
        </w:rPr>
        <w:t>1</w:t>
      </w:r>
      <w:r w:rsidR="004A12A2">
        <w:rPr>
          <w:rFonts w:ascii="Times New Roman" w:hAnsi="Times New Roman" w:cs="Times New Roman"/>
          <w:sz w:val="28"/>
          <w:szCs w:val="28"/>
          <w:lang w:val="en-US" w:bidi="ar-SA"/>
        </w:rPr>
        <w:t>A</w:t>
      </w:r>
      <w:r w:rsidR="004A12A2" w:rsidRPr="004A12A2">
        <w:rPr>
          <w:rFonts w:ascii="Times New Roman" w:hAnsi="Times New Roman" w:cs="Times New Roman"/>
          <w:sz w:val="28"/>
          <w:szCs w:val="28"/>
          <w:lang w:bidi="ar-SA"/>
        </w:rPr>
        <w:t>1</w:t>
      </w:r>
      <w:r w:rsidR="004A12A2">
        <w:rPr>
          <w:rFonts w:ascii="Times New Roman" w:hAnsi="Times New Roman" w:cs="Times New Roman"/>
          <w:sz w:val="28"/>
          <w:szCs w:val="28"/>
          <w:lang w:bidi="ar-SA"/>
        </w:rPr>
        <w:t xml:space="preserve"> и</w:t>
      </w:r>
      <w:r w:rsidR="004A12A2" w:rsidRPr="004A12A2">
        <w:rPr>
          <w:rFonts w:ascii="Times New Roman" w:hAnsi="Times New Roman" w:cs="Times New Roman"/>
          <w:sz w:val="28"/>
          <w:szCs w:val="28"/>
          <w:lang w:bidi="ar-SA"/>
        </w:rPr>
        <w:t xml:space="preserve"> </w:t>
      </w:r>
      <w:r w:rsidR="004A12A2">
        <w:rPr>
          <w:rFonts w:ascii="Times New Roman" w:hAnsi="Times New Roman" w:cs="Times New Roman"/>
          <w:sz w:val="28"/>
          <w:szCs w:val="28"/>
          <w:lang w:val="en-US" w:bidi="ar-SA"/>
        </w:rPr>
        <w:t>SULT</w:t>
      </w:r>
      <w:r w:rsidR="004A12A2" w:rsidRPr="004A12A2">
        <w:rPr>
          <w:rFonts w:ascii="Times New Roman" w:hAnsi="Times New Roman" w:cs="Times New Roman"/>
          <w:sz w:val="28"/>
          <w:szCs w:val="28"/>
          <w:lang w:bidi="ar-SA"/>
        </w:rPr>
        <w:t>1</w:t>
      </w:r>
      <w:r w:rsidR="004A12A2">
        <w:rPr>
          <w:rFonts w:ascii="Times New Roman" w:hAnsi="Times New Roman" w:cs="Times New Roman"/>
          <w:sz w:val="28"/>
          <w:szCs w:val="28"/>
          <w:lang w:val="en-US" w:bidi="ar-SA"/>
        </w:rPr>
        <w:t>A</w:t>
      </w:r>
      <w:r w:rsidR="004A12A2" w:rsidRPr="004A12A2">
        <w:rPr>
          <w:rFonts w:ascii="Times New Roman" w:hAnsi="Times New Roman" w:cs="Times New Roman"/>
          <w:sz w:val="28"/>
          <w:szCs w:val="28"/>
          <w:lang w:bidi="ar-SA"/>
        </w:rPr>
        <w:t>2</w:t>
      </w:r>
      <w:r w:rsidR="004A12A2">
        <w:rPr>
          <w:rFonts w:ascii="Times New Roman" w:hAnsi="Times New Roman" w:cs="Times New Roman"/>
          <w:sz w:val="28"/>
          <w:szCs w:val="28"/>
          <w:lang w:bidi="ar-SA"/>
        </w:rPr>
        <w:t xml:space="preserve"> (образуя О-десметил-апиксабансульфат), главным образом</w:t>
      </w:r>
      <w:r w:rsidR="004A12A2" w:rsidRPr="004A12A2">
        <w:rPr>
          <w:rFonts w:ascii="Times New Roman" w:hAnsi="Times New Roman" w:cs="Times New Roman"/>
          <w:sz w:val="28"/>
          <w:szCs w:val="28"/>
          <w:lang w:bidi="ar-SA"/>
        </w:rPr>
        <w:t xml:space="preserve"> </w:t>
      </w:r>
      <w:r w:rsidR="004A12A2">
        <w:rPr>
          <w:rFonts w:ascii="Times New Roman" w:hAnsi="Times New Roman" w:cs="Times New Roman"/>
          <w:sz w:val="28"/>
          <w:szCs w:val="28"/>
          <w:lang w:val="en-US" w:bidi="ar-SA"/>
        </w:rPr>
        <w:t>SULT</w:t>
      </w:r>
      <w:r w:rsidR="004A12A2" w:rsidRPr="004A12A2">
        <w:rPr>
          <w:rFonts w:ascii="Times New Roman" w:hAnsi="Times New Roman" w:cs="Times New Roman"/>
          <w:sz w:val="28"/>
          <w:szCs w:val="28"/>
          <w:lang w:bidi="ar-SA"/>
        </w:rPr>
        <w:t>1</w:t>
      </w:r>
      <w:r w:rsidR="004A12A2">
        <w:rPr>
          <w:rFonts w:ascii="Times New Roman" w:hAnsi="Times New Roman" w:cs="Times New Roman"/>
          <w:sz w:val="28"/>
          <w:szCs w:val="28"/>
          <w:lang w:val="en-US" w:bidi="ar-SA"/>
        </w:rPr>
        <w:t>A</w:t>
      </w:r>
      <w:r w:rsidR="004A12A2" w:rsidRPr="004A12A2">
        <w:rPr>
          <w:rFonts w:ascii="Times New Roman" w:hAnsi="Times New Roman" w:cs="Times New Roman"/>
          <w:sz w:val="28"/>
          <w:szCs w:val="28"/>
          <w:lang w:bidi="ar-SA"/>
        </w:rPr>
        <w:t>1</w:t>
      </w:r>
      <w:r w:rsidR="004A12A2">
        <w:rPr>
          <w:rFonts w:ascii="Times New Roman" w:hAnsi="Times New Roman" w:cs="Times New Roman"/>
          <w:sz w:val="28"/>
          <w:szCs w:val="28"/>
          <w:lang w:bidi="ar-SA"/>
        </w:rPr>
        <w:t xml:space="preserve">. Апиксабан также является субстратом </w:t>
      </w:r>
      <w:r w:rsidR="004A12A2">
        <w:rPr>
          <w:rFonts w:ascii="Times New Roman" w:hAnsi="Times New Roman" w:cs="Times New Roman"/>
          <w:sz w:val="28"/>
          <w:szCs w:val="28"/>
          <w:lang w:val="en-US" w:bidi="ar-SA"/>
        </w:rPr>
        <w:t>P-gp</w:t>
      </w:r>
      <w:r w:rsidR="004A12A2">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val="en-US" w:bidi="ar-SA"/>
        </w:rPr>
        <w:instrText xml:space="preserve"> ADDIN ZOTERO_ITEM CSL_CITATION {"citationID":"U7VPO0ND","properties":{"unsorted":false,"formattedCitation":"[136]","plainCitation":"[136]","noteIndex":0},"citationItems":[{"id":130,"uris":["http://zotero.org/users/14784094/items/MVRAWZEA"],"itemData":{"id":130,"type":"article-journal","abstract":"Apixaban is an oral, direct, and highly selective factor Xa inhibitor in late-stage clinical development for the prevention and treatment of thromboembolic diseases. The metabolic drug-drug interaction potential of apixaban was evaluated in vitro. The compound did not show cytochrome P450 inhibition (IC(50) values &gt;20 microM) in incubations of human liver microsomes with the probe substrates of CYP1A2, 2B6, 2C8, 2C9, 2C19, 2D6, or 3A4/5. Apixaban did not show any effect at concentrations up to 20 muM on enzyme activities or mRNA levels of selected P450 enzymes (CYP1A2, 2B6, and 3A4/5) that are sensitive to induction in incubations with primary human hepatocytes. Apixaban showed a slow metabolic turnover in incubations of human liver microsomes with formation of O-demethylation (M2) and hydroxylation products (M4 and M7) as prominent in vitro metabolites. Experiments with human cDNA-expressed P450 enzymes and P450 chemical inhibitors and correlation with P450 activities in individual human liver microsomes demonstrated that the oxidative metabolism of apixaban for formation of all metabolites was predominantly catalyzed by CYP3A4/5 with a minor contribution of CYP1A2 and CYP2J2 for formation of M2. The contribution of CYP2C8, 2C9, and 2C19 to metabolism of apixaban was less significant. In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addition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human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absorption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distribution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metabolism</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excretion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study</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showed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that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more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than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half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dose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was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excreted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unchanged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parent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f</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m</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CYP</w:instrText>
      </w:r>
      <w:r w:rsidR="00AC4691" w:rsidRPr="00496E24">
        <w:rPr>
          <w:rFonts w:ascii="Times New Roman" w:hAnsi="Times New Roman" w:cs="Times New Roman"/>
          <w:sz w:val="28"/>
          <w:szCs w:val="28"/>
          <w:lang w:bidi="ar-SA"/>
        </w:rPr>
        <w:instrText xml:space="preserve">) &lt;0.5), </w:instrText>
      </w:r>
      <w:r w:rsidR="00AC4691">
        <w:rPr>
          <w:rFonts w:ascii="Times New Roman" w:hAnsi="Times New Roman" w:cs="Times New Roman"/>
          <w:sz w:val="28"/>
          <w:szCs w:val="28"/>
          <w:lang w:val="en-US" w:bidi="ar-SA"/>
        </w:rPr>
        <w:instrText>thus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significantly</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reducing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overall</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metabolic</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interaction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potential</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apixaban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Together</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with</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low</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clinical</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efficacious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concentration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multiple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clearance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pathways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these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results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demonstrate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that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metabolic</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interaction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potential</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between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apixaban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coadministered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drugs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is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low</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container</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title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Metabolism</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Disposition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Biological</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Fate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Chemicals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DOI</w:instrText>
      </w:r>
      <w:r w:rsidR="00AC4691" w:rsidRPr="00496E24">
        <w:rPr>
          <w:rFonts w:ascii="Times New Roman" w:hAnsi="Times New Roman" w:cs="Times New Roman"/>
          <w:sz w:val="28"/>
          <w:szCs w:val="28"/>
          <w:lang w:bidi="ar-SA"/>
        </w:rPr>
        <w:instrText>":"10.1124/</w:instrText>
      </w:r>
      <w:r w:rsidR="00AC4691">
        <w:rPr>
          <w:rFonts w:ascii="Times New Roman" w:hAnsi="Times New Roman" w:cs="Times New Roman"/>
          <w:sz w:val="28"/>
          <w:szCs w:val="28"/>
          <w:lang w:val="en-US" w:bidi="ar-SA"/>
        </w:rPr>
        <w:instrText>dmd</w:instrText>
      </w:r>
      <w:r w:rsidR="00AC4691" w:rsidRPr="00496E24">
        <w:rPr>
          <w:rFonts w:ascii="Times New Roman" w:hAnsi="Times New Roman" w:cs="Times New Roman"/>
          <w:sz w:val="28"/>
          <w:szCs w:val="28"/>
          <w:lang w:bidi="ar-SA"/>
        </w:rPr>
        <w:instrText>.109.029694","</w:instrText>
      </w:r>
      <w:r w:rsidR="00AC4691">
        <w:rPr>
          <w:rFonts w:ascii="Times New Roman" w:hAnsi="Times New Roman" w:cs="Times New Roman"/>
          <w:sz w:val="28"/>
          <w:szCs w:val="28"/>
          <w:lang w:val="en-US" w:bidi="ar-SA"/>
        </w:rPr>
        <w:instrText>ISSN</w:instrText>
      </w:r>
      <w:r w:rsidR="00AC4691" w:rsidRPr="00496E24">
        <w:rPr>
          <w:rFonts w:ascii="Times New Roman" w:hAnsi="Times New Roman" w:cs="Times New Roman"/>
          <w:sz w:val="28"/>
          <w:szCs w:val="28"/>
          <w:lang w:bidi="ar-SA"/>
        </w:rPr>
        <w:instrText>":"1521-009</w:instrText>
      </w:r>
      <w:r w:rsidR="00AC4691">
        <w:rPr>
          <w:rFonts w:ascii="Times New Roman" w:hAnsi="Times New Roman" w:cs="Times New Roman"/>
          <w:sz w:val="28"/>
          <w:szCs w:val="28"/>
          <w:lang w:val="en-US" w:bidi="ar-SA"/>
        </w:rPr>
        <w:instrText>X</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issue</w:instrText>
      </w:r>
      <w:r w:rsidR="00AC4691" w:rsidRPr="00496E24">
        <w:rPr>
          <w:rFonts w:ascii="Times New Roman" w:hAnsi="Times New Roman" w:cs="Times New Roman"/>
          <w:sz w:val="28"/>
          <w:szCs w:val="28"/>
          <w:lang w:bidi="ar-SA"/>
        </w:rPr>
        <w:instrText>":"3","</w:instrText>
      </w:r>
      <w:r w:rsidR="00AC4691">
        <w:rPr>
          <w:rFonts w:ascii="Times New Roman" w:hAnsi="Times New Roman" w:cs="Times New Roman"/>
          <w:sz w:val="28"/>
          <w:szCs w:val="28"/>
          <w:lang w:val="en-US" w:bidi="ar-SA"/>
        </w:rPr>
        <w:instrText>journalAbbreviation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Metab</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Dispos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language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eng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page</w:instrText>
      </w:r>
      <w:r w:rsidR="00AC4691" w:rsidRPr="00496E24">
        <w:rPr>
          <w:rFonts w:ascii="Times New Roman" w:hAnsi="Times New Roman" w:cs="Times New Roman"/>
          <w:sz w:val="28"/>
          <w:szCs w:val="28"/>
          <w:lang w:bidi="ar-SA"/>
        </w:rPr>
        <w:instrText>":"448-458","</w:instrText>
      </w:r>
      <w:r w:rsidR="00AC4691">
        <w:rPr>
          <w:rFonts w:ascii="Times New Roman" w:hAnsi="Times New Roman" w:cs="Times New Roman"/>
          <w:sz w:val="28"/>
          <w:szCs w:val="28"/>
          <w:lang w:val="en-US" w:bidi="ar-SA"/>
        </w:rPr>
        <w:instrText>PMID</w:instrText>
      </w:r>
      <w:r w:rsidR="00AC4691" w:rsidRPr="00496E24">
        <w:rPr>
          <w:rFonts w:ascii="Times New Roman" w:hAnsi="Times New Roman" w:cs="Times New Roman"/>
          <w:sz w:val="28"/>
          <w:szCs w:val="28"/>
          <w:lang w:bidi="ar-SA"/>
        </w:rPr>
        <w:instrText>":"19940026","</w:instrText>
      </w:r>
      <w:r w:rsidR="00AC4691">
        <w:rPr>
          <w:rFonts w:ascii="Times New Roman" w:hAnsi="Times New Roman" w:cs="Times New Roman"/>
          <w:sz w:val="28"/>
          <w:szCs w:val="28"/>
          <w:lang w:val="en-US" w:bidi="ar-SA"/>
        </w:rPr>
        <w:instrText>source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PubMed</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title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In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vitro</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assessment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metabolic</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drug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interaction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potential</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apixaban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through</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cytochrome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w:instrText>
      </w:r>
      <w:r w:rsidR="00AC4691" w:rsidRPr="00496E24">
        <w:rPr>
          <w:rFonts w:ascii="Times New Roman" w:hAnsi="Times New Roman" w:cs="Times New Roman"/>
          <w:sz w:val="28"/>
          <w:szCs w:val="28"/>
          <w:lang w:bidi="ar-SA"/>
        </w:rPr>
        <w:instrText xml:space="preserve">450 </w:instrText>
      </w:r>
      <w:r w:rsidR="00AC4691">
        <w:rPr>
          <w:rFonts w:ascii="Times New Roman" w:hAnsi="Times New Roman" w:cs="Times New Roman"/>
          <w:sz w:val="28"/>
          <w:szCs w:val="28"/>
          <w:lang w:val="en-US" w:bidi="ar-SA"/>
        </w:rPr>
        <w:instrText>phenotyping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inhibition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induction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studies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volume</w:instrText>
      </w:r>
      <w:r w:rsidR="00AC4691" w:rsidRPr="00496E24">
        <w:rPr>
          <w:rFonts w:ascii="Times New Roman" w:hAnsi="Times New Roman" w:cs="Times New Roman"/>
          <w:sz w:val="28"/>
          <w:szCs w:val="28"/>
          <w:lang w:bidi="ar-SA"/>
        </w:rPr>
        <w:instrText>":"38","</w:instrText>
      </w:r>
      <w:r w:rsidR="00AC4691">
        <w:rPr>
          <w:rFonts w:ascii="Times New Roman" w:hAnsi="Times New Roman" w:cs="Times New Roman"/>
          <w:sz w:val="28"/>
          <w:szCs w:val="28"/>
          <w:lang w:val="en-US" w:bidi="ar-SA"/>
        </w:rPr>
        <w:instrText>author</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Wang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Lifei</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Zhang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Donglu</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Raghavan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Nirmala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Yao</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Ming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Ma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Li</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Frost</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Charles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Maxwell</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Brad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Chen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Shiang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yuan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He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Kan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Goosen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Theunis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Humphreys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W</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Griffith</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Grossman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Scott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J</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issued</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date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parts</w:instrText>
      </w:r>
      <w:r w:rsidR="00AC4691" w:rsidRPr="00496E24">
        <w:rPr>
          <w:rFonts w:ascii="Times New Roman" w:hAnsi="Times New Roman" w:cs="Times New Roman"/>
          <w:sz w:val="28"/>
          <w:szCs w:val="28"/>
          <w:lang w:bidi="ar-SA"/>
        </w:rPr>
        <w:instrText>":[["2010",3]]}}}],"</w:instrText>
      </w:r>
      <w:r w:rsidR="00AC4691">
        <w:rPr>
          <w:rFonts w:ascii="Times New Roman" w:hAnsi="Times New Roman" w:cs="Times New Roman"/>
          <w:sz w:val="28"/>
          <w:szCs w:val="28"/>
          <w:lang w:val="en-US" w:bidi="ar-SA"/>
        </w:rPr>
        <w:instrText>schema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https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github</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com</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citation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style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language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schema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raw</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master</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csl</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citation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json</w:instrText>
      </w:r>
      <w:r w:rsidR="00AC4691" w:rsidRPr="00496E24">
        <w:rPr>
          <w:rFonts w:ascii="Times New Roman" w:hAnsi="Times New Roman" w:cs="Times New Roman"/>
          <w:sz w:val="28"/>
          <w:szCs w:val="28"/>
          <w:lang w:bidi="ar-SA"/>
        </w:rPr>
        <w:instrText xml:space="preserve">"} </w:instrText>
      </w:r>
      <w:r w:rsidR="004A12A2">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[136]</w:t>
      </w:r>
      <w:r w:rsidR="004A12A2">
        <w:rPr>
          <w:rFonts w:ascii="Times New Roman" w:hAnsi="Times New Roman" w:cs="Times New Roman"/>
          <w:sz w:val="28"/>
          <w:szCs w:val="28"/>
          <w:lang w:val="en-US" w:bidi="ar-SA"/>
        </w:rPr>
        <w:fldChar w:fldCharType="end"/>
      </w:r>
      <w:r w:rsidR="004A12A2" w:rsidRPr="004A12A2">
        <w:rPr>
          <w:rFonts w:ascii="Times New Roman" w:hAnsi="Times New Roman" w:cs="Times New Roman"/>
          <w:sz w:val="28"/>
          <w:szCs w:val="28"/>
          <w:lang w:bidi="ar-SA"/>
        </w:rPr>
        <w:t>.</w:t>
      </w:r>
      <w:r w:rsidR="004A12A2">
        <w:rPr>
          <w:rFonts w:ascii="Times New Roman" w:hAnsi="Times New Roman" w:cs="Times New Roman"/>
          <w:sz w:val="28"/>
          <w:szCs w:val="28"/>
          <w:lang w:bidi="ar-SA"/>
        </w:rPr>
        <w:t xml:space="preserve"> Указанные особенности метаболизма обусловливают необходимость осторожности при комбинировании с сильными индукторами и ингибиторами этих путей</w:t>
      </w:r>
      <w:r w:rsidR="004A12A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{"citationID":"bOwHTEAE","properties":{"unsorted":false,"formattedCitation":"[14]","plainCitation":"[14]","noteIndex":0},"citationItems":[{"id":248,"uris":["http://zotero.org/users/14784094/items/3QLQY7JC"],"itemData":{"id":248,"type":"article-journal","abstract":"Direct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P."}],"issued":{"date-parts":[["2019",1,17]]}}}],"schema":"https://github.com/citation-style-language/schema/raw/master/csl-citation.json"} </w:instrText>
      </w:r>
      <w:r w:rsidR="004A12A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w:t>
      </w:r>
      <w:r w:rsidR="004A12A2">
        <w:rPr>
          <w:rFonts w:ascii="Times New Roman" w:hAnsi="Times New Roman" w:cs="Times New Roman"/>
          <w:sz w:val="28"/>
          <w:szCs w:val="28"/>
          <w:lang w:bidi="ar-SA"/>
        </w:rPr>
        <w:fldChar w:fldCharType="end"/>
      </w:r>
      <w:r w:rsidR="004A12A2">
        <w:rPr>
          <w:rFonts w:ascii="Times New Roman" w:hAnsi="Times New Roman" w:cs="Times New Roman"/>
          <w:sz w:val="28"/>
          <w:szCs w:val="28"/>
          <w:lang w:bidi="ar-SA"/>
        </w:rPr>
        <w:t xml:space="preserve">. Индукторы </w:t>
      </w:r>
      <w:r w:rsidR="004A12A2">
        <w:rPr>
          <w:rFonts w:ascii="Times New Roman" w:hAnsi="Times New Roman" w:cs="Times New Roman"/>
          <w:sz w:val="28"/>
          <w:szCs w:val="28"/>
          <w:lang w:val="en-US" w:bidi="ar-SA"/>
        </w:rPr>
        <w:t>CYP</w:t>
      </w:r>
      <w:r w:rsidR="004A12A2" w:rsidRPr="004A12A2">
        <w:rPr>
          <w:rFonts w:ascii="Times New Roman" w:hAnsi="Times New Roman" w:cs="Times New Roman"/>
          <w:sz w:val="28"/>
          <w:szCs w:val="28"/>
          <w:lang w:bidi="ar-SA"/>
        </w:rPr>
        <w:t>3</w:t>
      </w:r>
      <w:r w:rsidR="004A12A2">
        <w:rPr>
          <w:rFonts w:ascii="Times New Roman" w:hAnsi="Times New Roman" w:cs="Times New Roman"/>
          <w:sz w:val="28"/>
          <w:szCs w:val="28"/>
          <w:lang w:val="en-US" w:bidi="ar-SA"/>
        </w:rPr>
        <w:t>A</w:t>
      </w:r>
      <w:r w:rsidR="004A12A2" w:rsidRPr="004A12A2">
        <w:rPr>
          <w:rFonts w:ascii="Times New Roman" w:hAnsi="Times New Roman" w:cs="Times New Roman"/>
          <w:sz w:val="28"/>
          <w:szCs w:val="28"/>
          <w:lang w:bidi="ar-SA"/>
        </w:rPr>
        <w:t xml:space="preserve">4 </w:t>
      </w:r>
      <w:r w:rsidR="004A12A2">
        <w:rPr>
          <w:rFonts w:ascii="Times New Roman" w:hAnsi="Times New Roman" w:cs="Times New Roman"/>
          <w:sz w:val="28"/>
          <w:szCs w:val="28"/>
          <w:lang w:bidi="ar-SA"/>
        </w:rPr>
        <w:t xml:space="preserve">и </w:t>
      </w:r>
      <w:r w:rsidR="004A12A2">
        <w:rPr>
          <w:rFonts w:ascii="Times New Roman" w:hAnsi="Times New Roman" w:cs="Times New Roman"/>
          <w:sz w:val="28"/>
          <w:szCs w:val="28"/>
          <w:lang w:val="en-US" w:bidi="ar-SA"/>
        </w:rPr>
        <w:t>P</w:t>
      </w:r>
      <w:r w:rsidR="004A12A2" w:rsidRPr="004A12A2">
        <w:rPr>
          <w:rFonts w:ascii="Times New Roman" w:hAnsi="Times New Roman" w:cs="Times New Roman"/>
          <w:sz w:val="28"/>
          <w:szCs w:val="28"/>
          <w:lang w:bidi="ar-SA"/>
        </w:rPr>
        <w:t>-</w:t>
      </w:r>
      <w:r w:rsidR="004A12A2">
        <w:rPr>
          <w:rFonts w:ascii="Times New Roman" w:hAnsi="Times New Roman" w:cs="Times New Roman"/>
          <w:sz w:val="28"/>
          <w:szCs w:val="28"/>
          <w:lang w:val="en-US" w:bidi="ar-SA"/>
        </w:rPr>
        <w:t>gp</w:t>
      </w:r>
      <w:r w:rsidR="004A12A2">
        <w:rPr>
          <w:rFonts w:ascii="Times New Roman" w:hAnsi="Times New Roman" w:cs="Times New Roman"/>
          <w:sz w:val="28"/>
          <w:szCs w:val="28"/>
          <w:lang w:bidi="ar-SA"/>
        </w:rPr>
        <w:t xml:space="preserve"> (рифампицин, карбамазепин, фенобарбитал и др.) могут снижать концентрацию апиксабана в плазме, приводя к недостаточному терапевтическому эффекту</w:t>
      </w:r>
      <w:r w:rsidR="004A12A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{"citationID":"7chQDq9V","properties":{"unsorted":false,"formattedCitation":"[137]","plainCitation":"[137]","noteIndex":0},"citationItems":[{"id":129,"uris":["http://zotero.org/users/14784094/items/BQHWZVW6"],"itemData":{"id":129,"type":"article-journal","abstract":"PURPOSE: The concomitant use of direct oral anticoagulants (DOAC) and strong P-glycoprotein (P-gp) and cytochrome P450 3A4 (CYP3A4) inducers may lead to reduced DOAC levels and therapeutic failure. This study aimed to describe DOAC concentrations in patients receiving strong P-gp and CYP3A4 inducers, in relation to individual risk factors for high or low DOAC levels.\nMETHODS: We retrospectively identified hospitalized patients simultaneously receiving a DOAC and carbamazepine, phenobarbital, phenytoin, or rifampicin between 2016 and 2021. Among them, patients who underwent DOAC measurement at steady state were included. DOAC peak or trough levels were compared with on-therapy ranges observed in pivotal trials. Individual risk factors for high or low DOAC levels were identified.\nRESULTS: We included 17 patients (median age 75 years), mainly receiving apixaban and carbamazepine. For 5 patients (29%), DOAC trough or peak level was below the expected range. Among the remaining 12 patients, 8 had at least one measurement in the lower quartile of the range. The median number of risk factors for drug accumulation was 0 (range 0-1) in patients with ≥1 measurement below the range and 2 (range 0-3) in other patients. DOAC measurement led to treatment adjustments in 9 patients (DOAC dose increase or switch).\nCONCLUSION: Our data suggest a significant risk of reduced DOAC levels in patients taking strong P-gp and CYP3A4 inducers, especially those without risk factors for drug accumulation. DOAC measurement could help manage this relevant drug-drug interaction.","container-title":"The American Journal of Medicine","DOI":"10.1016/j.amjmed.2021.06.003","ISSN":"1555-7162","issue":"10","journalAbbreviation":"Am J Med","language":"eng","page":"1295-1299","PMID":"34181907","source":"PubMed","title":"The Impact of Strong Inducers on Direct Oral Anticoagulant Levels","volume":"134","author":[{"family":"Sennesael","given":"Anne-Laure"},{"family":"Larock","given":"Anne-Sophie"},{"family":"Hainaut","given":"Philippe"},{"family":"Lessire","given":"Sarah"},{"family":"Hardy","given":"Michael"},{"family":"Douxfils","given":"Jonathan"},{"family":"Spinewine","given":"Anne"},{"family":"Mullier","given":"François"}],"issued":{"date-parts":[["2021",10]]}}}],"schema":"https://github.com/citation-style-language/schema/raw/master/csl-citation.json"} </w:instrText>
      </w:r>
      <w:r w:rsidR="004A12A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[137]</w:t>
      </w:r>
      <w:r w:rsidR="004A12A2">
        <w:rPr>
          <w:rFonts w:ascii="Times New Roman" w:hAnsi="Times New Roman" w:cs="Times New Roman"/>
          <w:sz w:val="28"/>
          <w:szCs w:val="28"/>
          <w:lang w:bidi="ar-SA"/>
        </w:rPr>
        <w:fldChar w:fldCharType="end"/>
      </w:r>
      <w:r w:rsidR="004A12A2">
        <w:rPr>
          <w:rFonts w:ascii="Times New Roman" w:hAnsi="Times New Roman" w:cs="Times New Roman"/>
          <w:sz w:val="28"/>
          <w:szCs w:val="28"/>
          <w:lang w:bidi="ar-SA"/>
        </w:rPr>
        <w:t xml:space="preserve">. Напротив, сильные ингибиторы </w:t>
      </w:r>
      <w:r w:rsidR="004A12A2">
        <w:rPr>
          <w:rFonts w:ascii="Times New Roman" w:hAnsi="Times New Roman" w:cs="Times New Roman"/>
          <w:sz w:val="28"/>
          <w:szCs w:val="28"/>
          <w:lang w:val="en-US" w:bidi="ar-SA"/>
        </w:rPr>
        <w:t>CYP</w:t>
      </w:r>
      <w:r w:rsidR="004A12A2" w:rsidRPr="004A12A2">
        <w:rPr>
          <w:rFonts w:ascii="Times New Roman" w:hAnsi="Times New Roman" w:cs="Times New Roman"/>
          <w:sz w:val="28"/>
          <w:szCs w:val="28"/>
          <w:lang w:bidi="ar-SA"/>
        </w:rPr>
        <w:t>3</w:t>
      </w:r>
      <w:r w:rsidR="004A12A2">
        <w:rPr>
          <w:rFonts w:ascii="Times New Roman" w:hAnsi="Times New Roman" w:cs="Times New Roman"/>
          <w:sz w:val="28"/>
          <w:szCs w:val="28"/>
          <w:lang w:val="en-US" w:bidi="ar-SA"/>
        </w:rPr>
        <w:t>A</w:t>
      </w:r>
      <w:r w:rsidR="004A12A2" w:rsidRPr="004A12A2">
        <w:rPr>
          <w:rFonts w:ascii="Times New Roman" w:hAnsi="Times New Roman" w:cs="Times New Roman"/>
          <w:sz w:val="28"/>
          <w:szCs w:val="28"/>
          <w:lang w:bidi="ar-SA"/>
        </w:rPr>
        <w:t xml:space="preserve">4 </w:t>
      </w:r>
      <w:r w:rsidR="004A12A2">
        <w:rPr>
          <w:rFonts w:ascii="Times New Roman" w:hAnsi="Times New Roman" w:cs="Times New Roman"/>
          <w:sz w:val="28"/>
          <w:szCs w:val="28"/>
          <w:lang w:bidi="ar-SA"/>
        </w:rPr>
        <w:t xml:space="preserve">и </w:t>
      </w:r>
      <w:r w:rsidR="004A12A2">
        <w:rPr>
          <w:rFonts w:ascii="Times New Roman" w:hAnsi="Times New Roman" w:cs="Times New Roman"/>
          <w:sz w:val="28"/>
          <w:szCs w:val="28"/>
          <w:lang w:val="en-US" w:bidi="ar-SA"/>
        </w:rPr>
        <w:t>P</w:t>
      </w:r>
      <w:r w:rsidR="004A12A2" w:rsidRPr="004A12A2">
        <w:rPr>
          <w:rFonts w:ascii="Times New Roman" w:hAnsi="Times New Roman" w:cs="Times New Roman"/>
          <w:sz w:val="28"/>
          <w:szCs w:val="28"/>
          <w:lang w:bidi="ar-SA"/>
        </w:rPr>
        <w:t>-</w:t>
      </w:r>
      <w:r w:rsidR="004A12A2">
        <w:rPr>
          <w:rFonts w:ascii="Times New Roman" w:hAnsi="Times New Roman" w:cs="Times New Roman"/>
          <w:sz w:val="28"/>
          <w:szCs w:val="28"/>
          <w:lang w:val="en-US" w:bidi="ar-SA"/>
        </w:rPr>
        <w:t>gp</w:t>
      </w:r>
      <w:r w:rsidR="004A12A2">
        <w:rPr>
          <w:rFonts w:ascii="Times New Roman" w:hAnsi="Times New Roman" w:cs="Times New Roman"/>
          <w:sz w:val="28"/>
          <w:szCs w:val="28"/>
          <w:lang w:bidi="ar-SA"/>
        </w:rPr>
        <w:t xml:space="preserve"> (кетоконазол, ритонавир, кларитромицин и др.) способны повышать уровень препарата в среднем в 2 раза, увеличивая риск кровотечений</w:t>
      </w:r>
      <w:r w:rsidR="004A12A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{"citationID":"6Vs4x8tO","properties":{"unsorted":false,"formattedCitation":"[138]","plainCitation":"[138]","noteIndex":0},"citationItems":[{"id":128,"uris":["http://zotero.org/users/14784094/items/TSJR62IB"],"itemData":{"id":128,"type":"article-journal","abstract":"Oral anticoagulants (OACs) are medications commonly used in patients with atrial fibrillation and other cardiovascular conditions. Both warfarin and direct oral anticoagulants are susceptible to drug-drug interactions (DDIs). DDIs are an important cause of adverse drug reactions and exact a large toll on the health care system. DDI for warfarin mainly involve moderate to strong inhibitors/inducers of cytochrome P450 (CYP) 2C9, which is responsible for the elimination of the more potent S-isomer of warfarin. However, inhibitor/inducers of CYP3A4 and CYP1A2 may also cause DDI with warfarin. Recognition of these precipitating agents along with increased frequency of monitoring when these agents are initiated or discontinued will minimize the impact of warfarin DDI. Direct oral anticoagulants are mainly affected by medications strongly affecting the permeability glycoprotein (P-gp), and to a lesser extent, strong CYP3A4 inhibitors/inducers. Dabigatran and edoxaban are affected by P-gp modulation. Strong inducers of CYP3A4 or P-gp should be avoided in all patients taking direct oral anticoagulant unless previously proven to be otherwise safe. Simultaneous strong CYP3A4 and P-gp inhibitors should be avoided in patients taking apixaban and rivaroxaban. Concomitant antiplatelet/anticoagulant use confers additive risk for bleeding, but their combination is unavoidable in many cases. Minimizing duration of concomitant anticoagulant/ antiplatelet therapy as indicated by evidence-based clinical guidelines is the best way to reduce the risk of bleeding.","container-title":"Circulation: Arrhythmia and Electrophysiology","DOI":"10.1161/CIRCEP.121.007956","ISSN":"1941-3149, 1941-3084","issue":"6","journalAbbreviation":"Circ: Arrhythmia and Electrophysiology","language":"en","source":"DOI.org (Crossref)","title":"Drug Interactions Affecting Oral Anticoagulant Use","URL":"https://www.ahajournals.org/doi/10.1161/CIRCEP.121.007956","volume":"15","author":[{"family":"Mar","given":"Philip L."},{"family":"Gopinathannair","given":"Rakesh"},{"family":"Gengler","given":"Brooke E."},{"family":"Chung","given":"Mina K."},{"family":"Perez","given":"Arturo"},{"family":"Dukes","given":"Jonathan"},{"family":"Ezekowitz","given":"Michael D."},{"family":"Lakkireddy","given":"Dhanunjaya"},{"family":"Lip","given":"Gregory Y.H."},{"family":"Miletello","given":"Mike"},{"family":"Noseworthy","given":"Peter A."},{"family":"Reiffel","given":"James"},{"family":"Tisdale","given":"James E."},{"family":"Olshansky","given":"Brian"},{"literal":"from the American Heart Association Electrocardiography &amp; Arrhythmias Committee of the Council of Clinical Cardiology"}],"accessed":{"date-parts":[["2025",6,9]]},"issued":{"date-parts":[["2022",6]]}}}],"schema":"https://github.com/citation-style-language/schema/raw/master/csl-citation.json"} </w:instrText>
      </w:r>
      <w:r w:rsidR="004A12A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[138]</w:t>
      </w:r>
      <w:r w:rsidR="004A12A2">
        <w:rPr>
          <w:rFonts w:ascii="Times New Roman" w:hAnsi="Times New Roman" w:cs="Times New Roman"/>
          <w:sz w:val="28"/>
          <w:szCs w:val="28"/>
          <w:lang w:bidi="ar-SA"/>
        </w:rPr>
        <w:fldChar w:fldCharType="end"/>
      </w:r>
      <w:r w:rsidR="004A12A2">
        <w:rPr>
          <w:rFonts w:ascii="Times New Roman" w:hAnsi="Times New Roman" w:cs="Times New Roman"/>
          <w:sz w:val="28"/>
          <w:szCs w:val="28"/>
          <w:lang w:bidi="ar-SA"/>
        </w:rPr>
        <w:t xml:space="preserve">. Недавнее исследование зафиксировало 3,5-кратное увеличение частоты геморрагических осложнений при одновременном приеме апиксабана с ингибиторами </w:t>
      </w:r>
      <w:r w:rsidR="004A12A2">
        <w:rPr>
          <w:rFonts w:ascii="Times New Roman" w:hAnsi="Times New Roman" w:cs="Times New Roman"/>
          <w:sz w:val="28"/>
          <w:szCs w:val="28"/>
          <w:lang w:val="en-US" w:bidi="ar-SA"/>
        </w:rPr>
        <w:t>CYP</w:t>
      </w:r>
      <w:r w:rsidR="004A12A2" w:rsidRPr="004A12A2">
        <w:rPr>
          <w:rFonts w:ascii="Times New Roman" w:hAnsi="Times New Roman" w:cs="Times New Roman"/>
          <w:sz w:val="28"/>
          <w:szCs w:val="28"/>
          <w:lang w:bidi="ar-SA"/>
        </w:rPr>
        <w:t>3</w:t>
      </w:r>
      <w:r w:rsidR="004A12A2">
        <w:rPr>
          <w:rFonts w:ascii="Times New Roman" w:hAnsi="Times New Roman" w:cs="Times New Roman"/>
          <w:sz w:val="28"/>
          <w:szCs w:val="28"/>
          <w:lang w:val="en-US" w:bidi="ar-SA"/>
        </w:rPr>
        <w:t>A</w:t>
      </w:r>
      <w:r w:rsidR="004A12A2" w:rsidRPr="004A12A2">
        <w:rPr>
          <w:rFonts w:ascii="Times New Roman" w:hAnsi="Times New Roman" w:cs="Times New Roman"/>
          <w:sz w:val="28"/>
          <w:szCs w:val="28"/>
          <w:lang w:bidi="ar-SA"/>
        </w:rPr>
        <w:t>4/</w:t>
      </w:r>
      <w:r w:rsidR="004A12A2">
        <w:rPr>
          <w:rFonts w:ascii="Times New Roman" w:hAnsi="Times New Roman" w:cs="Times New Roman"/>
          <w:sz w:val="28"/>
          <w:szCs w:val="28"/>
          <w:lang w:val="en-US" w:bidi="ar-SA"/>
        </w:rPr>
        <w:t>P</w:t>
      </w:r>
      <w:r w:rsidR="004A12A2" w:rsidRPr="004A12A2">
        <w:rPr>
          <w:rFonts w:ascii="Times New Roman" w:hAnsi="Times New Roman" w:cs="Times New Roman"/>
          <w:sz w:val="28"/>
          <w:szCs w:val="28"/>
          <w:lang w:bidi="ar-SA"/>
        </w:rPr>
        <w:t>-</w:t>
      </w:r>
      <w:r w:rsidR="004A12A2">
        <w:rPr>
          <w:rFonts w:ascii="Times New Roman" w:hAnsi="Times New Roman" w:cs="Times New Roman"/>
          <w:sz w:val="28"/>
          <w:szCs w:val="28"/>
          <w:lang w:val="en-US" w:bidi="ar-SA"/>
        </w:rPr>
        <w:t>gp</w:t>
      </w:r>
      <w:r w:rsidR="004A12A2">
        <w:rPr>
          <w:rFonts w:ascii="Times New Roman" w:hAnsi="Times New Roman" w:cs="Times New Roman"/>
          <w:sz w:val="28"/>
          <w:szCs w:val="28"/>
          <w:lang w:bidi="ar-SA"/>
        </w:rPr>
        <w:t xml:space="preserve"> по сравнению с монотерапией</w:t>
      </w:r>
      <w:r w:rsidR="004A12A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{"citationID":"XzgZT9KW","properties":{"unsorted":false,"formattedCitation":"[139]","plainCitation":"[139]","noteIndex":0},"citationItems":[{"id":127,"uris":["http://zotero.org/users/14784094/items/NLYM5QEG"],"itemData":{"id":127,"type":"article-journal","abstract":"Aim . To investigate the effect of ABCB1 gene carriage and interdrug interactions on apixaban pharmacokinetics and clinical outcomes in patients with atrial fibrillation and deep vein thrombosis.   Material and methods . Patients hospitalized at Yudin State Clinical Hospital participated in the study. A total of 92 patients (50 patients received apixaban and 42 – rivaroxaban) with non-valvular atrial fibrillation and deep vein thrombosis were included. Genotyping was performed by real-time polymerase chain reaction. Direct oral anticoagulants concentrations were measured using an electrospray ionization mass spectrometer in positive ionization mode.   Results . In our study we found that in patients carrying the CT+TT ABCB1 (rs4148738) C&amp;gt;T genotype encoding the carrier protein (P-gp), the plasma concentration of rivaroxaban was statistically significantly higher p= 0.026. In addition, we found that patients taking apixaban together with a CYP3A4/P-gp inhibitor were 3.5 times more likely to have hemorrhagic complications than those without inhibitors p = 0.004.   Conclusion . Our study revealed that the plasma concentration of rivaroxaban was higher in patients carrying the ABCB1 (rs4148738) C&amp;gt;T polymorphism T allele. And patients taking apixaban together with CYP3A4/P-gp inhibitor had higher risk of hemorrhagic complications in comparison with patients not taking such drugs. Further studies are needed on the influence of pharmacogenetics and pharmacokinetics on the safety and efficacy profile of apixaban and rivaroxaban, taking into account the trend of systemic approach to optimization of anticoagulant therapy of direct oral anticoagulants based on pharmacokinetic, pharmacogenetic biomarkers.","container-title":"Rational Pharmacotherapy in Cardiology","DOI":"10.20996/1819-6446-2022-12-02","ISSN":"2225-3653","issue":"6","language":"en","license":"Authors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  Authors are permitted and encouraged to post their work online (e.g., in institutional repositories or on their website) prior to and during the submission process, as it can lead to productive exchanges, as well as earlier and greater citation of published work (See  The Effect of Open Access ).","note":"number: 6","page":"624-629","section":"ORIGINAL STUDIES","source":"www.rpcardio.online","title":"Effect of ABCB1 Gene Carriage and Drug-Drug Interactions on Apixaban and Rivaroxaban Pharmacokinetics and Clinical Outcomes in Patients with Atrial Fibrillation and Deep Vein Thrombosis","volume":"18","author":[{"family":"Fedina","given":"L. V."},{"family":"Sychev","given":"I. N."},{"family":"Rastvorova","given":"T. D."},{"family":"Strigunkova","given":"E. V."},{"family":"Kachanova","given":"A. A."},{"family":"Sozaeva","given":"Z. A."},{"family":"Bochkov","given":"P. O."},{"family":"Vardanyan","given":"A. V."},{"family":"Mirzayev","given":"K. B."},{"family":"Sychev","given":"D. A."}],"issued":{"date-parts":[["2023",1,6]]}}}],"schema":"https://github.com/citation-style-language/schema/raw/master/csl-citation.json"} </w:instrText>
      </w:r>
      <w:r w:rsidR="004A12A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[139]</w:t>
      </w:r>
      <w:r w:rsidR="004A12A2">
        <w:rPr>
          <w:rFonts w:ascii="Times New Roman" w:hAnsi="Times New Roman" w:cs="Times New Roman"/>
          <w:sz w:val="28"/>
          <w:szCs w:val="28"/>
          <w:lang w:bidi="ar-SA"/>
        </w:rPr>
        <w:fldChar w:fldCharType="end"/>
      </w:r>
      <w:r w:rsidR="004A12A2">
        <w:rPr>
          <w:rFonts w:ascii="Times New Roman" w:hAnsi="Times New Roman" w:cs="Times New Roman"/>
          <w:sz w:val="28"/>
          <w:szCs w:val="28"/>
          <w:lang w:bidi="ar-SA"/>
        </w:rPr>
        <w:t>. Элиминация апиксабана происходит преимущественно через кишечник: 75% выводится желчью</w:t>
      </w:r>
      <w:r w:rsidR="007F345D">
        <w:rPr>
          <w:rFonts w:ascii="Times New Roman" w:hAnsi="Times New Roman" w:cs="Times New Roman"/>
          <w:sz w:val="28"/>
          <w:szCs w:val="28"/>
          <w:lang w:bidi="ar-SA"/>
        </w:rPr>
        <w:t xml:space="preserve"> и путем прямой кишечной экскреции в виде метаболитов, лишь 25% - почками</w:t>
      </w:r>
      <w:r w:rsidR="007F345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{"citationID":"T3m3OaZk","properties":{"unsorted":false,"formattedCitation":"[140]","plainCitation":"[140]","noteIndex":0},"citationItems":[{"id":126,"uris":["http://zotero.org/users/14784094/items/6CP4WAVT"],"itemData":{"id":126,"type":"article-journal","abstract":"Atrial fibrillation (AF) is the most common cardiac arrhythmia which increases the risk of stroke and systemic embolism by 5- fold, it is a major global public health problem. Stroke is associated with greatest mortality and morbidity in patients with AF. Strokes associated with AF are especially large and disabling, and consequently primary prevention is paramount. Antithrombotic therapy is the mainstay of stroke prevention. Vitamin K antagonists (VKA's) have been the standard anticoagulants in stroke prophylaxis for patients with AF for decades. Despite their effectiveness, they are limited by several factors such as narrow therapeutic index, drug- drug interactions, slow onset and offset of action, hemorrhage and routine anticoagulation monitoring to maintain therapeutic international normalized ratio (INR). During recent times, various novel anticoagulants have been developed to expand the therapeutic option for stroke prevention. Apixaban is a novel oral anticoagulant which has been developed and clinically investigated for prevention of stroke in AF patients. This review discusses the pharmacological properties, results of clinical trials investigating role of apixaban for prevention of stroke and its future potential in clinical practice.","container-title":"Journal of Atrial Fibrillation","DOI":"10.4022/jafib.499","ISSN":"1941-6911","issue":"2","journalAbbreviation":"J Atr Fibrillation","page":"499","PMID":"28496755","PMCID":"PMC5153118","source":"PubMed Central","title":"Apixaban in patients with Atrial Fibrillation: A Systematic Review","title-short":"Apixaban in patients with Atrial Fibrillation","volume":"5","author":[{"family":"Maan","given":"Abhishek"},{"family":"Heist","given":"E Kevin"},{"family":"Shaikh","given":"Amir Y"},{"family":"Ruskin","given":"Jeremy N"},{"family":"Mansour","given":"Moussa"}],"issued":{"date-parts":[["2012",8,20]]}}}],"schema":"https://github.com/citation-style-language/schema/raw/master/csl-citation.json"} </w:instrText>
      </w:r>
      <w:r w:rsidR="007F345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[140]</w:t>
      </w:r>
      <w:r w:rsidR="007F345D">
        <w:rPr>
          <w:rFonts w:ascii="Times New Roman" w:hAnsi="Times New Roman" w:cs="Times New Roman"/>
          <w:sz w:val="28"/>
          <w:szCs w:val="28"/>
          <w:lang w:bidi="ar-SA"/>
        </w:rPr>
        <w:fldChar w:fldCharType="end"/>
      </w:r>
      <w:r w:rsidR="007F345D">
        <w:rPr>
          <w:rFonts w:ascii="Times New Roman" w:hAnsi="Times New Roman" w:cs="Times New Roman"/>
          <w:sz w:val="28"/>
          <w:szCs w:val="28"/>
          <w:lang w:bidi="ar-SA"/>
        </w:rPr>
        <w:t>.</w:t>
      </w:r>
    </w:p>
    <w:p w14:paraId="1F475E09" w14:textId="3C3186EE" w:rsidR="007F345D" w:rsidRPr="007F345D" w:rsidRDefault="007F345D" w:rsidP="002C77AB">
      <w:pPr>
        <w:pStyle w:val="LO-normal"/>
        <w:spacing w:after="0" w:line="240" w:lineRule="auto"/>
        <w:ind w:firstLine="567"/>
        <w:jc w:val="both"/>
        <w:rPr>
          <w:rFonts w:ascii="Times New Roman" w:hAnsi="Times New Roman" w:cs="Times New Roman"/>
          <w:i/>
          <w:iCs/>
          <w:sz w:val="28"/>
          <w:szCs w:val="28"/>
          <w:lang w:bidi="ar-SA"/>
        </w:rPr>
      </w:pPr>
      <w:r w:rsidRPr="007F345D">
        <w:rPr>
          <w:rFonts w:ascii="Times New Roman" w:hAnsi="Times New Roman" w:cs="Times New Roman"/>
          <w:i/>
          <w:iCs/>
          <w:sz w:val="28"/>
          <w:szCs w:val="28"/>
          <w:lang w:bidi="ar-SA"/>
        </w:rPr>
        <w:t>Фармакогенетика апиксабана</w:t>
      </w:r>
    </w:p>
    <w:p w14:paraId="7CB8FEC8" w14:textId="54C17D8A" w:rsidR="0079144C" w:rsidRDefault="005863C3" w:rsidP="007922CB">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val="kk-KZ" w:bidi="ar-SA"/>
        </w:rPr>
        <w:t xml:space="preserve">Статья </w:t>
      </w:r>
      <w:r w:rsidR="007F345D">
        <w:rPr>
          <w:rFonts w:ascii="Times New Roman" w:hAnsi="Times New Roman" w:cs="Times New Roman"/>
          <w:sz w:val="28"/>
          <w:szCs w:val="28"/>
          <w:lang w:val="en-US" w:bidi="ar-SA"/>
        </w:rPr>
        <w:t>Huppertz</w:t>
      </w:r>
      <w:r w:rsidR="007F345D" w:rsidRPr="007F345D">
        <w:rPr>
          <w:rFonts w:ascii="Times New Roman" w:hAnsi="Times New Roman" w:cs="Times New Roman"/>
          <w:sz w:val="28"/>
          <w:szCs w:val="28"/>
          <w:lang w:bidi="ar-SA"/>
        </w:rPr>
        <w:t xml:space="preserve"> </w:t>
      </w:r>
      <w:r w:rsidR="007F345D">
        <w:rPr>
          <w:rFonts w:ascii="Times New Roman" w:hAnsi="Times New Roman" w:cs="Times New Roman"/>
          <w:sz w:val="28"/>
          <w:szCs w:val="28"/>
          <w:lang w:bidi="ar-SA"/>
        </w:rPr>
        <w:t xml:space="preserve">описывает случай значительного повышения концентрации апиксабана у женщины, что могло быть связано как с почечной патологией, так и с наличием полиморфизмов генов: гомозиготных АВСВ1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 xml:space="preserve">2032582,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 xml:space="preserve">1045642 </w:t>
      </w:r>
      <w:r w:rsidR="007F345D">
        <w:rPr>
          <w:rFonts w:ascii="Times New Roman" w:hAnsi="Times New Roman" w:cs="Times New Roman"/>
          <w:sz w:val="28"/>
          <w:szCs w:val="28"/>
          <w:lang w:bidi="ar-SA"/>
        </w:rPr>
        <w:t xml:space="preserve">и </w:t>
      </w:r>
      <w:r w:rsidR="007F345D">
        <w:rPr>
          <w:rFonts w:ascii="Times New Roman" w:hAnsi="Times New Roman" w:cs="Times New Roman"/>
          <w:sz w:val="28"/>
          <w:szCs w:val="28"/>
          <w:lang w:val="en-US" w:bidi="ar-SA"/>
        </w:rPr>
        <w:t>CYP</w:t>
      </w:r>
      <w:r w:rsidR="007F345D" w:rsidRPr="007F345D">
        <w:rPr>
          <w:rFonts w:ascii="Times New Roman" w:hAnsi="Times New Roman" w:cs="Times New Roman"/>
          <w:sz w:val="28"/>
          <w:szCs w:val="28"/>
          <w:lang w:bidi="ar-SA"/>
        </w:rPr>
        <w:t>3</w:t>
      </w:r>
      <w:r w:rsidR="007F345D">
        <w:rPr>
          <w:rFonts w:ascii="Times New Roman" w:hAnsi="Times New Roman" w:cs="Times New Roman"/>
          <w:sz w:val="28"/>
          <w:szCs w:val="28"/>
          <w:lang w:val="en-US" w:bidi="ar-SA"/>
        </w:rPr>
        <w:t>A</w:t>
      </w:r>
      <w:r w:rsidR="007F345D" w:rsidRPr="007F345D">
        <w:rPr>
          <w:rFonts w:ascii="Times New Roman" w:hAnsi="Times New Roman" w:cs="Times New Roman"/>
          <w:sz w:val="28"/>
          <w:szCs w:val="28"/>
          <w:lang w:bidi="ar-SA"/>
        </w:rPr>
        <w:t xml:space="preserve">5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776746</w:t>
      </w:r>
      <w:r w:rsidR="007F345D">
        <w:rPr>
          <w:rFonts w:ascii="Times New Roman" w:hAnsi="Times New Roman" w:cs="Times New Roman"/>
          <w:sz w:val="28"/>
          <w:szCs w:val="28"/>
          <w:lang w:bidi="ar-SA"/>
        </w:rPr>
        <w:t>, а также гетерозиготного</w:t>
      </w:r>
      <w:r w:rsidR="007F345D" w:rsidRPr="007F345D">
        <w:rPr>
          <w:rFonts w:ascii="Times New Roman" w:hAnsi="Times New Roman" w:cs="Times New Roman"/>
          <w:sz w:val="28"/>
          <w:szCs w:val="28"/>
          <w:lang w:bidi="ar-SA"/>
        </w:rPr>
        <w:t xml:space="preserve"> </w:t>
      </w:r>
      <w:r w:rsidR="007F345D">
        <w:rPr>
          <w:rFonts w:ascii="Times New Roman" w:hAnsi="Times New Roman" w:cs="Times New Roman"/>
          <w:sz w:val="28"/>
          <w:szCs w:val="28"/>
          <w:lang w:val="en-US" w:bidi="ar-SA"/>
        </w:rPr>
        <w:t>ABCG</w:t>
      </w:r>
      <w:r w:rsidR="007F345D" w:rsidRPr="007F345D">
        <w:rPr>
          <w:rFonts w:ascii="Times New Roman" w:hAnsi="Times New Roman" w:cs="Times New Roman"/>
          <w:sz w:val="28"/>
          <w:szCs w:val="28"/>
          <w:lang w:bidi="ar-SA"/>
        </w:rPr>
        <w:t xml:space="preserve">2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2231142</w:t>
      </w:r>
      <w:r w:rsidR="007F345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{"citationID":"jhCfIqwt","properties":{"unsorted":false,"formattedCitation":"[141]","plainCitation":"[141]","noteIndex":0},"citationItems":[{"id":125,"uris":["http://zotero.org/users/14784094/items/QQJMVMC9"],"itemData":{"id":125,"type":"article-journal","abstract":"BACKGROUND: Apixaban effectively lowers the risk of ischemic stroke and systemic embolism in patients with non-valvular atrial fibrillation. Systemic exposure to a given apixaban dose depends on multiple clearance pathways. Though routine quantification of direct oral anticoagulants (DOACs) in neurological emergency situations has not been widely established, suspected associations of DOAC peak concentrations with bleeding events and DOAC trough concentrations with efficacy and safety suggest that such information might support clinical decision making.\nCASE PRESENTATION: We describe the case of a 75 year-old woman with atrial fibrillation maintained on apixaban who was admitted due to suspected acute stroke. Clinical work-up did not confirm ischemic or hemorrhagic stroke but routine quantification of apixaban revealed an excessively high apixaban plasma concentration (~ 3 h after the last drug intake: 1100 ng/ml (expected range: 91-321 ng/ml); ~ 12 h after drug intake: 900 ng/ml (expected range: 41-230 ng/ml)) and a substantially prolonged elimination half-life (~ 31 h). The corresponding apixaban concentration-to-dose ratio was 9900 (ng/ml)/(mg/kg/d) and 8100 (ng/ml)/(mg/kg/d), respectively (expected range: 249-463 (ng/ml)/(mg/kg/d)). Renal function was only moderately impaired (creatinine 1.36 mg/dl (0.5-1.1 mg/dl), creatinine clearance 40 ml/min). Genotype analyses revealed that the patient was a CYP3A5*3/*3 non-expressor, a heterozygous carrier of the ABCG2 c.421C/A alleles, and a homozygous carrier of ABCB1 c.2677 T/T and ABCB1 c.3435 T/T. In the absence of known drug interactions explaining apixaban clearance impairment, excessive apixaban concentrations were most probably caused by moderate renal impairment combined with multiple functional polymorphisms of apixaban clearance pathways.\nCONCLUSIONS: This case suggests that concurrent genetic polymorphisms can impair multiple apixaban elimination pathways and thus substantially increase its exposure.","container-title":"BMC pharmacology &amp; toxicology","DOI":"10.1186/s40360-019-0331-9","ISSN":"2050-6511","issue":"1","journalAbbreviation":"BMC Pharmacol Toxicol","language":"eng","page":"53","PMID":"31464657","PMCID":"PMC6716843","source":"PubMed","title":"Unexpected excessive apixaban exposure: case report of a patient with polymorphisms of multiple apixaban elimination pathways","title-short":"Unexpected excessive apixaban exposure","volume":"20","author":[{"family":"Huppertz","given":"Andrea"},{"family":"Grond-Ginsbach","given":"Caspar"},{"family":"Dumschat","given":"Chris"},{"family":"Foerster","given":"Kathrin I."},{"family":"Burhenne","given":"Jürgen"},{"family":"Weiss","given":"Johanna"},{"family":"Czock","given":"David"},{"family":"Purrucker","given":"Jan C."},{"family":"Rizos","given":"Timolaos"},{"family":"Haefeli","given":"Walter E."}],"issued":{"date-parts":[["2019",8,29]]}}}],"schema":"https://github.com/citation-style-language/schema/raw/master/csl-citation.json"} </w:instrText>
      </w:r>
      <w:r w:rsidR="007F345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[141]</w:t>
      </w:r>
      <w:r w:rsidR="007F345D">
        <w:rPr>
          <w:rFonts w:ascii="Times New Roman" w:hAnsi="Times New Roman" w:cs="Times New Roman"/>
          <w:sz w:val="28"/>
          <w:szCs w:val="28"/>
          <w:lang w:bidi="ar-SA"/>
        </w:rPr>
        <w:fldChar w:fldCharType="end"/>
      </w:r>
      <w:r w:rsidR="007F345D" w:rsidRPr="007F345D">
        <w:rPr>
          <w:rFonts w:ascii="Times New Roman" w:hAnsi="Times New Roman" w:cs="Times New Roman"/>
          <w:sz w:val="28"/>
          <w:szCs w:val="28"/>
          <w:lang w:bidi="ar-SA"/>
        </w:rPr>
        <w:t>.</w:t>
      </w:r>
      <w:r w:rsidR="007F345D">
        <w:rPr>
          <w:rFonts w:ascii="Times New Roman" w:hAnsi="Times New Roman" w:cs="Times New Roman"/>
          <w:sz w:val="28"/>
          <w:szCs w:val="28"/>
          <w:lang w:bidi="ar-SA"/>
        </w:rPr>
        <w:t xml:space="preserve"> Исследование </w:t>
      </w:r>
      <w:r w:rsidR="007F345D">
        <w:rPr>
          <w:rFonts w:ascii="Times New Roman" w:hAnsi="Times New Roman" w:cs="Times New Roman"/>
          <w:sz w:val="28"/>
          <w:szCs w:val="28"/>
          <w:lang w:val="en-US" w:bidi="ar-SA"/>
        </w:rPr>
        <w:t>Dimatteo</w:t>
      </w:r>
      <w:r w:rsidR="007F345D" w:rsidRPr="007F345D">
        <w:rPr>
          <w:rFonts w:ascii="Times New Roman" w:hAnsi="Times New Roman" w:cs="Times New Roman"/>
          <w:sz w:val="28"/>
          <w:szCs w:val="28"/>
          <w:lang w:bidi="ar-SA"/>
        </w:rPr>
        <w:t xml:space="preserve"> </w:t>
      </w:r>
      <w:r w:rsidR="007F345D">
        <w:rPr>
          <w:rFonts w:ascii="Times New Roman" w:hAnsi="Times New Roman" w:cs="Times New Roman"/>
          <w:sz w:val="28"/>
          <w:szCs w:val="28"/>
          <w:lang w:val="en-US" w:bidi="ar-SA"/>
        </w:rPr>
        <w:t>et</w:t>
      </w:r>
      <w:r w:rsidR="007F345D" w:rsidRPr="007F345D">
        <w:rPr>
          <w:rFonts w:ascii="Times New Roman" w:hAnsi="Times New Roman" w:cs="Times New Roman"/>
          <w:sz w:val="28"/>
          <w:szCs w:val="28"/>
          <w:lang w:bidi="ar-SA"/>
        </w:rPr>
        <w:t xml:space="preserve"> </w:t>
      </w:r>
      <w:r w:rsidR="007F345D">
        <w:rPr>
          <w:rFonts w:ascii="Times New Roman" w:hAnsi="Times New Roman" w:cs="Times New Roman"/>
          <w:sz w:val="28"/>
          <w:szCs w:val="28"/>
          <w:lang w:val="en-US" w:bidi="ar-SA"/>
        </w:rPr>
        <w:t>al</w:t>
      </w:r>
      <w:r w:rsidR="007F345D" w:rsidRPr="007F345D">
        <w:rPr>
          <w:rFonts w:ascii="Times New Roman" w:hAnsi="Times New Roman" w:cs="Times New Roman"/>
          <w:sz w:val="28"/>
          <w:szCs w:val="28"/>
          <w:lang w:bidi="ar-SA"/>
        </w:rPr>
        <w:t>. (</w:t>
      </w:r>
      <w:r w:rsidR="007F345D">
        <w:rPr>
          <w:rFonts w:ascii="Times New Roman" w:hAnsi="Times New Roman" w:cs="Times New Roman"/>
          <w:sz w:val="28"/>
          <w:szCs w:val="28"/>
          <w:lang w:val="en-US" w:bidi="ar-SA"/>
        </w:rPr>
        <w:t>n</w:t>
      </w:r>
      <w:r w:rsidR="007F345D" w:rsidRPr="007F345D">
        <w:rPr>
          <w:rFonts w:ascii="Times New Roman" w:hAnsi="Times New Roman" w:cs="Times New Roman"/>
          <w:sz w:val="28"/>
          <w:szCs w:val="28"/>
          <w:lang w:bidi="ar-SA"/>
        </w:rPr>
        <w:t>=80)</w:t>
      </w:r>
      <w:r w:rsidR="007F345D">
        <w:rPr>
          <w:rFonts w:ascii="Times New Roman" w:hAnsi="Times New Roman" w:cs="Times New Roman"/>
          <w:sz w:val="28"/>
          <w:szCs w:val="28"/>
          <w:lang w:bidi="ar-SA"/>
        </w:rPr>
        <w:t xml:space="preserve"> выявило достоверную связь полиморфизма </w:t>
      </w:r>
      <w:r w:rsidR="007F345D">
        <w:rPr>
          <w:rFonts w:ascii="Times New Roman" w:hAnsi="Times New Roman" w:cs="Times New Roman"/>
          <w:sz w:val="28"/>
          <w:szCs w:val="28"/>
          <w:lang w:val="en-US" w:bidi="ar-SA"/>
        </w:rPr>
        <w:t>ABCB</w:t>
      </w:r>
      <w:r w:rsidR="007F345D" w:rsidRPr="007F345D">
        <w:rPr>
          <w:rFonts w:ascii="Times New Roman" w:hAnsi="Times New Roman" w:cs="Times New Roman"/>
          <w:sz w:val="28"/>
          <w:szCs w:val="28"/>
          <w:lang w:bidi="ar-SA"/>
        </w:rPr>
        <w:t xml:space="preserve">1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4148738</w:t>
      </w:r>
      <w:r w:rsidR="007F345D">
        <w:rPr>
          <w:rFonts w:ascii="Times New Roman" w:hAnsi="Times New Roman" w:cs="Times New Roman"/>
          <w:sz w:val="28"/>
          <w:szCs w:val="28"/>
          <w:lang w:bidi="ar-SA"/>
        </w:rPr>
        <w:t xml:space="preserve"> с вариабельностью пиковых концентраций: носители генотипа АА демонстрировали более высокие уровни по сравнению с носителями аллели </w:t>
      </w:r>
      <w:r w:rsidR="007F345D">
        <w:rPr>
          <w:rFonts w:ascii="Times New Roman" w:hAnsi="Times New Roman" w:cs="Times New Roman"/>
          <w:sz w:val="28"/>
          <w:szCs w:val="28"/>
          <w:lang w:val="en-US" w:bidi="ar-SA"/>
        </w:rPr>
        <w:t>G</w:t>
      </w:r>
      <w:r w:rsidR="007F345D">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0jgExr6v","properties":{"unsorted":false,"formattedCitation":"[142]","plainCitation":"[142]","noteIndex":0},"citationItems":[{"id":124,"uris":["http://zotero.org/users/14784094/items/5SHW2PTW"],"itemData":{"id":124,"type":"article-journal","container-title":"Thrombosis Research","DOI":"10.1016/j.thromres.2016.07.005","ISSN":"1879-2472","journalAbbreviation":"Thromb Res","language":"eng","page":"24-26","PMID":"27434880","source":"PubMed","title":"ABCB1 SNP rs4148738 modulation of apixaban interindividual variability","volume":"145","author":[{"family":"Dimatteo","given":"Claudia"},{"family":"D'Andrea","given":"Giovanna"},{"family":"Vecchione","given":"Gennaro"},{"family":"Paoletti","given":"Oriana"},{"family":"Tiscia","given":"Giovanni Luca"},{"family":"Santacroce","given":"Rosa"},{"family":"Correale","given":"Michele"},{"family":"Brunetti","given":"Natale"},{"family":"Grandone","given":"Elvira"},{"family":"Testa","given":"Sophie"},{"family":"Margaglione","given":"Maurizio"}],"issued":{"date-parts":[["2016",9]]}}}],"schema":"https://github.com/citation-style-language/schema/raw/master/csl-citation.json"} </w:instrText>
      </w:r>
      <w:r w:rsidR="007F345D">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[142]</w:t>
      </w:r>
      <w:r w:rsidR="007F345D">
        <w:rPr>
          <w:rFonts w:ascii="Times New Roman" w:hAnsi="Times New Roman" w:cs="Times New Roman"/>
          <w:sz w:val="28"/>
          <w:szCs w:val="28"/>
          <w:lang w:val="en-US" w:bidi="ar-SA"/>
        </w:rPr>
        <w:fldChar w:fldCharType="end"/>
      </w:r>
      <w:r w:rsidR="007F345D" w:rsidRPr="007F345D">
        <w:rPr>
          <w:rFonts w:ascii="Times New Roman" w:hAnsi="Times New Roman" w:cs="Times New Roman"/>
          <w:sz w:val="28"/>
          <w:szCs w:val="28"/>
          <w:lang w:bidi="ar-SA"/>
        </w:rPr>
        <w:t xml:space="preserve">. </w:t>
      </w:r>
      <w:r w:rsidR="007F345D">
        <w:rPr>
          <w:rFonts w:ascii="Times New Roman" w:hAnsi="Times New Roman" w:cs="Times New Roman"/>
          <w:sz w:val="28"/>
          <w:szCs w:val="28"/>
          <w:lang w:bidi="ar-SA"/>
        </w:rPr>
        <w:t xml:space="preserve">Фармакокинетический анализ </w:t>
      </w:r>
      <w:r w:rsidR="007F345D">
        <w:rPr>
          <w:rFonts w:ascii="Times New Roman" w:hAnsi="Times New Roman" w:cs="Times New Roman"/>
          <w:sz w:val="28"/>
          <w:szCs w:val="28"/>
          <w:lang w:val="en-US" w:bidi="ar-SA"/>
        </w:rPr>
        <w:t>Ueshima</w:t>
      </w:r>
      <w:r w:rsidR="007F345D" w:rsidRPr="007F345D">
        <w:rPr>
          <w:rFonts w:ascii="Times New Roman" w:hAnsi="Times New Roman" w:cs="Times New Roman"/>
          <w:sz w:val="28"/>
          <w:szCs w:val="28"/>
          <w:lang w:bidi="ar-SA"/>
        </w:rPr>
        <w:t xml:space="preserve"> (</w:t>
      </w:r>
      <w:r w:rsidR="007F345D">
        <w:rPr>
          <w:rFonts w:ascii="Times New Roman" w:hAnsi="Times New Roman" w:cs="Times New Roman"/>
          <w:sz w:val="28"/>
          <w:szCs w:val="28"/>
          <w:lang w:val="en-US" w:bidi="ar-SA"/>
        </w:rPr>
        <w:t>n</w:t>
      </w:r>
      <w:r w:rsidR="007F345D" w:rsidRPr="007F345D">
        <w:rPr>
          <w:rFonts w:ascii="Times New Roman" w:hAnsi="Times New Roman" w:cs="Times New Roman"/>
          <w:sz w:val="28"/>
          <w:szCs w:val="28"/>
          <w:lang w:bidi="ar-SA"/>
        </w:rPr>
        <w:t>=44,</w:t>
      </w:r>
      <w:r w:rsidR="007F345D">
        <w:rPr>
          <w:rFonts w:ascii="Times New Roman" w:hAnsi="Times New Roman" w:cs="Times New Roman"/>
          <w:sz w:val="28"/>
          <w:szCs w:val="28"/>
          <w:lang w:bidi="ar-SA"/>
        </w:rPr>
        <w:t xml:space="preserve"> японские пациенты с ФП</w:t>
      </w:r>
      <w:r w:rsidR="007F345D" w:rsidRPr="007F345D">
        <w:rPr>
          <w:rFonts w:ascii="Times New Roman" w:hAnsi="Times New Roman" w:cs="Times New Roman"/>
          <w:sz w:val="28"/>
          <w:szCs w:val="28"/>
          <w:lang w:bidi="ar-SA"/>
        </w:rPr>
        <w:t>)</w:t>
      </w:r>
      <w:r w:rsidR="007F345D">
        <w:rPr>
          <w:rFonts w:ascii="Times New Roman" w:hAnsi="Times New Roman" w:cs="Times New Roman"/>
          <w:sz w:val="28"/>
          <w:szCs w:val="28"/>
          <w:lang w:bidi="ar-SA"/>
        </w:rPr>
        <w:t xml:space="preserve"> показал ассоциацию полиморфизмов </w:t>
      </w:r>
      <w:r w:rsidR="007F345D">
        <w:rPr>
          <w:rFonts w:ascii="Times New Roman" w:hAnsi="Times New Roman" w:cs="Times New Roman"/>
          <w:sz w:val="28"/>
          <w:szCs w:val="28"/>
          <w:lang w:val="en-US" w:bidi="ar-SA"/>
        </w:rPr>
        <w:t>ABCG</w:t>
      </w:r>
      <w:r w:rsidR="007F345D" w:rsidRPr="007F345D">
        <w:rPr>
          <w:rFonts w:ascii="Times New Roman" w:hAnsi="Times New Roman" w:cs="Times New Roman"/>
          <w:sz w:val="28"/>
          <w:szCs w:val="28"/>
          <w:lang w:bidi="ar-SA"/>
        </w:rPr>
        <w:t xml:space="preserve">2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 xml:space="preserve">2231142 </w:t>
      </w:r>
      <w:r w:rsidR="007F345D">
        <w:rPr>
          <w:rFonts w:ascii="Times New Roman" w:hAnsi="Times New Roman" w:cs="Times New Roman"/>
          <w:sz w:val="28"/>
          <w:szCs w:val="28"/>
          <w:lang w:bidi="ar-SA"/>
        </w:rPr>
        <w:t xml:space="preserve">и </w:t>
      </w:r>
      <w:r w:rsidR="007F345D">
        <w:rPr>
          <w:rFonts w:ascii="Times New Roman" w:hAnsi="Times New Roman" w:cs="Times New Roman"/>
          <w:sz w:val="28"/>
          <w:szCs w:val="28"/>
          <w:lang w:val="en-US" w:bidi="ar-SA"/>
        </w:rPr>
        <w:t>CYP</w:t>
      </w:r>
      <w:r w:rsidR="007F345D" w:rsidRPr="007F345D">
        <w:rPr>
          <w:rFonts w:ascii="Times New Roman" w:hAnsi="Times New Roman" w:cs="Times New Roman"/>
          <w:sz w:val="28"/>
          <w:szCs w:val="28"/>
          <w:lang w:bidi="ar-SA"/>
        </w:rPr>
        <w:t>3</w:t>
      </w:r>
      <w:r w:rsidR="007F345D">
        <w:rPr>
          <w:rFonts w:ascii="Times New Roman" w:hAnsi="Times New Roman" w:cs="Times New Roman"/>
          <w:sz w:val="28"/>
          <w:szCs w:val="28"/>
          <w:lang w:val="en-US" w:bidi="ar-SA"/>
        </w:rPr>
        <w:t>A</w:t>
      </w:r>
      <w:r w:rsidR="007F345D" w:rsidRPr="007F345D">
        <w:rPr>
          <w:rFonts w:ascii="Times New Roman" w:hAnsi="Times New Roman" w:cs="Times New Roman"/>
          <w:sz w:val="28"/>
          <w:szCs w:val="28"/>
          <w:lang w:bidi="ar-SA"/>
        </w:rPr>
        <w:t xml:space="preserve">5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776746</w:t>
      </w:r>
      <w:r w:rsidR="007F345D">
        <w:rPr>
          <w:rFonts w:ascii="Times New Roman" w:hAnsi="Times New Roman" w:cs="Times New Roman"/>
          <w:sz w:val="28"/>
          <w:szCs w:val="28"/>
          <w:lang w:bidi="ar-SA"/>
        </w:rPr>
        <w:t xml:space="preserve"> с повышенными концентрациями апиксабана, тогда как </w:t>
      </w:r>
      <w:r w:rsidR="007F345D">
        <w:rPr>
          <w:rFonts w:ascii="Times New Roman" w:hAnsi="Times New Roman" w:cs="Times New Roman"/>
          <w:sz w:val="28"/>
          <w:szCs w:val="28"/>
          <w:lang w:val="en-US" w:bidi="ar-SA"/>
        </w:rPr>
        <w:t>ABCB</w:t>
      </w:r>
      <w:r w:rsidR="007F345D" w:rsidRPr="007F345D">
        <w:rPr>
          <w:rFonts w:ascii="Times New Roman" w:hAnsi="Times New Roman" w:cs="Times New Roman"/>
          <w:sz w:val="28"/>
          <w:szCs w:val="28"/>
          <w:lang w:bidi="ar-SA"/>
        </w:rPr>
        <w:t xml:space="preserve">1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 xml:space="preserve">1128503,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 xml:space="preserve">2032582 </w:t>
      </w:r>
      <w:r w:rsidR="007F345D">
        <w:rPr>
          <w:rFonts w:ascii="Times New Roman" w:hAnsi="Times New Roman" w:cs="Times New Roman"/>
          <w:sz w:val="28"/>
          <w:szCs w:val="28"/>
          <w:lang w:bidi="ar-SA"/>
        </w:rPr>
        <w:t xml:space="preserve">и </w:t>
      </w:r>
      <w:r w:rsidR="007F345D">
        <w:rPr>
          <w:rFonts w:ascii="Times New Roman" w:hAnsi="Times New Roman" w:cs="Times New Roman"/>
          <w:sz w:val="28"/>
          <w:szCs w:val="28"/>
          <w:lang w:val="en-US" w:bidi="ar-SA"/>
        </w:rPr>
        <w:t>rs</w:t>
      </w:r>
      <w:r w:rsidR="007F345D" w:rsidRPr="007F345D">
        <w:rPr>
          <w:rFonts w:ascii="Times New Roman" w:hAnsi="Times New Roman" w:cs="Times New Roman"/>
          <w:sz w:val="28"/>
          <w:szCs w:val="28"/>
          <w:lang w:bidi="ar-SA"/>
        </w:rPr>
        <w:t>1045642</w:t>
      </w:r>
      <w:r w:rsidR="007F345D">
        <w:rPr>
          <w:rFonts w:ascii="Times New Roman" w:hAnsi="Times New Roman" w:cs="Times New Roman"/>
          <w:sz w:val="28"/>
          <w:szCs w:val="28"/>
          <w:lang w:bidi="ar-SA"/>
        </w:rPr>
        <w:t xml:space="preserve"> не влияли на минимальную концентрацию</w:t>
      </w:r>
      <w:r w:rsidR="007F345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{"citationID":"cslVkFvO","properties":{"unsorted":false,"formattedCitation":"[143]","plainCitation":"[143]","noteIndex":0},"citationItems":[{"id":698,"uris":["http://zotero.org/users/14784094/items/ELLID4F5"],"itemData":{"id":698,"type":"article-journal","abstract":"METHODS Data were collected from 81 Japanese patients with atrial ﬁbrillation. Pharmacogenomic data were stratiﬁed by ABCB1, ABCG2 and CYP3A5 polymorphisms. The pharmacokinetic proﬁle of apixaban was described by a one-compartment model with ﬁrst-order absorption. Population pharmacokinetic analysis was conducted using a nonlinear mixed effect modelling (NONMEM™) program.\nRESULTS The nonlinear relationship between oral clearance (CL/F) of apixaban and creatinine clearance (Ccr) was observed. The population mean of CL/F for a typical patient (Ccr value of 70 ml minÀ1) with the CYP3A5*1/*1 and ABCG2 421C/C or C/A genotypes was estimated to be 3.06 l hÀ1. When Ccr values were set to the typical value, the population mean of CL/F was 1.52 times higher in patients with the CYP3A5*1/*1 genotype compared with patients with the CYP3A5*1/*3 or *3/*3 genotype, while the population mean of CL/F was 1.49 times higher in patients with the ABCG2 421C/C or C/A genotype compared with patients with the ABCG2 421A/A genotype. However, no covariates affected the population mean of the apparent volume of distribution (Vd/F) of apixaban. The population mean of Vd/F was estimated to be 24.7 l.\nCONCLUSION The present study suggests that the ABCG2 421A/A and CYP3A5*3 genotypes and renal function are intrinsic factors affecting apixaban pharmacokinetics. These ﬁndings may provide useful information for precision medicine using apixaban, to avoid the risk of adverse reactions.","container-title":"British Journal of Clinical Pharmacology","DOI":"10.1111/bcp.13561","ISSN":"0306-5251, 1365-2125","issue":"6","journalAbbreviation":"Brit J Clinical Pharma","language":"en","license":"http://onlinelibrary.wiley.com/termsAndConditions#vor","page":"1301-1312","source":"DOI.org (Crossref)","title":"Population pharmacokinetics and pharmacogenomics of apixaban in Japanese adult patients with atrial fibrillation","volume":"84","author":[{"family":"Ueshima","given":"Satoshi"},{"family":"Hira","given":"Daiki"},{"family":"Kimura","given":"Yuuma"},{"family":"Fujii","given":"Ryo"},{"family":"Tomitsuka","given":"Chiho"},{"family":"Yamane","given":"Takuya"},{"family":"Tabuchi","given":"Yohei"},{"family":"Ozawa","given":"Tomoya"},{"family":"Itoh","given":"Hideki"},{"family":"Ohno","given":"Seiko"},{"family":"Horie","given":"Minoru"},{"family":"Terada","given":"Tomohiro"},{"family":"Katsura","given":"Toshiya"}],"issued":{"date-parts":[["2018",6]]}}}],"schema":"https://github.com/citation-style-language/schema/raw/master/csl-citation.json"} </w:instrText>
      </w:r>
      <w:r w:rsidR="007F345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[143]</w:t>
      </w:r>
      <w:r w:rsidR="007F345D">
        <w:rPr>
          <w:rFonts w:ascii="Times New Roman" w:hAnsi="Times New Roman" w:cs="Times New Roman"/>
          <w:sz w:val="28"/>
          <w:szCs w:val="28"/>
          <w:lang w:bidi="ar-SA"/>
        </w:rPr>
        <w:fldChar w:fldCharType="end"/>
      </w:r>
      <w:r w:rsidR="007F345D">
        <w:rPr>
          <w:rFonts w:ascii="Times New Roman" w:hAnsi="Times New Roman" w:cs="Times New Roman"/>
          <w:sz w:val="28"/>
          <w:szCs w:val="28"/>
          <w:lang w:bidi="ar-SA"/>
        </w:rPr>
        <w:t>. При этом аллель Т</w:t>
      </w:r>
      <w:r w:rsidR="007F345D" w:rsidRPr="00A41CDA">
        <w:rPr>
          <w:rFonts w:ascii="Times New Roman" w:hAnsi="Times New Roman" w:cs="Times New Roman"/>
          <w:sz w:val="28"/>
          <w:szCs w:val="28"/>
          <w:lang w:bidi="ar-SA"/>
        </w:rPr>
        <w:t xml:space="preserve"> </w:t>
      </w:r>
      <w:r w:rsidR="007F345D">
        <w:rPr>
          <w:rFonts w:ascii="Times New Roman" w:hAnsi="Times New Roman" w:cs="Times New Roman"/>
          <w:sz w:val="28"/>
          <w:szCs w:val="28"/>
          <w:lang w:val="en-US" w:bidi="ar-SA"/>
        </w:rPr>
        <w:t>rs</w:t>
      </w:r>
      <w:r w:rsidR="007F345D" w:rsidRPr="00A41CDA">
        <w:rPr>
          <w:rFonts w:ascii="Times New Roman" w:hAnsi="Times New Roman" w:cs="Times New Roman"/>
          <w:sz w:val="28"/>
          <w:szCs w:val="28"/>
          <w:lang w:bidi="ar-SA"/>
        </w:rPr>
        <w:t>776</w:t>
      </w:r>
      <w:r w:rsidR="00A41CDA" w:rsidRPr="00A41CDA">
        <w:rPr>
          <w:rFonts w:ascii="Times New Roman" w:hAnsi="Times New Roman" w:cs="Times New Roman"/>
          <w:sz w:val="28"/>
          <w:szCs w:val="28"/>
          <w:lang w:bidi="ar-SA"/>
        </w:rPr>
        <w:t xml:space="preserve">746 </w:t>
      </w:r>
      <w:r w:rsidR="00A41CDA">
        <w:rPr>
          <w:rFonts w:ascii="Times New Roman" w:hAnsi="Times New Roman" w:cs="Times New Roman"/>
          <w:sz w:val="28"/>
          <w:szCs w:val="28"/>
          <w:lang w:bidi="ar-SA"/>
        </w:rPr>
        <w:t xml:space="preserve">гена </w:t>
      </w:r>
      <w:r w:rsidR="00A41CDA">
        <w:rPr>
          <w:rFonts w:ascii="Times New Roman" w:hAnsi="Times New Roman" w:cs="Times New Roman"/>
          <w:sz w:val="28"/>
          <w:szCs w:val="28"/>
          <w:lang w:val="en-US" w:bidi="ar-SA"/>
        </w:rPr>
        <w:t>CYP</w:t>
      </w:r>
      <w:r w:rsidR="00A41CDA" w:rsidRPr="00A41CDA">
        <w:rPr>
          <w:rFonts w:ascii="Times New Roman" w:hAnsi="Times New Roman" w:cs="Times New Roman"/>
          <w:sz w:val="28"/>
          <w:szCs w:val="28"/>
          <w:lang w:bidi="ar-SA"/>
        </w:rPr>
        <w:t>3</w:t>
      </w:r>
      <w:r w:rsidR="00A41CDA">
        <w:rPr>
          <w:rFonts w:ascii="Times New Roman" w:hAnsi="Times New Roman" w:cs="Times New Roman"/>
          <w:sz w:val="28"/>
          <w:szCs w:val="28"/>
          <w:lang w:val="en-US" w:bidi="ar-SA"/>
        </w:rPr>
        <w:t>A</w:t>
      </w:r>
      <w:r w:rsidR="00A41CDA" w:rsidRPr="00A41CDA">
        <w:rPr>
          <w:rFonts w:ascii="Times New Roman" w:hAnsi="Times New Roman" w:cs="Times New Roman"/>
          <w:sz w:val="28"/>
          <w:szCs w:val="28"/>
          <w:lang w:bidi="ar-SA"/>
        </w:rPr>
        <w:t>5</w:t>
      </w:r>
      <w:r w:rsidR="00A41CDA">
        <w:rPr>
          <w:rFonts w:ascii="Times New Roman" w:hAnsi="Times New Roman" w:cs="Times New Roman"/>
          <w:sz w:val="28"/>
          <w:szCs w:val="28"/>
          <w:lang w:bidi="ar-SA"/>
        </w:rPr>
        <w:t xml:space="preserve"> может повышать клиренс препарата</w:t>
      </w:r>
      <w:r w:rsidR="00A41CD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{"citationID":"jIOLaV1B","properties":{"unsorted":false,"formattedCitation":"[143]","plainCitation":"[143]","noteIndex":0},"citationItems":[{"id":698,"uris":["http://zotero.org/users/14784094/items/ELLID4F5"],"itemData":{"id":698,"type":"article-journal","abstract":"METHODS Data were collected from 81 Japanese patients with atrial ﬁbrillation. Pharmacogenomic data were stratiﬁed by ABCB1, ABCG2 and CYP3A5 polymorphisms. The pharmacokinetic proﬁle of apixaban was described by a one-compartment model with ﬁrst-order absorption. Population pharmacokinetic analysis was conducted using a nonlinear mixed effect modelling (NONMEM™) program.\nRESULTS The nonlinear relationship between oral clearance (CL/F) of apixaban and creatinine clearance (Ccr) was observed. The population mean of CL/F for a typical patient (Ccr value of 70 ml minÀ1) with the CYP3A5*1/*1 and ABCG2 421C/C or C/A genotypes was estimated to be 3.06 l hÀ1. When Ccr values were set to the typical value, the population mean of CL/F was 1.52 times higher in patients with the CYP3A5*1/*1 genotype compared with patients with the CYP3A5*1/*3 or *3/*3 genotype, while the population mean of CL/F was 1.49 times higher in patients with the ABCG2 421C/C or C/A genotype compared with patients with the ABCG2 421A/A genotype. However, no covariates affected the population mean of the apparent volume of distribution (Vd/F) of apixaban. The population mean of Vd/F was estimated to be 24.7 l.\nCONCLUSION The present study suggests that the ABCG2 421A/A and CYP3A5*3 genotypes and renal function are intrinsic factors affecting apixaban pharmacokinetics. These ﬁndings may provide useful information for precision medicine using apixaban, to avoid the risk of adverse reactions.","container-title":"British Journal of Clinical Pharmacology","DOI":"10.1111/bcp.13561","ISSN":"0306-5251, 1365-2125","issue":"6","journalAbbreviation":"Brit J Clinical Pharma","language":"en","license":"http://onlinelibrary.wiley.com/termsAndConditions#vor","page":"1301-1312","source":"DOI.org (Crossref)","title":"Population pharmacokinetics and pharmacogenomics of apixaban in Japanese adult patients with atrial fibrillation","volume":"84","author":[{"family":"Ueshima","given":"Satoshi"},{"family":"Hira","given":"Daiki"},{"family":"Kimura","given":"Yuuma"},{"family":"Fujii","given":"Ryo"},{"family":"Tomitsuka","given":"Chiho"},{"family":"Yamane","given":"Takuya"},{"family":"Tabuchi","given":"Yohei"},{"family":"Ozawa","given":"Tomoya"},{"family":"Itoh","given":"Hideki"},{"family":"Ohno","given":"Seiko"},{"family":"Horie","given":"Minoru"},{"family":"Terada","given":"Tomohiro"},{"family":"Katsura","given":"Toshiya"}],"issued":{"date-parts":[["2018",6]]}}}],"schema":"https://github.com/citation-style-language/schema/raw/master/csl-citation.json"} </w:instrText>
      </w:r>
      <w:r w:rsidR="00A41CD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[143]</w:t>
      </w:r>
      <w:r w:rsidR="00A41CDA">
        <w:rPr>
          <w:rFonts w:ascii="Times New Roman" w:hAnsi="Times New Roman" w:cs="Times New Roman"/>
          <w:sz w:val="28"/>
          <w:szCs w:val="28"/>
          <w:lang w:bidi="ar-SA"/>
        </w:rPr>
        <w:fldChar w:fldCharType="end"/>
      </w:r>
      <w:r w:rsidR="00A41CDA">
        <w:rPr>
          <w:rFonts w:ascii="Times New Roman" w:hAnsi="Times New Roman" w:cs="Times New Roman"/>
          <w:sz w:val="28"/>
          <w:szCs w:val="28"/>
          <w:lang w:bidi="ar-SA"/>
        </w:rPr>
        <w:t xml:space="preserve">. Исследование </w:t>
      </w:r>
      <w:r w:rsidR="00A41CDA">
        <w:rPr>
          <w:rFonts w:ascii="Times New Roman" w:hAnsi="Times New Roman" w:cs="Times New Roman"/>
          <w:sz w:val="28"/>
          <w:szCs w:val="28"/>
          <w:lang w:val="en-US" w:bidi="ar-SA"/>
        </w:rPr>
        <w:t>Gulilat</w:t>
      </w:r>
      <w:r w:rsidR="00A41CDA" w:rsidRPr="00A41CDA">
        <w:rPr>
          <w:rFonts w:ascii="Times New Roman" w:hAnsi="Times New Roman" w:cs="Times New Roman"/>
          <w:sz w:val="28"/>
          <w:szCs w:val="28"/>
          <w:lang w:bidi="ar-SA"/>
        </w:rPr>
        <w:t xml:space="preserve"> (2020, </w:t>
      </w:r>
      <w:r w:rsidR="00A41CDA">
        <w:rPr>
          <w:rFonts w:ascii="Times New Roman" w:hAnsi="Times New Roman" w:cs="Times New Roman"/>
          <w:sz w:val="28"/>
          <w:szCs w:val="28"/>
          <w:lang w:val="en-US" w:bidi="ar-SA"/>
        </w:rPr>
        <w:t>n</w:t>
      </w:r>
      <w:r w:rsidR="00A41CDA" w:rsidRPr="00A41CDA">
        <w:rPr>
          <w:rFonts w:ascii="Times New Roman" w:hAnsi="Times New Roman" w:cs="Times New Roman"/>
          <w:sz w:val="28"/>
          <w:szCs w:val="28"/>
          <w:lang w:bidi="ar-SA"/>
        </w:rPr>
        <w:t>=358)</w:t>
      </w:r>
      <w:r w:rsidR="00A41CDA">
        <w:rPr>
          <w:rFonts w:ascii="Times New Roman" w:hAnsi="Times New Roman" w:cs="Times New Roman"/>
          <w:sz w:val="28"/>
          <w:szCs w:val="28"/>
          <w:lang w:bidi="ar-SA"/>
        </w:rPr>
        <w:t xml:space="preserve"> продемонстрировало связь варианта </w:t>
      </w:r>
      <w:r w:rsidR="00A41CDA">
        <w:rPr>
          <w:rFonts w:ascii="Times New Roman" w:hAnsi="Times New Roman" w:cs="Times New Roman"/>
          <w:sz w:val="28"/>
          <w:szCs w:val="28"/>
          <w:lang w:val="en-US" w:bidi="ar-SA"/>
        </w:rPr>
        <w:t>ABCG</w:t>
      </w:r>
      <w:r w:rsidR="00A41CDA" w:rsidRPr="00A41CDA">
        <w:rPr>
          <w:rFonts w:ascii="Times New Roman" w:hAnsi="Times New Roman" w:cs="Times New Roman"/>
          <w:sz w:val="28"/>
          <w:szCs w:val="28"/>
          <w:lang w:bidi="ar-SA"/>
        </w:rPr>
        <w:t>2</w:t>
      </w:r>
      <w:r w:rsidR="00A41CDA">
        <w:rPr>
          <w:rFonts w:ascii="Times New Roman" w:hAnsi="Times New Roman" w:cs="Times New Roman"/>
          <w:sz w:val="28"/>
          <w:szCs w:val="28"/>
          <w:lang w:val="en-US" w:bidi="ar-SA"/>
        </w:rPr>
        <w:t> </w:t>
      </w:r>
      <w:r w:rsidR="00A41CDA" w:rsidRPr="00A41CDA">
        <w:rPr>
          <w:rFonts w:ascii="Times New Roman" w:hAnsi="Times New Roman" w:cs="Times New Roman"/>
          <w:sz w:val="28"/>
          <w:szCs w:val="28"/>
          <w:lang w:bidi="ar-SA"/>
        </w:rPr>
        <w:t>421</w:t>
      </w:r>
      <w:r w:rsidR="00A41CDA">
        <w:rPr>
          <w:rFonts w:ascii="Times New Roman" w:hAnsi="Times New Roman" w:cs="Times New Roman"/>
          <w:sz w:val="28"/>
          <w:szCs w:val="28"/>
          <w:lang w:val="en-US" w:bidi="ar-SA"/>
        </w:rPr>
        <w:t>C</w:t>
      </w:r>
      <w:r w:rsidR="00A41CDA" w:rsidRPr="00A41CDA">
        <w:rPr>
          <w:rFonts w:ascii="Times New Roman" w:hAnsi="Times New Roman" w:cs="Times New Roman"/>
          <w:sz w:val="28"/>
          <w:szCs w:val="28"/>
          <w:lang w:bidi="ar-SA"/>
        </w:rPr>
        <w:t>&gt;</w:t>
      </w:r>
      <w:r w:rsidR="00A41CDA">
        <w:rPr>
          <w:rFonts w:ascii="Times New Roman" w:hAnsi="Times New Roman" w:cs="Times New Roman"/>
          <w:sz w:val="28"/>
          <w:szCs w:val="28"/>
          <w:lang w:val="en-US" w:bidi="ar-SA"/>
        </w:rPr>
        <w:t>A</w:t>
      </w:r>
      <w:r w:rsidR="00A41CDA">
        <w:rPr>
          <w:rFonts w:ascii="Times New Roman" w:hAnsi="Times New Roman" w:cs="Times New Roman"/>
          <w:sz w:val="28"/>
          <w:szCs w:val="28"/>
          <w:lang w:bidi="ar-SA"/>
        </w:rPr>
        <w:t xml:space="preserve"> (нарушающего функцию транспортера) с повышенными пиковыми и минимальными уровнями апиксабана</w:t>
      </w:r>
      <w:r w:rsidR="00A41CD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{"citationID":"Rki3OZDw","properties":{"unsorted":false,"formattedCitation":"[144]","plainCitation":"[144]","noteIndex":0},"citationItems":[{"id":745,"uris":["http://zotero.org/users/14784094/items/CB66NWCV"],"itemData":{"id":745,"type":"article-journal","abstract":"Factor Xa-inhibitor apixaban is an oral anticoagulant prescribed in atrial fibrillation (AF) for stroke prevention. Its pharmacokinetic profile is known to be affected by cytochrome P450 (CYP)3A metabolism, while it is also a substrate of the efflux transporters ATP-binding cassette (ABC)B1 (P-glycoprotein) and ABCG2 (breast cancer resistance protein, BCRP). In this study, we assessed the impact of interacting medication and pharmacogenetic variation to better explain apixaban concentration differences among 358 Caucasian AF patients. Genotyping (ABCG2, ABCB1, CYP3A4*22, CYP3A5*3) was performed by TaqMan assays, and apixaban quantified by mass spectrometry. The typical patient was on average 77.2 years old, 85.5 kg, and had a serum creatinine of 103.1 µmol/L. Concomitant amiodarone, an antiarrhythmic agent and moderate CYP3A/ABCB1 inhibitor, the impaired-function variant ABCG2 c.421C &gt; A, and sex predicted higher apixaban concentrations when controlling for age, weight and serum creatinine (multivariate regression; ­R2 = 0.34). Our findings suggest that amiodarone and ABCG2 genotype contribute to interpatient apixaban variability beyond known clinical factors.","container-title":"Journal of Thrombosis and Thrombolysis","DOI":"10.1007/s11239-019-01962-2","ISSN":"0929-5305, 1573-742X","issue":"2","journalAbbreviation":"J Thromb Thrombolysis","language":"en","page":"294-303","source":"DOI.org (Crossref)","title":"Drug interactions and pharmacogenetic factors contribute to variation in apixaban concentration in atrial fibrillation patients in routine care","volume":"49","author":[{"family":"Gulilat","given":"Markus"},{"family":"Keller","given":"Denise"},{"family":"Linton","given":"Bradley"},{"family":"Pananos","given":"A. Demetri"},{"family":"Lizotte","given":"Daniel"},{"family":"Dresser","given":"George K."},{"family":"Alfonsi","given":"Jeffrey"},{"family":"Tirona","given":"Rommel G."},{"family":"Kim","given":"Richard B."},{"family":"Schwarz","given":"Ute I."}],"issued":{"date-parts":[["2020",2]]}}}],"schema":"https://github.com/citation-style-language/schema/raw/master/csl-citation.json"} </w:instrText>
      </w:r>
      <w:r w:rsidR="00A41CD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[144]</w:t>
      </w:r>
      <w:r w:rsidR="00A41CDA">
        <w:rPr>
          <w:rFonts w:ascii="Times New Roman" w:hAnsi="Times New Roman" w:cs="Times New Roman"/>
          <w:sz w:val="28"/>
          <w:szCs w:val="28"/>
          <w:lang w:bidi="ar-SA"/>
        </w:rPr>
        <w:fldChar w:fldCharType="end"/>
      </w:r>
      <w:r w:rsidR="00A41CDA">
        <w:rPr>
          <w:rFonts w:ascii="Times New Roman" w:hAnsi="Times New Roman" w:cs="Times New Roman"/>
          <w:sz w:val="28"/>
          <w:szCs w:val="28"/>
          <w:lang w:bidi="ar-SA"/>
        </w:rPr>
        <w:t>. Однако исследование Крюкова и соавт</w:t>
      </w:r>
      <w:r w:rsidR="000F3F21">
        <w:rPr>
          <w:rFonts w:ascii="Times New Roman" w:hAnsi="Times New Roman" w:cs="Times New Roman"/>
          <w:sz w:val="28"/>
          <w:szCs w:val="28"/>
          <w:lang w:bidi="ar-SA"/>
        </w:rPr>
        <w:t>оры</w:t>
      </w:r>
      <w:r w:rsidR="00A41CDA">
        <w:rPr>
          <w:rFonts w:ascii="Times New Roman" w:hAnsi="Times New Roman" w:cs="Times New Roman"/>
          <w:sz w:val="28"/>
          <w:szCs w:val="28"/>
          <w:lang w:bidi="ar-SA"/>
        </w:rPr>
        <w:t xml:space="preserve"> не выявило влияния полиморфизмов </w:t>
      </w:r>
      <w:r w:rsidR="00A41CDA">
        <w:rPr>
          <w:rFonts w:ascii="Times New Roman" w:hAnsi="Times New Roman" w:cs="Times New Roman"/>
          <w:sz w:val="28"/>
          <w:szCs w:val="28"/>
          <w:lang w:val="en-US" w:bidi="ar-SA"/>
        </w:rPr>
        <w:t>CYP</w:t>
      </w:r>
      <w:r w:rsidR="00A41CDA" w:rsidRPr="00A41CDA">
        <w:rPr>
          <w:rFonts w:ascii="Times New Roman" w:hAnsi="Times New Roman" w:cs="Times New Roman"/>
          <w:sz w:val="28"/>
          <w:szCs w:val="28"/>
          <w:lang w:bidi="ar-SA"/>
        </w:rPr>
        <w:t>3</w:t>
      </w:r>
      <w:r w:rsidR="00A41CDA">
        <w:rPr>
          <w:rFonts w:ascii="Times New Roman" w:hAnsi="Times New Roman" w:cs="Times New Roman"/>
          <w:sz w:val="28"/>
          <w:szCs w:val="28"/>
          <w:lang w:val="en-US" w:bidi="ar-SA"/>
        </w:rPr>
        <w:t>A</w:t>
      </w:r>
      <w:r w:rsidR="00A41CDA" w:rsidRPr="00A41CDA">
        <w:rPr>
          <w:rFonts w:ascii="Times New Roman" w:hAnsi="Times New Roman" w:cs="Times New Roman"/>
          <w:sz w:val="28"/>
          <w:szCs w:val="28"/>
          <w:lang w:bidi="ar-SA"/>
        </w:rPr>
        <w:t>5 *3 (</w:t>
      </w:r>
      <w:r w:rsidR="00A41CDA">
        <w:rPr>
          <w:rFonts w:ascii="Times New Roman" w:hAnsi="Times New Roman" w:cs="Times New Roman"/>
          <w:sz w:val="28"/>
          <w:szCs w:val="28"/>
          <w:lang w:val="en-US" w:bidi="ar-SA"/>
        </w:rPr>
        <w:t>rs</w:t>
      </w:r>
      <w:r w:rsidR="00A41CDA" w:rsidRPr="00A41CDA">
        <w:rPr>
          <w:rFonts w:ascii="Times New Roman" w:hAnsi="Times New Roman" w:cs="Times New Roman"/>
          <w:sz w:val="28"/>
          <w:szCs w:val="28"/>
          <w:lang w:bidi="ar-SA"/>
        </w:rPr>
        <w:t xml:space="preserve">776746) </w:t>
      </w:r>
      <w:r w:rsidR="00A41CDA">
        <w:rPr>
          <w:rFonts w:ascii="Times New Roman" w:hAnsi="Times New Roman" w:cs="Times New Roman"/>
          <w:sz w:val="28"/>
          <w:szCs w:val="28"/>
          <w:lang w:bidi="ar-SA"/>
        </w:rPr>
        <w:t>и</w:t>
      </w:r>
      <w:r w:rsidR="00A41CDA" w:rsidRPr="00A41CDA">
        <w:rPr>
          <w:rFonts w:ascii="Times New Roman" w:hAnsi="Times New Roman" w:cs="Times New Roman"/>
          <w:sz w:val="28"/>
          <w:szCs w:val="28"/>
          <w:lang w:bidi="ar-SA"/>
        </w:rPr>
        <w:t xml:space="preserve"> </w:t>
      </w:r>
      <w:r w:rsidR="00A41CDA">
        <w:rPr>
          <w:rFonts w:ascii="Times New Roman" w:hAnsi="Times New Roman" w:cs="Times New Roman"/>
          <w:sz w:val="28"/>
          <w:szCs w:val="28"/>
          <w:lang w:val="en-US" w:bidi="ar-SA"/>
        </w:rPr>
        <w:t>ABCB</w:t>
      </w:r>
      <w:r w:rsidR="00A41CDA" w:rsidRPr="00A41CDA">
        <w:rPr>
          <w:rFonts w:ascii="Times New Roman" w:hAnsi="Times New Roman" w:cs="Times New Roman"/>
          <w:sz w:val="28"/>
          <w:szCs w:val="28"/>
          <w:lang w:bidi="ar-SA"/>
        </w:rPr>
        <w:t xml:space="preserve">1 </w:t>
      </w:r>
      <w:r w:rsidR="00A41CDA">
        <w:rPr>
          <w:rFonts w:ascii="Times New Roman" w:hAnsi="Times New Roman" w:cs="Times New Roman"/>
          <w:sz w:val="28"/>
          <w:szCs w:val="28"/>
          <w:lang w:val="en-US" w:bidi="ar-SA"/>
        </w:rPr>
        <w:t>rs</w:t>
      </w:r>
      <w:r w:rsidR="00A41CDA" w:rsidRPr="00A41CDA">
        <w:rPr>
          <w:rFonts w:ascii="Times New Roman" w:hAnsi="Times New Roman" w:cs="Times New Roman"/>
          <w:sz w:val="28"/>
          <w:szCs w:val="28"/>
          <w:lang w:bidi="ar-SA"/>
        </w:rPr>
        <w:t xml:space="preserve">4148738, </w:t>
      </w:r>
      <w:r w:rsidR="00A41CDA">
        <w:rPr>
          <w:rFonts w:ascii="Times New Roman" w:hAnsi="Times New Roman" w:cs="Times New Roman"/>
          <w:sz w:val="28"/>
          <w:szCs w:val="28"/>
          <w:lang w:val="en-US" w:bidi="ar-SA"/>
        </w:rPr>
        <w:t>rs</w:t>
      </w:r>
      <w:r w:rsidR="00A41CDA" w:rsidRPr="00A41CDA">
        <w:rPr>
          <w:rFonts w:ascii="Times New Roman" w:hAnsi="Times New Roman" w:cs="Times New Roman"/>
          <w:sz w:val="28"/>
          <w:szCs w:val="28"/>
          <w:lang w:bidi="ar-SA"/>
        </w:rPr>
        <w:t xml:space="preserve">1045642 </w:t>
      </w:r>
      <w:r w:rsidR="00A41CDA">
        <w:rPr>
          <w:rFonts w:ascii="Times New Roman" w:hAnsi="Times New Roman" w:cs="Times New Roman"/>
          <w:sz w:val="28"/>
          <w:szCs w:val="28"/>
          <w:lang w:bidi="ar-SA"/>
        </w:rPr>
        <w:t>на фармакокинетику</w:t>
      </w:r>
      <w:r w:rsidR="00A41CD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q1W9vISm","properties":{"unsorted":false,"formattedCitation":"[127]","plainCitation":"[127]","noteIndex":0},"citationItems":[{"id":742,"uris":["http://zotero.org/users/14784094/items/7Y68CG3G"],"itemData":{"id":742,"type":"article-journal","abstract":"Introduction: Difficulties in non-vitamin K anticoagulant (NOAC) administration in acute stroke can be associated with changes in pharmacokinetic parameters of NOAC such as biotransformation, distribution, and excretion. Therefore, obtaining data on pharmacokinetics of NOAC and factors that affect it may help develop algorithms for personalized use of this drug class in patients with acute cardioembolic stroke. Patients and methods: Pharmacokinetics of apixaban in patients with acute stroke was studied earlier by Kryukov et al. The present study enrolled 17 patients with cardioembolic stroke, who received 5 mg of apixaban. In order to evaluate the pharmacokinetic parameters of apixaban, venous blood samples were collected before taking 5 mg of apixaban (point 0) and 1, 2, 3, 4, 10, and 12 hours after drug intake. Blood samples were centrifuged at 3000 rpm for 15 minutes. Separate plasma was aliquoted in Eppendorf tubes and frozen at -70°C until analysis. High-performance liquid chromatography mass spectrometry analysis was used to determine apixaban plasma concentration. Genotyping was performed by real-time polymerase chain reaction. CYP3A isoenzyme group activity was evaluated by determining urinary concentration of endogenous substrate of the enzyme and its metabolite (6-β-hydroxycortisol to cortisol ratio). Statistical analysis was performed using SPSS Statistics version 20.0. The protocol of this study was reviewed and approved by the ethics committee; patients or their representatives signed an informed consent.\nResults: ABCB1 (rs1045642 and rs4148738) gene polymorphisms do not affect the pharmacokinetics of apixaban as well as CYP3A5 (rs776746) gene polymorphisms. Apixaban pharmacokinetics in groups with different genotypes did not differ statistically significantly. Correlation analysis showed no statistically significant relationship between pharmacokinetic parameters of apixaban and the metabolic activity of CYP3A.\nConclusion: Questions such as depending on genotyping results for apixaban dosing and implementation of express genotyping in clinical practice remain open for NOACs. Large population studies are required to clarify the clinical significance of genotyping for this drug class.","container-title":"Pharmacogenomics and Personalized Medicine","DOI":"10.2147/PGPM.S157111","ISSN":"1178-7066","journalAbbreviation":"PGPM","language":"en","license":"http://creativecommons.org/licenses/by-nc/3.0/","page":"43-49","source":"DOI.org (Crossref)","title":"Influence of ABCB1 and CYP3A5 gene polymorphisms on pharmacokinetics of apixaban in patients with atrial fibrillation and acute stroke","volume":"Volume 11","author":[{"family":"Kryukov","given":"Alexander Valerevich"},{"family":"Sychev","given":"Dmitry Alekseevich"},{"family":"Andreev","given":"Denis Anatolevich"},{"family":"Ryzhikova","given":"Kristina Anatolievna"},{"family":"Grishina","given":"Elena Anatolievna"},{"family":"Ryabova","given":"Anastasia Vladislavovna"},{"family":"Loskutnikov","given":"Mark Alekseevich"},{"family":"Smirnov","given":"Valeriy Valerevich"},{"family":"Konova","given":"Olga Dmitrievna"},{"family":"Matsneva","given":"Irina Andreevna"},{"family":"Bochkov","given":"Pavel Olegovich"}],"issued":{"date-parts":[["2018",3]]}}}],"schema":"https://github.com/citation-style-language/schema/raw/master/csl-citation.json"} </w:instrText>
      </w:r>
      <w:r w:rsidR="00A41CD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[127]</w:t>
      </w:r>
      <w:r w:rsidR="00A41CDA">
        <w:rPr>
          <w:rFonts w:ascii="Times New Roman" w:hAnsi="Times New Roman" w:cs="Times New Roman"/>
          <w:sz w:val="28"/>
          <w:szCs w:val="28"/>
          <w:lang w:bidi="ar-SA"/>
        </w:rPr>
        <w:fldChar w:fldCharType="end"/>
      </w:r>
      <w:r w:rsidR="00A41CDA">
        <w:rPr>
          <w:rFonts w:ascii="Times New Roman" w:hAnsi="Times New Roman" w:cs="Times New Roman"/>
          <w:sz w:val="28"/>
          <w:szCs w:val="28"/>
          <w:lang w:bidi="ar-SA"/>
        </w:rPr>
        <w:t xml:space="preserve">. Частота </w:t>
      </w:r>
      <w:r w:rsidR="00BD2D20">
        <w:rPr>
          <w:rFonts w:ascii="Times New Roman" w:hAnsi="Times New Roman" w:cs="Times New Roman"/>
          <w:sz w:val="28"/>
          <w:szCs w:val="28"/>
          <w:lang w:bidi="ar-SA"/>
        </w:rPr>
        <w:t>однонуклеотидных вариантов (</w:t>
      </w:r>
      <w:r w:rsidR="00A41CDA">
        <w:rPr>
          <w:rFonts w:ascii="Times New Roman" w:hAnsi="Times New Roman" w:cs="Times New Roman"/>
          <w:sz w:val="28"/>
          <w:szCs w:val="28"/>
          <w:lang w:val="en-US" w:bidi="ar-SA"/>
        </w:rPr>
        <w:t>SNV</w:t>
      </w:r>
      <w:r w:rsidR="00BD2D20">
        <w:rPr>
          <w:rFonts w:ascii="Times New Roman" w:hAnsi="Times New Roman" w:cs="Times New Roman"/>
          <w:sz w:val="28"/>
          <w:szCs w:val="28"/>
          <w:lang w:bidi="ar-SA"/>
        </w:rPr>
        <w:t>)</w:t>
      </w:r>
      <w:r w:rsidR="00A41CDA">
        <w:rPr>
          <w:rFonts w:ascii="Times New Roman" w:hAnsi="Times New Roman" w:cs="Times New Roman"/>
          <w:sz w:val="28"/>
          <w:szCs w:val="28"/>
          <w:lang w:bidi="ar-SA"/>
        </w:rPr>
        <w:t xml:space="preserve"> гена </w:t>
      </w:r>
      <w:r w:rsidR="00A41CDA">
        <w:rPr>
          <w:rFonts w:ascii="Times New Roman" w:hAnsi="Times New Roman" w:cs="Times New Roman"/>
          <w:sz w:val="28"/>
          <w:szCs w:val="28"/>
          <w:lang w:val="en-US" w:bidi="ar-SA"/>
        </w:rPr>
        <w:t>CYP</w:t>
      </w:r>
      <w:r w:rsidR="00A41CDA" w:rsidRPr="00A41CDA">
        <w:rPr>
          <w:rFonts w:ascii="Times New Roman" w:hAnsi="Times New Roman" w:cs="Times New Roman"/>
          <w:sz w:val="28"/>
          <w:szCs w:val="28"/>
          <w:lang w:bidi="ar-SA"/>
        </w:rPr>
        <w:t>3</w:t>
      </w:r>
      <w:r w:rsidR="00A41CDA">
        <w:rPr>
          <w:rFonts w:ascii="Times New Roman" w:hAnsi="Times New Roman" w:cs="Times New Roman"/>
          <w:sz w:val="28"/>
          <w:szCs w:val="28"/>
          <w:lang w:val="en-US" w:bidi="ar-SA"/>
        </w:rPr>
        <w:t>A</w:t>
      </w:r>
      <w:r w:rsidR="00A41CDA" w:rsidRPr="00A41CDA">
        <w:rPr>
          <w:rFonts w:ascii="Times New Roman" w:hAnsi="Times New Roman" w:cs="Times New Roman"/>
          <w:sz w:val="28"/>
          <w:szCs w:val="28"/>
          <w:lang w:bidi="ar-SA"/>
        </w:rPr>
        <w:t xml:space="preserve">5 </w:t>
      </w:r>
      <w:r w:rsidR="00A41CDA">
        <w:rPr>
          <w:rFonts w:ascii="Times New Roman" w:hAnsi="Times New Roman" w:cs="Times New Roman"/>
          <w:sz w:val="28"/>
          <w:szCs w:val="28"/>
          <w:lang w:bidi="ar-SA"/>
        </w:rPr>
        <w:t>выше у лиц африканского происхождения по сравнению с европейцами, что указывает на этническую зависимость</w:t>
      </w:r>
      <w:r w:rsidR="00A41CD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W5qITnvf","properties":{"unsorted":false,"formattedCitation":"[145]","plainCitation":"[145]","noteIndex":0},"citationItems":[{"id":123,"uris":["http://zotero.org/users/14784094/items/LGRZ8R6F"],"itemData":{"id":123,"type":"article-journal","container-title":"Pharmacogenetics and genomics","DOI":"10.1097/FPC.0b013e328351d47f","ISSN":"1744-6872","issue":"7","journalAbbreviation":"Pharmacogenet Genomics","page":"555-558","PMID":"22407409","PMCID":"PMC3738061","source":"PubMed Central","title":"PharmGKB summary: very important pharmacogene information for CYP3A5","title-short":"PharmGKB summary","volume":"22","author":[{"family":"Lamba","given":"Jatinder"},{"family":"Hebert","given":"Joan M."},{"family":"Schuetz","given":"Erin G."},{"family":"Klein","given":"Teri E."},{"family":"Altman","given":"Russ B."}],"issued":{"date-parts":[["2012",7]]}}}],"schema":"https://github.com/citation-style-language/schema/raw/master/csl-citation.json"} </w:instrText>
      </w:r>
      <w:r w:rsidR="00A41CD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[145]</w:t>
      </w:r>
      <w:r w:rsidR="00A41CDA">
        <w:rPr>
          <w:rFonts w:ascii="Times New Roman" w:hAnsi="Times New Roman" w:cs="Times New Roman"/>
          <w:sz w:val="28"/>
          <w:szCs w:val="28"/>
          <w:lang w:bidi="ar-SA"/>
        </w:rPr>
        <w:fldChar w:fldCharType="end"/>
      </w:r>
      <w:r w:rsidR="00A41CDA">
        <w:rPr>
          <w:rFonts w:ascii="Times New Roman" w:hAnsi="Times New Roman" w:cs="Times New Roman"/>
          <w:sz w:val="28"/>
          <w:szCs w:val="28"/>
          <w:lang w:bidi="ar-SA"/>
        </w:rPr>
        <w:t xml:space="preserve">. </w:t>
      </w:r>
      <w:r w:rsidR="007922CB">
        <w:rPr>
          <w:rFonts w:ascii="Times New Roman" w:hAnsi="Times New Roman" w:cs="Times New Roman"/>
          <w:sz w:val="28"/>
          <w:szCs w:val="28"/>
          <w:lang w:bidi="ar-SA"/>
        </w:rPr>
        <w:t xml:space="preserve">Пациентам без экспрессии </w:t>
      </w:r>
      <w:r w:rsidR="007922CB">
        <w:rPr>
          <w:rFonts w:ascii="Times New Roman" w:hAnsi="Times New Roman" w:cs="Times New Roman"/>
          <w:sz w:val="28"/>
          <w:szCs w:val="28"/>
          <w:lang w:val="en-US" w:bidi="ar-SA"/>
        </w:rPr>
        <w:t>CYP</w:t>
      </w:r>
      <w:r w:rsidR="007922CB" w:rsidRPr="007922CB">
        <w:rPr>
          <w:rFonts w:ascii="Times New Roman" w:hAnsi="Times New Roman" w:cs="Times New Roman"/>
          <w:sz w:val="28"/>
          <w:szCs w:val="28"/>
          <w:lang w:bidi="ar-SA"/>
        </w:rPr>
        <w:t>3</w:t>
      </w:r>
      <w:r w:rsidR="007922CB">
        <w:rPr>
          <w:rFonts w:ascii="Times New Roman" w:hAnsi="Times New Roman" w:cs="Times New Roman"/>
          <w:sz w:val="28"/>
          <w:szCs w:val="28"/>
          <w:lang w:val="en-US" w:bidi="ar-SA"/>
        </w:rPr>
        <w:t>A</w:t>
      </w:r>
      <w:r w:rsidR="007922CB" w:rsidRPr="007922CB">
        <w:rPr>
          <w:rFonts w:ascii="Times New Roman" w:hAnsi="Times New Roman" w:cs="Times New Roman"/>
          <w:sz w:val="28"/>
          <w:szCs w:val="28"/>
          <w:lang w:bidi="ar-SA"/>
        </w:rPr>
        <w:t>5</w:t>
      </w:r>
      <w:r w:rsidR="007922CB">
        <w:rPr>
          <w:rFonts w:ascii="Times New Roman" w:hAnsi="Times New Roman" w:cs="Times New Roman"/>
          <w:sz w:val="28"/>
          <w:szCs w:val="28"/>
          <w:lang w:bidi="ar-SA"/>
        </w:rPr>
        <w:t xml:space="preserve"> требуется осторожность в дозировании и мониторинг нежелательных явлений из-за риска повышенных концентраций. Исследование (</w:t>
      </w:r>
      <w:r w:rsidR="007922CB">
        <w:rPr>
          <w:rFonts w:ascii="Times New Roman" w:hAnsi="Times New Roman" w:cs="Times New Roman"/>
          <w:sz w:val="28"/>
          <w:szCs w:val="28"/>
          <w:lang w:val="en-US" w:bidi="ar-SA"/>
        </w:rPr>
        <w:t>n</w:t>
      </w:r>
      <w:r w:rsidR="007922CB" w:rsidRPr="007922CB">
        <w:rPr>
          <w:rFonts w:ascii="Times New Roman" w:hAnsi="Times New Roman" w:cs="Times New Roman"/>
          <w:sz w:val="28"/>
          <w:szCs w:val="28"/>
          <w:lang w:bidi="ar-SA"/>
        </w:rPr>
        <w:t>=53</w:t>
      </w:r>
      <w:r w:rsidR="007922CB">
        <w:rPr>
          <w:rFonts w:ascii="Times New Roman" w:hAnsi="Times New Roman" w:cs="Times New Roman"/>
          <w:sz w:val="28"/>
          <w:szCs w:val="28"/>
          <w:lang w:bidi="ar-SA"/>
        </w:rPr>
        <w:t xml:space="preserve">) не подтвердило значимого влияния генотипов </w:t>
      </w:r>
      <w:r w:rsidR="007922CB">
        <w:rPr>
          <w:rFonts w:ascii="Times New Roman" w:hAnsi="Times New Roman" w:cs="Times New Roman"/>
          <w:sz w:val="28"/>
          <w:szCs w:val="28"/>
          <w:lang w:val="en-US" w:bidi="ar-SA"/>
        </w:rPr>
        <w:t>ABCB</w:t>
      </w:r>
      <w:r w:rsidR="007922CB" w:rsidRPr="007922CB">
        <w:rPr>
          <w:rFonts w:ascii="Times New Roman" w:hAnsi="Times New Roman" w:cs="Times New Roman"/>
          <w:sz w:val="28"/>
          <w:szCs w:val="28"/>
          <w:lang w:bidi="ar-SA"/>
        </w:rPr>
        <w:t xml:space="preserve">1 </w:t>
      </w:r>
      <w:r w:rsidR="007922CB">
        <w:rPr>
          <w:rFonts w:ascii="Times New Roman" w:hAnsi="Times New Roman" w:cs="Times New Roman"/>
          <w:sz w:val="28"/>
          <w:szCs w:val="28"/>
          <w:lang w:val="en-US" w:bidi="ar-SA"/>
        </w:rPr>
        <w:t>rs</w:t>
      </w:r>
      <w:r w:rsidR="007922CB" w:rsidRPr="007922CB">
        <w:rPr>
          <w:rFonts w:ascii="Times New Roman" w:hAnsi="Times New Roman" w:cs="Times New Roman"/>
          <w:sz w:val="28"/>
          <w:szCs w:val="28"/>
          <w:lang w:bidi="ar-SA"/>
        </w:rPr>
        <w:t>1045642</w:t>
      </w:r>
      <w:r w:rsidR="007922CB">
        <w:rPr>
          <w:rFonts w:ascii="Times New Roman" w:hAnsi="Times New Roman" w:cs="Times New Roman"/>
          <w:sz w:val="28"/>
          <w:szCs w:val="28"/>
          <w:lang w:bidi="ar-SA"/>
        </w:rPr>
        <w:t xml:space="preserve"> и </w:t>
      </w:r>
      <w:r w:rsidR="007922CB">
        <w:rPr>
          <w:rFonts w:ascii="Times New Roman" w:hAnsi="Times New Roman" w:cs="Times New Roman"/>
          <w:sz w:val="28"/>
          <w:szCs w:val="28"/>
          <w:lang w:val="en-US" w:bidi="ar-SA"/>
        </w:rPr>
        <w:t>rs</w:t>
      </w:r>
      <w:r w:rsidR="007922CB" w:rsidRPr="007922CB">
        <w:rPr>
          <w:rFonts w:ascii="Times New Roman" w:hAnsi="Times New Roman" w:cs="Times New Roman"/>
          <w:sz w:val="28"/>
          <w:szCs w:val="28"/>
          <w:lang w:bidi="ar-SA"/>
        </w:rPr>
        <w:t>4148738</w:t>
      </w:r>
      <w:r w:rsidR="007922CB">
        <w:rPr>
          <w:rFonts w:ascii="Times New Roman" w:hAnsi="Times New Roman" w:cs="Times New Roman"/>
          <w:sz w:val="28"/>
          <w:szCs w:val="28"/>
          <w:lang w:bidi="ar-SA"/>
        </w:rPr>
        <w:t xml:space="preserve"> на концентрации апиксабана</w:t>
      </w:r>
      <w:r w:rsidR="007922CB">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{"citationID":"P7uDT6wL","properties":{"unsorted":false,"formattedCitation":"[146]","plainCitation":"[146]","noteIndex":0},"citationItems":[{"id":743,"uris":["http://zotero.org/users/14784094/items/F326LS3I"],"itemData":{"id":743,"type":"article-journal","abstract":"(1) Background: Prescribing apixaban for stroke prevention has significantly increased in patients with non-valvular atrial fibrillation (NVAF). The ABCB1 genotype can influence apixaban absorption and bioavailability. The aim of the present study was to assess the factors that influence apixaban’s plasma level and to establish if a certain relationship has clinical relevance. (2) Methods: Fifty-three NVAF patients were treated with 5 mg apixaban twice/day (70.0 years, range: 65–77, 60.4% men). Trough and peak plasma concentrations of apixaban were determined by liquid chromatography-tandem mass-spectrometry (LC-MS/MS), and ABCB1 genotyping was performed. (3) Results: Apixaban plasma concentrations varied considerably. They were higher in women than in men (311.2 ng/dL vs. 252.2 ng/dL; p = 0.05) and were lower in patients with heart failure (149.4 ng/dL vs. 304.5 ng/dL; p &lt; 0.01). Creatinine clearance was inversely correlated with the apixaban plasma level (Spearman correlation: r = −0.365; p = 0.007 for trough concentrations). No statistically significant differences between the genotypic groups of ABCB1 rs1045642 and ABCB1 rs4148738 were found in the trough or peak apixaban plasma concentrations. (4) Conclusions: Pharmacokinetic parameters are influenced by several clinical factors of which renal function is the major determinant. Plasma concentrations measured in women had higher values than those measured in men, and heart failure was associated with decreased plasma levels of apixaban.","container-title":"Genes","DOI":"10.3390/genes11040438","ISSN":"2073-4425","issue":"4","journalAbbreviation":"Genes","language":"en","license":"https://creativecommons.org/licenses/by/4.0/","page":"438","source":"DOI.org (Crossref)","title":"Interindividual Variability of Apixaban Plasma Concentrations: Influence of Clinical and Genetic Factors in a Real-Life Cohort of Atrial Fibrillation Patients","title-short":"Interindividual Variability of Apixaban Plasma Concentrations","volume":"11","author":[{"family":"Roşian","given":"Adela-Nicoleta"},{"family":"Roşian","given":"Ştefan Horia"},{"family":"Kiss","given":"Bela"},{"family":"Ştefan","given":"Maria Georgia"},{"family":"Trifa","given":"Adrian Pavel"},{"family":"Ober","given":"Camelia Diana"},{"family":"Anchidin","given":"Ovidiu"},{"family":"Buzoianu","given":"Anca Dana"}],"issued":{"date-parts":[["2020",4,17]]}}}],"schema":"https://github.com/citation-style-language/schema/raw/master/csl-citation.json"} </w:instrText>
      </w:r>
      <w:r w:rsidR="007922CB">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[146]</w:t>
      </w:r>
      <w:r w:rsidR="007922CB">
        <w:rPr>
          <w:rFonts w:ascii="Times New Roman" w:hAnsi="Times New Roman" w:cs="Times New Roman"/>
          <w:sz w:val="28"/>
          <w:szCs w:val="28"/>
          <w:lang w:bidi="ar-SA"/>
        </w:rPr>
        <w:fldChar w:fldCharType="end"/>
      </w:r>
      <w:r w:rsidR="007922CB">
        <w:rPr>
          <w:rFonts w:ascii="Times New Roman" w:hAnsi="Times New Roman" w:cs="Times New Roman"/>
          <w:sz w:val="28"/>
          <w:szCs w:val="28"/>
          <w:lang w:bidi="ar-SA"/>
        </w:rPr>
        <w:t xml:space="preserve">. Крупное </w:t>
      </w:r>
      <w:r w:rsidR="007922CB">
        <w:rPr>
          <w:rFonts w:ascii="Times New Roman" w:hAnsi="Times New Roman" w:cs="Times New Roman"/>
          <w:sz w:val="28"/>
          <w:szCs w:val="28"/>
          <w:lang w:val="en-US" w:bidi="ar-SA"/>
        </w:rPr>
        <w:t>GWAS</w:t>
      </w:r>
      <w:r w:rsidR="007922CB">
        <w:rPr>
          <w:rFonts w:ascii="Times New Roman" w:hAnsi="Times New Roman" w:cs="Times New Roman"/>
          <w:sz w:val="28"/>
          <w:szCs w:val="28"/>
          <w:lang w:bidi="ar-SA"/>
        </w:rPr>
        <w:t xml:space="preserve"> </w:t>
      </w:r>
      <w:r w:rsidR="007922CB">
        <w:rPr>
          <w:rFonts w:ascii="Times New Roman" w:hAnsi="Times New Roman" w:cs="Times New Roman"/>
          <w:sz w:val="28"/>
          <w:szCs w:val="28"/>
          <w:lang w:val="en-US" w:bidi="ar-SA"/>
        </w:rPr>
        <w:t>Attelind</w:t>
      </w:r>
      <w:r w:rsidR="007922CB" w:rsidRPr="007922CB">
        <w:rPr>
          <w:rFonts w:ascii="Times New Roman" w:hAnsi="Times New Roman" w:cs="Times New Roman"/>
          <w:sz w:val="28"/>
          <w:szCs w:val="28"/>
          <w:lang w:bidi="ar-SA"/>
        </w:rPr>
        <w:t xml:space="preserve"> </w:t>
      </w:r>
      <w:r w:rsidR="007922CB">
        <w:rPr>
          <w:rFonts w:ascii="Times New Roman" w:hAnsi="Times New Roman" w:cs="Times New Roman"/>
          <w:sz w:val="28"/>
          <w:szCs w:val="28"/>
          <w:lang w:val="en-US" w:bidi="ar-SA"/>
        </w:rPr>
        <w:t>et</w:t>
      </w:r>
      <w:r w:rsidR="007922CB" w:rsidRPr="007922CB">
        <w:rPr>
          <w:rFonts w:ascii="Times New Roman" w:hAnsi="Times New Roman" w:cs="Times New Roman"/>
          <w:sz w:val="28"/>
          <w:szCs w:val="28"/>
          <w:lang w:bidi="ar-SA"/>
        </w:rPr>
        <w:t xml:space="preserve"> </w:t>
      </w:r>
      <w:r w:rsidR="007922CB">
        <w:rPr>
          <w:rFonts w:ascii="Times New Roman" w:hAnsi="Times New Roman" w:cs="Times New Roman"/>
          <w:sz w:val="28"/>
          <w:szCs w:val="28"/>
          <w:lang w:val="en-US" w:bidi="ar-SA"/>
        </w:rPr>
        <w:t>al</w:t>
      </w:r>
      <w:r w:rsidR="007922CB" w:rsidRPr="007922CB">
        <w:rPr>
          <w:rFonts w:ascii="Times New Roman" w:hAnsi="Times New Roman" w:cs="Times New Roman"/>
          <w:sz w:val="28"/>
          <w:szCs w:val="28"/>
          <w:lang w:bidi="ar-SA"/>
        </w:rPr>
        <w:t>.</w:t>
      </w:r>
      <w:r w:rsidR="007922CB">
        <w:rPr>
          <w:rFonts w:ascii="Times New Roman" w:hAnsi="Times New Roman" w:cs="Times New Roman"/>
          <w:sz w:val="28"/>
          <w:szCs w:val="28"/>
          <w:lang w:bidi="ar-SA"/>
        </w:rPr>
        <w:t xml:space="preserve"> (2022, </w:t>
      </w:r>
      <w:r w:rsidR="007922CB">
        <w:rPr>
          <w:rFonts w:ascii="Times New Roman" w:hAnsi="Times New Roman" w:cs="Times New Roman"/>
          <w:sz w:val="28"/>
          <w:szCs w:val="28"/>
          <w:lang w:val="en-US" w:bidi="ar-SA"/>
        </w:rPr>
        <w:t>n</w:t>
      </w:r>
      <w:r w:rsidR="007922CB" w:rsidRPr="007922CB">
        <w:rPr>
          <w:rFonts w:ascii="Times New Roman" w:hAnsi="Times New Roman" w:cs="Times New Roman"/>
          <w:sz w:val="28"/>
          <w:szCs w:val="28"/>
          <w:lang w:bidi="ar-SA"/>
        </w:rPr>
        <w:t>=1325</w:t>
      </w:r>
      <w:r w:rsidR="007922CB">
        <w:rPr>
          <w:rFonts w:ascii="Times New Roman" w:hAnsi="Times New Roman" w:cs="Times New Roman"/>
          <w:sz w:val="28"/>
          <w:szCs w:val="28"/>
          <w:lang w:bidi="ar-SA"/>
        </w:rPr>
        <w:t xml:space="preserve">) установило связь полиморфизма гена-транспортера </w:t>
      </w:r>
      <w:r w:rsidR="007922CB">
        <w:rPr>
          <w:rFonts w:ascii="Times New Roman" w:hAnsi="Times New Roman" w:cs="Times New Roman"/>
          <w:sz w:val="28"/>
          <w:szCs w:val="28"/>
          <w:lang w:val="en-US" w:bidi="ar-SA"/>
        </w:rPr>
        <w:t>AB</w:t>
      </w:r>
      <w:r w:rsidR="000F6F0A">
        <w:rPr>
          <w:rFonts w:ascii="Times New Roman" w:hAnsi="Times New Roman" w:cs="Times New Roman"/>
          <w:sz w:val="28"/>
          <w:szCs w:val="28"/>
          <w:lang w:val="en-US" w:bidi="ar-SA"/>
        </w:rPr>
        <w:t>CG</w:t>
      </w:r>
      <w:r w:rsidR="000F6F0A" w:rsidRPr="000F6F0A">
        <w:rPr>
          <w:rFonts w:ascii="Times New Roman" w:hAnsi="Times New Roman" w:cs="Times New Roman"/>
          <w:sz w:val="28"/>
          <w:szCs w:val="28"/>
          <w:lang w:bidi="ar-SA"/>
        </w:rPr>
        <w:t>2 (</w:t>
      </w:r>
      <w:r w:rsidR="000F6F0A">
        <w:rPr>
          <w:rFonts w:ascii="Times New Roman" w:hAnsi="Times New Roman" w:cs="Times New Roman"/>
          <w:sz w:val="28"/>
          <w:szCs w:val="28"/>
          <w:lang w:val="en-US" w:bidi="ar-SA"/>
        </w:rPr>
        <w:t>c</w:t>
      </w:r>
      <w:r w:rsidR="000F6F0A" w:rsidRPr="000F6F0A">
        <w:rPr>
          <w:rFonts w:ascii="Times New Roman" w:hAnsi="Times New Roman" w:cs="Times New Roman"/>
          <w:sz w:val="28"/>
          <w:szCs w:val="28"/>
          <w:lang w:bidi="ar-SA"/>
        </w:rPr>
        <w:t>.421</w:t>
      </w:r>
      <w:r w:rsidR="000F6F0A">
        <w:rPr>
          <w:rFonts w:ascii="Times New Roman" w:hAnsi="Times New Roman" w:cs="Times New Roman"/>
          <w:sz w:val="28"/>
          <w:szCs w:val="28"/>
          <w:lang w:val="en-US" w:bidi="ar-SA"/>
        </w:rPr>
        <w:t>G</w:t>
      </w:r>
      <w:r w:rsidR="000F6F0A" w:rsidRPr="000F6F0A">
        <w:rPr>
          <w:rFonts w:ascii="Times New Roman" w:hAnsi="Times New Roman" w:cs="Times New Roman"/>
          <w:sz w:val="28"/>
          <w:szCs w:val="28"/>
          <w:lang w:bidi="ar-SA"/>
        </w:rPr>
        <w:t>&gt;</w:t>
      </w:r>
      <w:r w:rsidR="000F6F0A">
        <w:rPr>
          <w:rFonts w:ascii="Times New Roman" w:hAnsi="Times New Roman" w:cs="Times New Roman"/>
          <w:sz w:val="28"/>
          <w:szCs w:val="28"/>
          <w:lang w:val="en-US" w:bidi="ar-SA"/>
        </w:rPr>
        <w:t>T</w:t>
      </w:r>
      <w:r w:rsidR="000F6F0A" w:rsidRPr="000F6F0A">
        <w:rPr>
          <w:rFonts w:ascii="Times New Roman" w:hAnsi="Times New Roman" w:cs="Times New Roman"/>
          <w:sz w:val="28"/>
          <w:szCs w:val="28"/>
          <w:lang w:bidi="ar-SA"/>
        </w:rPr>
        <w:t xml:space="preserve">, </w:t>
      </w:r>
      <w:r w:rsidR="000F6F0A">
        <w:rPr>
          <w:rFonts w:ascii="Times New Roman" w:hAnsi="Times New Roman" w:cs="Times New Roman"/>
          <w:sz w:val="28"/>
          <w:szCs w:val="28"/>
          <w:lang w:val="en-US" w:bidi="ar-SA"/>
        </w:rPr>
        <w:t>rs</w:t>
      </w:r>
      <w:r w:rsidR="000F6F0A" w:rsidRPr="000F6F0A">
        <w:rPr>
          <w:rFonts w:ascii="Times New Roman" w:hAnsi="Times New Roman" w:cs="Times New Roman"/>
          <w:sz w:val="28"/>
          <w:szCs w:val="28"/>
          <w:lang w:bidi="ar-SA"/>
        </w:rPr>
        <w:t xml:space="preserve">2231142) </w:t>
      </w:r>
      <w:r w:rsidR="000F6F0A">
        <w:rPr>
          <w:rFonts w:ascii="Times New Roman" w:hAnsi="Times New Roman" w:cs="Times New Roman"/>
          <w:sz w:val="28"/>
          <w:szCs w:val="28"/>
          <w:lang w:bidi="ar-SA"/>
        </w:rPr>
        <w:t>с фармакокинетикой апиксабана: у гетерозигот</w:t>
      </w:r>
      <w:r w:rsidR="000F6F0A" w:rsidRPr="000F6F0A">
        <w:rPr>
          <w:rFonts w:ascii="Times New Roman" w:hAnsi="Times New Roman" w:cs="Times New Roman"/>
          <w:sz w:val="28"/>
          <w:szCs w:val="28"/>
          <w:lang w:bidi="ar-SA"/>
        </w:rPr>
        <w:t xml:space="preserve"> </w:t>
      </w:r>
      <w:r w:rsidR="000F6F0A">
        <w:rPr>
          <w:rFonts w:ascii="Times New Roman" w:hAnsi="Times New Roman" w:cs="Times New Roman"/>
          <w:sz w:val="28"/>
          <w:szCs w:val="28"/>
          <w:lang w:val="en-US" w:bidi="ar-SA"/>
        </w:rPr>
        <w:t>AUC</w:t>
      </w:r>
      <w:r w:rsidR="000F6F0A">
        <w:rPr>
          <w:rFonts w:ascii="Times New Roman" w:hAnsi="Times New Roman" w:cs="Times New Roman"/>
          <w:sz w:val="28"/>
          <w:szCs w:val="28"/>
          <w:lang w:bidi="ar-SA"/>
        </w:rPr>
        <w:t xml:space="preserve"> увеличивалась на 5%, у гомозигот – на 17% по сравнению с гомозиготами дикого типа</w:t>
      </w:r>
      <w:r w:rsidR="000F6F0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{"citationID":"2P0Esed6","properties":{"unsorted":false,"formattedCitation":"[147]","plainCitation":"[147]","noteIndex":0},"citationItems":[{"id":746,"uris":["http://zotero.org/users/14784094/items/TB74FU2J"],"itemData":{"id":746,"type":"article-journal","abstract":"Apixaban is a direct oral anticoagulant, a factor Xa inhibitor, used for the prevention of ischemic stroke in patients with atrial fibrillation. Despite using recommended dosing a few patients might still experience bleeding or lack of efficacy that might be related to inappropriate drug exposure. We conducted a genome-wide association study using data from 1,325 participants in the pivotal phase three trial of apixaban with the aim to identify genetic factors affecting the pharmacokinetics of apixaban. A candidate gene analysis was also performed for pre-specified variants in\n              ABCB1\n              ,\n              ABCG2\n              ,\n              CYP3A4\n              ,\n              CYP3A5\n              , and\n              SULT1A1\n              , with a subsequent analysis of all available polymorphisms within the candidate genes. Significant findings were further evaluated to assess a potential association with clinical outcome such as bleeding or thromboembolic events. No variant was consistently associated with an altered apixaban exposure on a genome-wide level. The candidate gene analyses showed a statistically significant association with a well-known variant in the drug transporter gene\n              ABCG2\n              (c.421G &amp;gt; T, rs2231142). Patients carrying this variant had a higher exposure to apixaban [area under the curve (AUC), beta = 151 (95% CI 59–243),\n              p\n              = 0.001]. On average, heterozygotes displayed a 5% increase of AUC and homozygotes a 17% increase of AUC, compared with homozygotes for the wild-type allele. Bleeding or thromboembolic events were not significantly associated with\n              ABCG2\n              rs2231142. This large genome-wide study demonstrates that genetic variation in the drug transporter gene\n              ABCG2\n              is associated with the pharmacokinetics of apixaban. However, the influence of this finding on drug exposure was small, and further studies are needed to better understand whether it is of relevance for ischemic and bleeding events.","container-title":"Frontiers in Genetics","DOI":"10.3389/fgene.2022.982955","ISSN":"1664-8021","journalAbbreviation":"Front. Genet.","language":"en","page":"982955","source":"DOI.org (Crossref)","title":"Genetic determinants of apixaban plasma levels and their relationship to bleeding and thromboembolic events","volume":"13","author":[{"family":"Attelind","given":"Sofia"},{"family":"Hallberg","given":"Pär"},{"family":"Wadelius","given":"Mia"},{"family":"Hamberg","given":"Anna-Karin"},{"family":"Siegbahn","given":"Agneta"},{"family":"Granger","given":"Christopher B."},{"family":"Lopes","given":"Renato D."},{"family":"Alexander","given":"John H."},{"family":"Wallentin","given":"Lars"},{"family":"Eriksson","given":"Niclas"}],"issued":{"date-parts":[["2022",9,14]]}}}],"schema":"https://github.com/citation-style-language/schema/raw/master/csl-citation.json"} </w:instrText>
      </w:r>
      <w:r w:rsidR="000F6F0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[147]</w:t>
      </w:r>
      <w:r w:rsidR="000F6F0A">
        <w:rPr>
          <w:rFonts w:ascii="Times New Roman" w:hAnsi="Times New Roman" w:cs="Times New Roman"/>
          <w:sz w:val="28"/>
          <w:szCs w:val="28"/>
          <w:lang w:bidi="ar-SA"/>
        </w:rPr>
        <w:fldChar w:fldCharType="end"/>
      </w:r>
      <w:r w:rsidR="000F6F0A">
        <w:rPr>
          <w:rFonts w:ascii="Times New Roman" w:hAnsi="Times New Roman" w:cs="Times New Roman"/>
          <w:sz w:val="28"/>
          <w:szCs w:val="28"/>
          <w:lang w:bidi="ar-SA"/>
        </w:rPr>
        <w:t>. Связи этого полиморфизма с тромбоэмболиями или кровотечениями не выявлено</w:t>
      </w:r>
      <w:r w:rsidR="000F6F0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{"citationID":"UlDOW1HC","properties":{"unsorted":false,"formattedCitation":"[147]","plainCitation":"[147]","noteIndex":0},"citationItems":[{"id":746,"uris":["http://zotero.org/users/14784094/items/TB74FU2J"],"itemData":{"id":746,"type":"article-journal","abstract":"Apixaban is a direct oral anticoagulant, a factor Xa inhibitor, used for the prevention of ischemic stroke in patients with atrial fibrillation. Despite using recommended dosing a few patients might still experience bleeding or lack of efficacy that might be related to inappropriate drug exposure. We conducted a genome-wide association study using data from 1,325 participants in the pivotal phase three trial of apixaban with the aim to identify genetic factors affecting the pharmacokinetics of apixaban. A candidate gene analysis was also performed for pre-specified variants in\n              ABCB1\n              ,\n              ABCG2\n              ,\n              CYP3A4\n              ,\n              CYP3A5\n              , and\n              SULT1A1\n              , with a subsequent analysis of all available polymorphisms within the candidate genes. Significant findings were further evaluated to assess a potential association with clinical outcome such as bleeding or thromboembolic events. No variant was consistently associated with an altered apixaban exposure on a genome-wide level. The candidate gene analyses showed a statistically significant association with a well-known variant in the drug transporter gene\n              ABCG2\n              (c.421G &amp;gt; T, rs2231142). Patients carrying this variant had a higher exposure to apixaban [area under the curve (AUC), beta = 151 (95% CI 59–243),\n              p\n              = 0.001]. On average, heterozygotes displayed a 5% increase of AUC and homozygotes a 17% increase of AUC, compared with homozygotes for the wild-type allele. Bleeding or thromboembolic events were not significantly associated with\n              ABCG2\n              rs2231142. This large genome-wide study demonstrates that genetic variation in the drug transporter gene\n              ABCG2\n              is associated with the pharmacokinetics of apixaban. However, the influence of this finding on drug exposure was small, and further studies are needed to better understand whether it is of relevance for ischemic and bleeding events.","container-title":"Frontiers in Genetics","DOI":"10.3389/fgene.2022.982955","ISSN":"1664-8021","journalAbbreviation":"Front. Genet.","language":"en","page":"982955","source":"DOI.org (Crossref)","title":"Genetic determinants of apixaban plasma levels and their relationship to bleeding and thromboembolic events","volume":"13","author":[{"family":"Attelind","given":"Sofia"},{"family":"Hallberg","given":"Pär"},{"family":"Wadelius","given":"Mia"},{"family":"Hamberg","given":"Anna-Karin"},{"family":"Siegbahn","given":"Agneta"},{"family":"Granger","given":"Christopher B."},{"family":"Lopes","given":"Renato D."},{"family":"Alexander","given":"John H."},{"family":"Wallentin","given":"Lars"},{"family":"Eriksson","given":"Niclas"}],"issued":{"date-parts":[["2022",9,14]]}}}],"schema":"https://github.com/citation-style-language/schema/raw/master/csl-citation.json"} </w:instrText>
      </w:r>
      <w:r w:rsidR="000F6F0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[147]</w:t>
      </w:r>
      <w:r w:rsidR="000F6F0A">
        <w:rPr>
          <w:rFonts w:ascii="Times New Roman" w:hAnsi="Times New Roman" w:cs="Times New Roman"/>
          <w:sz w:val="28"/>
          <w:szCs w:val="28"/>
          <w:lang w:bidi="ar-SA"/>
        </w:rPr>
        <w:fldChar w:fldCharType="end"/>
      </w:r>
      <w:r w:rsidR="000F6F0A">
        <w:rPr>
          <w:rFonts w:ascii="Times New Roman" w:hAnsi="Times New Roman" w:cs="Times New Roman"/>
          <w:sz w:val="28"/>
          <w:szCs w:val="28"/>
          <w:lang w:bidi="ar-SA"/>
        </w:rPr>
        <w:t>.</w:t>
      </w:r>
    </w:p>
    <w:p w14:paraId="304F86D9" w14:textId="77777777" w:rsidR="000F6F0A" w:rsidRDefault="000F6F0A" w:rsidP="007922CB">
      <w:pPr>
        <w:pStyle w:val="LO-normal"/>
        <w:spacing w:after="0" w:line="240" w:lineRule="auto"/>
        <w:ind w:firstLine="567"/>
        <w:jc w:val="both"/>
        <w:rPr>
          <w:rFonts w:ascii="Times New Roman" w:hAnsi="Times New Roman" w:cs="Times New Roman"/>
          <w:sz w:val="28"/>
          <w:szCs w:val="28"/>
          <w:lang w:bidi="ar-SA"/>
        </w:rPr>
      </w:pPr>
    </w:p>
    <w:p w14:paraId="55920D0B" w14:textId="03954A90" w:rsidR="000F6F0A" w:rsidRDefault="000F6F0A" w:rsidP="007922CB">
      <w:pPr>
        <w:pStyle w:val="LO-normal"/>
        <w:spacing w:after="0" w:line="240" w:lineRule="auto"/>
        <w:ind w:firstLine="567"/>
        <w:jc w:val="both"/>
        <w:rPr>
          <w:rFonts w:ascii="Times New Roman" w:hAnsi="Times New Roman" w:cs="Times New Roman"/>
          <w:b/>
          <w:bCs/>
          <w:sz w:val="28"/>
          <w:szCs w:val="28"/>
          <w:lang w:bidi="ar-SA"/>
        </w:rPr>
      </w:pPr>
      <w:r w:rsidRPr="000F6F0A">
        <w:rPr>
          <w:rFonts w:ascii="Times New Roman" w:hAnsi="Times New Roman" w:cs="Times New Roman"/>
          <w:b/>
          <w:bCs/>
          <w:sz w:val="28"/>
          <w:szCs w:val="28"/>
          <w:lang w:bidi="ar-SA"/>
        </w:rPr>
        <w:t>1.4.2.2 Ривароксабан</w:t>
      </w:r>
    </w:p>
    <w:p w14:paraId="4A5583D0" w14:textId="3C7E9E2F" w:rsidR="000F6F0A" w:rsidRDefault="000F6F0A" w:rsidP="007922CB">
      <w:pPr>
        <w:pStyle w:val="LO-normal"/>
        <w:spacing w:after="0" w:line="240" w:lineRule="auto"/>
        <w:ind w:firstLine="567"/>
        <w:jc w:val="both"/>
        <w:rPr>
          <w:rFonts w:ascii="Times New Roman" w:hAnsi="Times New Roman" w:cs="Times New Roman"/>
          <w:i/>
          <w:iCs/>
          <w:sz w:val="28"/>
          <w:szCs w:val="28"/>
          <w:lang w:bidi="ar-SA"/>
        </w:rPr>
      </w:pPr>
      <w:r w:rsidRPr="000F6F0A">
        <w:rPr>
          <w:rFonts w:ascii="Times New Roman" w:hAnsi="Times New Roman" w:cs="Times New Roman"/>
          <w:i/>
          <w:iCs/>
          <w:sz w:val="28"/>
          <w:szCs w:val="28"/>
          <w:lang w:bidi="ar-SA"/>
        </w:rPr>
        <w:t>Фармакокинетика и фармакодинамика</w:t>
      </w:r>
    </w:p>
    <w:p w14:paraId="4023F242" w14:textId="3E3E66B9" w:rsidR="000F6F0A" w:rsidRDefault="004F1944" w:rsidP="007922CB">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Ривароксабан представляет собой широко применяемый пероральный антикоагулянт прямого действия, механизм работы которого основан на селективном и обратимом ингибировании фактора свертывания крови Ха</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{"citationID":"FYWrCYln","properties":{"unsorted":false,"formattedCitation":"[15]","plainCitation":"[15]","noteIndex":0},"citationItems":[{"id":727,"uris":["http://zotero.org/users/14784094/items/A5RFIEWD"],"itemData":{"id":727,"type":"article-journal","abstract":"Dabigatran, rivaroxaban, apixaban, and edoxaban are direct oral anticoagulants (DOACs) that are increasingly used worldwide. Taking into account their widespread use for the prevention of thromboembolism in cardiology, neurology, orthopedics, and coronavirus disease 2019 (COVID 19) as well as their different pharmacokinetics and pharmacogenetics dependence, it is critical to explore new opportunities for DOACs administration and predict their dosage when used as monotherapy or in combination with other drugs. In this review, we describe the details of the relative pharmacogenetics on the pharmacokinetics of DOACs as well as new data concerning the clinical characteristics that predetermine the needed dosage and the risk of adverse drug reactions (ADRs). The usefulness of genetic information before and shortly after the initiation of DOACs is also discussed. The reasons for particular attention to these issues are not only new genetic knowledge and genotyping possibilities, but also the risk of serious ADRs (primarily, gastrointestinal bleeding). Taking into account the effect of the carriership of single nucleotide variants (SNVs) of genes encoding biotransformation enzymes and DOACs metabolism, the use of these measures is important to predict changes in pharmacokinetics and the risk of ADRs in patients with a high risk of thromboembolism who receive anticoagulant therapy.","container-title":"Biomedicines","DOI":"10.3390/biomedicines9050451","ISSN":"2227-9059","issue":"5","journalAbbreviation":"Biomedicines","language":"en","license":"https://creativecommons.org/licenses/by/4.0/","page":"451","source":"DOI.org (Crossref)","title":"Using Pharmacogenetics of Direct Oral Anticoagulants to Predict Changes in Their Pharmacokinetics and the Risk of Adverse Drug Reactions","volume":"9","author":[{"family":"Shnayder","given":"Natalia A."},{"family":"Petrova","given":"Marina M."},{"family":"Shesternya","given":"Pavel A."},{"family":"Savinova","given":"Alina V."},{"family":"Bochanova","given":"Elena N."},{"family":"Zimnitskaya","given":"Olga V."},{"family":"Pozhilenkova","given":"Elena A."},{"family":"Nasyrova","given":"Regina F."}],"issued":{"date-parts":[["2021",4,22]]}}}],"schema":"https://github.com/citation-style-language/schema/raw/master/csl-citation.json"}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4F1944">
        <w:rPr>
          <w:rFonts w:ascii="Times New Roman" w:hAnsi="Times New Roman" w:cs="Times New Roman"/>
          <w:sz w:val="28"/>
          <w:szCs w:val="28"/>
          <w:lang w:bidi="ar-SA"/>
        </w:rPr>
        <w:t>Это действие препятствует каскаду реакци</w:t>
      </w:r>
      <w:r>
        <w:rPr>
          <w:rFonts w:ascii="Times New Roman" w:hAnsi="Times New Roman" w:cs="Times New Roman"/>
          <w:sz w:val="28"/>
          <w:szCs w:val="28"/>
          <w:lang w:bidi="ar-SA"/>
        </w:rPr>
        <w:t>й</w:t>
      </w:r>
      <w:r w:rsidRPr="004F1944">
        <w:rPr>
          <w:rFonts w:ascii="Times New Roman" w:hAnsi="Times New Roman" w:cs="Times New Roman"/>
          <w:sz w:val="28"/>
          <w:szCs w:val="28"/>
          <w:lang w:bidi="ar-SA"/>
        </w:rPr>
        <w:t>, ведущих к образованию фибринов</w:t>
      </w:r>
      <w:r>
        <w:rPr>
          <w:rFonts w:ascii="Times New Roman" w:hAnsi="Times New Roman" w:cs="Times New Roman"/>
          <w:sz w:val="28"/>
          <w:szCs w:val="28"/>
          <w:lang w:bidi="ar-SA"/>
        </w:rPr>
        <w:t>ых</w:t>
      </w:r>
      <w:r w:rsidRPr="004F1944">
        <w:rPr>
          <w:rFonts w:ascii="Times New Roman" w:hAnsi="Times New Roman" w:cs="Times New Roman"/>
          <w:sz w:val="28"/>
          <w:szCs w:val="28"/>
          <w:lang w:bidi="ar-SA"/>
        </w:rPr>
        <w:t xml:space="preserve"> сгустков</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{"citationID":"q1IbT3LP","properties":{"unsorted":false,"formattedCitation":"[148]","plainCitation":"[148]","noteIndex":0},"citationItems":[{"id":122,"uris":["http://zotero.org/users/14784094/items/33Z86FA5"],"itemData":{"id":122,"type":"article-journal","abstract":"Non-vitamin K antagonist oral anticoagulants' interindividual trough concentration variability affects efficacy and safety, especially in bleeding events. Rivaroxaban is metabolised via CYP3A4/5-, CYP2J2-, and CYP-independent mechanisms and is a substrate of two transporter proteins: ABCB1 (MDR1, P-glycoprotein) and ABCG2 (BCRP; breast-cancer-resistance protein). The polymorphisms of these genes may possibly affect the pharmacokinetics of rivaroxaban and, consequently, its safety profile. Rivaroxaban variability may be associated with age, liver and kidney function, concomitant illness and therapy, and pharmacogenetic predisposition. This case series is the first, to our knowledge, that presents multiple risk factors for rivaroxaban-related bleeding (RRB) including age, renal function, concomitant diseases, concomitant treatment, and pharmacogenetic data. It presents patients with RRB, along with their complete clinical and pharmacogenetic data, as well as an evaluation of possible risk factors for RRB. Thirteen patients were carriers of ABCB1, ABCG2, CYP2J2, and/or CYP3A4/5 gene polymorphisms. Possible drug-drug interactions with increased bleeding risk were identified in nine patients. Six patients had eGFR &lt;60 mL/min/1.73 m2. Our data suggest a possible role of multiple factors and their interactions in predicting RRB; however, they also indicate the need for further comprehensive multidisciplinary research to enable safer use of this product based on a personalised approach.","container-title":"Pharmacy (Basel, Switzerland)","DOI":"10.3390/pharmacy11010029","ISSN":"2226-4787","issue":"1","journalAbbreviation":"Pharmacy (Basel)","language":"eng","page":"29","PMID":"36827667","PMCID":"PMC9966833","source":"PubMed","title":"Risk Factors for Rivaroxaban-Related Bleeding Events-Possible Role of Pharmacogenetics: Case Series","title-short":"Risk Factors for Rivaroxaban-Related Bleeding Events-Possible Role of Pharmacogenetics","volume":"11","author":[{"family":"Šimičević","given":"Livija"},{"family":"Slišković","given":"Ana Marija"},{"family":"Kirhmajer","given":"Majda Vrkić"},{"family":"Ganoci","given":"Lana"},{"family":"Holik","given":"Hrvoje"},{"family":"Palić","given":"Jozefina"},{"family":"Samardžić","given":"Jure"},{"family":"Božina","given":"Tamara"}],"issued":{"date-parts":[["2023",2,5]]}}}],"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[148]</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4F1944">
        <w:rPr>
          <w:rFonts w:ascii="Times New Roman" w:hAnsi="Times New Roman" w:cs="Times New Roman"/>
          <w:sz w:val="28"/>
          <w:szCs w:val="28"/>
          <w:lang w:bidi="ar-SA"/>
        </w:rPr>
        <w:t>После приема внутрь препарат демонстрирует быстрое всасывание, достигая максимальной концентрации в системном кровотоке в период от 2 до</w:t>
      </w:r>
      <w:r>
        <w:rPr>
          <w:rFonts w:ascii="Times New Roman" w:hAnsi="Times New Roman" w:cs="Times New Roman"/>
          <w:sz w:val="28"/>
          <w:szCs w:val="28"/>
          <w:lang w:bidi="ar-SA"/>
        </w:rPr>
        <w:t xml:space="preserve"> 4 часов</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{"citationID":"Tbo12baK","properties":{"unsorted":false,"formattedCitation":"[149]","plainCitation":"[149]","noteIndex":0},"citationItems":[{"id":120,"uris":["http://zotero.org/users/14784094/items/6KG9EQZK"],"itemData":{"id":120,"type":"article-journal","abstract":"Rivaroxaban is an oral, direct Factor Xa inhibitor that targets free and clot-bound Factor Xa and Factor Xa in the prothrombinase complex. It is absorbed rapidly, with maximum plasma concentrations being reached 2–4 h after tablet intake. Oral bioavailability is high (80–100 %) for the 10 mg tablet irrespective of food intake and for the 15 mg and 20 mg tablets when taken with food. Variability in the pharmacokinetic parameters is moderate (coefficient of variation 30–40 %). The pharmacokinetic profile of rivaroxaban is consistent in healthy subjects and across a broad range of different patient populations studied. Elimination of rivaroxaban from plasma occurs with a terminal half-life of 5–9 h in healthy young subjects and 11–13 h in elderly subjects. Rivaroxaban produces a pharmacodynamic effect that is closely correlated with its plasma concentration. The pharmacokinetic and pharmacodynamic relationship for inhibition of Factor Xa activity can be described by an E\nmax model, and prothrombin time prolongation by a linear model. Rivaroxaban does not inhibit cytochrome P450 enzymes or known drug transporter systems and, because rivaroxaban has multiple elimination pathways, it has no clinically relevant interactions with most commonly prescribed medications. Rivaroxaban has been approved for clinical use in several thromboembolic disorders.","container-title":"Clinical Pharmacokinetics","DOI":"10.1007/s40262-013-0100-7","ISSN":"0312-5963","issue":"1","journalAbbreviation":"Clin Pharmacokinet","page":"1-16","PMID":"23999929","PMCID":"PMC3889701","source":"PubMed Central","title":"Clinical Pharmacokinetic and Pharmacodynamic Profile of Rivaroxaban","volume":"53","author":[{"family":"Mueck","given":"Wolfgang"},{"family":"Stampfuss","given":"Jan"},{"family":"Kubitza","given":"Dagmar"},{"family":"Becka","given":"Michael"}],"issued":{"date-parts":[["2014"]]}}}],"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[149]</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4F1944">
        <w:rPr>
          <w:rFonts w:ascii="Times New Roman" w:hAnsi="Times New Roman" w:cs="Times New Roman"/>
          <w:sz w:val="28"/>
          <w:szCs w:val="28"/>
          <w:lang w:bidi="ar-SA"/>
        </w:rPr>
        <w:t>Показатель биодоступности ривароксабана характеризуется как высокий, однако он подвержен значительным колебаниям в зависимости от принимаемой дозы и условий приема пищи</w:t>
      </w:r>
      <w:r>
        <w:rPr>
          <w:rFonts w:ascii="Times New Roman" w:hAnsi="Times New Roman" w:cs="Times New Roman"/>
          <w:sz w:val="28"/>
          <w:szCs w:val="28"/>
          <w:lang w:bidi="ar-SA"/>
        </w:rPr>
        <w:t xml:space="preserve">. </w:t>
      </w:r>
      <w:r w:rsidRPr="004F1944">
        <w:rPr>
          <w:rFonts w:ascii="Times New Roman" w:hAnsi="Times New Roman" w:cs="Times New Roman"/>
          <w:sz w:val="28"/>
          <w:szCs w:val="28"/>
          <w:lang w:bidi="ar-SA"/>
        </w:rPr>
        <w:t xml:space="preserve">При дозировке 10 мг абсолютная  </w:t>
      </w:r>
      <w:r>
        <w:rPr>
          <w:rFonts w:ascii="Times New Roman" w:hAnsi="Times New Roman" w:cs="Times New Roman"/>
          <w:sz w:val="28"/>
          <w:szCs w:val="28"/>
          <w:lang w:bidi="ar-SA"/>
        </w:rPr>
        <w:t>био</w:t>
      </w:r>
      <w:r w:rsidRPr="004F1944">
        <w:rPr>
          <w:rFonts w:ascii="Times New Roman" w:hAnsi="Times New Roman" w:cs="Times New Roman"/>
          <w:sz w:val="28"/>
          <w:szCs w:val="28"/>
          <w:lang w:bidi="ar-SA"/>
        </w:rPr>
        <w:t>доступность варьируется в пределах от 80% до 100%</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{"citationID":"inxfeflB","properties":{"unsorted":false,"formattedCitation":"[150]","plainCitation":"[150]","noteIndex":0},"citationItems":[{"id":119,"uris":["http://zotero.org/users/14784094/items/HSK4MMBW"],"itemData":{"id":119,"type":"article-journal","abstract":"AIM: This study evaluated the effects of impaired renal function on the pharmacokinetics, pharmacodynamics and safety of rivaroxaban (10mg single dose), an oral, direct Factor Xa inhibitor.\nMETHODS: Subjects (n= 32) were stratified based on measured creatinine clearance: healthy controls (≥80ml min(-1) ), mild (50-79mlmin(-1) ), moderate (30-49mlmin(-1) ) and severe impairment (&lt;30mlmin(-1) ).\nRESULTS: Renal clearance of rivaroxaban decreased with increasing renal impairment. Thus, plasma concentrations increased and area under the plasma concentration-time curve (AUC) LS-mean values were 1.44-fold (90% confidence interval [CI] 1.1, 1.9; mild), 1.52-fold (90% CI 1.2, 2.0; moderate) and 1.64-fold (90% CI 1.2, 2.2; severe impairment) higher than in healthy controls. Corresponding values for the LS-mean of the AUC for prolongation of prothrombin time were 1.33-fold (90% CI 0.92, 1.92; mild), 2.16-fold (90% CI 1.51, 3.10 moderate) and 2.44-fold (90% CI 1.70, 3.49 severe) higher than in healthy subjects, respectively. Likewise, the LS-mean of the AUC for Factor Xa inhibition in subjects with mild renal impairment was 1.50-fold (90% CI 1.07, 2.10) higher than in healthy subjects. In subjects with moderate and severe renal impairment, the increase was 1.86-fold (90% CI 1.34, 2.59) and 2.0-fold (90% CI 1.44, 2.78) higher than in healthy subjects, respectively.\nCONCLUSIONS: Rivaroxaban clearance is decreased with increasing renal impairment, leading to increased plasma exposure and pharmacodynamic effects, as expected for a partially renally excreted drug. However, the influence of renal function on rivaroxaban clearance was moderate, even in subjects with severe renal impairment.","container-title":"British Journal of Clinical Pharmacology","DOI":"10.1111/j.1365-2125.2010.03753.x","ISSN":"1365-2125","issue":"5","journalAbbreviation":"Br J Clin Pharmacol","language":"eng","page":"703-712","PMID":"21039764","PMCID":"PMC2997310","source":"PubMed","title":"Effects of renal impairment on the pharmacokinetics, pharmacodynamics and safety of rivaroxaban, an oral, direct Factor Xa inhibitor","volume":"70","author":[{"family":"Kubitza","given":"Dagmar"},{"family":"Becka","given":"Michael"},{"family":"Mueck","given":"Wolfgang"},{"family":"Halabi","given":"Atef"},{"family":"Maatouk","given":"Haidar"},{"family":"Klause","given":"Norbert"},{"family":"Lufft","given":"Volkmar"},{"family":"Wand","given":"Dominic D."},{"family":"Philipp","given":"Thomas"},{"family":"Bruck","given":"Heike"}],"issued":{"date-parts":[["2010",11]]}}}],"schema":"https://github.com/citation-style-language/schema/raw/master/csl-citation.json"}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[150]</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4F1944">
        <w:rPr>
          <w:rFonts w:ascii="Times New Roman" w:hAnsi="Times New Roman" w:cs="Times New Roman"/>
          <w:sz w:val="28"/>
          <w:szCs w:val="28"/>
          <w:lang w:bidi="ar-SA"/>
        </w:rPr>
        <w:t>При приеме 20</w:t>
      </w:r>
      <w:r>
        <w:rPr>
          <w:rFonts w:ascii="Times New Roman" w:hAnsi="Times New Roman" w:cs="Times New Roman"/>
          <w:sz w:val="28"/>
          <w:szCs w:val="28"/>
          <w:lang w:bidi="ar-SA"/>
        </w:rPr>
        <w:t xml:space="preserve"> </w:t>
      </w:r>
      <w:r w:rsidRPr="004F1944">
        <w:rPr>
          <w:rFonts w:ascii="Times New Roman" w:hAnsi="Times New Roman" w:cs="Times New Roman"/>
          <w:sz w:val="28"/>
          <w:szCs w:val="28"/>
          <w:lang w:bidi="ar-SA"/>
        </w:rPr>
        <w:t>мг препарата натощак этот показатель снижается до уровня примерно 66</w:t>
      </w:r>
      <w:r>
        <w:rPr>
          <w:rFonts w:ascii="Times New Roman" w:hAnsi="Times New Roman" w:cs="Times New Roman"/>
          <w:sz w:val="28"/>
          <w:szCs w:val="28"/>
          <w:lang w:bidi="ar-SA"/>
        </w:rPr>
        <w:t>%</w:t>
      </w:r>
      <w:r w:rsidRPr="004F1944">
        <w:rPr>
          <w:rFonts w:ascii="Times New Roman" w:hAnsi="Times New Roman" w:cs="Times New Roman"/>
          <w:sz w:val="28"/>
          <w:szCs w:val="28"/>
          <w:lang w:bidi="ar-SA"/>
        </w:rPr>
        <w:t>, тогда как употребление таблетки во время еды приводит к его существенному повышению</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gC1UHhMm","properties":{"unsorted":false,"formattedCitation":"[149,151]","plainCitation":"[149,151]","noteIndex":0},"citationItems":[{"id":120,"uris":["http://zotero.org/users/14784094/items/6KG9EQZK"],"itemData":{"id":120,"type":"article-journal","abstract":"Rivaroxaban is an oral, direct Factor Xa inhibitor that targets free and clot-bound Factor Xa and Factor Xa in the prothrombinase complex. It is absorbed rapidly, with maximum plasma concentrations being reached 2–4 h after tablet intake. Oral bioavailability is high (80–100 %) for the 10 mg tablet irrespective of food intake and for the 15 mg and 20 mg tablets when taken with food. Variability in the pharmacokinetic parameters is moderate (coefficient of variation 30–40 %). The pharmacokinetic profile of rivaroxaban is consistent in healthy subjects and across a broad range of different patient populations studied. Elimination of rivaroxaban from plasma occurs with a terminal half-life of 5–9 h in healthy young subjects and 11–13 h in elderly subjects. Rivaroxaban produces a pharmacodynamic effect that is closely correlated with its plasma concentration. The pharmacokinetic and pharmacodynamic relationship for inhibition of Factor Xa activity can be described by an E\nmax model, and prothrombin time prolongation by a linear model. Rivaroxaban does not inhibit cytochrome P450 enzymes or known drug transporter systems and, because rivaroxaban has multiple elimination pathways, it has no clinically relevant interactions with most commonly prescribed medications. Rivaroxaban has been approved for clinical use in several thromboembolic disorders.","container-title":"Clinical Pharmacokinetics","DOI":"10.1007/s40262-013-0100-7","ISSN":"0312-5963","issue":"1","journalAbbreviation":"Clin Pharmacokinet","page":"1-16","PMID":"23999929","PMCID":"PMC3889701","source":"PubMed Central","title":"Clinical Pharmacokinetic and Pharmacodynamic Profile of Rivaroxaban","volume":"53","author":[{"family":"Mueck","given":"Wolfgang"},{"family":"Stampfuss","given":"Jan"},{"family":"Kubitza","given":"Dagmar"},{"family":"Becka","given":"Michael"}],"issued":{"date-parts":[["2014"]]}}},{"id":121,"uris":["http://zotero.org/users/14784094/items/2SBLPSDI"],"itemData":{"id":121,"type":"article-journal","abstract":"Atrial fibrillation (AF) is the most common sustained cardiac arrhythmia, and it leads to significant morbidity and mortality, predominantly from ischemic stroke. Vitamin K antagonists, mainly warfarin, have been used for decades to prevent ischemic stroke in AF, but their use is limited due to interactions with food and other drugs, as well as the requirement for regular monitoring of the international normalized ratio. Rivaroxaban, a direct factor Xa inhibitor and the most commonly used non-vitamin K oral anticoagulant, avoids many of these challenges and is being prescribed with increasing frequency for stroke prevention in non-valvular AF. Randomized controlled trial (RCT) data from the ROCKET-AF(Rivaroxaban once daily oral direct Factor Xa inhibition compared with vitamin K antagonism for prevention of stroke and embolism trial in atrial fibrillation) trial have shown rivaroxaban to be non-inferior to warfarin in preventing ischemic stroke and systemic embolism and to have comparable overall bleeding rates. Applicability of the RCT data to real-world practice can sometimes be limited by complex clinical scenarios or multiple comorbidities not adequately represented in the trials. Available real-world evidence in non-valvular AF patients with comorbidities - including renal impairment, acute coronary syndrome, diabetes mellitus, malignancy, or old age - supports the use of rivaroxaban as safe and effective in preventing ischemic stroke in these subgroups, though with some important considerations required to reduce bleeding risk. Patient perspectives on rivaroxaban use are also considered. Real-world evidence indicates superior rates of drug adherence with rivaroxaban when compared with vitamin K antagonists and with alternative non-vitamin K oral anticoagulants - perhaps, in part, due to its once-daily dosing regimen. Furthermore, self-reported quality of life scores are highest among patients compliant with rivaroxaban therapy. The generally high levels of patient satisfaction with rivaroxaban therapy contribute to overall favorable clinical outcomes.","container-title":"Vascular Health and Risk Management","DOI":"10.2147/VHRM.S134394","ISSN":"1178-2048","journalAbbreviation":"Vasc Health Risk Manag","language":"eng","page":"13-21","PMID":"29391805","PMCID":"PMC5768287","source":"PubMed","title":"Role of rivaroxaban in the management of atrial fibrillation: insights from clinical practice","title-short":"Role of rivaroxaban in the management of atrial fibrillation","volume":"14","author":[{"family":"Vimalesvaran","given":"Kavitha"},{"family":"Dockrill","given":"Seth J."},{"family":"Gorog","given":"Diana A."}],"issued":{"date-parts":[["2018"]]}}}],"schema":"https://github.com/citation-style-language/schema/raw/master/csl-citation.json"}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[149,151]</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Ривароксабан </w:t>
      </w:r>
      <w:r w:rsidRPr="004F1944">
        <w:rPr>
          <w:rFonts w:ascii="Times New Roman" w:hAnsi="Times New Roman" w:cs="Times New Roman"/>
          <w:sz w:val="28"/>
          <w:szCs w:val="28"/>
          <w:lang w:bidi="ar-SA"/>
        </w:rPr>
        <w:t>обладает выраженной способностью связываться с белками плазмы крови, достигающей 92</w:t>
      </w:r>
      <w:r>
        <w:rPr>
          <w:rFonts w:ascii="Times New Roman" w:hAnsi="Times New Roman" w:cs="Times New Roman"/>
          <w:sz w:val="28"/>
          <w:szCs w:val="28"/>
          <w:lang w:bidi="ar-SA"/>
        </w:rPr>
        <w:t>-</w:t>
      </w:r>
      <w:r w:rsidRPr="004F1944">
        <w:rPr>
          <w:rFonts w:ascii="Times New Roman" w:hAnsi="Times New Roman" w:cs="Times New Roman"/>
          <w:sz w:val="28"/>
          <w:szCs w:val="28"/>
          <w:lang w:bidi="ar-SA"/>
        </w:rPr>
        <w:t>95%</w:t>
      </w:r>
      <w:r w:rsidR="0043384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{"citationID":"oamqGHmy","properties":{"unsorted":false,"formattedCitation":"[152]","plainCitation":"[152]","noteIndex":0},"citationItems":[{"id":118,"uris":["http://zotero.org/users/14784094/items/6JYBKYF2"],"itemData":{"id":118,"type":"article-journal","abstract":"Drugs exhibiting high protein binding have potential increased action in patients with hypoalbuminemia. Rivaroxaban is 92-95% protein bound, but the clinical effects of rivaroxaban in patients with low albumin are largely unknown. The purpose of this study was to evaluate the relationship between albumin and bleeding in rivaroxaban treated patients. This was a retrospective cohort study of hospitalized adults who received rivaroxaban and had an albumin level measured during admission between January and October 2017. Patients who experienced bleeding events while receiving rivaroxaban therapy where compared to those who did not. A multivariable logistic regression model was used to evaluate the association between albumin levels and bleeding events. A total of 368 patients were included; 30 experienced a bleeding event and 338 did not. The mean ± standard deviation albumin level nearest to the time of rivaroxaban initiation was significantly lower in patients who experienced a bleeding event (3.0 ± 0.75 g/dL vs 3.66 ± 0.54 g/dL, p &lt; 0.0001). The multivariable logistic regression model yielded an almost 4.5 fold higher risk of bleeding (adjusted odds ratio 4.405; 95% confidence interval 2.21-9) with any 1 g/dL reduction in albumin. Admission hemoglobin was also associated with bleed risk in the model. Albumin levels were significantly associated with bleed risk in patients receiving rivaroxaban. Albumin levels should be considered when evaluating candidates for rivaroxaban therapy.","container-title":"Journal of Thrombosis and Thrombolysis","DOI":"10.1007/s11239-020-02092-w","ISSN":"1573-742X","issue":"4","journalAbbreviation":"J Thromb Thrombolysis","language":"eng","page":"1004-1011","PMID":"32279215","source":"PubMed","title":"Albumin and bleed risk in rivaroxaban treated patients","volume":"50","author":[{"family":"Wojakowski","given":"E."},{"family":"Cheruvil","given":"C."},{"family":"Hassan","given":"A."},{"family":"Holsen","given":"M. R."},{"family":"Chen","given":"L."},{"family":"Rossi","given":"M."},{"family":"Wilcox","given":"N."},{"family":"Woodruff","given":"A. E."}],"issued":{"date-parts":[["2020",11]]}}}],"schema":"https://github.com/citation-style-language/schema/raw/master/csl-citation.json"} </w:instrText>
      </w:r>
      <w:r w:rsidR="0043384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[152]</w:t>
      </w:r>
      <w:r w:rsidR="00433842">
        <w:rPr>
          <w:rFonts w:ascii="Times New Roman" w:hAnsi="Times New Roman" w:cs="Times New Roman"/>
          <w:sz w:val="28"/>
          <w:szCs w:val="28"/>
          <w:lang w:bidi="ar-SA"/>
        </w:rPr>
        <w:fldChar w:fldCharType="end"/>
      </w:r>
      <w:r w:rsidR="00433842">
        <w:rPr>
          <w:rFonts w:ascii="Times New Roman" w:hAnsi="Times New Roman" w:cs="Times New Roman"/>
          <w:sz w:val="28"/>
          <w:szCs w:val="28"/>
          <w:lang w:bidi="ar-SA"/>
        </w:rPr>
        <w:t xml:space="preserve">. </w:t>
      </w:r>
      <w:r w:rsidR="00433842" w:rsidRPr="00433842">
        <w:rPr>
          <w:rFonts w:ascii="Times New Roman" w:hAnsi="Times New Roman" w:cs="Times New Roman"/>
          <w:sz w:val="28"/>
          <w:szCs w:val="28"/>
          <w:lang w:bidi="ar-SA"/>
        </w:rPr>
        <w:t>Процесс выведения препарата из организма осуществляется по нескольким путям</w:t>
      </w:r>
      <w:r w:rsidR="00433842">
        <w:rPr>
          <w:rFonts w:ascii="Times New Roman" w:hAnsi="Times New Roman" w:cs="Times New Roman"/>
          <w:sz w:val="28"/>
          <w:szCs w:val="28"/>
          <w:lang w:bidi="ar-SA"/>
        </w:rPr>
        <w:t xml:space="preserve">. </w:t>
      </w:r>
      <w:r w:rsidR="00433842" w:rsidRPr="00433842">
        <w:rPr>
          <w:rFonts w:ascii="Times New Roman" w:hAnsi="Times New Roman" w:cs="Times New Roman"/>
          <w:sz w:val="28"/>
          <w:szCs w:val="28"/>
          <w:lang w:bidi="ar-SA"/>
        </w:rPr>
        <w:t>Неактивные метаболиты, образующиеся преимущественно под действием ферментов системы цитохрома</w:t>
      </w:r>
      <w:r w:rsidR="00433842">
        <w:rPr>
          <w:rFonts w:ascii="Times New Roman" w:hAnsi="Times New Roman" w:cs="Times New Roman"/>
          <w:sz w:val="28"/>
          <w:szCs w:val="28"/>
          <w:lang w:bidi="ar-SA"/>
        </w:rPr>
        <w:t xml:space="preserve"> Р450</w:t>
      </w:r>
      <w:r w:rsidR="00433842" w:rsidRPr="00433842">
        <w:rPr>
          <w:rFonts w:ascii="Times New Roman" w:hAnsi="Times New Roman" w:cs="Times New Roman"/>
          <w:sz w:val="28"/>
          <w:szCs w:val="28"/>
          <w:lang w:bidi="ar-SA"/>
        </w:rPr>
        <w:t>, включая из</w:t>
      </w:r>
      <w:r w:rsidR="00433842">
        <w:rPr>
          <w:rFonts w:ascii="Times New Roman" w:hAnsi="Times New Roman" w:cs="Times New Roman"/>
          <w:sz w:val="28"/>
          <w:szCs w:val="28"/>
          <w:lang w:bidi="ar-SA"/>
        </w:rPr>
        <w:t>о</w:t>
      </w:r>
      <w:r w:rsidR="00433842" w:rsidRPr="00433842">
        <w:rPr>
          <w:rFonts w:ascii="Times New Roman" w:hAnsi="Times New Roman" w:cs="Times New Roman"/>
          <w:sz w:val="28"/>
          <w:szCs w:val="28"/>
          <w:lang w:bidi="ar-SA"/>
        </w:rPr>
        <w:t>формы</w:t>
      </w:r>
      <w:r w:rsidR="00433842">
        <w:rPr>
          <w:rFonts w:ascii="Times New Roman" w:hAnsi="Times New Roman" w:cs="Times New Roman"/>
          <w:sz w:val="28"/>
          <w:szCs w:val="28"/>
          <w:lang w:bidi="ar-SA"/>
        </w:rPr>
        <w:t xml:space="preserve"> </w:t>
      </w:r>
      <w:r w:rsidR="00433842">
        <w:rPr>
          <w:rFonts w:ascii="Times New Roman" w:hAnsi="Times New Roman" w:cs="Times New Roman"/>
          <w:sz w:val="28"/>
          <w:szCs w:val="28"/>
          <w:lang w:val="en-US" w:bidi="ar-SA"/>
        </w:rPr>
        <w:t>CYP</w:t>
      </w:r>
      <w:r w:rsidR="00433842" w:rsidRPr="00433842">
        <w:rPr>
          <w:rFonts w:ascii="Times New Roman" w:hAnsi="Times New Roman" w:cs="Times New Roman"/>
          <w:sz w:val="28"/>
          <w:szCs w:val="28"/>
          <w:lang w:bidi="ar-SA"/>
        </w:rPr>
        <w:t>3</w:t>
      </w:r>
      <w:r w:rsidR="00433842">
        <w:rPr>
          <w:rFonts w:ascii="Times New Roman" w:hAnsi="Times New Roman" w:cs="Times New Roman"/>
          <w:sz w:val="28"/>
          <w:szCs w:val="28"/>
          <w:lang w:val="en-US" w:bidi="ar-SA"/>
        </w:rPr>
        <w:t>A</w:t>
      </w:r>
      <w:r w:rsidR="00433842" w:rsidRPr="00433842">
        <w:rPr>
          <w:rFonts w:ascii="Times New Roman" w:hAnsi="Times New Roman" w:cs="Times New Roman"/>
          <w:sz w:val="28"/>
          <w:szCs w:val="28"/>
          <w:lang w:bidi="ar-SA"/>
        </w:rPr>
        <w:t xml:space="preserve">4, </w:t>
      </w:r>
      <w:r w:rsidR="00433842">
        <w:rPr>
          <w:rFonts w:ascii="Times New Roman" w:hAnsi="Times New Roman" w:cs="Times New Roman"/>
          <w:sz w:val="28"/>
          <w:szCs w:val="28"/>
          <w:lang w:val="en-US" w:bidi="ar-SA"/>
        </w:rPr>
        <w:t>CYP</w:t>
      </w:r>
      <w:r w:rsidR="00433842" w:rsidRPr="00433842">
        <w:rPr>
          <w:rFonts w:ascii="Times New Roman" w:hAnsi="Times New Roman" w:cs="Times New Roman"/>
          <w:sz w:val="28"/>
          <w:szCs w:val="28"/>
          <w:lang w:bidi="ar-SA"/>
        </w:rPr>
        <w:t>3</w:t>
      </w:r>
      <w:r w:rsidR="00433842">
        <w:rPr>
          <w:rFonts w:ascii="Times New Roman" w:hAnsi="Times New Roman" w:cs="Times New Roman"/>
          <w:sz w:val="28"/>
          <w:szCs w:val="28"/>
          <w:lang w:val="en-US" w:bidi="ar-SA"/>
        </w:rPr>
        <w:t>A</w:t>
      </w:r>
      <w:r w:rsidR="00433842" w:rsidRPr="00433842">
        <w:rPr>
          <w:rFonts w:ascii="Times New Roman" w:hAnsi="Times New Roman" w:cs="Times New Roman"/>
          <w:sz w:val="28"/>
          <w:szCs w:val="28"/>
          <w:lang w:bidi="ar-SA"/>
        </w:rPr>
        <w:t xml:space="preserve">5 </w:t>
      </w:r>
      <w:r w:rsidR="00433842">
        <w:rPr>
          <w:rFonts w:ascii="Times New Roman" w:hAnsi="Times New Roman" w:cs="Times New Roman"/>
          <w:sz w:val="28"/>
          <w:szCs w:val="28"/>
          <w:lang w:bidi="ar-SA"/>
        </w:rPr>
        <w:t xml:space="preserve">и </w:t>
      </w:r>
      <w:r w:rsidR="00433842">
        <w:rPr>
          <w:rFonts w:ascii="Times New Roman" w:hAnsi="Times New Roman" w:cs="Times New Roman"/>
          <w:sz w:val="28"/>
          <w:szCs w:val="28"/>
          <w:lang w:val="en-US" w:bidi="ar-SA"/>
        </w:rPr>
        <w:t>CYP</w:t>
      </w:r>
      <w:r w:rsidR="00433842" w:rsidRPr="00433842">
        <w:rPr>
          <w:rFonts w:ascii="Times New Roman" w:hAnsi="Times New Roman" w:cs="Times New Roman"/>
          <w:sz w:val="28"/>
          <w:szCs w:val="28"/>
          <w:lang w:bidi="ar-SA"/>
        </w:rPr>
        <w:t>2</w:t>
      </w:r>
      <w:r w:rsidR="00433842">
        <w:rPr>
          <w:rFonts w:ascii="Times New Roman" w:hAnsi="Times New Roman" w:cs="Times New Roman"/>
          <w:sz w:val="28"/>
          <w:szCs w:val="28"/>
          <w:lang w:val="en-US" w:bidi="ar-SA"/>
        </w:rPr>
        <w:t>J</w:t>
      </w:r>
      <w:r w:rsidR="00433842" w:rsidRPr="00433842">
        <w:rPr>
          <w:rFonts w:ascii="Times New Roman" w:hAnsi="Times New Roman" w:cs="Times New Roman"/>
          <w:sz w:val="28"/>
          <w:szCs w:val="28"/>
          <w:lang w:bidi="ar-SA"/>
        </w:rPr>
        <w:t>2</w:t>
      </w:r>
      <w:r w:rsidR="00433842">
        <w:rPr>
          <w:rFonts w:ascii="Times New Roman" w:hAnsi="Times New Roman" w:cs="Times New Roman"/>
          <w:sz w:val="28"/>
          <w:szCs w:val="28"/>
          <w:lang w:bidi="ar-SA"/>
        </w:rPr>
        <w:t>,</w:t>
      </w:r>
      <w:r w:rsidR="00433842" w:rsidRPr="00433842">
        <w:rPr>
          <w:rFonts w:ascii="Times New Roman" w:hAnsi="Times New Roman" w:cs="Times New Roman"/>
          <w:sz w:val="28"/>
          <w:szCs w:val="28"/>
          <w:lang w:bidi="ar-SA"/>
        </w:rPr>
        <w:t xml:space="preserve"> элиминируется как с мочой, так и с фекалиями</w:t>
      </w:r>
      <w:r w:rsidR="0043384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ndVljze","properties":{"unsorted":false,"formattedCitation":"[128,153]","plainCitation":"[128,153]","noteIndex":0},"citationItems":[{"id":598,"uris":["http://zotero.org/users/14784094/items/PQYB6MZ4"],"itemData":{"id":598,"type":"article-journal","abstract":"Atrial fibrillation (AF) accounts for 40% of all cardiac arrhythmias and is associated with a high risk of stroke and systemic thromboembolic complications. Dabigatran, rivaroxaban, apixaban, and edoxaban are direct oral anticoagulants (DOACs) that have been proven to prevent stroke in patients with non-valvular AF. This review summarizes the pharmacokinetics, pharmacodynamics, and drug interactions of DOACs, as well as new data from pharmacogenetic studies of these drugs. This review is aimed at analyzing the scientific literature on the gene polymorphisms involved in the metabolism of DOACs. We searched PubMed, Cochrane, Google Scholar, and CyberLeninka (Russian version) databases with keywords: ‘dabigatran’, ‘apixaban’, ‘rivaroxaban’, ‘edoxaban’, ‘gene polymorphism’, ‘pharmacogenetics’, ‘ABCB1’, ‘CES1’, ‘SULT1A’, ‘ABCG2’, and ‘CYP3A4’. The articles referred for this review include (1) full-text articles; (2) study design with meta-analysis, an observational study in patients taking DOAC; and (3) data on the single-nucleotide polymorphisms and kinetic parameters of DOACs (plasma concentration), or a particular clinical outcome, published in English and Russian languages during the last 10 years. The ages of the patients ranged from 18 to 75 years. Out of 114 reviewed works, 24 were found eligible. As per the available pharmacogenomic data, polymorphisms affecting DOACs are different. This may aid in developing individual approaches to optimize DOAC pharmacotherapy to reduce the risk of hemorrhagic complications. However, large-scale population studies are required to determine the dosage of the new oral anticoagulants based on genotyping. Information on the genetic effects is limited owing to the lack of large-scale studies. Uncovering the mechanisms of the genetic basis of sensitivity to DOACs helps in developing personalized therapy based on patient-specific genetic variants and improves the efficacy and safety of DOACs in the general population., \nGene polymorphism as a cause of hemorrhagic complications in patients with non-valvular atrial fibrillation treated with oral vitamin K-independent anticoagulants\n, Atrial fibrillation (AF) accounts for 40% of all cardiac arrhythmias and is associated with a high risk of stroke and systemic thromboembolic complications. Dabigatran, rivaroxaban, apixaban, and edoxaban are direct oral anticoagulants (DOACs) that have been proven to prevent stroke in patients with non-valvular AF. This review summarizes the pharmacokinetics, pharmacodynamics, and drug interactions of DOACs, as well as new data from pharmacogenetic studies of these drugs.","container-title":"Therapeutic Advances in Cardiovascular Disease","DOI":"10.1177/17539447241249886","ISSN":"1753-9447","journalAbbreviation":"Ther Adv Cardiovasc Dis","page":"17539447241249886","PMID":"38801157","PMCID":"PMC11131409","source":"PubMed Central","title":"Gene polymorphism as a cause of hemorrhagic complications in patients with non-valvular atrial fibrillation treated with oral vitamin K-independent anticoagulants","volume":"18","author":[{"family":"Abdrakhmanov","given":"Ayan"},{"family":"Shaimerdinova","given":"Aizhana"},{"family":"Suleimen","given":"Zhanasyl"},{"family":"Abildinova","given":"Svetlana"},{"family":"Albayev","given":"Rustam"},{"family":"Tuyakova","given":"Gulnar"},{"family":"Rib","given":"Elena"},{"family":"Beysenbayeva","given":"Akmaral"},{"family":"Kabduyeva","given":"Gulden"},{"family":"Bekbossynova","given":"Makhabbat"}],"issued":{"date-parts":[["2024",5,27]]}}},{"id":117,"uris":["http://zotero.org/users/14784094/items/98SPEASY"],"itemData":{"id":117,"type":"article-journal","abstract":"AIMS: The anticoagulant rivaroxaban is an oral, direct Factor Xa inhibitor for the management of thromboembolic disorders. Metabolism and excretion involve cytochrome P450 3A4 (CYP3A4) and 2J2 (CYP2J2), CYP-independent mechanisms, and P-glycoprotein (P-gp) and breast cancer resistance protein (Bcrp) (ABCG2).\nMETHODS: The pharmacokinetic effects of substrates or inhibitors of CYP3A4, P-gp and Bcrp (ABCG2) on rivaroxaban were studied in healthy volunteers.\nRESULTS: Rivaroxaban did not interact with midazolam (CYP3A4 probe substrate). Exposure to rivaroxaban when co-administered with midazolam was slightly decreased by 11% (95% confidence interval [CI] -28%, 7%) compared with rivaroxaban alone. The following drugs moderately affected rivaroxaban exposure, but not to a clinically relevant extent: erythromycin (moderate CYP3A4/P-gp inhibitor; 34% increase [95% CI 23%, 46%]), clarithromycin (strong CYP3A4/moderate P-gp inhibitor; 54% increase [95% CI 44%, 64%]) and fluconazole (moderate CYP3A4, possible Bcrp [ABCG2] inhibitor; 42% increase [95% CI 29%, 56%]). A significant increase in rivaroxaban exposure was demonstrated with the strong CYP3A4, P-gp/Bcrp (ABCG2) inhibitors (and potential CYP2J2 inhibitors) ketoconazole (158% increase [95% CI 136%, 182%] for a 400 mg once daily dose) and ritonavir (153% increase [95% CI 134%, 174%]).\nCONCLUSIONS: Results suggest that rivaroxaban may be co-administered with CYP3A4 and/or P-gp substrates/moderate inhibitors, but not with strong combined CYP3A4, P-gp and Bcrp (ABCG2) inhibitors (mainly comprising azole-antimycotics, apart from fluconazole, and HIV protease inhibitors), which are multi-pathway inhibitors of rivaroxaban clearance and elimination.","container-title":"British Journal of Clinical Pharmacology","DOI":"10.1111/bcp.12075","ISSN":"1365-2125","issue":"3","journalAbbreviation":"Br J Clin Pharmacol","language":"eng","page":"455-466","PMID":"23305158","PMCID":"PMC3769672","source":"PubMed","title":"Co-administration of rivaroxaban with drugs that share its elimination pathways: pharmacokinetic effects in healthy subjects","title-short":"Co-administration of rivaroxaban with drugs that share its elimination pathways","volume":"76","author":[{"family":"Mueck","given":"Wolfgang"},{"family":"Kubitza","given":"Dagmar"},{"family":"Becka","given":"Michael"}],"issued":{"date-parts":[["2013",9]]}}}],"schema":"https://github.com/citation-style-language/schema/raw/master/csl-citation.json"} </w:instrText>
      </w:r>
      <w:r w:rsidR="0043384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[128,153]</w:t>
      </w:r>
      <w:r w:rsidR="00433842">
        <w:rPr>
          <w:rFonts w:ascii="Times New Roman" w:hAnsi="Times New Roman" w:cs="Times New Roman"/>
          <w:sz w:val="28"/>
          <w:szCs w:val="28"/>
          <w:lang w:bidi="ar-SA"/>
        </w:rPr>
        <w:fldChar w:fldCharType="end"/>
      </w:r>
      <w:r w:rsidR="00433842">
        <w:rPr>
          <w:rFonts w:ascii="Times New Roman" w:hAnsi="Times New Roman" w:cs="Times New Roman"/>
          <w:sz w:val="28"/>
          <w:szCs w:val="28"/>
          <w:lang w:bidi="ar-SA"/>
        </w:rPr>
        <w:t xml:space="preserve">. </w:t>
      </w:r>
      <w:r w:rsidR="00433842" w:rsidRPr="00433842">
        <w:rPr>
          <w:rFonts w:ascii="Times New Roman" w:hAnsi="Times New Roman" w:cs="Times New Roman"/>
          <w:sz w:val="28"/>
          <w:szCs w:val="28"/>
          <w:lang w:bidi="ar-SA"/>
        </w:rPr>
        <w:t>Приблизительно одна треть от принятой дозы выводится почками в неизмененном виде</w:t>
      </w:r>
      <w:r w:rsidR="00433842">
        <w:rPr>
          <w:rFonts w:ascii="Times New Roman" w:hAnsi="Times New Roman" w:cs="Times New Roman"/>
          <w:sz w:val="28"/>
          <w:szCs w:val="28"/>
          <w:lang w:bidi="ar-SA"/>
        </w:rPr>
        <w:t>. Э</w:t>
      </w:r>
      <w:r w:rsidR="00433842" w:rsidRPr="00433842">
        <w:rPr>
          <w:rFonts w:ascii="Times New Roman" w:hAnsi="Times New Roman" w:cs="Times New Roman"/>
          <w:sz w:val="28"/>
          <w:szCs w:val="28"/>
          <w:lang w:bidi="ar-SA"/>
        </w:rPr>
        <w:t>тот почечный клиренс неизмененного вещества обеспечивается активной транспортной секрецией</w:t>
      </w:r>
      <w:r w:rsidR="00433842">
        <w:rPr>
          <w:rFonts w:ascii="Times New Roman" w:hAnsi="Times New Roman" w:cs="Times New Roman"/>
          <w:sz w:val="28"/>
          <w:szCs w:val="28"/>
          <w:lang w:bidi="ar-SA"/>
        </w:rPr>
        <w:t>,</w:t>
      </w:r>
      <w:r w:rsidR="00433842" w:rsidRPr="00433842">
        <w:rPr>
          <w:rFonts w:ascii="Times New Roman" w:hAnsi="Times New Roman" w:cs="Times New Roman"/>
          <w:sz w:val="28"/>
          <w:szCs w:val="28"/>
          <w:lang w:bidi="ar-SA"/>
        </w:rPr>
        <w:t xml:space="preserve"> в которой ключевую роль играют белки</w:t>
      </w:r>
      <w:r w:rsidR="00433842">
        <w:rPr>
          <w:rFonts w:ascii="Times New Roman" w:hAnsi="Times New Roman" w:cs="Times New Roman"/>
          <w:sz w:val="28"/>
          <w:szCs w:val="28"/>
          <w:lang w:bidi="ar-SA"/>
        </w:rPr>
        <w:t>-</w:t>
      </w:r>
      <w:r w:rsidR="00433842" w:rsidRPr="00433842">
        <w:rPr>
          <w:rFonts w:ascii="Times New Roman" w:hAnsi="Times New Roman" w:cs="Times New Roman"/>
          <w:sz w:val="28"/>
          <w:szCs w:val="28"/>
          <w:lang w:bidi="ar-SA"/>
        </w:rPr>
        <w:t>транспортеры: р</w:t>
      </w:r>
      <w:r w:rsidR="00433842">
        <w:rPr>
          <w:rFonts w:ascii="Times New Roman" w:hAnsi="Times New Roman" w:cs="Times New Roman"/>
          <w:sz w:val="28"/>
          <w:szCs w:val="28"/>
          <w:lang w:bidi="ar-SA"/>
        </w:rPr>
        <w:t>-</w:t>
      </w:r>
      <w:r w:rsidR="00433842" w:rsidRPr="00433842">
        <w:rPr>
          <w:rFonts w:ascii="Times New Roman" w:hAnsi="Times New Roman" w:cs="Times New Roman"/>
          <w:sz w:val="28"/>
          <w:szCs w:val="28"/>
          <w:lang w:bidi="ar-SA"/>
        </w:rPr>
        <w:t>гликопротеин</w:t>
      </w:r>
      <w:r w:rsidR="00433842">
        <w:rPr>
          <w:rFonts w:ascii="Times New Roman" w:hAnsi="Times New Roman" w:cs="Times New Roman"/>
          <w:sz w:val="28"/>
          <w:szCs w:val="28"/>
          <w:lang w:bidi="ar-SA"/>
        </w:rPr>
        <w:t xml:space="preserve"> (</w:t>
      </w:r>
      <w:r w:rsidR="00433842">
        <w:rPr>
          <w:rFonts w:ascii="Times New Roman" w:hAnsi="Times New Roman" w:cs="Times New Roman"/>
          <w:sz w:val="28"/>
          <w:szCs w:val="28"/>
          <w:lang w:val="en-US" w:bidi="ar-SA"/>
        </w:rPr>
        <w:t>P</w:t>
      </w:r>
      <w:r w:rsidR="00433842" w:rsidRPr="00433842">
        <w:rPr>
          <w:rFonts w:ascii="Times New Roman" w:hAnsi="Times New Roman" w:cs="Times New Roman"/>
          <w:sz w:val="28"/>
          <w:szCs w:val="28"/>
          <w:lang w:bidi="ar-SA"/>
        </w:rPr>
        <w:t>-</w:t>
      </w:r>
      <w:r w:rsidR="00433842">
        <w:rPr>
          <w:rFonts w:ascii="Times New Roman" w:hAnsi="Times New Roman" w:cs="Times New Roman"/>
          <w:sz w:val="28"/>
          <w:szCs w:val="28"/>
          <w:lang w:val="en-US" w:bidi="ar-SA"/>
        </w:rPr>
        <w:t>gp</w:t>
      </w:r>
      <w:r w:rsidR="00433842" w:rsidRPr="00433842">
        <w:rPr>
          <w:rFonts w:ascii="Times New Roman" w:hAnsi="Times New Roman" w:cs="Times New Roman"/>
          <w:sz w:val="28"/>
          <w:szCs w:val="28"/>
          <w:lang w:bidi="ar-SA"/>
        </w:rPr>
        <w:t xml:space="preserve">, </w:t>
      </w:r>
      <w:r w:rsidR="00433842">
        <w:rPr>
          <w:rFonts w:ascii="Times New Roman" w:hAnsi="Times New Roman" w:cs="Times New Roman"/>
          <w:sz w:val="28"/>
          <w:szCs w:val="28"/>
          <w:lang w:bidi="ar-SA"/>
        </w:rPr>
        <w:t>кодируемый геном АВСВ1) и белок устойчивости к раку молочной железы (</w:t>
      </w:r>
      <w:r w:rsidR="00433842">
        <w:rPr>
          <w:rFonts w:ascii="Times New Roman" w:hAnsi="Times New Roman" w:cs="Times New Roman"/>
          <w:sz w:val="28"/>
          <w:szCs w:val="28"/>
          <w:lang w:val="en-US" w:bidi="ar-SA"/>
        </w:rPr>
        <w:t>BCRP</w:t>
      </w:r>
      <w:r w:rsidR="00433842" w:rsidRPr="00433842">
        <w:rPr>
          <w:rFonts w:ascii="Times New Roman" w:hAnsi="Times New Roman" w:cs="Times New Roman"/>
          <w:sz w:val="28"/>
          <w:szCs w:val="28"/>
          <w:lang w:bidi="ar-SA"/>
        </w:rPr>
        <w:t xml:space="preserve">, </w:t>
      </w:r>
      <w:r w:rsidR="00433842">
        <w:rPr>
          <w:rFonts w:ascii="Times New Roman" w:hAnsi="Times New Roman" w:cs="Times New Roman"/>
          <w:sz w:val="28"/>
          <w:szCs w:val="28"/>
          <w:lang w:bidi="ar-SA"/>
        </w:rPr>
        <w:t xml:space="preserve">кодируемый геном </w:t>
      </w:r>
      <w:r w:rsidR="00433842">
        <w:rPr>
          <w:rFonts w:ascii="Times New Roman" w:hAnsi="Times New Roman" w:cs="Times New Roman"/>
          <w:sz w:val="28"/>
          <w:szCs w:val="28"/>
          <w:lang w:val="en-US" w:bidi="ar-SA"/>
        </w:rPr>
        <w:t>ABCG</w:t>
      </w:r>
      <w:r w:rsidR="00433842" w:rsidRPr="00433842">
        <w:rPr>
          <w:rFonts w:ascii="Times New Roman" w:hAnsi="Times New Roman" w:cs="Times New Roman"/>
          <w:sz w:val="28"/>
          <w:szCs w:val="28"/>
          <w:lang w:bidi="ar-SA"/>
        </w:rPr>
        <w:t>2</w:t>
      </w:r>
      <w:r w:rsidR="00433842">
        <w:rPr>
          <w:rFonts w:ascii="Times New Roman" w:hAnsi="Times New Roman" w:cs="Times New Roman"/>
          <w:sz w:val="28"/>
          <w:szCs w:val="28"/>
          <w:lang w:bidi="ar-SA"/>
        </w:rPr>
        <w:t>)</w:t>
      </w:r>
      <w:r w:rsidR="0043384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{"citationID":"ELo1lAnd","properties":{"unsorted":false,"formattedCitation":"[153]","plainCitation":"[153]","noteIndex":0},"citationItems":[{"id":117,"uris":["http://zotero.org/users/14784094/items/98SPEASY"],"itemData":{"id":117,"type":"article-journal","abstract":"AIMS: The anticoagulant rivaroxaban is an oral, direct Factor Xa inhibitor for the management of thromboembolic disorders. Metabolism and excretion involve cytochrome P450 3A4 (CYP3A4) and 2J2 (CYP2J2), CYP-independent mechanisms, and P-glycoprotein (P-gp) and breast cancer resistance protein (Bcrp) (ABCG2).\nMETHODS: The pharmacokinetic effects of substrates or inhibitors of CYP3A4, P-gp and Bcrp (ABCG2) on rivaroxaban were studied in healthy volunteers.\nRESULTS: Rivaroxaban did not interact with midazolam (CYP3A4 probe substrate). Exposure to rivaroxaban when co-administered with midazolam was slightly decreased by 11% (95% confidence interval [CI] -28%, 7%) compared with rivaroxaban alone. The following drugs moderately affected rivaroxaban exposure, but not to a clinically relevant extent: erythromycin (moderate CYP3A4/P-gp inhibitor; 34% increase [95% CI 23%, 46%]), clarithromycin (strong CYP3A4/moderate P-gp inhibitor; 54% increase [95% CI 44%, 64%]) and fluconazole (moderate CYP3A4, possible Bcrp [ABCG2] inhibitor; 42% increase [95% CI 29%, 56%]). A significant increase in rivaroxaban exposure was demonstrated with the strong CYP3A4, P-gp/Bcrp (ABCG2) inhibitors (and potential CYP2J2 inhibitors) ketoconazole (158% increase [95% CI 136%, 182%] for a 400 mg once daily dose) and ritonavir (153% increase [95% CI 134%, 174%]).\nCONCLUSIONS: Results suggest that rivaroxaban may be co-administered with CYP3A4 and/or P-gp substrates/moderate inhibitors, but not with strong combined CYP3A4, P-gp and Bcrp (ABCG2) inhibitors (mainly comprising azole-antimycotics, apart from fluconazole, and HIV protease inhibitors), which are multi-pathway inhibitors of rivaroxaban clearance and elimination.","container-title":"British Journal of Clinical Pharmacology","DOI":"10.1111/bcp.12075","ISSN":"1365-2125","issue":"3","journalAbbreviation":"Br J Clin Pharmacol","language":"eng","page":"455-466","PMID":"23305158","PMCID":"PMC3769672","source":"PubMed","title":"Co-administration of rivaroxaban with drugs that share its elimination pathways: pharmacokinetic effects in healthy subjects","title-short":"Co-administration of rivaroxaban with drugs that share its elimination pathways","volume":"76","author":[{"family":"Mueck","given":"Wolfgang"},{"family":"Kubitza","given":"Dagmar"},{"family":"Becka","given":"Michael"}],"issued":{"date-parts":[["2013",9]]}}}],"schema":"https://github.com/citation-style-language/schema/raw/master/csl-citation.json"} </w:instrText>
      </w:r>
      <w:r w:rsidR="0043384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[153]</w:t>
      </w:r>
      <w:r w:rsidR="00433842">
        <w:rPr>
          <w:rFonts w:ascii="Times New Roman" w:hAnsi="Times New Roman" w:cs="Times New Roman"/>
          <w:sz w:val="28"/>
          <w:szCs w:val="28"/>
          <w:lang w:bidi="ar-SA"/>
        </w:rPr>
        <w:fldChar w:fldCharType="end"/>
      </w:r>
      <w:r w:rsidR="00433842">
        <w:rPr>
          <w:rFonts w:ascii="Times New Roman" w:hAnsi="Times New Roman" w:cs="Times New Roman"/>
          <w:sz w:val="28"/>
          <w:szCs w:val="28"/>
          <w:lang w:bidi="ar-SA"/>
        </w:rPr>
        <w:t xml:space="preserve">. </w:t>
      </w:r>
      <w:r w:rsidR="00433842" w:rsidRPr="00433842">
        <w:rPr>
          <w:rFonts w:ascii="Times New Roman" w:hAnsi="Times New Roman" w:cs="Times New Roman"/>
          <w:sz w:val="28"/>
          <w:szCs w:val="28"/>
          <w:lang w:bidi="ar-SA"/>
        </w:rPr>
        <w:t>На индивидуальную вариа</w:t>
      </w:r>
      <w:r w:rsidR="00433842">
        <w:rPr>
          <w:rFonts w:ascii="Times New Roman" w:hAnsi="Times New Roman" w:cs="Times New Roman"/>
          <w:sz w:val="28"/>
          <w:szCs w:val="28"/>
          <w:lang w:bidi="ar-SA"/>
        </w:rPr>
        <w:t>бельность</w:t>
      </w:r>
      <w:r w:rsidR="00433842" w:rsidRPr="00433842">
        <w:rPr>
          <w:rFonts w:ascii="Times New Roman" w:hAnsi="Times New Roman" w:cs="Times New Roman"/>
          <w:sz w:val="28"/>
          <w:szCs w:val="28"/>
          <w:lang w:bidi="ar-SA"/>
        </w:rPr>
        <w:t xml:space="preserve"> концентраций </w:t>
      </w:r>
      <w:r w:rsidR="00433842">
        <w:rPr>
          <w:rFonts w:ascii="Times New Roman" w:hAnsi="Times New Roman" w:cs="Times New Roman"/>
          <w:sz w:val="28"/>
          <w:szCs w:val="28"/>
          <w:lang w:bidi="ar-SA"/>
        </w:rPr>
        <w:t>ривароксабана</w:t>
      </w:r>
      <w:r w:rsidR="00433842" w:rsidRPr="00433842">
        <w:rPr>
          <w:rFonts w:ascii="Times New Roman" w:hAnsi="Times New Roman" w:cs="Times New Roman"/>
          <w:sz w:val="28"/>
          <w:szCs w:val="28"/>
          <w:lang w:bidi="ar-SA"/>
        </w:rPr>
        <w:t xml:space="preserve"> в плазме и</w:t>
      </w:r>
      <w:r w:rsidR="00433842">
        <w:rPr>
          <w:rFonts w:ascii="Times New Roman" w:hAnsi="Times New Roman" w:cs="Times New Roman"/>
          <w:sz w:val="28"/>
          <w:szCs w:val="28"/>
          <w:lang w:bidi="ar-SA"/>
        </w:rPr>
        <w:t>,</w:t>
      </w:r>
      <w:r w:rsidR="00433842" w:rsidRPr="00433842">
        <w:rPr>
          <w:rFonts w:ascii="Times New Roman" w:hAnsi="Times New Roman" w:cs="Times New Roman"/>
          <w:sz w:val="28"/>
          <w:szCs w:val="28"/>
          <w:lang w:bidi="ar-SA"/>
        </w:rPr>
        <w:t xml:space="preserve"> соответственно, на его и эффект могут влиять такие факторы</w:t>
      </w:r>
      <w:r w:rsidR="00433842">
        <w:rPr>
          <w:rFonts w:ascii="Times New Roman" w:hAnsi="Times New Roman" w:cs="Times New Roman"/>
          <w:sz w:val="28"/>
          <w:szCs w:val="28"/>
          <w:lang w:bidi="ar-SA"/>
        </w:rPr>
        <w:t xml:space="preserve">, </w:t>
      </w:r>
      <w:r w:rsidR="00433842" w:rsidRPr="00433842">
        <w:rPr>
          <w:rFonts w:ascii="Times New Roman" w:hAnsi="Times New Roman" w:cs="Times New Roman"/>
          <w:sz w:val="28"/>
          <w:szCs w:val="28"/>
          <w:lang w:bidi="ar-SA"/>
        </w:rPr>
        <w:t>как возраст пациента</w:t>
      </w:r>
      <w:r w:rsidR="00433842">
        <w:rPr>
          <w:rFonts w:ascii="Times New Roman" w:hAnsi="Times New Roman" w:cs="Times New Roman"/>
          <w:sz w:val="28"/>
          <w:szCs w:val="28"/>
          <w:lang w:bidi="ar-SA"/>
        </w:rPr>
        <w:t xml:space="preserve">, </w:t>
      </w:r>
      <w:r w:rsidR="00433842" w:rsidRPr="00433842">
        <w:rPr>
          <w:rFonts w:ascii="Times New Roman" w:hAnsi="Times New Roman" w:cs="Times New Roman"/>
          <w:sz w:val="28"/>
          <w:szCs w:val="28"/>
          <w:lang w:bidi="ar-SA"/>
        </w:rPr>
        <w:t>наличие у него патологии почек и проводим</w:t>
      </w:r>
      <w:r w:rsidR="00433842">
        <w:rPr>
          <w:rFonts w:ascii="Times New Roman" w:hAnsi="Times New Roman" w:cs="Times New Roman"/>
          <w:sz w:val="28"/>
          <w:szCs w:val="28"/>
          <w:lang w:bidi="ar-SA"/>
        </w:rPr>
        <w:t>ая</w:t>
      </w:r>
      <w:r w:rsidR="00433842" w:rsidRPr="00433842">
        <w:rPr>
          <w:rFonts w:ascii="Times New Roman" w:hAnsi="Times New Roman" w:cs="Times New Roman"/>
          <w:sz w:val="28"/>
          <w:szCs w:val="28"/>
          <w:lang w:bidi="ar-SA"/>
        </w:rPr>
        <w:t xml:space="preserve"> сопутствующ</w:t>
      </w:r>
      <w:r w:rsidR="00433842">
        <w:rPr>
          <w:rFonts w:ascii="Times New Roman" w:hAnsi="Times New Roman" w:cs="Times New Roman"/>
          <w:sz w:val="28"/>
          <w:szCs w:val="28"/>
          <w:lang w:bidi="ar-SA"/>
        </w:rPr>
        <w:t xml:space="preserve">ая </w:t>
      </w:r>
      <w:r w:rsidR="00433842" w:rsidRPr="00433842">
        <w:rPr>
          <w:rFonts w:ascii="Times New Roman" w:hAnsi="Times New Roman" w:cs="Times New Roman"/>
          <w:sz w:val="28"/>
          <w:szCs w:val="28"/>
          <w:lang w:bidi="ar-SA"/>
        </w:rPr>
        <w:t>лекарственная терапия</w:t>
      </w:r>
      <w:r w:rsidR="0043384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{"citationID":"VBmDbBFq","properties":{"unsorted":false,"formattedCitation":"[148]","plainCitation":"[148]","noteIndex":0},"citationItems":[{"id":122,"uris":["http://zotero.org/users/14784094/items/33Z86FA5"],"itemData":{"id":122,"type":"article-journal","abstract":"Non-vitamin K antagonist oral anticoagulants' interindividual trough concentration variability affects efficacy and safety, especially in bleeding events. Rivaroxaban is metabolised via CYP3A4/5-, CYP2J2-, and CYP-independent mechanisms and is a substrate of two transporter proteins: ABCB1 (MDR1, P-glycoprotein) and ABCG2 (BCRP; breast-cancer-resistance protein). The polymorphisms of these genes may possibly affect the pharmacokinetics of rivaroxaban and, consequently, its safety profile. Rivaroxaban variability may be associated with age, liver and kidney function, concomitant illness and therapy, and pharmacogenetic predisposition. This case series is the first, to our knowledge, that presents multiple risk factors for rivaroxaban-related bleeding (RRB) including age, renal function, concomitant diseases, concomitant treatment, and pharmacogenetic data. It presents patients with RRB, along with their complete clinical and pharmacogenetic data, as well as an evaluation of possible risk factors for RRB. Thirteen patients were carriers of ABCB1, ABCG2, CYP2J2, and/or CYP3A4/5 gene polymorphisms. Possible drug-drug interactions with increased bleeding risk were identified in nine patients. Six patients had eGFR &lt;60 mL/min/1.73 m2. Our data suggest a possible role of multiple factors and their interactions in predicting RRB; however, they also indicate the need for further comprehensive multidisciplinary research to enable safer use of this product based on a personalised approach.","container-title":"Pharmacy (Basel, Switzerland)","DOI":"10.3390/pharmacy11010029","ISSN":"2226-4787","issue":"1","journalAbbreviation":"Pharmacy (Basel)","language":"eng","page":"29","PMID":"36827667","PMCID":"PMC9966833","source":"PubMed","title":"Risk Factors for Rivaroxaban-Related Bleeding Events-Possible Role of Pharmacogenetics: Case Series","title-short":"Risk Factors for Rivaroxaban-Related Bleeding Events-Possible Role of Pharmacogenetics","volume":"11","author":[{"family":"Šimičević","given":"Livija"},{"family":"Slišković","given":"Ana Marija"},{"family":"Kirhmajer","given":"Majda Vrkić"},{"family":"Ganoci","given":"Lana"},{"family":"Holik","given":"Hrvoje"},{"family":"Palić","given":"Jozefina"},{"family":"Samardžić","given":"Jure"},{"family":"Božina","given":"Tamara"}],"issued":{"date-parts":[["2023",2,5]]}}}],"schema":"https://github.com/citation-style-language/schema/raw/master/csl-citation.json"} </w:instrText>
      </w:r>
      <w:r w:rsidR="0043384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[148]</w:t>
      </w:r>
      <w:r w:rsidR="00433842">
        <w:rPr>
          <w:rFonts w:ascii="Times New Roman" w:hAnsi="Times New Roman" w:cs="Times New Roman"/>
          <w:sz w:val="28"/>
          <w:szCs w:val="28"/>
          <w:lang w:bidi="ar-SA"/>
        </w:rPr>
        <w:fldChar w:fldCharType="end"/>
      </w:r>
      <w:r w:rsidR="00433842">
        <w:rPr>
          <w:rFonts w:ascii="Times New Roman" w:hAnsi="Times New Roman" w:cs="Times New Roman"/>
          <w:sz w:val="28"/>
          <w:szCs w:val="28"/>
          <w:lang w:bidi="ar-SA"/>
        </w:rPr>
        <w:t xml:space="preserve">. </w:t>
      </w:r>
      <w:r w:rsidR="00433842" w:rsidRPr="00433842">
        <w:rPr>
          <w:rFonts w:ascii="Times New Roman" w:hAnsi="Times New Roman" w:cs="Times New Roman"/>
          <w:sz w:val="28"/>
          <w:szCs w:val="28"/>
          <w:lang w:bidi="ar-SA"/>
        </w:rPr>
        <w:t>У пациентов</w:t>
      </w:r>
      <w:r w:rsidR="00377C0C" w:rsidRPr="00377C0C">
        <w:rPr>
          <w:rFonts w:ascii="Times New Roman" w:hAnsi="Times New Roman" w:cs="Times New Roman"/>
          <w:sz w:val="28"/>
          <w:szCs w:val="28"/>
          <w:lang w:bidi="ar-SA"/>
        </w:rPr>
        <w:t xml:space="preserve"> с диагностированной почечной недостаточностью наблюдается повышение концентрации препарата в крови, что клинически проявляется в удлинении протромбинового времени</w:t>
      </w:r>
      <w:r w:rsidR="00377C0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{"citationID":"vAo5upcx","properties":{"unsorted":false,"formattedCitation":"[150]","plainCitation":"[150]","noteIndex":0},"citationItems":[{"id":119,"uris":["http://zotero.org/users/14784094/items/HSK4MMBW"],"itemData":{"id":119,"type":"article-journal","abstract":"AIM: This study evaluated the effects of impaired renal function on the pharmacokinetics, pharmacodynamics and safety of rivaroxaban (10mg single dose), an oral, direct Factor Xa inhibitor.\nMETHODS: Subjects (n= 32) were stratified based on measured creatinine clearance: healthy controls (≥80ml min(-1) ), mild (50-79mlmin(-1) ), moderate (30-49mlmin(-1) ) and severe impairment (&lt;30mlmin(-1) ).\nRESULTS: Renal clearance of rivaroxaban decreased with increasing renal impairment. Thus, plasma concentrations increased and area under the plasma concentration-time curve (AUC) LS-mean values were 1.44-fold (90% confidence interval [CI] 1.1, 1.9; mild), 1.52-fold (90% CI 1.2, 2.0; moderate) and 1.64-fold (90% CI 1.2, 2.2; severe impairment) higher than in healthy controls. Corresponding values for the LS-mean of the AUC for prolongation of prothrombin time were 1.33-fold (90% CI 0.92, 1.92; mild), 2.16-fold (90% CI 1.51, 3.10 moderate) and 2.44-fold (90% CI 1.70, 3.49 severe) higher than in healthy subjects, respectively. Likewise, the LS-mean of the AUC for Factor Xa inhibition in subjects with mild renal impairment was 1.50-fold (90% CI 1.07, 2.10) higher than in healthy subjects. In subjects with moderate and severe renal impairment, the increase was 1.86-fold (90% CI 1.34, 2.59) and 2.0-fold (90% CI 1.44, 2.78) higher than in healthy subjects, respectively.\nCONCLUSIONS: Rivaroxaban clearance is decreased with increasing renal impairment, leading to increased plasma exposure and pharmacodynamic effects, as expected for a partially renally excreted drug. However, the influence of renal function on rivaroxaban clearance was moderate, even in subjects with severe renal impairment.","container-title":"British Journal of Clinical Pharmacology","DOI":"10.1111/j.1365-2125.2010.03753.x","ISSN":"1365-2125","issue":"5","journalAbbreviation":"Br J Clin Pharmacol","language":"eng","page":"703-712","PMID":"21039764","PMCID":"PMC2997310","source":"PubMed","title":"Effects of renal impairment on the pharmacokinetics, pharmacodynamics and safety of rivaroxaban, an oral, direct Factor Xa inhibitor","volume":"70","author":[{"family":"Kubitza","given":"Dagmar"},{"family":"Becka","given":"Michael"},{"family":"Mueck","given":"Wolfgang"},{"family":"Halabi","given":"Atef"},{"family":"Maatouk","given":"Haidar"},{"family":"Klause","given":"Norbert"},{"family":"Lufft","given":"Volkmar"},{"family":"Wand","given":"Dominic D."},{"family":"Philipp","given":"Thomas"},{"family":"Bruck","given":"Heike"}],"issued":{"date-parts":[["2010",11]]}}}],"schema":"https://github.com/citation-style-language/schema/raw/master/csl-citation.json"} </w:instrText>
      </w:r>
      <w:r w:rsidR="00377C0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[150]</w:t>
      </w:r>
      <w:r w:rsidR="00377C0C">
        <w:rPr>
          <w:rFonts w:ascii="Times New Roman" w:hAnsi="Times New Roman" w:cs="Times New Roman"/>
          <w:sz w:val="28"/>
          <w:szCs w:val="28"/>
          <w:lang w:bidi="ar-SA"/>
        </w:rPr>
        <w:fldChar w:fldCharType="end"/>
      </w:r>
      <w:r w:rsidR="00377C0C">
        <w:rPr>
          <w:rFonts w:ascii="Times New Roman" w:hAnsi="Times New Roman" w:cs="Times New Roman"/>
          <w:sz w:val="28"/>
          <w:szCs w:val="28"/>
          <w:lang w:bidi="ar-SA"/>
        </w:rPr>
        <w:t xml:space="preserve">. </w:t>
      </w:r>
      <w:r w:rsidR="00377C0C" w:rsidRPr="00377C0C">
        <w:rPr>
          <w:rFonts w:ascii="Times New Roman" w:hAnsi="Times New Roman" w:cs="Times New Roman"/>
          <w:sz w:val="28"/>
          <w:szCs w:val="28"/>
          <w:lang w:bidi="ar-SA"/>
        </w:rPr>
        <w:t>Лекарственные взаимодействия</w:t>
      </w:r>
      <w:r w:rsidR="00377C0C">
        <w:rPr>
          <w:rFonts w:ascii="Times New Roman" w:hAnsi="Times New Roman" w:cs="Times New Roman"/>
          <w:sz w:val="28"/>
          <w:szCs w:val="28"/>
          <w:lang w:bidi="ar-SA"/>
        </w:rPr>
        <w:t xml:space="preserve"> ривароксабана </w:t>
      </w:r>
      <w:r w:rsidR="00377C0C" w:rsidRPr="00377C0C">
        <w:rPr>
          <w:rFonts w:ascii="Times New Roman" w:hAnsi="Times New Roman" w:cs="Times New Roman"/>
          <w:sz w:val="28"/>
          <w:szCs w:val="28"/>
          <w:lang w:bidi="ar-SA"/>
        </w:rPr>
        <w:t xml:space="preserve">преимущественно </w:t>
      </w:r>
      <w:r w:rsidR="00377C0C">
        <w:rPr>
          <w:rFonts w:ascii="Times New Roman" w:hAnsi="Times New Roman" w:cs="Times New Roman"/>
          <w:sz w:val="28"/>
          <w:szCs w:val="28"/>
          <w:lang w:bidi="ar-SA"/>
        </w:rPr>
        <w:t>опосредованы</w:t>
      </w:r>
      <w:r w:rsidR="00377C0C" w:rsidRPr="00377C0C">
        <w:rPr>
          <w:rFonts w:ascii="Times New Roman" w:hAnsi="Times New Roman" w:cs="Times New Roman"/>
          <w:sz w:val="28"/>
          <w:szCs w:val="28"/>
          <w:lang w:bidi="ar-SA"/>
        </w:rPr>
        <w:t xml:space="preserve"> его метаболизмом через систему </w:t>
      </w:r>
      <w:r w:rsidR="00377C0C">
        <w:rPr>
          <w:rFonts w:ascii="Times New Roman" w:hAnsi="Times New Roman" w:cs="Times New Roman"/>
          <w:sz w:val="28"/>
          <w:szCs w:val="28"/>
          <w:lang w:val="en-US" w:bidi="ar-SA"/>
        </w:rPr>
        <w:t>CYP</w:t>
      </w:r>
      <w:r w:rsidR="00377C0C" w:rsidRPr="00377C0C">
        <w:rPr>
          <w:rFonts w:ascii="Times New Roman" w:hAnsi="Times New Roman" w:cs="Times New Roman"/>
          <w:sz w:val="28"/>
          <w:szCs w:val="28"/>
          <w:lang w:bidi="ar-SA"/>
        </w:rPr>
        <w:t xml:space="preserve">450, особенно изофермент </w:t>
      </w:r>
      <w:r w:rsidR="00377C0C">
        <w:rPr>
          <w:rFonts w:ascii="Times New Roman" w:hAnsi="Times New Roman" w:cs="Times New Roman"/>
          <w:sz w:val="28"/>
          <w:szCs w:val="28"/>
          <w:lang w:val="en-US" w:bidi="ar-SA"/>
        </w:rPr>
        <w:t>CYP</w:t>
      </w:r>
      <w:r w:rsidR="00377C0C" w:rsidRPr="00377C0C">
        <w:rPr>
          <w:rFonts w:ascii="Times New Roman" w:hAnsi="Times New Roman" w:cs="Times New Roman"/>
          <w:sz w:val="28"/>
          <w:szCs w:val="28"/>
          <w:lang w:bidi="ar-SA"/>
        </w:rPr>
        <w:t>3</w:t>
      </w:r>
      <w:r w:rsidR="00377C0C">
        <w:rPr>
          <w:rFonts w:ascii="Times New Roman" w:hAnsi="Times New Roman" w:cs="Times New Roman"/>
          <w:sz w:val="28"/>
          <w:szCs w:val="28"/>
          <w:lang w:val="en-US" w:bidi="ar-SA"/>
        </w:rPr>
        <w:t>A</w:t>
      </w:r>
      <w:r w:rsidR="00377C0C" w:rsidRPr="00377C0C">
        <w:rPr>
          <w:rFonts w:ascii="Times New Roman" w:hAnsi="Times New Roman" w:cs="Times New Roman"/>
          <w:sz w:val="28"/>
          <w:szCs w:val="28"/>
          <w:lang w:bidi="ar-SA"/>
        </w:rPr>
        <w:t>4, и транспортом по</w:t>
      </w:r>
      <w:r w:rsidR="00377C0C">
        <w:rPr>
          <w:rFonts w:ascii="Times New Roman" w:hAnsi="Times New Roman" w:cs="Times New Roman"/>
          <w:sz w:val="28"/>
          <w:szCs w:val="28"/>
          <w:lang w:bidi="ar-SA"/>
        </w:rPr>
        <w:t xml:space="preserve">средством </w:t>
      </w:r>
      <w:r w:rsidR="00377C0C">
        <w:rPr>
          <w:rFonts w:ascii="Times New Roman" w:hAnsi="Times New Roman" w:cs="Times New Roman"/>
          <w:sz w:val="28"/>
          <w:szCs w:val="28"/>
          <w:lang w:val="en-US" w:bidi="ar-SA"/>
        </w:rPr>
        <w:t>P</w:t>
      </w:r>
      <w:r w:rsidR="00377C0C" w:rsidRPr="00377C0C">
        <w:rPr>
          <w:rFonts w:ascii="Times New Roman" w:hAnsi="Times New Roman" w:cs="Times New Roman"/>
          <w:sz w:val="28"/>
          <w:szCs w:val="28"/>
          <w:lang w:bidi="ar-SA"/>
        </w:rPr>
        <w:t>-</w:t>
      </w:r>
      <w:r w:rsidR="00377C0C">
        <w:rPr>
          <w:rFonts w:ascii="Times New Roman" w:hAnsi="Times New Roman" w:cs="Times New Roman"/>
          <w:sz w:val="28"/>
          <w:szCs w:val="28"/>
          <w:lang w:val="en-US" w:bidi="ar-SA"/>
        </w:rPr>
        <w:t>gp</w:t>
      </w:r>
      <w:r w:rsidR="00377C0C">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{"citationID":"L1I7RTtA","properties":{"unsorted":false,"formattedCitation":"[16]","plainCitation":"[16]","noteIndex":0},"citationItems":[{"id":730,"uris":["http://zotero.org/users/14784094/items/FFTTVT9G"],"itemData":{"id":730,"type":"article-journal","abstract":"Dabigatran, rivaroxaban, apixaban, edoxaban, and betrixaban are direct oral anticoagulants (DOACs). Their inter-individual variability in pharmacodynamics and pharmacokinetics (transport and metabolism) is high, and could result from genetic polymorphisms. As recommended by the French Network of Pharmacogenetics (RNPGx), the management of some treatments in cardiovascular diseases (as antiplatelet agents, oral vitamin K antagonists, and statins) can rely on genetic testing in order to improve healthcare by reducing therapeutic resistance or toxicity. This paper is a review of association studies between single nucleotide polymorphisms (SNPs) and systemic exposure variation of DOACs. Most of the results presented here have a lot to do with some SNPs of CES1 (rs2244613, rs8192935, and rs71647871) and ABCB1 (rs1128503, rs2032582, rs1045642, and rs4148738) genes, and dabigatran, rivaroxaban, and apixaban. Regarding edoxaban and betrixaban, as well as SNPs in the CYP3A4 and CYP3A5 genes, literature is scarce, and further studies are needed.","container-title":"Journal of Personalized Medicine","DOI":"10.3390/jpm11010037","ISSN":"2075-4426","issue":"1","journalAbbreviation":"JPM","language":"en","license":"https://creativecommons.org/licenses/by/4.0/","page":"37","source":"DOI.org (Crossref)","title":"Pharmacogenetics of Direct Oral Anticoagulants: A Systematic Review","title-short":"Pharmacogenetics of Direct Oral Anticoagulants","volume":"11","author":[{"family":"Raymond","given":"Johanna"},{"family":"Imbert","given":"Laurent"},{"family":"Cousin","given":"Thibault"},{"family":"Duflot","given":"Thomas"},{"family":"Varin","given":"Rémi"},{"family":"Wils","given":"Julien"},{"family":"Lamoureux","given":"Fabien"}],"issued":{"date-parts":[["2021",1,11]]}}}],"schema":"https://github.com/citation-style-language/schema/raw/master/csl-citation.json"} </w:instrText>
      </w:r>
      <w:r w:rsidR="00377C0C">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[16]</w:t>
      </w:r>
      <w:r w:rsidR="00377C0C">
        <w:rPr>
          <w:rFonts w:ascii="Times New Roman" w:hAnsi="Times New Roman" w:cs="Times New Roman"/>
          <w:sz w:val="28"/>
          <w:szCs w:val="28"/>
          <w:lang w:val="en-US" w:bidi="ar-SA"/>
        </w:rPr>
        <w:fldChar w:fldCharType="end"/>
      </w:r>
      <w:r w:rsidR="00377C0C" w:rsidRPr="00377C0C">
        <w:rPr>
          <w:rFonts w:ascii="Times New Roman" w:hAnsi="Times New Roman" w:cs="Times New Roman"/>
          <w:sz w:val="28"/>
          <w:szCs w:val="28"/>
          <w:lang w:bidi="ar-SA"/>
        </w:rPr>
        <w:t>. Совместное применение</w:t>
      </w:r>
      <w:r w:rsidR="00377C0C">
        <w:rPr>
          <w:rFonts w:ascii="Times New Roman" w:hAnsi="Times New Roman" w:cs="Times New Roman"/>
          <w:sz w:val="28"/>
          <w:szCs w:val="28"/>
          <w:lang w:bidi="ar-SA"/>
        </w:rPr>
        <w:t xml:space="preserve"> ривароксабана </w:t>
      </w:r>
      <w:r w:rsidR="00377C0C" w:rsidRPr="00377C0C">
        <w:rPr>
          <w:rFonts w:ascii="Times New Roman" w:hAnsi="Times New Roman" w:cs="Times New Roman"/>
          <w:sz w:val="28"/>
          <w:szCs w:val="28"/>
          <w:lang w:bidi="ar-SA"/>
        </w:rPr>
        <w:t>с сильными ингибиторами одновременно обоих путей</w:t>
      </w:r>
      <w:r w:rsidR="00377C0C">
        <w:rPr>
          <w:rFonts w:ascii="Times New Roman" w:hAnsi="Times New Roman" w:cs="Times New Roman"/>
          <w:sz w:val="28"/>
          <w:szCs w:val="28"/>
          <w:lang w:bidi="ar-SA"/>
        </w:rPr>
        <w:t xml:space="preserve"> (</w:t>
      </w:r>
      <w:r w:rsidR="00377C0C">
        <w:rPr>
          <w:rFonts w:ascii="Times New Roman" w:hAnsi="Times New Roman" w:cs="Times New Roman"/>
          <w:sz w:val="28"/>
          <w:szCs w:val="28"/>
          <w:lang w:val="en-US" w:bidi="ar-SA"/>
        </w:rPr>
        <w:t>CYP</w:t>
      </w:r>
      <w:r w:rsidR="00377C0C" w:rsidRPr="00377C0C">
        <w:rPr>
          <w:rFonts w:ascii="Times New Roman" w:hAnsi="Times New Roman" w:cs="Times New Roman"/>
          <w:sz w:val="28"/>
          <w:szCs w:val="28"/>
          <w:lang w:bidi="ar-SA"/>
        </w:rPr>
        <w:t xml:space="preserve">450 </w:t>
      </w:r>
      <w:r w:rsidR="00377C0C">
        <w:rPr>
          <w:rFonts w:ascii="Times New Roman" w:hAnsi="Times New Roman" w:cs="Times New Roman"/>
          <w:sz w:val="28"/>
          <w:szCs w:val="28"/>
          <w:lang w:bidi="ar-SA"/>
        </w:rPr>
        <w:t xml:space="preserve">и </w:t>
      </w:r>
      <w:r w:rsidR="00377C0C">
        <w:rPr>
          <w:rFonts w:ascii="Times New Roman" w:hAnsi="Times New Roman" w:cs="Times New Roman"/>
          <w:sz w:val="28"/>
          <w:szCs w:val="28"/>
          <w:lang w:val="en-US" w:bidi="ar-SA"/>
        </w:rPr>
        <w:t>P</w:t>
      </w:r>
      <w:r w:rsidR="00377C0C" w:rsidRPr="00377C0C">
        <w:rPr>
          <w:rFonts w:ascii="Times New Roman" w:hAnsi="Times New Roman" w:cs="Times New Roman"/>
          <w:sz w:val="28"/>
          <w:szCs w:val="28"/>
          <w:lang w:bidi="ar-SA"/>
        </w:rPr>
        <w:t>-</w:t>
      </w:r>
      <w:r w:rsidR="00377C0C">
        <w:rPr>
          <w:rFonts w:ascii="Times New Roman" w:hAnsi="Times New Roman" w:cs="Times New Roman"/>
          <w:sz w:val="28"/>
          <w:szCs w:val="28"/>
          <w:lang w:val="en-US" w:bidi="ar-SA"/>
        </w:rPr>
        <w:t>gp</w:t>
      </w:r>
      <w:r w:rsidR="00377C0C">
        <w:rPr>
          <w:rFonts w:ascii="Times New Roman" w:hAnsi="Times New Roman" w:cs="Times New Roman"/>
          <w:sz w:val="28"/>
          <w:szCs w:val="28"/>
          <w:lang w:bidi="ar-SA"/>
        </w:rPr>
        <w:t>)</w:t>
      </w:r>
      <w:r w:rsidR="00377C0C" w:rsidRPr="00377C0C">
        <w:rPr>
          <w:rFonts w:ascii="Times New Roman" w:hAnsi="Times New Roman" w:cs="Times New Roman"/>
          <w:sz w:val="28"/>
          <w:szCs w:val="28"/>
          <w:lang w:bidi="ar-SA"/>
        </w:rPr>
        <w:t>, такими как</w:t>
      </w:r>
      <w:r w:rsidR="00377C0C">
        <w:rPr>
          <w:rFonts w:ascii="Times New Roman" w:hAnsi="Times New Roman" w:cs="Times New Roman"/>
          <w:sz w:val="28"/>
          <w:szCs w:val="28"/>
          <w:lang w:bidi="ar-SA"/>
        </w:rPr>
        <w:t xml:space="preserve"> кетоконазол или ритонавир, </w:t>
      </w:r>
      <w:r w:rsidR="00377C0C" w:rsidRPr="00377C0C">
        <w:rPr>
          <w:rFonts w:ascii="Times New Roman" w:hAnsi="Times New Roman" w:cs="Times New Roman"/>
          <w:sz w:val="28"/>
          <w:szCs w:val="28"/>
          <w:lang w:bidi="ar-SA"/>
        </w:rPr>
        <w:t>приводит к значительному повышению концентрации</w:t>
      </w:r>
      <w:r w:rsidR="00377C0C">
        <w:rPr>
          <w:rFonts w:ascii="Times New Roman" w:hAnsi="Times New Roman" w:cs="Times New Roman"/>
          <w:sz w:val="28"/>
          <w:szCs w:val="28"/>
          <w:lang w:bidi="ar-SA"/>
        </w:rPr>
        <w:t xml:space="preserve"> ривароксабана </w:t>
      </w:r>
      <w:r w:rsidR="00377C0C" w:rsidRPr="00377C0C">
        <w:rPr>
          <w:rFonts w:ascii="Times New Roman" w:hAnsi="Times New Roman" w:cs="Times New Roman"/>
          <w:sz w:val="28"/>
          <w:szCs w:val="28"/>
          <w:lang w:bidi="ar-SA"/>
        </w:rPr>
        <w:t>в плазме крови</w:t>
      </w:r>
      <w:r w:rsidR="00377C0C">
        <w:rPr>
          <w:rFonts w:ascii="Times New Roman" w:hAnsi="Times New Roman" w:cs="Times New Roman"/>
          <w:sz w:val="28"/>
          <w:szCs w:val="28"/>
          <w:lang w:bidi="ar-SA"/>
        </w:rPr>
        <w:t xml:space="preserve"> - </w:t>
      </w:r>
      <w:r w:rsidR="00377C0C" w:rsidRPr="00377C0C">
        <w:rPr>
          <w:rFonts w:ascii="Times New Roman" w:hAnsi="Times New Roman" w:cs="Times New Roman"/>
          <w:sz w:val="28"/>
          <w:szCs w:val="28"/>
          <w:lang w:bidi="ar-SA"/>
        </w:rPr>
        <w:t>в среднем в</w:t>
      </w:r>
      <w:r w:rsidR="00377C0C">
        <w:rPr>
          <w:rFonts w:ascii="Times New Roman" w:hAnsi="Times New Roman" w:cs="Times New Roman"/>
          <w:sz w:val="28"/>
          <w:szCs w:val="28"/>
          <w:lang w:bidi="ar-SA"/>
        </w:rPr>
        <w:t xml:space="preserve"> 2,6 </w:t>
      </w:r>
      <w:r w:rsidR="00377C0C" w:rsidRPr="00377C0C">
        <w:rPr>
          <w:rFonts w:ascii="Times New Roman" w:hAnsi="Times New Roman" w:cs="Times New Roman"/>
          <w:sz w:val="28"/>
          <w:szCs w:val="28"/>
          <w:lang w:bidi="ar-SA"/>
        </w:rPr>
        <w:t>раза</w:t>
      </w:r>
      <w:r w:rsidR="00377C0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{"citationID":"PM27GV6Z","properties":{"unsorted":false,"formattedCitation":"[154]","plainCitation":"[154]","noteIndex":0},"citationItems":[{"id":116,"uris":["http://zotero.org/users/14784094/items/78JB87GD"],"itemData":{"id":116,"type":"article-journal","abstract":"The use of direct oral anticoagulants for stroke prevention in atrial fibrillation continues to rise. Certain populations may be at higher risk for increased drug exposure and adverse events. Pharmacokinetic studies suggest increased exposure of rivaroxaban and apixaban with combined P-gp and moderate CYP3A4 inhibitors but the clinical relevance of this is unknown. This retrospective cohort study included patients receiving rivaroxaban or apixaban from January 1, 2012 to December 31, 2016 with a moderate inhibitor (amiodarone, dronedarone, diltiazem, verapamil) for at least 3 months in the drug-drug interaction (DDI) group. Propensity matching was used to identify similar control patients without the presence of the DDI. The primary outcome was a time to event analysis of any bleeding episode as defined by the International Society of Thrombosis and Hemostasis. After propensity matching, 213 patients with similar baseline characteristics were included in each group. The mean CHA2DS2-VASc score was 3.0 and median duration of follow-up was 1.45 years. The primary outcome occurred in 26.4% of patients in the DDI group and 18.4% in the control group (hazard ratio 1.8, 95% confidence interval [CI] 1.19 to 2.73; p-value = 0.006). There was no difference in bleeding rates based on type of inhibitor. Use of a combined P-gp and moderate CYP3A4 inhibitor with rivaroxaban or apixaban increased bleeding risk compared to patients without the DDI in this real world, retrospective study. Analysis in a larger patient population is needed to confirm these findings.","container-title":"Journal of Thrombosis and Thrombolysis","DOI":"10.1007/s11239-020-02037-3","ISSN":"1573-742X","issue":"4","journalAbbreviation":"J Thromb Thrombolysis","language":"eng","page":"636-643","PMID":"31925665","source":"PubMed","title":"The real world use of combined P-glycoprotein and moderate CYP3A4 inhibitors with rivaroxaban or apixaban increases bleeding","volume":"49","author":[{"family":"Hanigan","given":"Sarah"},{"family":"Das","given":"Jessica"},{"family":"Pogue","given":"Kristen"},{"family":"Barnes","given":"Geoffrey D."},{"family":"Dorsch","given":"Michael P."}],"issued":{"date-parts":[["2020",5]]}}}],"schema":"https://github.com/citation-style-language/schema/raw/master/csl-citation.json"} </w:instrText>
      </w:r>
      <w:r w:rsidR="00377C0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[154]</w:t>
      </w:r>
      <w:r w:rsidR="00377C0C">
        <w:rPr>
          <w:rFonts w:ascii="Times New Roman" w:hAnsi="Times New Roman" w:cs="Times New Roman"/>
          <w:sz w:val="28"/>
          <w:szCs w:val="28"/>
          <w:lang w:bidi="ar-SA"/>
        </w:rPr>
        <w:fldChar w:fldCharType="end"/>
      </w:r>
      <w:r w:rsidR="00377C0C">
        <w:rPr>
          <w:rFonts w:ascii="Times New Roman" w:hAnsi="Times New Roman" w:cs="Times New Roman"/>
          <w:sz w:val="28"/>
          <w:szCs w:val="28"/>
          <w:lang w:bidi="ar-SA"/>
        </w:rPr>
        <w:t xml:space="preserve">. </w:t>
      </w:r>
      <w:r w:rsidR="00377C0C" w:rsidRPr="00377C0C">
        <w:rPr>
          <w:rFonts w:ascii="Times New Roman" w:hAnsi="Times New Roman" w:cs="Times New Roman"/>
          <w:sz w:val="28"/>
          <w:szCs w:val="28"/>
          <w:lang w:bidi="ar-SA"/>
        </w:rPr>
        <w:t>Такое увеличение концентрации сопряжено с пропорционально возросшим риском развития кровотечений</w:t>
      </w:r>
      <w:r w:rsidR="00377C0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{"citationID":"37cSpzg7","properties":{"unsorted":false,"formattedCitation":"[154]","plainCitation":"[154]","noteIndex":0},"citationItems":[{"id":116,"uris":["http://zotero.org/users/14784094/items/78JB87GD"],"itemData":{"id":116,"type":"article-journal","abstract":"The use of direct oral anticoagulants for stroke prevention in atrial fibrillation continues to rise. Certain populations may be at higher risk for increased drug exposure and adverse events. Pharmacokinetic studies suggest increased exposure of rivaroxaban and apixaban with combined P-gp and moderate CYP3A4 inhibitors but the clinical relevance of this is unknown. This retrospective cohort study included patients receiving rivaroxaban or apixaban from January 1, 2012 to December 31, 2016 with a moderate inhibitor (amiodarone, dronedarone, diltiazem, verapamil) for at least 3 months in the drug-drug interaction (DDI) group. Propensity matching was used to identify similar control patients without the presence of the DDI. The primary outcome was a time to event analysis of any bleeding episode as defined by the International Society of Thrombosis and Hemostasis. After propensity matching, 213 patients with similar baseline characteristics were included in each group. The mean CHA2DS2-VASc score was 3.0 and median duration of follow-up was 1.45 years. The primary outcome occurred in 26.4% of patients in the DDI group and 18.4% in the control group (hazard ratio 1.8, 95% confidence interval [CI] 1.19 to 2.73; p-value = 0.006). There was no difference in bleeding rates based on type of inhibitor. Use of a combined P-gp and moderate CYP3A4 inhibitor with rivaroxaban or apixaban increased bleeding risk compared to patients without the DDI in this real world, retrospective study. Analysis in a larger patient population is needed to confirm these findings.","container-title":"Journal of Thrombosis and Thrombolysis","DOI":"10.1007/s11239-020-02037-3","ISSN":"1573-742X","issue":"4","journalAbbreviation":"J Thromb Thrombolysis","language":"eng","page":"636-643","PMID":"31925665","source":"PubMed","title":"The real world use of combined P-glycoprotein and moderate CYP3A4 inhibitors with rivaroxaban or apixaban increases bleeding","volume":"49","author":[{"family":"Hanigan","given":"Sarah"},{"family":"Das","given":"Jessica"},{"family":"Pogue","given":"Kristen"},{"family":"Barnes","given":"Geoffrey D."},{"family":"Dorsch","given":"Michael P."}],"issued":{"date-parts":[["2020",5]]}}}],"schema":"https://github.com/citation-style-language/schema/raw/master/csl-citation.json"} </w:instrText>
      </w:r>
      <w:r w:rsidR="00377C0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[154]</w:t>
      </w:r>
      <w:r w:rsidR="00377C0C">
        <w:rPr>
          <w:rFonts w:ascii="Times New Roman" w:hAnsi="Times New Roman" w:cs="Times New Roman"/>
          <w:sz w:val="28"/>
          <w:szCs w:val="28"/>
          <w:lang w:bidi="ar-SA"/>
        </w:rPr>
        <w:fldChar w:fldCharType="end"/>
      </w:r>
      <w:r w:rsidR="00377C0C">
        <w:rPr>
          <w:rFonts w:ascii="Times New Roman" w:hAnsi="Times New Roman" w:cs="Times New Roman"/>
          <w:sz w:val="28"/>
          <w:szCs w:val="28"/>
          <w:lang w:bidi="ar-SA"/>
        </w:rPr>
        <w:t xml:space="preserve">. </w:t>
      </w:r>
      <w:r w:rsidR="00377C0C" w:rsidRPr="00377C0C">
        <w:rPr>
          <w:rFonts w:ascii="Times New Roman" w:hAnsi="Times New Roman" w:cs="Times New Roman"/>
          <w:sz w:val="28"/>
          <w:szCs w:val="28"/>
          <w:lang w:bidi="ar-SA"/>
        </w:rPr>
        <w:t>Противоположная клиническая ситуация возникает при комбинации</w:t>
      </w:r>
      <w:r w:rsidR="00377C0C">
        <w:rPr>
          <w:rFonts w:ascii="Times New Roman" w:hAnsi="Times New Roman" w:cs="Times New Roman"/>
          <w:sz w:val="28"/>
          <w:szCs w:val="28"/>
          <w:lang w:bidi="ar-SA"/>
        </w:rPr>
        <w:t xml:space="preserve"> ривароксабана </w:t>
      </w:r>
      <w:r w:rsidR="00377C0C" w:rsidRPr="00377C0C">
        <w:rPr>
          <w:rFonts w:ascii="Times New Roman" w:hAnsi="Times New Roman" w:cs="Times New Roman"/>
          <w:sz w:val="28"/>
          <w:szCs w:val="28"/>
          <w:lang w:bidi="ar-SA"/>
        </w:rPr>
        <w:t>с сильными индукторами</w:t>
      </w:r>
      <w:r w:rsidR="00377C0C">
        <w:rPr>
          <w:rFonts w:ascii="Times New Roman" w:hAnsi="Times New Roman" w:cs="Times New Roman"/>
          <w:sz w:val="28"/>
          <w:szCs w:val="28"/>
          <w:lang w:bidi="ar-SA"/>
        </w:rPr>
        <w:t xml:space="preserve"> </w:t>
      </w:r>
      <w:r w:rsidR="00377C0C">
        <w:rPr>
          <w:rFonts w:ascii="Times New Roman" w:hAnsi="Times New Roman" w:cs="Times New Roman"/>
          <w:sz w:val="28"/>
          <w:szCs w:val="28"/>
          <w:lang w:val="en-US" w:bidi="ar-SA"/>
        </w:rPr>
        <w:t>CYP</w:t>
      </w:r>
      <w:r w:rsidR="00377C0C" w:rsidRPr="00377C0C">
        <w:rPr>
          <w:rFonts w:ascii="Times New Roman" w:hAnsi="Times New Roman" w:cs="Times New Roman"/>
          <w:sz w:val="28"/>
          <w:szCs w:val="28"/>
          <w:lang w:bidi="ar-SA"/>
        </w:rPr>
        <w:t>3</w:t>
      </w:r>
      <w:r w:rsidR="00377C0C">
        <w:rPr>
          <w:rFonts w:ascii="Times New Roman" w:hAnsi="Times New Roman" w:cs="Times New Roman"/>
          <w:sz w:val="28"/>
          <w:szCs w:val="28"/>
          <w:lang w:val="en-US" w:bidi="ar-SA"/>
        </w:rPr>
        <w:t>A</w:t>
      </w:r>
      <w:r w:rsidR="00377C0C" w:rsidRPr="00377C0C">
        <w:rPr>
          <w:rFonts w:ascii="Times New Roman" w:hAnsi="Times New Roman" w:cs="Times New Roman"/>
          <w:sz w:val="28"/>
          <w:szCs w:val="28"/>
          <w:lang w:bidi="ar-SA"/>
        </w:rPr>
        <w:t>4, например,</w:t>
      </w:r>
      <w:r w:rsidR="00377C0C">
        <w:rPr>
          <w:rFonts w:ascii="Times New Roman" w:hAnsi="Times New Roman" w:cs="Times New Roman"/>
          <w:sz w:val="28"/>
          <w:szCs w:val="28"/>
          <w:lang w:bidi="ar-SA"/>
        </w:rPr>
        <w:t xml:space="preserve"> </w:t>
      </w:r>
      <w:r w:rsidR="00377C0C" w:rsidRPr="00377C0C">
        <w:rPr>
          <w:rFonts w:ascii="Times New Roman" w:hAnsi="Times New Roman" w:cs="Times New Roman"/>
          <w:sz w:val="28"/>
          <w:szCs w:val="28"/>
          <w:lang w:bidi="ar-SA"/>
        </w:rPr>
        <w:t>рифампицином, карбамазепином или фенобарбиталом</w:t>
      </w:r>
      <w:r w:rsidR="00377C0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{"citationID":"tUcWsxCS","properties":{"unsorted":false,"formattedCitation":"[155]","plainCitation":"[155]","noteIndex":0},"citationItems":[{"id":115,"uris":["http://zotero.org/users/14784094/items/9FV86YRJ"],"itemData":{"id":115,"type":"article-journal","abstract":"The most commonly prescribed oral anticoagulants worldwide are the vitamin K antagonists (VKAs) such as warfarin. Factors affecting the pharmacokinetics of VKAs are important because deviations from their narrow therapeutic window can result in bleedings due to over-anticoagulation or thrombosis because of under-anticoagulation. In addition to pharmacodynamic interactions (e.g., augmented bleeding risk for concomitant use of NSAIDs), interactions with drugs, foods, herbs, and over-the-counter medications may affect the risk/benefit ratio of VKAs. Direct oral anticoagulants (DOACs) including Factor Xa inhibitors (rivaroxaban, apixaban and edoxaban) and thrombin inhibitor (dabigatran) are poised to replace warfarin. Phase-3 studies and real-world evaluations have established that the safety profile of DOACs is superior to those of VKAs. However, some pharmacokinetic and pharmacodynamic interactions are expected. Herein we present a critical review of VKAs and DOACs with focus on their potential for interactions with drugs, foods, herbs and over-the-counter medications.","container-title":"Blood Reviews","DOI":"10.1016/j.blre.2017.02.001","ISSN":"0268-960X","issue":"4","journalAbbreviation":"Blood Reviews","page":"193-203","source":"ScienceDirect","title":"Old and new oral anticoagulants: Food, herbal medicines and drug interactions","title-short":"Old and new oral anticoagulants","volume":"31","author":[{"family":"Di Minno","given":"Alessandro"},{"family":"Frigerio","given":"Beatrice"},{"family":"Spadarella","given":"Gaia"},{"family":"Ravani","given":"Alessio"},{"family":"Sansaro","given":"Daniela"},{"family":"Amato","given":"Mauro"},{"family":"Kitzmiller","given":"Joseph P."},{"family":"Pepi","given":"Mauro"},{"family":"Tremoli","given":"Elena"},{"family":"Baldassarre","given":"Damiano"}],"issued":{"date-parts":[["2017",7,1]]}}}],"schema":"https://github.com/citation-style-language/schema/raw/master/csl-citation.json"} </w:instrText>
      </w:r>
      <w:r w:rsidR="00377C0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[155]</w:t>
      </w:r>
      <w:r w:rsidR="00377C0C">
        <w:rPr>
          <w:rFonts w:ascii="Times New Roman" w:hAnsi="Times New Roman" w:cs="Times New Roman"/>
          <w:sz w:val="28"/>
          <w:szCs w:val="28"/>
          <w:lang w:bidi="ar-SA"/>
        </w:rPr>
        <w:fldChar w:fldCharType="end"/>
      </w:r>
      <w:r w:rsidR="00377C0C">
        <w:rPr>
          <w:rFonts w:ascii="Times New Roman" w:hAnsi="Times New Roman" w:cs="Times New Roman"/>
          <w:sz w:val="28"/>
          <w:szCs w:val="28"/>
          <w:lang w:bidi="ar-SA"/>
        </w:rPr>
        <w:t xml:space="preserve">. </w:t>
      </w:r>
      <w:r w:rsidR="00377C0C" w:rsidRPr="00377C0C">
        <w:rPr>
          <w:rFonts w:ascii="Times New Roman" w:hAnsi="Times New Roman" w:cs="Times New Roman"/>
          <w:sz w:val="28"/>
          <w:szCs w:val="28"/>
          <w:lang w:bidi="ar-SA"/>
        </w:rPr>
        <w:t xml:space="preserve">Индукция ферментативной активности приводит к ускоренному метаболизму </w:t>
      </w:r>
      <w:r w:rsidR="00377C0C">
        <w:rPr>
          <w:rFonts w:ascii="Times New Roman" w:hAnsi="Times New Roman" w:cs="Times New Roman"/>
          <w:sz w:val="28"/>
          <w:szCs w:val="28"/>
          <w:lang w:bidi="ar-SA"/>
        </w:rPr>
        <w:t xml:space="preserve">ривароксабана </w:t>
      </w:r>
      <w:r w:rsidR="00377C0C" w:rsidRPr="00377C0C">
        <w:rPr>
          <w:rFonts w:ascii="Times New Roman" w:hAnsi="Times New Roman" w:cs="Times New Roman"/>
          <w:sz w:val="28"/>
          <w:szCs w:val="28"/>
          <w:lang w:bidi="ar-SA"/>
        </w:rPr>
        <w:t xml:space="preserve">и снижению его концентрации в крови, что может нивелировать ожидаемый антикоагулянтный эффект и повысить риск </w:t>
      </w:r>
      <w:r w:rsidR="00377C0C">
        <w:rPr>
          <w:rFonts w:ascii="Times New Roman" w:hAnsi="Times New Roman" w:cs="Times New Roman"/>
          <w:sz w:val="28"/>
          <w:szCs w:val="28"/>
          <w:lang w:bidi="ar-SA"/>
        </w:rPr>
        <w:t>тромбо</w:t>
      </w:r>
      <w:r w:rsidR="00377C0C" w:rsidRPr="00377C0C">
        <w:rPr>
          <w:rFonts w:ascii="Times New Roman" w:hAnsi="Times New Roman" w:cs="Times New Roman"/>
          <w:sz w:val="28"/>
          <w:szCs w:val="28"/>
          <w:lang w:bidi="ar-SA"/>
        </w:rPr>
        <w:t>тических событий</w:t>
      </w:r>
      <w:r w:rsidR="00377C0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{"citationID":"5piOEgui","properties":{"unsorted":false,"formattedCitation":"[156]","plainCitation":"[156]","noteIndex":0},"citationItems":[{"id":114,"uris":["http://zotero.org/users/14784094/items/9QRFHWDJ"],"itemData":{"id":114,"type":"article-journal","abstract":"Direct oral anticoagulants (DOACs) have overtaken vitamin K antagonists to become the most widely used method of anticoagulation for most indications. Their stable and predictable pharmacokinetics combined with relatively simple dosing, and the absence of routine monitoring has made them an attractive proposition for healthcare providers. Despite the benefits of DOACs as a class, important differences exist between individual DOAC drugs in respect of their pharmacokinetic and pharmacodynamic profiles with implications for dosing and reversal in cases of major bleeding. This review summarizes the state of knowledge relating to the pharmacokinetics of dabigatran (factor IIa/thrombin inhibitor) and apixaban, edoxaban and rivaroxaban (factor Xa) inhibitors. We focus on pharmacokinetic differences between the drugs which may have clinically significant implications. Patient-centered care necessitates a careful consideration of the pharmacokinetic and pharmacodynamic differences between DOACs, and how these relate to individual patient circumstances. Prescribers should be aware of the potential for pharmacokinetic drug interactions with DOACs which may influence prescribing decisions in patients with multiple comorbidities. In order to give an appropriate dose of DOAC drugs, accurate estimation of renal function using the Cockcroft-Gault formula using actual body weight is necessary. An increasing body of evidence supports the use of DOACs in patients who are obese, and this is becoming more routine in clinical practice.","container-title":"Expert Opinion on Drug Metabolism &amp; Toxicology","DOI":"10.1080/17425255.2023.2287472","ISSN":"1742-5255","issue":"12","note":"_eprint: https://doi.org/10.1080/17425255.2023.2287472","page":"911-923","PMID":"37991392","publisher":"Taylor &amp; Francis","source":"Taylor and Francis+NEJM","title":"Pharmacokinetics and pharmacodynamics of direct oral anticoagulants","volume":"19","author":[{"family":"Hindley","given":"B."},{"family":"","given":"Lip ,G.Y.H."},{"family":"","given":"McCloskey ,A.P."},{"family":"Penson","given":"P.E.","non-dropping-particle":"and"}],"issued":{"date-parts":[["2023",12,2]]}}}],"schema":"https://github.com/citation-style-language/schema/raw/master/csl-citation.json"} </w:instrText>
      </w:r>
      <w:r w:rsidR="00377C0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[156]</w:t>
      </w:r>
      <w:r w:rsidR="00377C0C">
        <w:rPr>
          <w:rFonts w:ascii="Times New Roman" w:hAnsi="Times New Roman" w:cs="Times New Roman"/>
          <w:sz w:val="28"/>
          <w:szCs w:val="28"/>
          <w:lang w:bidi="ar-SA"/>
        </w:rPr>
        <w:fldChar w:fldCharType="end"/>
      </w:r>
      <w:r w:rsidR="00377C0C" w:rsidRPr="004467D0">
        <w:rPr>
          <w:rFonts w:ascii="Times New Roman" w:hAnsi="Times New Roman" w:cs="Times New Roman"/>
          <w:sz w:val="28"/>
          <w:szCs w:val="28"/>
          <w:lang w:bidi="ar-SA"/>
        </w:rPr>
        <w:t>.</w:t>
      </w:r>
      <w:r w:rsidR="00377C0C">
        <w:rPr>
          <w:rFonts w:ascii="Times New Roman" w:hAnsi="Times New Roman" w:cs="Times New Roman"/>
          <w:sz w:val="28"/>
          <w:szCs w:val="28"/>
          <w:lang w:bidi="ar-SA"/>
        </w:rPr>
        <w:t xml:space="preserve"> </w:t>
      </w:r>
    </w:p>
    <w:p w14:paraId="292100BB" w14:textId="483F98F1" w:rsidR="00377C0C" w:rsidRDefault="00377C0C" w:rsidP="007922CB">
      <w:pPr>
        <w:pStyle w:val="LO-normal"/>
        <w:spacing w:after="0" w:line="240" w:lineRule="auto"/>
        <w:ind w:firstLine="567"/>
        <w:jc w:val="both"/>
        <w:rPr>
          <w:rFonts w:ascii="Times New Roman" w:hAnsi="Times New Roman" w:cs="Times New Roman"/>
          <w:i/>
          <w:iCs/>
          <w:sz w:val="28"/>
          <w:szCs w:val="28"/>
          <w:lang w:bidi="ar-SA"/>
        </w:rPr>
      </w:pPr>
      <w:r>
        <w:rPr>
          <w:rFonts w:ascii="Times New Roman" w:hAnsi="Times New Roman" w:cs="Times New Roman"/>
          <w:i/>
          <w:iCs/>
          <w:sz w:val="28"/>
          <w:szCs w:val="28"/>
          <w:lang w:bidi="ar-SA"/>
        </w:rPr>
        <w:t>Фармакогенетические аспекты ривароксабана</w:t>
      </w:r>
    </w:p>
    <w:p w14:paraId="54659021" w14:textId="698D7742" w:rsidR="00377C0C" w:rsidRPr="00D137D9" w:rsidRDefault="008A6989" w:rsidP="008D7CB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Межиндивидуальная вариабельность </w:t>
      </w:r>
      <w:r w:rsidR="00377C0C" w:rsidRPr="00377C0C">
        <w:rPr>
          <w:rFonts w:ascii="Times New Roman" w:hAnsi="Times New Roman" w:cs="Times New Roman"/>
          <w:sz w:val="28"/>
          <w:szCs w:val="28"/>
          <w:lang w:bidi="ar-SA"/>
        </w:rPr>
        <w:t>фармакокинетики</w:t>
      </w:r>
      <w:r w:rsidR="00377C0C">
        <w:rPr>
          <w:rFonts w:ascii="Times New Roman" w:hAnsi="Times New Roman" w:cs="Times New Roman"/>
          <w:sz w:val="28"/>
          <w:szCs w:val="28"/>
          <w:lang w:bidi="ar-SA"/>
        </w:rPr>
        <w:t xml:space="preserve"> ривароксабана </w:t>
      </w:r>
      <w:r w:rsidR="00377C0C" w:rsidRPr="00377C0C">
        <w:rPr>
          <w:rFonts w:ascii="Times New Roman" w:hAnsi="Times New Roman" w:cs="Times New Roman"/>
          <w:sz w:val="28"/>
          <w:szCs w:val="28"/>
          <w:lang w:bidi="ar-SA"/>
        </w:rPr>
        <w:t>мо</w:t>
      </w:r>
      <w:r>
        <w:rPr>
          <w:rFonts w:ascii="Times New Roman" w:hAnsi="Times New Roman" w:cs="Times New Roman"/>
          <w:sz w:val="28"/>
          <w:szCs w:val="28"/>
          <w:lang w:bidi="ar-SA"/>
        </w:rPr>
        <w:t>жет</w:t>
      </w:r>
      <w:r w:rsidR="00377C0C" w:rsidRPr="00377C0C">
        <w:rPr>
          <w:rFonts w:ascii="Times New Roman" w:hAnsi="Times New Roman" w:cs="Times New Roman"/>
          <w:sz w:val="28"/>
          <w:szCs w:val="28"/>
          <w:lang w:bidi="ar-SA"/>
        </w:rPr>
        <w:t xml:space="preserve"> быть связан</w:t>
      </w:r>
      <w:r>
        <w:rPr>
          <w:rFonts w:ascii="Times New Roman" w:hAnsi="Times New Roman" w:cs="Times New Roman"/>
          <w:sz w:val="28"/>
          <w:szCs w:val="28"/>
          <w:lang w:bidi="ar-SA"/>
        </w:rPr>
        <w:t>а</w:t>
      </w:r>
      <w:r w:rsidR="00377C0C" w:rsidRPr="00377C0C">
        <w:rPr>
          <w:rFonts w:ascii="Times New Roman" w:hAnsi="Times New Roman" w:cs="Times New Roman"/>
          <w:sz w:val="28"/>
          <w:szCs w:val="28"/>
          <w:lang w:bidi="ar-SA"/>
        </w:rPr>
        <w:t xml:space="preserve"> с полиморфизмом генов</w:t>
      </w:r>
      <w:r w:rsidR="008D7CBD" w:rsidRPr="008D7CBD">
        <w:rPr>
          <w:rFonts w:ascii="Times New Roman" w:hAnsi="Times New Roman" w:cs="Times New Roman"/>
          <w:sz w:val="28"/>
          <w:szCs w:val="28"/>
          <w:lang w:bidi="ar-SA"/>
        </w:rPr>
        <w:t>, кодирующих участвующие в его метаболизме и транспорте белки</w:t>
      </w:r>
      <w:r w:rsidR="008D7CBD">
        <w:rPr>
          <w:rFonts w:ascii="Times New Roman" w:hAnsi="Times New Roman" w:cs="Times New Roman"/>
          <w:sz w:val="28"/>
          <w:szCs w:val="28"/>
          <w:lang w:bidi="ar-SA"/>
        </w:rPr>
        <w:t>,</w:t>
      </w:r>
      <w:r w:rsidR="008D7CBD" w:rsidRPr="008D7CBD">
        <w:rPr>
          <w:rFonts w:ascii="Times New Roman" w:hAnsi="Times New Roman" w:cs="Times New Roman"/>
          <w:sz w:val="28"/>
          <w:szCs w:val="28"/>
          <w:lang w:bidi="ar-SA"/>
        </w:rPr>
        <w:t xml:space="preserve"> такие как</w:t>
      </w:r>
      <w:r w:rsid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val="en-US" w:bidi="ar-SA"/>
        </w:rPr>
        <w:t>ABCB</w:t>
      </w:r>
      <w:r w:rsidR="008D7CBD" w:rsidRPr="008D7CBD">
        <w:rPr>
          <w:rFonts w:ascii="Times New Roman" w:hAnsi="Times New Roman" w:cs="Times New Roman"/>
          <w:sz w:val="28"/>
          <w:szCs w:val="28"/>
          <w:lang w:bidi="ar-SA"/>
        </w:rPr>
        <w:t>1 (</w:t>
      </w:r>
      <w:r w:rsidR="008D7CBD">
        <w:rPr>
          <w:rFonts w:ascii="Times New Roman" w:hAnsi="Times New Roman" w:cs="Times New Roman"/>
          <w:sz w:val="28"/>
          <w:szCs w:val="28"/>
          <w:lang w:val="en-US" w:bidi="ar-SA"/>
        </w:rPr>
        <w:t>P</w:t>
      </w:r>
      <w:r w:rsidR="008D7CBD" w:rsidRPr="008D7CBD">
        <w:rPr>
          <w:rFonts w:ascii="Times New Roman" w:hAnsi="Times New Roman" w:cs="Times New Roman"/>
          <w:sz w:val="28"/>
          <w:szCs w:val="28"/>
          <w:lang w:bidi="ar-SA"/>
        </w:rPr>
        <w:t>-</w:t>
      </w:r>
      <w:r w:rsidR="008D7CBD">
        <w:rPr>
          <w:rFonts w:ascii="Times New Roman" w:hAnsi="Times New Roman" w:cs="Times New Roman"/>
          <w:sz w:val="28"/>
          <w:szCs w:val="28"/>
          <w:lang w:val="en-US" w:bidi="ar-SA"/>
        </w:rPr>
        <w:t>gp</w:t>
      </w:r>
      <w:r w:rsidR="008D7CBD" w:rsidRP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val="en-US" w:bidi="ar-SA"/>
        </w:rPr>
        <w:t>ABCG</w:t>
      </w:r>
      <w:r w:rsidR="008D7CBD" w:rsidRPr="008D7CBD">
        <w:rPr>
          <w:rFonts w:ascii="Times New Roman" w:hAnsi="Times New Roman" w:cs="Times New Roman"/>
          <w:sz w:val="28"/>
          <w:szCs w:val="28"/>
          <w:lang w:bidi="ar-SA"/>
        </w:rPr>
        <w:t>2 (</w:t>
      </w:r>
      <w:r w:rsidR="008D7CBD">
        <w:rPr>
          <w:rFonts w:ascii="Times New Roman" w:hAnsi="Times New Roman" w:cs="Times New Roman"/>
          <w:sz w:val="28"/>
          <w:szCs w:val="28"/>
          <w:lang w:val="en-US" w:bidi="ar-SA"/>
        </w:rPr>
        <w:t>BCRP</w:t>
      </w:r>
      <w:r w:rsidR="008D7CBD" w:rsidRPr="008D7CBD">
        <w:rPr>
          <w:rFonts w:ascii="Times New Roman" w:hAnsi="Times New Roman" w:cs="Times New Roman"/>
          <w:sz w:val="28"/>
          <w:szCs w:val="28"/>
          <w:lang w:bidi="ar-SA"/>
        </w:rPr>
        <w:t>)</w:t>
      </w:r>
      <w:r w:rsidR="008D7CBD">
        <w:rPr>
          <w:rFonts w:ascii="Times New Roman" w:hAnsi="Times New Roman" w:cs="Times New Roman"/>
          <w:sz w:val="28"/>
          <w:szCs w:val="28"/>
          <w:lang w:bidi="ar-SA"/>
        </w:rPr>
        <w:t xml:space="preserve"> и </w:t>
      </w:r>
      <w:r w:rsidR="008D7CBD">
        <w:rPr>
          <w:rFonts w:ascii="Times New Roman" w:hAnsi="Times New Roman" w:cs="Times New Roman"/>
          <w:sz w:val="28"/>
          <w:szCs w:val="28"/>
          <w:lang w:val="en-US" w:bidi="ar-SA"/>
        </w:rPr>
        <w:t>CYP</w:t>
      </w:r>
      <w:r w:rsidR="008D7CBD" w:rsidRPr="008D7CBD">
        <w:rPr>
          <w:rFonts w:ascii="Times New Roman" w:hAnsi="Times New Roman" w:cs="Times New Roman"/>
          <w:sz w:val="28"/>
          <w:szCs w:val="28"/>
          <w:lang w:bidi="ar-SA"/>
        </w:rPr>
        <w:t>3</w:t>
      </w:r>
      <w:r w:rsidR="008D7CBD">
        <w:rPr>
          <w:rFonts w:ascii="Times New Roman" w:hAnsi="Times New Roman" w:cs="Times New Roman"/>
          <w:sz w:val="28"/>
          <w:szCs w:val="28"/>
          <w:lang w:val="en-US" w:bidi="ar-SA"/>
        </w:rPr>
        <w:t>A</w:t>
      </w:r>
      <w:r w:rsidR="008D7CBD" w:rsidRPr="008D7CBD">
        <w:rPr>
          <w:rFonts w:ascii="Times New Roman" w:hAnsi="Times New Roman" w:cs="Times New Roman"/>
          <w:sz w:val="28"/>
          <w:szCs w:val="28"/>
          <w:lang w:bidi="ar-SA"/>
        </w:rPr>
        <w:t>4. В настоящее время в научной литературе обсуждается влияние определенных одн</w:t>
      </w:r>
      <w:r w:rsidR="008D7CBD">
        <w:rPr>
          <w:rFonts w:ascii="Times New Roman" w:hAnsi="Times New Roman" w:cs="Times New Roman"/>
          <w:sz w:val="28"/>
          <w:szCs w:val="28"/>
          <w:lang w:bidi="ar-SA"/>
        </w:rPr>
        <w:t>о</w:t>
      </w:r>
      <w:r w:rsidR="008D7CBD" w:rsidRPr="008D7CBD">
        <w:rPr>
          <w:rFonts w:ascii="Times New Roman" w:hAnsi="Times New Roman" w:cs="Times New Roman"/>
          <w:sz w:val="28"/>
          <w:szCs w:val="28"/>
          <w:lang w:bidi="ar-SA"/>
        </w:rPr>
        <w:t>нуклеотидных полиморфизмов</w:t>
      </w:r>
      <w:r w:rsid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val="en-US" w:bidi="ar-SA"/>
        </w:rPr>
        <w:t>SNP</w:t>
      </w:r>
      <w:r w:rsidR="008D7CBD">
        <w:rPr>
          <w:rFonts w:ascii="Times New Roman" w:hAnsi="Times New Roman" w:cs="Times New Roman"/>
          <w:sz w:val="28"/>
          <w:szCs w:val="28"/>
          <w:lang w:bidi="ar-SA"/>
        </w:rPr>
        <w:t>)</w:t>
      </w:r>
      <w:r w:rsidR="008D7CBD" w:rsidRP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bidi="ar-SA"/>
        </w:rPr>
        <w:t>п</w:t>
      </w:r>
      <w:r w:rsidR="008D7CBD" w:rsidRPr="008D7CBD">
        <w:rPr>
          <w:rFonts w:ascii="Times New Roman" w:hAnsi="Times New Roman" w:cs="Times New Roman"/>
          <w:sz w:val="28"/>
          <w:szCs w:val="28"/>
          <w:lang w:bidi="ar-SA"/>
        </w:rPr>
        <w:t>ричем для гена</w:t>
      </w:r>
      <w:r w:rsid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val="en-US" w:bidi="ar-SA"/>
        </w:rPr>
        <w:t>ABCB</w:t>
      </w:r>
      <w:r w:rsidR="008D7CBD" w:rsidRPr="008D7CBD">
        <w:rPr>
          <w:rFonts w:ascii="Times New Roman" w:hAnsi="Times New Roman" w:cs="Times New Roman"/>
          <w:sz w:val="28"/>
          <w:szCs w:val="28"/>
          <w:lang w:bidi="ar-SA"/>
        </w:rPr>
        <w:t xml:space="preserve">1 идентифицировано как минимум 4 </w:t>
      </w:r>
      <w:r w:rsidR="008D7CBD">
        <w:rPr>
          <w:rFonts w:ascii="Times New Roman" w:hAnsi="Times New Roman" w:cs="Times New Roman"/>
          <w:sz w:val="28"/>
          <w:szCs w:val="28"/>
          <w:lang w:val="en-US" w:bidi="ar-SA"/>
        </w:rPr>
        <w:t>SNP</w:t>
      </w:r>
      <w:r w:rsidR="008D7CBD" w:rsidRPr="008D7CBD">
        <w:rPr>
          <w:rFonts w:ascii="Times New Roman" w:hAnsi="Times New Roman" w:cs="Times New Roman"/>
          <w:sz w:val="28"/>
          <w:szCs w:val="28"/>
          <w:lang w:bidi="ar-SA"/>
        </w:rPr>
        <w:t>, которые потенциально могут ассоциироваться с повышением концентраци</w:t>
      </w:r>
      <w:r w:rsidR="008D7CBD">
        <w:rPr>
          <w:rFonts w:ascii="Times New Roman" w:hAnsi="Times New Roman" w:cs="Times New Roman"/>
          <w:sz w:val="28"/>
          <w:szCs w:val="28"/>
          <w:lang w:bidi="ar-SA"/>
        </w:rPr>
        <w:t>й</w:t>
      </w:r>
      <w:r w:rsidR="008D7CBD" w:rsidRP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bidi="ar-SA"/>
        </w:rPr>
        <w:t xml:space="preserve">ривароксабана </w:t>
      </w:r>
      <w:r w:rsidR="008D7CBD" w:rsidRPr="008D7CBD">
        <w:rPr>
          <w:rFonts w:ascii="Times New Roman" w:hAnsi="Times New Roman" w:cs="Times New Roman"/>
          <w:sz w:val="28"/>
          <w:szCs w:val="28"/>
          <w:lang w:bidi="ar-SA"/>
        </w:rPr>
        <w:t>в плазме и</w:t>
      </w:r>
      <w:r w:rsidR="008D7CBD">
        <w:rPr>
          <w:rFonts w:ascii="Times New Roman" w:hAnsi="Times New Roman" w:cs="Times New Roman"/>
          <w:sz w:val="28"/>
          <w:szCs w:val="28"/>
          <w:lang w:bidi="ar-SA"/>
        </w:rPr>
        <w:t xml:space="preserve">, </w:t>
      </w:r>
      <w:r w:rsidR="008D7CBD" w:rsidRPr="008D7CBD">
        <w:rPr>
          <w:rFonts w:ascii="Times New Roman" w:hAnsi="Times New Roman" w:cs="Times New Roman"/>
          <w:sz w:val="28"/>
          <w:szCs w:val="28"/>
          <w:lang w:bidi="ar-SA"/>
        </w:rPr>
        <w:t>как следствие</w:t>
      </w:r>
      <w:r w:rsidR="008D7CBD">
        <w:rPr>
          <w:rFonts w:ascii="Times New Roman" w:hAnsi="Times New Roman" w:cs="Times New Roman"/>
          <w:sz w:val="28"/>
          <w:szCs w:val="28"/>
          <w:lang w:bidi="ar-SA"/>
        </w:rPr>
        <w:t xml:space="preserve">, </w:t>
      </w:r>
      <w:r w:rsidR="008D7CBD" w:rsidRPr="008D7CBD">
        <w:rPr>
          <w:rFonts w:ascii="Times New Roman" w:hAnsi="Times New Roman" w:cs="Times New Roman"/>
          <w:sz w:val="28"/>
          <w:szCs w:val="28"/>
          <w:lang w:bidi="ar-SA"/>
        </w:rPr>
        <w:t>с повышенным риском возникновения геморрагических осложнений</w:t>
      </w:r>
      <w:r w:rsidR="008D7CB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mcLfE4w","properties":{"unsorted":false,"formattedCitation":"[157\\uc0\\u8211{}159]","plainCitation":"[157–159]","noteIndex":0},"citationItems":[{"id":113,"uris":["http://zotero.org/users/14784094/items/PBCAEQJD"],"itemData":{"id":113,"type":"article-journal","abstract":"BACKGROUND: Serious bleeding events have been frequently described in patients taking direct oral anticoagulants (DOAC). In secondary analyses of phase 3 trials, DOAC plasma concentrations were shown to correlate with bleeding outcomes. This study aimed to describe rivaroxaban plasma levels in patients admitted to the emergency department (ED) for bleeding events. For each patient, risk factors for experiencing bleeding events were also investigated.\nMETHODS: This analysis was part of an observational study conducted in the ED of two teaching hospitals. Plasma samples from 10 rivaroxaban-treated patients admitted for bleeding events were collected. Rivaroxaban plasma concentrations were determined by calibrated chromogenic anti-Xa assay. The measured rivaroxaban levels were then extrapolated at trough using a published population pharmacokinetic (PopPK) model, and compared to on-therapy ranges observed in large clinical trials. For each patient, clinical, medication and ABCB1 genotype data were collected.\nRESULTS: Rivaroxaban measurements varied from 5 to 358 ng/ml, with a post-intake delay ranging from 9 to 38 h. At trough, estimated plasma concentrations were between 12 and 251 ng/ml (median value 94 ng/ml). Four patients had higher-than-expected rivaroxaban levels. Inadequate dose regimen, excessive alcohol consumption and lack of treatment reassessment were observed in several patients. Half of patients were taking ≥1 drug with potential pharmacokinetics interactions (e.g. amiodarone, diltiazem), while half of patients were taking ≥1 drug increasing the risk of bleeding. All 3 patients with available genotyping data and higher-than-expected rivaroxaban levels were heterozygous or homozygous mutated for the ABCB1 1236C &gt; T, 2677G &gt; T, 3435 C &gt; T and rs4148738 single nucleotide polymorphisms (SNP).\nCONCLUSIONS: Rivaroxaban patients admitted to the ED for bleeding events showed highly variable plasma concentrations. This analysis underlines the usefulness of rapid DOAC measurement and the value of PopPK models to estimate concentrations at trough in a context where the post-intake delay is unmanageable. Close patient follow-up, including renal function assessment and drug interactions review, is essential for bleeding risk minimization.","container-title":"Thrombosis Journal","DOI":"10.1186/s12959-018-0183-3","ISSN":"1477-9560","journalAbbreviation":"Thromb J","language":"eng","page":"28","PMID":"30455596","PMCID":"PMC6231259","source":"PubMed","title":"Rivaroxaban plasma levels in patients admitted for bleeding events: insights from a prospective study","title-short":"Rivaroxaban plasma levels in patients admitted for bleeding events","volume":"16","author":[{"family":"Sennesael","given":"Anne-Laure"},{"family":"Larock","given":"Anne-Sophie"},{"family":"Douxfils","given":"Jonathan"},{"family":"Elens","given":"Laure"},{"family":"Stillemans","given":"Gabriel"},{"family":"Wiesen","given":"Martin"},{"family":"Taubert","given":"Max"},{"family":"Dogné","given":"Jean-Michel"},{"family":"Spinewine","given":"Anne"},{"family":"Mullier","given":"François"}],"issued":{"date-parts":[["2018"]]}}},{"id":112,"uris":["http://zotero.org/users/14784094/items/XLGGMGIJ"],"itemData":{"id":112,"type":"article-journal","abstract":"We report a patient who presented a non-ST segment elevation myocardial infarction in the context of severe normocytic hypochromic anemia related to gastrointestinal bleeding, 3 months after switching anticoagulant from the vitamin K antagonist acenocoumarol to the direct oral anticoagulant rivaroxaban. High levels of both anti-Xa activity and rivaroxaban plasma concentrations were measured despite rivaroxaban withdrawal, suggesting reduced elimination/drug clearance. Estimated half-life was 2-3 times longer than usually reported. The patient is a homozygous carrier of ABCB1 variant alleles, which could have participated to reduced elimination of rivaroxaban. Furthermore, CYP3A4/5 phenotyping showed moderately reduced enzyme activity. Drug-drug interaction with simvastatin may have contributed to decreased rivaroxaban elimination. Although in the present case moderate acute renal failure probably played a role, more clinical data are required to elucidate the impact of ABCB1 polymorphism on rivaroxaban pharmacokinetics and bleeding complications.","container-title":"Frontiers in Pharmacology","DOI":"10.3389/fphar.2016.00494","ISSN":"1663-9812","journalAbbreviation":"Front Pharmacol","language":"eng","page":"494","PMID":"28066243","PMCID":"PMC5165251","source":"PubMed","title":"Rivaroxaban-Induced Hemorrhage Associated with ABCB1 Genetic Defect","volume":"7","author":[{"family":"Ing Lorenzini","given":"Kuntheavy"},{"family":"Daali","given":"Youssef"},{"family":"Fontana","given":"Pierre"},{"family":"Desmeules","given":"Jules"},{"family":"Samer","given":"Caroline"}],"issued":{"date-parts":[["2016"]]}}},{"id":111,"uris":["http://zotero.org/users/14784094/items/LR7XBNVL"],"itemData":{"id":111,"type":"article-journal","abstract":"Essentials Rivaroxaban and dabigatran are substrates of the P-glycoprotein (P-gp) encoded by the ABCB1 gene. We tested the effect of ABCB1 polymorphisms and of a P-gp inhibitor on both drugs' pharmacokinetics. The ABCB1 genotype was not a clinically relevant determinant of both drugs' pharmacokinetics. Administration of P-gp inhibitors with dabigatran or rivaroxaban should be exercised with caution.\nSUMMARY: Background The direct oral anticoagulants (DOACs) dabigatran and rivaroxaban are both substrates of the P-glycoprotein (P-gp) transporter, encoded by the ABCB1 gene. Rivaroxaban is metabolized by cytochrome P450 A4 (CYP3A4). Interindividual variability in DOAC exposure and frequent P-gp-associated drug-drug interactions have been described in patients. Objective To assess the influence of ABCB1 polymorphisms on the pharmacokinetics of dabigatran and rivaroxaban, associated or not with clarithromycin, a P-gp and CYP3A4 inhibitor. Methods Sixty healthy male volunteers, selected according to ABCB1 genotype (20 homozygous mutated, 20 heterozygous mutated, and 20 wild-type for haplotype 2677-3435), were included in this randomized, two-center, crossover study. All received sequentially a single dose of dabigatran etexilate (300 mg) and rivaroxaban (40 mg) associated or not with clarithromycin. Peak plasma concentration and area under the curve (AUC) were compared across the three ABCB1 genotypes. The effect of clarithromycin on dabigatran or rivaroxaban pharmacokinetics was assessed. Results Interindividual coefficients of variation for AUC were 77% for dabigatran and 51% for rivaroxaban. ABCB1 genotype did not significantly affect drug pharmacokinetics: AUC ratios between mutant-allele carriers and wild-type volunteers were 1.27 (95% confidence interval [CI] 0.84-1.92) and 1.20 (95% CI 0.96-1.51) for dabigatran and rivaroxaban, respectively. Clarithromycin coadministration led to a two-fold increase in both drugs' AUC, irrespective of ABCB1 genotype: ratios of geometric means were 2.0 (95% CI 1.15-3.60) and 1.94 (95% CI 1.42-2.63) for dabigatran and rivaroxaban, respectively. Conclusions ABCB1 genotype is not a significant determinant of interindividual variability in dabigatran and rivaroxaban pharmacokinetics. The levels of one drug did not predict the levels of the other. Coadministration of a P-gp/CYP3A4 inhibitor with dabigatran or rivaroxaban may warrant caution in patients at risk of overexposure.","container-title":"Journal of thrombosis and haemostasis: JTH","DOI":"10.1111/jth.13577","ISSN":"1538-7836","issue":"2","journalAbbreviation":"J Thromb Haemost","language":"eng","page":"273-283","PMID":"27893182","source":"PubMed","title":"Interindividual variability in dabigatran and rivaroxaban exposure: contribution of ABCB1 genetic polymorphisms and interaction with clarithromycin","title-short":"Interindividual variability in dabigatran and rivaroxaban exposure","volume":"15","author":[{"family":"Gouin-Thibault","given":"I."},{"family":"Delavenne","given":"X."},{"family":"Blanchard","given":"A."},{"family":"Siguret","given":"V."},{"family":"Salem","given":"J. E."},{"family":"Narjoz","given":"C."},{"family":"Gaussem","given":"P."},{"family":"Beaune","given":"P."},{"family":"Funck-Brentano","given":"C."},{"family":"Azizi","given":"M."},{"family":"Mismetti","given":"P."},{"family":"Loriot","given":"M. A."}],"issued":{"date-parts":[["2017",2]]}}}],"schema":"https://github.com/citation-style-language/schema/raw/master/csl-citation.json"} </w:instrText>
      </w:r>
      <w:r w:rsidR="008D7CBD">
        <w:rPr>
          <w:rFonts w:ascii="Times New Roman" w:hAnsi="Times New Roman" w:cs="Times New Roman"/>
          <w:sz w:val="28"/>
          <w:szCs w:val="28"/>
          <w:lang w:bidi="ar-SA"/>
        </w:rPr>
        <w:fldChar w:fldCharType="separate"/>
      </w:r>
      <w:r w:rsidR="00AC4691" w:rsidRPr="00AC4691">
        <w:rPr>
          <w:rFonts w:ascii="Times New Roman" w:eastAsiaTheme="minorHAnsi" w:hAnsi="Times New Roman" w:cs="Times New Roman"/>
          <w:sz w:val="28"/>
          <w:szCs w:val="24"/>
          <w:lang w:eastAsia="en-US"/>
          <w14:ligatures w14:val="standardContextual"/>
        </w:rPr>
        <w:t>[157–159]</w:t>
      </w:r>
      <w:r w:rsidR="008D7CBD">
        <w:rPr>
          <w:rFonts w:ascii="Times New Roman" w:hAnsi="Times New Roman" w:cs="Times New Roman"/>
          <w:sz w:val="28"/>
          <w:szCs w:val="28"/>
          <w:lang w:bidi="ar-SA"/>
        </w:rPr>
        <w:fldChar w:fldCharType="end"/>
      </w:r>
      <w:r w:rsid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val="en-US" w:bidi="ar-SA"/>
        </w:rPr>
        <w:t>Lorenzini</w:t>
      </w:r>
      <w:r w:rsidR="008D7CBD" w:rsidRPr="008D7CBD">
        <w:rPr>
          <w:rFonts w:ascii="Times New Roman" w:hAnsi="Times New Roman" w:cs="Times New Roman"/>
          <w:sz w:val="28"/>
          <w:szCs w:val="28"/>
          <w:lang w:bidi="ar-SA"/>
        </w:rPr>
        <w:t xml:space="preserve"> </w:t>
      </w:r>
      <w:r>
        <w:rPr>
          <w:rFonts w:ascii="Times New Roman" w:hAnsi="Times New Roman" w:cs="Times New Roman"/>
          <w:sz w:val="28"/>
          <w:szCs w:val="28"/>
          <w:lang w:bidi="ar-SA"/>
        </w:rPr>
        <w:t>и</w:t>
      </w:r>
      <w:r w:rsidR="008D7CBD" w:rsidRPr="008D7CBD">
        <w:rPr>
          <w:rFonts w:ascii="Times New Roman" w:hAnsi="Times New Roman" w:cs="Times New Roman"/>
          <w:sz w:val="28"/>
          <w:szCs w:val="28"/>
          <w:lang w:bidi="ar-SA"/>
        </w:rPr>
        <w:t xml:space="preserve"> его коллеги описали клинический случай развития желудочно-кишечного кровотечения</w:t>
      </w:r>
      <w:r w:rsidR="008D7CBD">
        <w:rPr>
          <w:rFonts w:ascii="Times New Roman" w:hAnsi="Times New Roman" w:cs="Times New Roman"/>
          <w:sz w:val="28"/>
          <w:szCs w:val="28"/>
          <w:lang w:bidi="ar-SA"/>
        </w:rPr>
        <w:t xml:space="preserve">, </w:t>
      </w:r>
      <w:r w:rsidR="008D7CBD" w:rsidRPr="008D7CBD">
        <w:rPr>
          <w:rFonts w:ascii="Times New Roman" w:hAnsi="Times New Roman" w:cs="Times New Roman"/>
          <w:sz w:val="28"/>
          <w:szCs w:val="28"/>
          <w:lang w:bidi="ar-SA"/>
        </w:rPr>
        <w:t>индуцированного приемом</w:t>
      </w:r>
      <w:r w:rsidR="008D7CBD">
        <w:rPr>
          <w:rFonts w:ascii="Times New Roman" w:hAnsi="Times New Roman" w:cs="Times New Roman"/>
          <w:sz w:val="28"/>
          <w:szCs w:val="28"/>
          <w:lang w:bidi="ar-SA"/>
        </w:rPr>
        <w:t xml:space="preserve"> ривароксабана, </w:t>
      </w:r>
      <w:r w:rsidR="008D7CBD" w:rsidRPr="008D7CBD">
        <w:rPr>
          <w:rFonts w:ascii="Times New Roman" w:hAnsi="Times New Roman" w:cs="Times New Roman"/>
          <w:sz w:val="28"/>
          <w:szCs w:val="28"/>
          <w:lang w:bidi="ar-SA"/>
        </w:rPr>
        <w:t>у пациента</w:t>
      </w:r>
      <w:r w:rsidR="008D7CBD">
        <w:rPr>
          <w:rFonts w:ascii="Times New Roman" w:hAnsi="Times New Roman" w:cs="Times New Roman"/>
          <w:sz w:val="28"/>
          <w:szCs w:val="28"/>
          <w:lang w:bidi="ar-SA"/>
        </w:rPr>
        <w:t xml:space="preserve">, </w:t>
      </w:r>
      <w:r w:rsidR="008D7CBD" w:rsidRPr="008D7CBD">
        <w:rPr>
          <w:rFonts w:ascii="Times New Roman" w:hAnsi="Times New Roman" w:cs="Times New Roman"/>
          <w:sz w:val="28"/>
          <w:szCs w:val="28"/>
          <w:lang w:bidi="ar-SA"/>
        </w:rPr>
        <w:t>который являлся носителем гомозигот</w:t>
      </w:r>
      <w:r w:rsidR="008D7CBD">
        <w:rPr>
          <w:rFonts w:ascii="Times New Roman" w:hAnsi="Times New Roman" w:cs="Times New Roman"/>
          <w:sz w:val="28"/>
          <w:szCs w:val="28"/>
          <w:lang w:bidi="ar-SA"/>
        </w:rPr>
        <w:t xml:space="preserve">ного </w:t>
      </w:r>
      <w:r w:rsidR="008D7CBD" w:rsidRPr="008D7CBD">
        <w:rPr>
          <w:rFonts w:ascii="Times New Roman" w:hAnsi="Times New Roman" w:cs="Times New Roman"/>
          <w:sz w:val="28"/>
          <w:szCs w:val="28"/>
          <w:lang w:bidi="ar-SA"/>
        </w:rPr>
        <w:t>мутан</w:t>
      </w:r>
      <w:r w:rsidR="008D7CBD">
        <w:rPr>
          <w:rFonts w:ascii="Times New Roman" w:hAnsi="Times New Roman" w:cs="Times New Roman"/>
          <w:sz w:val="28"/>
          <w:szCs w:val="28"/>
          <w:lang w:bidi="ar-SA"/>
        </w:rPr>
        <w:t xml:space="preserve">тного </w:t>
      </w:r>
      <w:r w:rsidR="008D7CBD" w:rsidRPr="008D7CBD">
        <w:rPr>
          <w:rFonts w:ascii="Times New Roman" w:hAnsi="Times New Roman" w:cs="Times New Roman"/>
          <w:sz w:val="28"/>
          <w:szCs w:val="28"/>
          <w:lang w:bidi="ar-SA"/>
        </w:rPr>
        <w:t>генотипа</w:t>
      </w:r>
      <w:r w:rsidR="008D7CBD">
        <w:rPr>
          <w:rFonts w:ascii="Times New Roman" w:hAnsi="Times New Roman" w:cs="Times New Roman"/>
          <w:sz w:val="28"/>
          <w:szCs w:val="28"/>
          <w:lang w:bidi="ar-SA"/>
        </w:rPr>
        <w:t xml:space="preserve"> ТТ </w:t>
      </w:r>
      <w:r w:rsidR="008D7CBD" w:rsidRPr="008D7CBD">
        <w:rPr>
          <w:rFonts w:ascii="Times New Roman" w:hAnsi="Times New Roman" w:cs="Times New Roman"/>
          <w:sz w:val="28"/>
          <w:szCs w:val="28"/>
          <w:lang w:bidi="ar-SA"/>
        </w:rPr>
        <w:t>по полиморфизма</w:t>
      </w:r>
      <w:r w:rsidR="008D7CBD">
        <w:rPr>
          <w:rFonts w:ascii="Times New Roman" w:hAnsi="Times New Roman" w:cs="Times New Roman"/>
          <w:sz w:val="28"/>
          <w:szCs w:val="28"/>
          <w:lang w:bidi="ar-SA"/>
        </w:rPr>
        <w:t xml:space="preserve">м </w:t>
      </w:r>
      <w:r w:rsidR="008D7CBD">
        <w:rPr>
          <w:rFonts w:ascii="Times New Roman" w:hAnsi="Times New Roman" w:cs="Times New Roman"/>
          <w:sz w:val="28"/>
          <w:szCs w:val="28"/>
          <w:lang w:val="en-US" w:bidi="ar-SA"/>
        </w:rPr>
        <w:t>rs</w:t>
      </w:r>
      <w:r w:rsidR="008D7CBD" w:rsidRPr="008D7CBD">
        <w:rPr>
          <w:rFonts w:ascii="Times New Roman" w:hAnsi="Times New Roman" w:cs="Times New Roman"/>
          <w:sz w:val="28"/>
          <w:szCs w:val="28"/>
          <w:lang w:bidi="ar-SA"/>
        </w:rPr>
        <w:t>2032582</w:t>
      </w:r>
      <w:r w:rsidR="008D7CBD">
        <w:rPr>
          <w:rFonts w:ascii="Times New Roman" w:hAnsi="Times New Roman" w:cs="Times New Roman"/>
          <w:sz w:val="28"/>
          <w:szCs w:val="28"/>
          <w:lang w:bidi="ar-SA"/>
        </w:rPr>
        <w:t xml:space="preserve"> и </w:t>
      </w:r>
      <w:r w:rsidR="008D7CBD">
        <w:rPr>
          <w:rFonts w:ascii="Times New Roman" w:hAnsi="Times New Roman" w:cs="Times New Roman"/>
          <w:sz w:val="28"/>
          <w:szCs w:val="28"/>
          <w:lang w:val="en-US" w:bidi="ar-SA"/>
        </w:rPr>
        <w:t>rs</w:t>
      </w:r>
      <w:r w:rsidR="008D7CBD" w:rsidRPr="008D7CBD">
        <w:rPr>
          <w:rFonts w:ascii="Times New Roman" w:hAnsi="Times New Roman" w:cs="Times New Roman"/>
          <w:sz w:val="28"/>
          <w:szCs w:val="28"/>
          <w:lang w:bidi="ar-SA"/>
        </w:rPr>
        <w:t xml:space="preserve">1045642 </w:t>
      </w:r>
      <w:r w:rsidR="008D7CBD">
        <w:rPr>
          <w:rFonts w:ascii="Times New Roman" w:hAnsi="Times New Roman" w:cs="Times New Roman"/>
          <w:sz w:val="28"/>
          <w:szCs w:val="28"/>
          <w:lang w:bidi="ar-SA"/>
        </w:rPr>
        <w:t xml:space="preserve">гена </w:t>
      </w:r>
      <w:r w:rsidR="008D7CBD">
        <w:rPr>
          <w:rFonts w:ascii="Times New Roman" w:hAnsi="Times New Roman" w:cs="Times New Roman"/>
          <w:sz w:val="28"/>
          <w:szCs w:val="28"/>
          <w:lang w:val="en-US" w:bidi="ar-SA"/>
        </w:rPr>
        <w:t>ABCB</w:t>
      </w:r>
      <w:r w:rsidR="008D7CBD" w:rsidRPr="008D7CBD">
        <w:rPr>
          <w:rFonts w:ascii="Times New Roman" w:hAnsi="Times New Roman" w:cs="Times New Roman"/>
          <w:sz w:val="28"/>
          <w:szCs w:val="28"/>
          <w:lang w:bidi="ar-SA"/>
        </w:rPr>
        <w:t>1</w:t>
      </w:r>
      <w:r w:rsidR="008D7CB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{"citationID":"p4senrqk","properties":{"unsorted":false,"formattedCitation":"[158]","plainCitation":"[158]","noteIndex":0},"citationItems":[{"id":112,"uris":["http://zotero.org/users/14784094/items/XLGGMGIJ"],"itemData":{"id":112,"type":"article-journal","abstract":"We report a patient who presented a non-ST segment elevation myocardial infarction in the context of severe normocytic hypochromic anemia related to gastrointestinal bleeding, 3 months after switching anticoagulant from the vitamin K antagonist acenocoumarol to the direct oral anticoagulant rivaroxaban. High levels of both anti-Xa activity and rivaroxaban plasma concentrations were measured despite rivaroxaban withdrawal, suggesting reduced elimination/drug clearance. Estimated half-life was 2-3 times longer than usually reported. The patient is a homozygous carrier of ABCB1 variant alleles, which could have participated to reduced elimination of rivaroxaban. Furthermore, CYP3A4/5 phenotyping showed moderately reduced enzyme activity. Drug-drug interaction with simvastatin may have contributed to decreased rivaroxaban elimination. Although in the present case moderate acute renal failure probably played a role, more clinical data are required to elucidate the impact of ABCB1 polymorphism on rivaroxaban pharmacokinetics and bleeding complications.","container-title":"Frontiers in Pharmacology","DOI":"10.3389/fphar.2016.00494","ISSN":"1663-9812","journalAbbreviation":"Front Pharmacol","language":"eng","page":"494","PMID":"28066243","PMCID":"PMC5165251","source":"PubMed","title":"Rivaroxaban-Induced Hemorrhage Associated with ABCB1 Genetic Defect","volume":"7","author":[{"family":"Ing Lorenzini","given":"Kuntheavy"},{"family":"Daali","given":"Youssef"},{"family":"Fontana","given":"Pierre"},{"family":"Desmeules","given":"Jules"},{"family":"Samer","given":"Caroline"}],"issued":{"date-parts":[["2016"]]}}}],"schema":"https://github.com/citation-style-language/schema/raw/master/csl-citation.json"} </w:instrText>
      </w:r>
      <w:r w:rsidR="008D7CB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[158]</w:t>
      </w:r>
      <w:r w:rsidR="008D7CBD">
        <w:rPr>
          <w:rFonts w:ascii="Times New Roman" w:hAnsi="Times New Roman" w:cs="Times New Roman"/>
          <w:sz w:val="28"/>
          <w:szCs w:val="28"/>
          <w:lang w:bidi="ar-SA"/>
        </w:rPr>
        <w:fldChar w:fldCharType="end"/>
      </w:r>
      <w:r w:rsidR="008D7CBD">
        <w:rPr>
          <w:rFonts w:ascii="Times New Roman" w:hAnsi="Times New Roman" w:cs="Times New Roman"/>
          <w:sz w:val="28"/>
          <w:szCs w:val="28"/>
          <w:lang w:bidi="ar-SA"/>
        </w:rPr>
        <w:t xml:space="preserve">. </w:t>
      </w:r>
      <w:r w:rsidR="008D7CBD" w:rsidRPr="008D7CBD">
        <w:rPr>
          <w:rFonts w:ascii="Times New Roman" w:hAnsi="Times New Roman" w:cs="Times New Roman"/>
          <w:sz w:val="28"/>
          <w:szCs w:val="28"/>
          <w:lang w:bidi="ar-SA"/>
        </w:rPr>
        <w:t>Схожие результаты были представлены в систематическом обзоре и мета</w:t>
      </w:r>
      <w:r w:rsidR="008D7CBD">
        <w:rPr>
          <w:rFonts w:ascii="Times New Roman" w:hAnsi="Times New Roman" w:cs="Times New Roman"/>
          <w:sz w:val="28"/>
          <w:szCs w:val="28"/>
          <w:lang w:bidi="ar-SA"/>
        </w:rPr>
        <w:t>-а</w:t>
      </w:r>
      <w:r w:rsidR="008D7CBD" w:rsidRPr="008D7CBD">
        <w:rPr>
          <w:rFonts w:ascii="Times New Roman" w:hAnsi="Times New Roman" w:cs="Times New Roman"/>
          <w:sz w:val="28"/>
          <w:szCs w:val="28"/>
          <w:lang w:bidi="ar-SA"/>
        </w:rPr>
        <w:t>нализе</w:t>
      </w:r>
      <w:r w:rsidR="008D7CBD">
        <w:rPr>
          <w:rFonts w:ascii="Times New Roman" w:hAnsi="Times New Roman" w:cs="Times New Roman"/>
          <w:sz w:val="28"/>
          <w:szCs w:val="28"/>
          <w:lang w:bidi="ar-SA"/>
        </w:rPr>
        <w:t xml:space="preserve">, </w:t>
      </w:r>
      <w:r w:rsidR="008D7CBD" w:rsidRPr="008D7CBD">
        <w:rPr>
          <w:rFonts w:ascii="Times New Roman" w:hAnsi="Times New Roman" w:cs="Times New Roman"/>
          <w:sz w:val="28"/>
          <w:szCs w:val="28"/>
          <w:lang w:bidi="ar-SA"/>
        </w:rPr>
        <w:t>выполненном</w:t>
      </w:r>
      <w:r w:rsid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val="en-US" w:bidi="ar-SA"/>
        </w:rPr>
        <w:t>Xie</w:t>
      </w:r>
      <w:r w:rsidR="008D7CBD" w:rsidRPr="008D7CBD">
        <w:rPr>
          <w:rFonts w:ascii="Times New Roman" w:hAnsi="Times New Roman" w:cs="Times New Roman"/>
          <w:sz w:val="28"/>
          <w:szCs w:val="28"/>
          <w:lang w:bidi="ar-SA"/>
        </w:rPr>
        <w:t xml:space="preserve"> </w:t>
      </w:r>
      <w:r w:rsidR="008D7CBD">
        <w:rPr>
          <w:rFonts w:ascii="Times New Roman" w:hAnsi="Times New Roman" w:cs="Times New Roman"/>
          <w:sz w:val="28"/>
          <w:szCs w:val="28"/>
          <w:lang w:val="en-US" w:bidi="ar-SA"/>
        </w:rPr>
        <w:t>Q</w:t>
      </w:r>
      <w:r w:rsidR="008D7CBD" w:rsidRPr="008D7CBD">
        <w:rPr>
          <w:rFonts w:ascii="Times New Roman" w:hAnsi="Times New Roman" w:cs="Times New Roman"/>
          <w:sz w:val="28"/>
          <w:szCs w:val="28"/>
          <w:lang w:bidi="ar-SA"/>
        </w:rPr>
        <w:t>.</w:t>
      </w:r>
      <w:r w:rsidR="008D7CBD">
        <w:rPr>
          <w:rFonts w:ascii="Times New Roman" w:hAnsi="Times New Roman" w:cs="Times New Roman"/>
          <w:sz w:val="28"/>
          <w:szCs w:val="28"/>
          <w:lang w:bidi="ar-SA"/>
        </w:rPr>
        <w:t xml:space="preserve"> с</w:t>
      </w:r>
      <w:r w:rsidR="008D7CBD" w:rsidRPr="008D7CBD">
        <w:rPr>
          <w:rFonts w:ascii="Times New Roman" w:hAnsi="Times New Roman" w:cs="Times New Roman"/>
          <w:sz w:val="28"/>
          <w:szCs w:val="28"/>
          <w:lang w:bidi="ar-SA"/>
        </w:rPr>
        <w:t xml:space="preserve"> соавторами</w:t>
      </w:r>
      <w:r w:rsidR="008D7CBD">
        <w:rPr>
          <w:rFonts w:ascii="Times New Roman" w:hAnsi="Times New Roman" w:cs="Times New Roman"/>
          <w:sz w:val="28"/>
          <w:szCs w:val="28"/>
          <w:lang w:bidi="ar-SA"/>
        </w:rPr>
        <w:t xml:space="preserve">, </w:t>
      </w:r>
      <w:r w:rsidR="008D7CBD" w:rsidRPr="008D7CBD">
        <w:rPr>
          <w:rFonts w:ascii="Times New Roman" w:hAnsi="Times New Roman" w:cs="Times New Roman"/>
          <w:sz w:val="28"/>
          <w:szCs w:val="28"/>
          <w:lang w:bidi="ar-SA"/>
        </w:rPr>
        <w:t>где повышенные пиковые концентра</w:t>
      </w:r>
      <w:r w:rsidR="008D7CBD">
        <w:rPr>
          <w:rFonts w:ascii="Times New Roman" w:hAnsi="Times New Roman" w:cs="Times New Roman"/>
          <w:sz w:val="28"/>
          <w:szCs w:val="28"/>
          <w:lang w:bidi="ar-SA"/>
        </w:rPr>
        <w:t xml:space="preserve">ции ривароксабана </w:t>
      </w:r>
      <w:r w:rsidR="008D7CBD" w:rsidRPr="008D7CBD">
        <w:rPr>
          <w:rFonts w:ascii="Times New Roman" w:hAnsi="Times New Roman" w:cs="Times New Roman"/>
          <w:sz w:val="28"/>
          <w:szCs w:val="28"/>
          <w:lang w:bidi="ar-SA"/>
        </w:rPr>
        <w:t>наблюдались у носителей гомозиготн</w:t>
      </w:r>
      <w:r w:rsidR="008D7CBD">
        <w:rPr>
          <w:rFonts w:ascii="Times New Roman" w:hAnsi="Times New Roman" w:cs="Times New Roman"/>
          <w:sz w:val="28"/>
          <w:szCs w:val="28"/>
          <w:lang w:bidi="ar-SA"/>
        </w:rPr>
        <w:t>ы</w:t>
      </w:r>
      <w:r w:rsidR="008D7CBD" w:rsidRPr="008D7CBD">
        <w:rPr>
          <w:rFonts w:ascii="Times New Roman" w:hAnsi="Times New Roman" w:cs="Times New Roman"/>
          <w:sz w:val="28"/>
          <w:szCs w:val="28"/>
          <w:lang w:bidi="ar-SA"/>
        </w:rPr>
        <w:t>х вариантов</w:t>
      </w:r>
      <w:r w:rsidR="004D5539">
        <w:rPr>
          <w:rFonts w:ascii="Times New Roman" w:hAnsi="Times New Roman" w:cs="Times New Roman"/>
          <w:sz w:val="28"/>
          <w:szCs w:val="28"/>
          <w:lang w:bidi="ar-SA"/>
        </w:rPr>
        <w:t xml:space="preserve"> </w:t>
      </w:r>
      <w:r w:rsidR="004D5539">
        <w:rPr>
          <w:rFonts w:ascii="Times New Roman" w:hAnsi="Times New Roman" w:cs="Times New Roman"/>
          <w:sz w:val="28"/>
          <w:szCs w:val="28"/>
          <w:lang w:val="en-US" w:bidi="ar-SA"/>
        </w:rPr>
        <w:t>ABCB</w:t>
      </w:r>
      <w:r w:rsidR="004D5539" w:rsidRPr="004D5539">
        <w:rPr>
          <w:rFonts w:ascii="Times New Roman" w:hAnsi="Times New Roman" w:cs="Times New Roman"/>
          <w:sz w:val="28"/>
          <w:szCs w:val="28"/>
          <w:lang w:bidi="ar-SA"/>
        </w:rPr>
        <w:t xml:space="preserve">1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 xml:space="preserve">1045642 </w:t>
      </w:r>
      <w:r w:rsidR="004D5539">
        <w:rPr>
          <w:rFonts w:ascii="Times New Roman" w:hAnsi="Times New Roman" w:cs="Times New Roman"/>
          <w:sz w:val="28"/>
          <w:szCs w:val="28"/>
          <w:lang w:val="en-US" w:bidi="ar-SA"/>
        </w:rPr>
        <w:t>TT</w:t>
      </w:r>
      <w:r w:rsidR="004D5539" w:rsidRPr="004D5539">
        <w:rPr>
          <w:rFonts w:ascii="Times New Roman" w:hAnsi="Times New Roman" w:cs="Times New Roman"/>
          <w:sz w:val="28"/>
          <w:szCs w:val="28"/>
          <w:lang w:bidi="ar-SA"/>
        </w:rPr>
        <w:t xml:space="preserve"> </w:t>
      </w:r>
      <w:r w:rsidR="004D5539">
        <w:rPr>
          <w:rFonts w:ascii="Times New Roman" w:hAnsi="Times New Roman" w:cs="Times New Roman"/>
          <w:sz w:val="28"/>
          <w:szCs w:val="28"/>
          <w:lang w:bidi="ar-SA"/>
        </w:rPr>
        <w:t xml:space="preserve">и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 xml:space="preserve">2032582 </w:t>
      </w:r>
      <w:r w:rsidR="004D5539">
        <w:rPr>
          <w:rFonts w:ascii="Times New Roman" w:hAnsi="Times New Roman" w:cs="Times New Roman"/>
          <w:sz w:val="28"/>
          <w:szCs w:val="28"/>
          <w:lang w:val="en-US" w:bidi="ar-SA"/>
        </w:rPr>
        <w:t>TT</w:t>
      </w:r>
      <w:r w:rsidR="004D5539">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{"citationID":"lnGfMjYz","properties":{"unsorted":false,"formattedCitation":"[160]","plainCitation":"[160]","noteIndex":0},"citationItems":[{"id":110,"uris":["http://zotero.org/users/14784094/items/XACZ55US"],"itemData":{"id":110,"type":"article-journal","abstract":"BACKGROUND: New Oral Anticoagulants (NOACs) are effective and widely used to prevent and treat thromboembolic diseases, but the response to NOACs differs according to ABCB1 genotypes.\nOBJECTIVE: We investigated the effects of ABCB1 genotypes on the pharmacokinetics and clinical outcomes of NOACs.\nMETHODS: We searched PubMed, Embase, and the Cochrane Library for studies on ABCB1 genotypes published from the inception of these databases until May 23, 2018. The Weighted Mean Difference (WMD) and Odds Ratio (OR) with 95% Confidence Interval (CI) were calculated for continuous and dichotomous data, respectively. Summary results were calculated using a random effects model.\nRESULTS: Ten studies involving 2609 individuals were included in the systematic review, and three studies involving 535 individuals were included in the meta-analysis. Overall, four ABCB1 single-nucleotide polymorphisms were identified in the review. Carriers of the ABCB1 rs1045642 CC genotype had lower maximum plasma concentration (Cmax) than those of TT (WMD = -16.99 ng/mL; 95% CI = -33.39 to -0.59; P = 0.04), and carriers of the rs2032582 GG genotype showed lower Cmax than those of the A/T allele (WMD = -19.21 ng/mL; 95% CI = -36.62 to -1.80; P = 0.03). Carriers of the rs1045642 CC genotype showed lower area under the curve from time 0 to infinity (AUC0-∞) than those of the T allele (WMD = -78.58 ng·h/mL; 95% CI = -151.14 to -6.01; P = 0.03). ABCB1 rs4148738 genotypes did not affect the risks of ischemic stroke or systemic embolism (OR = 0.88), ischemic events (OR = 0.98), bleeding (OR = 0.94), major bleeding (OR = 1.14), or minor bleeding (OR = 0.94) in patients treated with dabigatran.\nCONCLUSION: Cmax was lower in carriers of ABCB1 rs1045642 CC than in those of TT and in carriers of rs2032582 GG than in those of the A/T allele, and AUC0-∞ was lower in carriers of rs1045642 CC than in those of TT. Conversely, ABCB1 rs4148738 genotypes did not affect primary clinical endpoints in dabigatran-administered patients. Future studies should analyze the relationships of ABCB1 genotypes with the pharmacokinetics and clinical outcomes of specific NOACs.","container-title":"Current Pharmaceutical Design","DOI":"10.2174/1381612824666181018153641","ISSN":"1873-4286","issue":"30","journalAbbreviation":"Curr Pharm Des","language":"eng","page":"3558-3565","PMID":"30338730","source":"PubMed","title":"Effect of ABCB1 Genotypes on the Pharmacokinetics and Clinical Outcomes of New Oral Anticoagulants: A Systematic Review and Meta-analysis","title-short":"Effect of ABCB1 Genotypes on the Pharmacokinetics and Clinical Outcomes of New Oral Anticoagulants","volume":"24","author":[{"family":"Xie","given":"Qiufen"},{"family":"Xiang","given":"Qian"},{"family":"Mu","given":"Guangyan"},{"family":"Ma","given":"Lingyue"},{"family":"Chen","given":"Shuqing"},{"family":"Zhou","given":"Shuang"},{"family":"Hu","given":"Kun"},{"family":"Zhang","given":"Zhuo"},{"family":"Cui","given":"Yimin"},{"family":"Jiang","given":"Jie"}],"issued":{"date-parts":[["2018"]]}}}],"schema":"https://github.com/citation-style-language/schema/raw/master/csl-citation.json"} </w:instrText>
      </w:r>
      <w:r w:rsidR="004D5539">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[160]</w:t>
      </w:r>
      <w:r w:rsidR="004D5539">
        <w:rPr>
          <w:rFonts w:ascii="Times New Roman" w:hAnsi="Times New Roman" w:cs="Times New Roman"/>
          <w:sz w:val="28"/>
          <w:szCs w:val="28"/>
          <w:lang w:val="en-US" w:bidi="ar-SA"/>
        </w:rPr>
        <w:fldChar w:fldCharType="end"/>
      </w:r>
      <w:r w:rsidR="004D5539" w:rsidRPr="004D5539">
        <w:rPr>
          <w:rFonts w:ascii="Times New Roman" w:hAnsi="Times New Roman" w:cs="Times New Roman"/>
          <w:sz w:val="28"/>
          <w:szCs w:val="28"/>
          <w:lang w:bidi="ar-SA"/>
        </w:rPr>
        <w:t xml:space="preserve">. Исследование </w:t>
      </w:r>
      <w:r w:rsidR="004D5539">
        <w:rPr>
          <w:rFonts w:ascii="Times New Roman" w:hAnsi="Times New Roman" w:cs="Times New Roman"/>
          <w:sz w:val="28"/>
          <w:szCs w:val="28"/>
          <w:lang w:val="en-US" w:bidi="ar-SA"/>
        </w:rPr>
        <w:t>Senneseal</w:t>
      </w:r>
      <w:r w:rsidR="004D5539" w:rsidRPr="004D5539">
        <w:rPr>
          <w:rFonts w:ascii="Times New Roman" w:hAnsi="Times New Roman" w:cs="Times New Roman"/>
          <w:sz w:val="28"/>
          <w:szCs w:val="28"/>
          <w:lang w:bidi="ar-SA"/>
        </w:rPr>
        <w:t xml:space="preserve"> </w:t>
      </w:r>
      <w:r w:rsidR="004D5539">
        <w:rPr>
          <w:rFonts w:ascii="Times New Roman" w:hAnsi="Times New Roman" w:cs="Times New Roman"/>
          <w:sz w:val="28"/>
          <w:szCs w:val="28"/>
          <w:lang w:val="en-US" w:bidi="ar-SA"/>
        </w:rPr>
        <w:t>A</w:t>
      </w:r>
      <w:r w:rsidR="004D5539" w:rsidRPr="004D5539">
        <w:rPr>
          <w:rFonts w:ascii="Times New Roman" w:hAnsi="Times New Roman" w:cs="Times New Roman"/>
          <w:sz w:val="28"/>
          <w:szCs w:val="28"/>
          <w:lang w:bidi="ar-SA"/>
        </w:rPr>
        <w:t xml:space="preserve">. </w:t>
      </w:r>
      <w:r w:rsidR="004D5539">
        <w:rPr>
          <w:rFonts w:ascii="Times New Roman" w:hAnsi="Times New Roman" w:cs="Times New Roman"/>
          <w:sz w:val="28"/>
          <w:szCs w:val="28"/>
          <w:lang w:bidi="ar-SA"/>
        </w:rPr>
        <w:t>и</w:t>
      </w:r>
      <w:r w:rsidR="004D5539" w:rsidRPr="004D5539">
        <w:rPr>
          <w:rFonts w:ascii="Times New Roman" w:hAnsi="Times New Roman" w:cs="Times New Roman"/>
          <w:sz w:val="28"/>
          <w:szCs w:val="28"/>
          <w:lang w:bidi="ar-SA"/>
        </w:rPr>
        <w:t xml:space="preserve"> соавторов</w:t>
      </w:r>
      <w:r w:rsidR="004D5539">
        <w:rPr>
          <w:rFonts w:ascii="Times New Roman" w:hAnsi="Times New Roman" w:cs="Times New Roman"/>
          <w:sz w:val="28"/>
          <w:szCs w:val="28"/>
          <w:lang w:bidi="ar-SA"/>
        </w:rPr>
        <w:t xml:space="preserve">, </w:t>
      </w:r>
      <w:r w:rsidR="004D5539" w:rsidRPr="004D5539">
        <w:rPr>
          <w:rFonts w:ascii="Times New Roman" w:hAnsi="Times New Roman" w:cs="Times New Roman"/>
          <w:sz w:val="28"/>
          <w:szCs w:val="28"/>
          <w:lang w:bidi="ar-SA"/>
        </w:rPr>
        <w:t xml:space="preserve">опубликованное в 2018 году, сообщило о 3 случаях больших кровотечений, связанных с повышенной </w:t>
      </w:r>
      <w:r w:rsidR="004D5539">
        <w:rPr>
          <w:rFonts w:ascii="Times New Roman" w:hAnsi="Times New Roman" w:cs="Times New Roman"/>
          <w:sz w:val="28"/>
          <w:szCs w:val="28"/>
          <w:lang w:bidi="ar-SA"/>
        </w:rPr>
        <w:t>о</w:t>
      </w:r>
      <w:r w:rsidR="004D5539" w:rsidRPr="004D5539">
        <w:rPr>
          <w:rFonts w:ascii="Times New Roman" w:hAnsi="Times New Roman" w:cs="Times New Roman"/>
          <w:sz w:val="28"/>
          <w:szCs w:val="28"/>
          <w:lang w:bidi="ar-SA"/>
        </w:rPr>
        <w:t>ста</w:t>
      </w:r>
      <w:r w:rsidR="004D5539">
        <w:rPr>
          <w:rFonts w:ascii="Times New Roman" w:hAnsi="Times New Roman" w:cs="Times New Roman"/>
          <w:sz w:val="28"/>
          <w:szCs w:val="28"/>
          <w:lang w:bidi="ar-SA"/>
        </w:rPr>
        <w:t>точн</w:t>
      </w:r>
      <w:r w:rsidR="004D5539" w:rsidRPr="004D5539">
        <w:rPr>
          <w:rFonts w:ascii="Times New Roman" w:hAnsi="Times New Roman" w:cs="Times New Roman"/>
          <w:sz w:val="28"/>
          <w:szCs w:val="28"/>
          <w:lang w:bidi="ar-SA"/>
        </w:rPr>
        <w:t>ой концентрацией</w:t>
      </w:r>
      <w:r w:rsidR="004D5539">
        <w:rPr>
          <w:rFonts w:ascii="Times New Roman" w:hAnsi="Times New Roman" w:cs="Times New Roman"/>
          <w:sz w:val="28"/>
          <w:szCs w:val="28"/>
          <w:lang w:bidi="ar-SA"/>
        </w:rPr>
        <w:t xml:space="preserve"> ривароксабана; в</w:t>
      </w:r>
      <w:r w:rsidR="004D5539" w:rsidRPr="004D5539">
        <w:rPr>
          <w:rFonts w:ascii="Times New Roman" w:hAnsi="Times New Roman" w:cs="Times New Roman"/>
          <w:sz w:val="28"/>
          <w:szCs w:val="28"/>
          <w:lang w:bidi="ar-SA"/>
        </w:rPr>
        <w:t>се вовлеченные пациенты были гетерозиготными по полиморфизм</w:t>
      </w:r>
      <w:r w:rsidR="004D5539">
        <w:rPr>
          <w:rFonts w:ascii="Times New Roman" w:hAnsi="Times New Roman" w:cs="Times New Roman"/>
          <w:sz w:val="28"/>
          <w:szCs w:val="28"/>
          <w:lang w:bidi="ar-SA"/>
        </w:rPr>
        <w:t xml:space="preserve">ам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 xml:space="preserve">1128503,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 xml:space="preserve">2032582 </w:t>
      </w:r>
      <w:r w:rsidR="004D5539">
        <w:rPr>
          <w:rFonts w:ascii="Times New Roman" w:hAnsi="Times New Roman" w:cs="Times New Roman"/>
          <w:sz w:val="28"/>
          <w:szCs w:val="28"/>
          <w:lang w:bidi="ar-SA"/>
        </w:rPr>
        <w:t xml:space="preserve"> и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 xml:space="preserve">4148738 </w:t>
      </w:r>
      <w:r w:rsidR="004D5539">
        <w:rPr>
          <w:rFonts w:ascii="Times New Roman" w:hAnsi="Times New Roman" w:cs="Times New Roman"/>
          <w:sz w:val="28"/>
          <w:szCs w:val="28"/>
          <w:lang w:bidi="ar-SA"/>
        </w:rPr>
        <w:t>гена</w:t>
      </w:r>
      <w:r w:rsidR="004D5539" w:rsidRPr="004D5539">
        <w:rPr>
          <w:rFonts w:ascii="Times New Roman" w:hAnsi="Times New Roman" w:cs="Times New Roman"/>
          <w:sz w:val="28"/>
          <w:szCs w:val="28"/>
          <w:lang w:bidi="ar-SA"/>
        </w:rPr>
        <w:t xml:space="preserve"> </w:t>
      </w:r>
      <w:r w:rsidR="004D5539">
        <w:rPr>
          <w:rFonts w:ascii="Times New Roman" w:hAnsi="Times New Roman" w:cs="Times New Roman"/>
          <w:sz w:val="28"/>
          <w:szCs w:val="28"/>
          <w:lang w:val="en-US" w:bidi="ar-SA"/>
        </w:rPr>
        <w:t>ABCB</w:t>
      </w:r>
      <w:r w:rsidR="004D5539" w:rsidRPr="004D5539">
        <w:rPr>
          <w:rFonts w:ascii="Times New Roman" w:hAnsi="Times New Roman" w:cs="Times New Roman"/>
          <w:sz w:val="28"/>
          <w:szCs w:val="28"/>
          <w:lang w:bidi="ar-SA"/>
        </w:rPr>
        <w:t>1</w:t>
      </w:r>
      <w:r w:rsidR="004D5539">
        <w:rPr>
          <w:rFonts w:ascii="Times New Roman" w:hAnsi="Times New Roman" w:cs="Times New Roman"/>
          <w:sz w:val="28"/>
          <w:szCs w:val="28"/>
          <w:lang w:bidi="ar-SA"/>
        </w:rPr>
        <w:t xml:space="preserve">; двое из них были гетерозиготными, а один гомозиготным мутантным (ТТ) по полиморфизму </w:t>
      </w:r>
      <w:r w:rsidR="004D5539">
        <w:rPr>
          <w:rFonts w:ascii="Times New Roman" w:hAnsi="Times New Roman" w:cs="Times New Roman"/>
          <w:sz w:val="28"/>
          <w:szCs w:val="28"/>
          <w:lang w:val="en-US" w:bidi="ar-SA"/>
        </w:rPr>
        <w:t>ABCB</w:t>
      </w:r>
      <w:r w:rsidR="004D5539" w:rsidRPr="004D5539">
        <w:rPr>
          <w:rFonts w:ascii="Times New Roman" w:hAnsi="Times New Roman" w:cs="Times New Roman"/>
          <w:sz w:val="28"/>
          <w:szCs w:val="28"/>
          <w:lang w:bidi="ar-SA"/>
        </w:rPr>
        <w:t xml:space="preserve">1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1045642</w:t>
      </w:r>
      <w:r w:rsidR="004D553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{"citationID":"POw6TdlG","properties":{"unsorted":false,"formattedCitation":"[157]","plainCitation":"[157]","noteIndex":0},"citationItems":[{"id":113,"uris":["http://zotero.org/users/14784094/items/PBCAEQJD"],"itemData":{"id":113,"type":"article-journal","abstract":"BACKGROUND: Serious bleeding events have been frequently described in patients taking direct oral anticoagulants (DOAC). In secondary analyses of phase 3 trials, DOAC plasma concentrations were shown to correlate with bleeding outcomes. This study aimed to describe rivaroxaban plasma levels in patients admitted to the emergency department (ED) for bleeding events. For each patient, risk factors for experiencing bleeding events were also investigated.\nMETHODS: This analysis was part of an observational study conducted in the ED of two teaching hospitals. Plasma samples from 10 rivaroxaban-treated patients admitted for bleeding events were collected. Rivaroxaban plasma concentrations were determined by calibrated chromogenic anti-Xa assay. The measured rivaroxaban levels were then extrapolated at trough using a published population pharmacokinetic (PopPK) model, and compared to on-therapy ranges observed in large clinical trials. For each patient, clinical, medication and ABCB1 genotype data were collected.\nRESULTS: Rivaroxaban measurements varied from 5 to 358 ng/ml, with a post-intake delay ranging from 9 to 38 h. At trough, estimated plasma concentrations were between 12 and 251 ng/ml (median value 94 ng/ml). Four patients had higher-than-expected rivaroxaban levels. Inadequate dose regimen, excessive alcohol consumption and lack of treatment reassessment were observed in several patients. Half of patients were taking ≥1 drug with potential pharmacokinetics interactions (e.g. amiodarone, diltiazem), while half of patients were taking ≥1 drug increasing the risk of bleeding. All 3 patients with available genotyping data and higher-than-expected rivaroxaban levels were heterozygous or homozygous mutated for the ABCB1 1236C &gt; T, 2677G &gt; T, 3435 C &gt; T and rs4148738 single nucleotide polymorphisms (SNP).\nCONCLUSIONS: Rivaroxaban patients admitted to the ED for bleeding events showed highly variable plasma concentrations. This analysis underlines the usefulness of rapid DOAC measurement and the value of PopPK models to estimate concentrations at trough in a context where the post-intake delay is unmanageable. Close patient follow-up, including renal function assessment and drug interactions review, is essential for bleeding risk minimization.","container-title":"Thrombosis Journal","DOI":"10.1186/s12959-018-0183-3","ISSN":"1477-9560","journalAbbreviation":"Thromb J","language":"eng","page":"28","PMID":"30455596","PMCID":"PMC6231259","source":"PubMed","title":"Rivaroxaban plasma levels in patients admitted for bleeding events: insights from a prospective study","title-short":"Rivaroxaban plasma levels in patients admitted for bleeding events","volume":"16","author":[{"family":"Sennesael","given":"Anne-Laure"},{"family":"Larock","given":"Anne-Sophie"},{"family":"Douxfils","given":"Jonathan"},{"family":"Elens","given":"Laure"},{"family":"Stillemans","given":"Gabriel"},{"family":"Wiesen","given":"Martin"},{"family":"Taubert","given":"Max"},{"family":"Dogné","given":"Jean-Michel"},{"family":"Spinewine","given":"Anne"},{"family":"Mullier","given":"François"}],"issued":{"date-parts":[["2018"]]}}}],"schema":"https://github.com/citation-style-language/schema/raw/master/csl-citation.json"} </w:instrText>
      </w:r>
      <w:r w:rsidR="004D553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[157]</w:t>
      </w:r>
      <w:r w:rsidR="004D5539">
        <w:rPr>
          <w:rFonts w:ascii="Times New Roman" w:hAnsi="Times New Roman" w:cs="Times New Roman"/>
          <w:sz w:val="28"/>
          <w:szCs w:val="28"/>
          <w:lang w:bidi="ar-SA"/>
        </w:rPr>
        <w:fldChar w:fldCharType="end"/>
      </w:r>
      <w:r w:rsidR="004D5539" w:rsidRPr="004D5539">
        <w:rPr>
          <w:rFonts w:ascii="Times New Roman" w:hAnsi="Times New Roman" w:cs="Times New Roman"/>
          <w:sz w:val="28"/>
          <w:szCs w:val="28"/>
          <w:lang w:bidi="ar-SA"/>
        </w:rPr>
        <w:t>. Однако существуют исследования</w:t>
      </w:r>
      <w:r w:rsidR="004D5539">
        <w:rPr>
          <w:rFonts w:ascii="Times New Roman" w:hAnsi="Times New Roman" w:cs="Times New Roman"/>
          <w:sz w:val="28"/>
          <w:szCs w:val="28"/>
          <w:lang w:bidi="ar-SA"/>
        </w:rPr>
        <w:t>,</w:t>
      </w:r>
      <w:r w:rsidR="004D5539" w:rsidRPr="004D5539">
        <w:rPr>
          <w:rFonts w:ascii="Times New Roman" w:hAnsi="Times New Roman" w:cs="Times New Roman"/>
          <w:sz w:val="28"/>
          <w:szCs w:val="28"/>
          <w:lang w:bidi="ar-SA"/>
        </w:rPr>
        <w:t xml:space="preserve"> результаты которых не подтверждают значимого влияния полиморфизмов</w:t>
      </w:r>
      <w:r w:rsidR="004D5539">
        <w:rPr>
          <w:rFonts w:ascii="Times New Roman" w:hAnsi="Times New Roman" w:cs="Times New Roman"/>
          <w:sz w:val="28"/>
          <w:szCs w:val="28"/>
          <w:lang w:bidi="ar-SA"/>
        </w:rPr>
        <w:t xml:space="preserve"> </w:t>
      </w:r>
      <w:r w:rsidR="004D5539">
        <w:rPr>
          <w:rFonts w:ascii="Times New Roman" w:hAnsi="Times New Roman" w:cs="Times New Roman"/>
          <w:sz w:val="28"/>
          <w:szCs w:val="28"/>
          <w:lang w:val="en-US" w:bidi="ar-SA"/>
        </w:rPr>
        <w:t>ABCB</w:t>
      </w:r>
      <w:r w:rsidR="004D5539" w:rsidRPr="004D5539">
        <w:rPr>
          <w:rFonts w:ascii="Times New Roman" w:hAnsi="Times New Roman" w:cs="Times New Roman"/>
          <w:sz w:val="28"/>
          <w:szCs w:val="28"/>
          <w:lang w:bidi="ar-SA"/>
        </w:rPr>
        <w:t>1 на фармакокинетику</w:t>
      </w:r>
      <w:r w:rsidR="004D5539">
        <w:rPr>
          <w:rFonts w:ascii="Times New Roman" w:hAnsi="Times New Roman" w:cs="Times New Roman"/>
          <w:sz w:val="28"/>
          <w:szCs w:val="28"/>
          <w:lang w:bidi="ar-SA"/>
        </w:rPr>
        <w:t xml:space="preserve"> ривароксабана. Так, в работе </w:t>
      </w:r>
      <w:r w:rsidR="004D5539">
        <w:rPr>
          <w:rFonts w:ascii="Times New Roman" w:hAnsi="Times New Roman" w:cs="Times New Roman"/>
          <w:sz w:val="28"/>
          <w:szCs w:val="28"/>
          <w:lang w:val="en-US" w:bidi="ar-SA"/>
        </w:rPr>
        <w:t>Gouin</w:t>
      </w:r>
      <w:r w:rsidR="004D5539" w:rsidRPr="004D5539">
        <w:rPr>
          <w:rFonts w:ascii="Times New Roman" w:hAnsi="Times New Roman" w:cs="Times New Roman"/>
          <w:sz w:val="28"/>
          <w:szCs w:val="28"/>
          <w:lang w:bidi="ar-SA"/>
        </w:rPr>
        <w:t>-</w:t>
      </w:r>
      <w:r w:rsidR="004D5539">
        <w:rPr>
          <w:rFonts w:ascii="Times New Roman" w:hAnsi="Times New Roman" w:cs="Times New Roman"/>
          <w:sz w:val="28"/>
          <w:szCs w:val="28"/>
          <w:lang w:val="en-US" w:bidi="ar-SA"/>
        </w:rPr>
        <w:t>Thibault</w:t>
      </w:r>
      <w:r w:rsidR="004D5539" w:rsidRPr="004D5539">
        <w:rPr>
          <w:rFonts w:ascii="Times New Roman" w:hAnsi="Times New Roman" w:cs="Times New Roman"/>
          <w:sz w:val="28"/>
          <w:szCs w:val="28"/>
          <w:lang w:bidi="ar-SA"/>
        </w:rPr>
        <w:t xml:space="preserve"> </w:t>
      </w:r>
      <w:r w:rsidR="004D5539">
        <w:rPr>
          <w:rFonts w:ascii="Times New Roman" w:hAnsi="Times New Roman" w:cs="Times New Roman"/>
          <w:sz w:val="28"/>
          <w:szCs w:val="28"/>
          <w:lang w:bidi="ar-SA"/>
        </w:rPr>
        <w:t xml:space="preserve">и др. не было выявлено ассоциации между полиморфизмами </w:t>
      </w:r>
      <w:r w:rsidR="004D5539">
        <w:rPr>
          <w:rFonts w:ascii="Times New Roman" w:hAnsi="Times New Roman" w:cs="Times New Roman"/>
          <w:sz w:val="28"/>
          <w:szCs w:val="28"/>
          <w:lang w:val="en-US" w:bidi="ar-SA"/>
        </w:rPr>
        <w:t>ABCB</w:t>
      </w:r>
      <w:r w:rsidR="004D5539" w:rsidRPr="004D5539">
        <w:rPr>
          <w:rFonts w:ascii="Times New Roman" w:hAnsi="Times New Roman" w:cs="Times New Roman"/>
          <w:sz w:val="28"/>
          <w:szCs w:val="28"/>
          <w:lang w:bidi="ar-SA"/>
        </w:rPr>
        <w:t xml:space="preserve">1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 xml:space="preserve">2032582, </w:t>
      </w:r>
      <w:r w:rsidR="004D5539">
        <w:rPr>
          <w:rFonts w:ascii="Times New Roman" w:hAnsi="Times New Roman" w:cs="Times New Roman"/>
          <w:sz w:val="28"/>
          <w:szCs w:val="28"/>
          <w:lang w:val="en-US" w:bidi="ar-SA"/>
        </w:rPr>
        <w:t>rs</w:t>
      </w:r>
      <w:r w:rsidR="004D5539" w:rsidRPr="004D5539">
        <w:rPr>
          <w:rFonts w:ascii="Times New Roman" w:hAnsi="Times New Roman" w:cs="Times New Roman"/>
          <w:sz w:val="28"/>
          <w:szCs w:val="28"/>
          <w:lang w:bidi="ar-SA"/>
        </w:rPr>
        <w:t xml:space="preserve">1045642 </w:t>
      </w:r>
      <w:r w:rsidR="004D5539">
        <w:rPr>
          <w:rFonts w:ascii="Times New Roman" w:hAnsi="Times New Roman" w:cs="Times New Roman"/>
          <w:sz w:val="28"/>
          <w:szCs w:val="28"/>
          <w:lang w:bidi="ar-SA"/>
        </w:rPr>
        <w:t>и п</w:t>
      </w:r>
      <w:r w:rsidR="004D5539" w:rsidRPr="004D5539">
        <w:rPr>
          <w:rFonts w:ascii="Times New Roman" w:hAnsi="Times New Roman" w:cs="Times New Roman"/>
          <w:sz w:val="28"/>
          <w:szCs w:val="28"/>
          <w:lang w:bidi="ar-SA"/>
        </w:rPr>
        <w:t>араметрами концентраци</w:t>
      </w:r>
      <w:r w:rsidR="004D5539">
        <w:rPr>
          <w:rFonts w:ascii="Times New Roman" w:hAnsi="Times New Roman" w:cs="Times New Roman"/>
          <w:sz w:val="28"/>
          <w:szCs w:val="28"/>
          <w:lang w:bidi="ar-SA"/>
        </w:rPr>
        <w:t xml:space="preserve">и ривароксабана, </w:t>
      </w:r>
      <w:r w:rsidR="004D5539" w:rsidRPr="004D5539">
        <w:rPr>
          <w:rFonts w:ascii="Times New Roman" w:hAnsi="Times New Roman" w:cs="Times New Roman"/>
          <w:sz w:val="28"/>
          <w:szCs w:val="28"/>
          <w:lang w:bidi="ar-SA"/>
        </w:rPr>
        <w:t>при этом авторы подчеркнули, что совместный прием препарата с кларитромицином</w:t>
      </w:r>
      <w:r w:rsidR="004D5539">
        <w:rPr>
          <w:rFonts w:ascii="Times New Roman" w:hAnsi="Times New Roman" w:cs="Times New Roman"/>
          <w:sz w:val="28"/>
          <w:szCs w:val="28"/>
          <w:lang w:bidi="ar-SA"/>
        </w:rPr>
        <w:t xml:space="preserve"> (</w:t>
      </w:r>
      <w:r w:rsidR="004D5539" w:rsidRPr="004D5539">
        <w:rPr>
          <w:rFonts w:ascii="Times New Roman" w:hAnsi="Times New Roman" w:cs="Times New Roman"/>
          <w:sz w:val="28"/>
          <w:szCs w:val="28"/>
          <w:lang w:bidi="ar-SA"/>
        </w:rPr>
        <w:t>ингибитор</w:t>
      </w:r>
      <w:r w:rsidR="004D5539">
        <w:rPr>
          <w:rFonts w:ascii="Times New Roman" w:hAnsi="Times New Roman" w:cs="Times New Roman"/>
          <w:sz w:val="28"/>
          <w:szCs w:val="28"/>
          <w:lang w:bidi="ar-SA"/>
        </w:rPr>
        <w:t xml:space="preserve">ом </w:t>
      </w:r>
      <w:r w:rsidR="004D5539">
        <w:rPr>
          <w:rFonts w:ascii="Times New Roman" w:hAnsi="Times New Roman" w:cs="Times New Roman"/>
          <w:sz w:val="28"/>
          <w:szCs w:val="28"/>
          <w:lang w:val="en-US" w:bidi="ar-SA"/>
        </w:rPr>
        <w:t>CYP</w:t>
      </w:r>
      <w:r w:rsidR="004D5539" w:rsidRPr="004D5539">
        <w:rPr>
          <w:rFonts w:ascii="Times New Roman" w:hAnsi="Times New Roman" w:cs="Times New Roman"/>
          <w:sz w:val="28"/>
          <w:szCs w:val="28"/>
          <w:lang w:bidi="ar-SA"/>
        </w:rPr>
        <w:t>3</w:t>
      </w:r>
      <w:r w:rsidR="004D5539">
        <w:rPr>
          <w:rFonts w:ascii="Times New Roman" w:hAnsi="Times New Roman" w:cs="Times New Roman"/>
          <w:sz w:val="28"/>
          <w:szCs w:val="28"/>
          <w:lang w:val="en-US" w:bidi="ar-SA"/>
        </w:rPr>
        <w:t>A</w:t>
      </w:r>
      <w:r w:rsidR="004D5539" w:rsidRPr="004D5539">
        <w:rPr>
          <w:rFonts w:ascii="Times New Roman" w:hAnsi="Times New Roman" w:cs="Times New Roman"/>
          <w:sz w:val="28"/>
          <w:szCs w:val="28"/>
          <w:lang w:bidi="ar-SA"/>
        </w:rPr>
        <w:t>4/</w:t>
      </w:r>
      <w:r w:rsidR="004D5539">
        <w:rPr>
          <w:rFonts w:ascii="Times New Roman" w:hAnsi="Times New Roman" w:cs="Times New Roman"/>
          <w:sz w:val="28"/>
          <w:szCs w:val="28"/>
          <w:lang w:val="en-US" w:bidi="ar-SA"/>
        </w:rPr>
        <w:t>P</w:t>
      </w:r>
      <w:r w:rsidR="004D5539" w:rsidRPr="004D5539">
        <w:rPr>
          <w:rFonts w:ascii="Times New Roman" w:hAnsi="Times New Roman" w:cs="Times New Roman"/>
          <w:sz w:val="28"/>
          <w:szCs w:val="28"/>
          <w:lang w:bidi="ar-SA"/>
        </w:rPr>
        <w:t>-</w:t>
      </w:r>
      <w:r w:rsidR="004D5539">
        <w:rPr>
          <w:rFonts w:ascii="Times New Roman" w:hAnsi="Times New Roman" w:cs="Times New Roman"/>
          <w:sz w:val="28"/>
          <w:szCs w:val="28"/>
          <w:lang w:val="en-US" w:bidi="ar-SA"/>
        </w:rPr>
        <w:t>gp</w:t>
      </w:r>
      <w:r w:rsidR="004D5539" w:rsidRPr="004D5539">
        <w:rPr>
          <w:rFonts w:ascii="Times New Roman" w:hAnsi="Times New Roman" w:cs="Times New Roman"/>
          <w:sz w:val="28"/>
          <w:szCs w:val="28"/>
          <w:lang w:bidi="ar-SA"/>
        </w:rPr>
        <w:t>) может приводить к передозировке и требует особой осторожности</w:t>
      </w:r>
      <w:r w:rsidR="004D553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{"citationID":"j7bnWkEc","properties":{"unsorted":false,"formattedCitation":"[159]","plainCitation":"[159]","noteIndex":0},"citationItems":[{"id":111,"uris":["http://zotero.org/users/14784094/items/LR7XBNVL"],"itemData":{"id":111,"type":"article-journal","abstract":"Essentials Rivaroxaban and dabigatran are substrates of the P-glycoprotein (P-gp) encoded by the ABCB1 gene. We tested the effect of ABCB1 polymorphisms and of a P-gp inhibitor on both drugs' pharmacokinetics. The ABCB1 genotype was not a clinically relevant determinant of both drugs' pharmacokinetics. Administration of P-gp inhibitors with dabigatran or rivaroxaban should be exercised with caution.\nSUMMARY: Background The direct oral anticoagulants (DOACs) dabigatran and rivaroxaban are both substrates of the P-glycoprotein (P-gp) transporter, encoded by the ABCB1 gene. Rivaroxaban is metabolized by cytochrome P450 A4 (CYP3A4). Interindividual variability in DOAC exposure and frequent P-gp-associated drug-drug interactions have been described in patients. Objective To assess the influence of ABCB1 polymorphisms on the pharmacokinetics of dabigatran and rivaroxaban, associated or not with clarithromycin, a P-gp and CYP3A4 inhibitor. Methods Sixty healthy male volunteers, selected according to ABCB1 genotype (20 homozygous mutated, 20 heterozygous mutated, and 20 wild-type for haplotype 2677-3435), were included in this randomized, two-center, crossover study. All received sequentially a single dose of dabigatran etexilate (300 mg) and rivaroxaban (40 mg) associated or not with clarithromycin. Peak plasma concentration and area under the curve (AUC) were compared across the three ABCB1 genotypes. The effect of clarithromycin on dabigatran or rivaroxaban pharmacokinetics was assessed. Results Interindividual coefficients of variation for AUC were 77% for dabigatran and 51% for rivaroxaban. ABCB1 genotype did not significantly affect drug pharmacokinetics: AUC ratios between mutant-allele carriers and wild-type volunteers were 1.27 (95% confidence interval [CI] 0.84-1.92) and 1.20 (95% CI 0.96-1.51) for dabigatran and rivaroxaban, respectively. Clarithromycin coadministration led to a two-fold increase in both drugs' AUC, irrespective of ABCB1 genotype: ratios of geometric means were 2.0 (95% CI 1.15-3.60) and 1.94 (95% CI 1.42-2.63) for dabigatran and rivaroxaban, respectively. Conclusions ABCB1 genotype is not a significant determinant of interindividual variability in dabigatran and rivaroxaban pharmacokinetics. The levels of one drug did not predict the levels of the other. Coadministration of a P-gp/CYP3A4 inhibitor with dabigatran or rivaroxaban may warrant caution in patients at risk of overexposure.","container-title":"Journal of thrombosis and haemostasis: JTH","DOI":"10.1111/jth.13577","ISSN":"1538-7836","issue":"2","journalAbbreviation":"J Thromb Haemost","language":"eng","page":"273-283","PMID":"27893182","source":"PubMed","title":"Interindividual variability in dabigatran and rivaroxaban exposure: contribution of ABCB1 genetic polymorphisms and interaction with clarithromycin","title-short":"Interindividual variability in dabigatran and rivaroxaban exposure","volume":"15","author":[{"family":"Gouin-Thibault","given":"I."},{"family":"Delavenne","given":"X."},{"family":"Blanchard","given":"A."},{"family":"Siguret","given":"V."},{"family":"Salem","given":"J. E."},{"family":"Narjoz","given":"C."},{"family":"Gaussem","given":"P."},{"family":"Beaune","given":"P."},{"family":"Funck-Brentano","given":"C."},{"family":"Azizi","given":"M."},{"family":"Mismetti","given":"P."},{"family":"Loriot","given":"M. A."}],"issued":{"date-parts":[["2017",2]]}}}],"schema":"https://github.com/citation-style-language/schema/raw/master/csl-citation.json"} </w:instrText>
      </w:r>
      <w:r w:rsidR="004D553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[159]</w:t>
      </w:r>
      <w:r w:rsidR="004D5539">
        <w:rPr>
          <w:rFonts w:ascii="Times New Roman" w:hAnsi="Times New Roman" w:cs="Times New Roman"/>
          <w:sz w:val="28"/>
          <w:szCs w:val="28"/>
          <w:lang w:bidi="ar-SA"/>
        </w:rPr>
        <w:fldChar w:fldCharType="end"/>
      </w:r>
      <w:r w:rsidR="00BD2D20" w:rsidRPr="00BD2D20">
        <w:rPr>
          <w:rFonts w:ascii="Times New Roman" w:hAnsi="Times New Roman" w:cs="Times New Roman"/>
          <w:sz w:val="28"/>
          <w:szCs w:val="28"/>
          <w:lang w:bidi="ar-SA"/>
        </w:rPr>
        <w:t xml:space="preserve">. Аналогичные выводы были получены в исследовании </w:t>
      </w:r>
      <w:r w:rsidR="00BD2D20">
        <w:rPr>
          <w:rFonts w:ascii="Times New Roman" w:hAnsi="Times New Roman" w:cs="Times New Roman"/>
          <w:sz w:val="28"/>
          <w:szCs w:val="28"/>
          <w:lang w:bidi="ar-SA"/>
        </w:rPr>
        <w:t>С</w:t>
      </w:r>
      <w:r w:rsidR="00BD2D20" w:rsidRPr="00BD2D20">
        <w:rPr>
          <w:rFonts w:ascii="Times New Roman" w:hAnsi="Times New Roman" w:cs="Times New Roman"/>
          <w:sz w:val="28"/>
          <w:szCs w:val="28"/>
          <w:lang w:bidi="ar-SA"/>
        </w:rPr>
        <w:t>ычева и соавторов</w:t>
      </w:r>
      <w:r w:rsidR="00BD2D20">
        <w:rPr>
          <w:rFonts w:ascii="Times New Roman" w:hAnsi="Times New Roman" w:cs="Times New Roman"/>
          <w:sz w:val="28"/>
          <w:szCs w:val="28"/>
          <w:lang w:bidi="ar-SA"/>
        </w:rPr>
        <w:t xml:space="preserve"> (2019), </w:t>
      </w:r>
      <w:r w:rsidR="00BD2D20" w:rsidRPr="00BD2D20">
        <w:rPr>
          <w:rFonts w:ascii="Times New Roman" w:hAnsi="Times New Roman" w:cs="Times New Roman"/>
          <w:sz w:val="28"/>
          <w:szCs w:val="28"/>
          <w:lang w:bidi="ar-SA"/>
        </w:rPr>
        <w:t>где анализ пиковых равновесных концентраций р</w:t>
      </w:r>
      <w:r w:rsidR="00BD2D20">
        <w:rPr>
          <w:rFonts w:ascii="Times New Roman" w:hAnsi="Times New Roman" w:cs="Times New Roman"/>
          <w:sz w:val="28"/>
          <w:szCs w:val="28"/>
          <w:lang w:bidi="ar-SA"/>
        </w:rPr>
        <w:t>ива</w:t>
      </w:r>
      <w:r w:rsidR="00BD2D20" w:rsidRPr="00BD2D20">
        <w:rPr>
          <w:rFonts w:ascii="Times New Roman" w:hAnsi="Times New Roman" w:cs="Times New Roman"/>
          <w:sz w:val="28"/>
          <w:szCs w:val="28"/>
          <w:lang w:bidi="ar-SA"/>
        </w:rPr>
        <w:t>рокса</w:t>
      </w:r>
      <w:r w:rsidR="00BD2D20">
        <w:rPr>
          <w:rFonts w:ascii="Times New Roman" w:hAnsi="Times New Roman" w:cs="Times New Roman"/>
          <w:sz w:val="28"/>
          <w:szCs w:val="28"/>
          <w:lang w:bidi="ar-SA"/>
        </w:rPr>
        <w:t>ба</w:t>
      </w:r>
      <w:r w:rsidR="00BD2D20" w:rsidRPr="00BD2D20">
        <w:rPr>
          <w:rFonts w:ascii="Times New Roman" w:hAnsi="Times New Roman" w:cs="Times New Roman"/>
          <w:sz w:val="28"/>
          <w:szCs w:val="28"/>
          <w:lang w:bidi="ar-SA"/>
        </w:rPr>
        <w:t>на не выявил различий между различными гаплоти</w:t>
      </w:r>
      <w:r w:rsidR="00BD2D20">
        <w:rPr>
          <w:rFonts w:ascii="Times New Roman" w:hAnsi="Times New Roman" w:cs="Times New Roman"/>
          <w:sz w:val="28"/>
          <w:szCs w:val="28"/>
          <w:lang w:bidi="ar-SA"/>
        </w:rPr>
        <w:t>п</w:t>
      </w:r>
      <w:r w:rsidR="00BD2D20" w:rsidRPr="00BD2D20">
        <w:rPr>
          <w:rFonts w:ascii="Times New Roman" w:hAnsi="Times New Roman" w:cs="Times New Roman"/>
          <w:sz w:val="28"/>
          <w:szCs w:val="28"/>
          <w:lang w:bidi="ar-SA"/>
        </w:rPr>
        <w:t>ами гена</w:t>
      </w:r>
      <w:r w:rsidR="00BD2D20">
        <w:rPr>
          <w:rFonts w:ascii="Times New Roman" w:hAnsi="Times New Roman" w:cs="Times New Roman"/>
          <w:sz w:val="28"/>
          <w:szCs w:val="28"/>
          <w:lang w:bidi="ar-SA"/>
        </w:rPr>
        <w:t xml:space="preserve"> </w:t>
      </w:r>
      <w:r w:rsidR="00BD2D20">
        <w:rPr>
          <w:rFonts w:ascii="Times New Roman" w:hAnsi="Times New Roman" w:cs="Times New Roman"/>
          <w:sz w:val="28"/>
          <w:szCs w:val="28"/>
          <w:lang w:val="en-US" w:bidi="ar-SA"/>
        </w:rPr>
        <w:t>ABCB</w:t>
      </w:r>
      <w:r w:rsidR="00BD2D20" w:rsidRPr="00BD2D20">
        <w:rPr>
          <w:rFonts w:ascii="Times New Roman" w:hAnsi="Times New Roman" w:cs="Times New Roman"/>
          <w:sz w:val="28"/>
          <w:szCs w:val="28"/>
          <w:lang w:bidi="ar-SA"/>
        </w:rPr>
        <w:t>1</w:t>
      </w:r>
      <w:r w:rsidR="00BD2D2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aefsRGDD","properties":{"unsorted":false,"formattedCitation":"[161]","plainCitation":"[161]","noteIndex":0},"citationItems":[{"id":109,"uris":["http://zotero.org/users/14784094/items/4BHGDAIN"],"itemData":{"id":109,"type":"article-journal","abstract":"INTRODUCTION: ABCB1 gene polymorphisms are associated with rivaroxaban distribution changes and adverse reactions but the data are controversial.\nAIM: To evaluate the influence of ABCB1 (rs1045642 and rs4148738) gene polymorphisms on rivaroxaban pharmacokinetics in patients aged 80 years and older with nonvalvular atrial fibrillation (NAF).\nMETHODS: 128 patients aged 80 years and older (median [Me] age 87.5 [83.0-90.0] years) with NAF were included. We performed ABCB1 (rs1045642 and rs4148738) genotyping, measured the trough steady-state plasma concentration (Cmin,ss) of rivaroxaban and prothrombin time (PT) and analyzed prior medical records for clinically relevant non-major bleeding (CRNMB).\nRESULTS: CC genotype carriers had no differences in Cmin,ss (p &gt; 0.05) compared with the CT and TT rs1045642 and rs4148738 genotypes carriers. CC genotype carriers had no differences in PT (p &gt; 0.05) compared with the CT rs1045642 and rs4148738 and TT rs4148738 genotypes carriers. In the TT genotype PT levels were higher than in the CC rs1045642 genotype: Me 14.2 [13.0-16.1] sec vs 13.3 [12.4-14.5] sec (p = 0.049). Incidence of CRNMB was higher in patients with the TT genotype compared with the CC rs1045642 (29.3% vs 4.5%, p = 0.021) and rs4148738 (39.3% vs 8.1%, p = 0.008) and the CT genotype rs4148738 (39.3% vs 14.3%, p = 0.002).\nCONCLUSION: ABCB1 (rs1045642 and rs4148738) polymorphisms didn't influence rivaroxaban pharmacokinetics in patients aged 80 years and older with NAF. TT carriers developed CRNMB more frequently compared with the CC rs1045642 and the CC and CT rs4148738 genotypes. The haplotype TT-TT haplotype was associated with a higher frequency of CRNMB.","container-title":"High Blood Pressure &amp; Cardiovascular Prevention: The Official Journal of the Italian Society of Hypertension","DOI":"10.1007/s40292-022-00536-3","ISSN":"1179-1985","issue":"5","journalAbbreviation":"High Blood Press Cardiovasc Prev","language":"eng","page":"469-480","PMID":"35960493","source":"PubMed","title":"The Influence of ABCB1 (rs1045642 and rs4148738) Gene Polymorphisms on Rivaroxaban Pharmacokinetics in Patients Aged 80 Years and Older with Nonvalvular Atrial Fibrillation","volume":"29","author":[{"family":"Sychev","given":"Dmitry"},{"family":"Ostroumova","given":"Olga"},{"family":"Cherniaeva","given":"Marina"},{"family":"Shakhgildian","given":"Nataliia"},{"family":"Mirzaev","given":"Karin"},{"family":"Abdullaev","given":"Sherzod"},{"family":"Denisenko","given":"Natalia"},{"family":"Sozaeva","given":"Zhannet"},{"family":"Kachanova","given":"Anastasia"},{"family":"Gorbatenkova","given":"Svetlana"},{"family":"Shastina","given":"Vera"}],"issued":{"date-parts":[["2022",9]]}}}],"schema":"https://github.com/citation-style-language/schema/raw/master/csl-citation.json"} </w:instrText>
      </w:r>
      <w:r w:rsidR="00BD2D2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[161]</w:t>
      </w:r>
      <w:r w:rsidR="00BD2D20">
        <w:rPr>
          <w:rFonts w:ascii="Times New Roman" w:hAnsi="Times New Roman" w:cs="Times New Roman"/>
          <w:sz w:val="28"/>
          <w:szCs w:val="28"/>
          <w:lang w:bidi="ar-SA"/>
        </w:rPr>
        <w:fldChar w:fldCharType="end"/>
      </w:r>
      <w:r w:rsidR="00BD2D20">
        <w:rPr>
          <w:rFonts w:ascii="Times New Roman" w:hAnsi="Times New Roman" w:cs="Times New Roman"/>
          <w:sz w:val="28"/>
          <w:szCs w:val="28"/>
          <w:lang w:bidi="ar-SA"/>
        </w:rPr>
        <w:t xml:space="preserve">. </w:t>
      </w:r>
      <w:r w:rsidR="00BD2D20">
        <w:rPr>
          <w:rFonts w:ascii="Times New Roman" w:hAnsi="Times New Roman" w:cs="Times New Roman"/>
          <w:sz w:val="28"/>
          <w:szCs w:val="28"/>
          <w:lang w:val="en-US" w:bidi="ar-SA"/>
        </w:rPr>
        <w:t>Senneseal</w:t>
      </w:r>
      <w:r w:rsidR="00BD2D20" w:rsidRPr="00BD2D20">
        <w:rPr>
          <w:rFonts w:ascii="Times New Roman" w:hAnsi="Times New Roman" w:cs="Times New Roman"/>
          <w:sz w:val="28"/>
          <w:szCs w:val="28"/>
          <w:lang w:bidi="ar-SA"/>
        </w:rPr>
        <w:t xml:space="preserve"> </w:t>
      </w:r>
      <w:r w:rsidR="00BD2D20">
        <w:rPr>
          <w:rFonts w:ascii="Times New Roman" w:hAnsi="Times New Roman" w:cs="Times New Roman"/>
          <w:sz w:val="28"/>
          <w:szCs w:val="28"/>
          <w:lang w:bidi="ar-SA"/>
        </w:rPr>
        <w:t xml:space="preserve">и др. в своем исследовании установили, что однонуклеотидные варианты гена </w:t>
      </w:r>
      <w:r w:rsidR="00BD2D20">
        <w:rPr>
          <w:rFonts w:ascii="Times New Roman" w:hAnsi="Times New Roman" w:cs="Times New Roman"/>
          <w:sz w:val="28"/>
          <w:szCs w:val="28"/>
          <w:lang w:val="en-US" w:bidi="ar-SA"/>
        </w:rPr>
        <w:t>ABCB</w:t>
      </w:r>
      <w:r w:rsidR="00BD2D20" w:rsidRPr="00BD2D20">
        <w:rPr>
          <w:rFonts w:ascii="Times New Roman" w:hAnsi="Times New Roman" w:cs="Times New Roman"/>
          <w:sz w:val="28"/>
          <w:szCs w:val="28"/>
          <w:lang w:bidi="ar-SA"/>
        </w:rPr>
        <w:t xml:space="preserve">1, </w:t>
      </w:r>
      <w:r w:rsidR="00BD2D20">
        <w:rPr>
          <w:rFonts w:ascii="Times New Roman" w:hAnsi="Times New Roman" w:cs="Times New Roman"/>
          <w:sz w:val="28"/>
          <w:szCs w:val="28"/>
          <w:lang w:bidi="ar-SA"/>
        </w:rPr>
        <w:t>а именно 1236</w:t>
      </w:r>
      <w:r w:rsidR="00BD2D20" w:rsidRPr="00BD2D20">
        <w:rPr>
          <w:rFonts w:ascii="Times New Roman" w:hAnsi="Times New Roman" w:cs="Times New Roman"/>
          <w:sz w:val="28"/>
          <w:szCs w:val="28"/>
          <w:lang w:bidi="ar-SA"/>
        </w:rPr>
        <w:t xml:space="preserve"> </w:t>
      </w:r>
      <w:r w:rsidR="00BD2D20">
        <w:rPr>
          <w:rFonts w:ascii="Times New Roman" w:hAnsi="Times New Roman" w:cs="Times New Roman"/>
          <w:sz w:val="28"/>
          <w:szCs w:val="28"/>
          <w:lang w:val="en-US" w:bidi="ar-SA"/>
        </w:rPr>
        <w:t>C</w:t>
      </w:r>
      <w:r w:rsidR="00BD2D20" w:rsidRPr="00BD2D20">
        <w:rPr>
          <w:rFonts w:ascii="Times New Roman" w:hAnsi="Times New Roman" w:cs="Times New Roman"/>
          <w:sz w:val="28"/>
          <w:szCs w:val="28"/>
          <w:lang w:bidi="ar-SA"/>
        </w:rPr>
        <w:t>&gt;</w:t>
      </w:r>
      <w:r w:rsidR="00BD2D20">
        <w:rPr>
          <w:rFonts w:ascii="Times New Roman" w:hAnsi="Times New Roman" w:cs="Times New Roman"/>
          <w:sz w:val="28"/>
          <w:szCs w:val="28"/>
          <w:lang w:val="en-US" w:bidi="ar-SA"/>
        </w:rPr>
        <w:t>T</w:t>
      </w:r>
      <w:r w:rsidR="00BD2D20" w:rsidRPr="00BD2D20">
        <w:rPr>
          <w:rFonts w:ascii="Times New Roman" w:hAnsi="Times New Roman" w:cs="Times New Roman"/>
          <w:sz w:val="28"/>
          <w:szCs w:val="28"/>
          <w:lang w:bidi="ar-SA"/>
        </w:rPr>
        <w:t xml:space="preserve">, 2677 </w:t>
      </w:r>
      <w:r w:rsidR="00BD2D20">
        <w:rPr>
          <w:rFonts w:ascii="Times New Roman" w:hAnsi="Times New Roman" w:cs="Times New Roman"/>
          <w:sz w:val="28"/>
          <w:szCs w:val="28"/>
          <w:lang w:val="en-US" w:bidi="ar-SA"/>
        </w:rPr>
        <w:t>G</w:t>
      </w:r>
      <w:r w:rsidR="00BD2D20" w:rsidRPr="00BD2D20">
        <w:rPr>
          <w:rFonts w:ascii="Times New Roman" w:hAnsi="Times New Roman" w:cs="Times New Roman"/>
          <w:sz w:val="28"/>
          <w:szCs w:val="28"/>
          <w:lang w:bidi="ar-SA"/>
        </w:rPr>
        <w:t>&gt;</w:t>
      </w:r>
      <w:r w:rsidR="00BD2D20">
        <w:rPr>
          <w:rFonts w:ascii="Times New Roman" w:hAnsi="Times New Roman" w:cs="Times New Roman"/>
          <w:sz w:val="28"/>
          <w:szCs w:val="28"/>
          <w:lang w:val="en-US" w:bidi="ar-SA"/>
        </w:rPr>
        <w:t>T</w:t>
      </w:r>
      <w:r w:rsidR="00BD2D20" w:rsidRPr="00BD2D20">
        <w:rPr>
          <w:rFonts w:ascii="Times New Roman" w:hAnsi="Times New Roman" w:cs="Times New Roman"/>
          <w:sz w:val="28"/>
          <w:szCs w:val="28"/>
          <w:lang w:bidi="ar-SA"/>
        </w:rPr>
        <w:t>/</w:t>
      </w:r>
      <w:r w:rsidR="00BD2D20">
        <w:rPr>
          <w:rFonts w:ascii="Times New Roman" w:hAnsi="Times New Roman" w:cs="Times New Roman"/>
          <w:sz w:val="28"/>
          <w:szCs w:val="28"/>
          <w:lang w:val="en-US" w:bidi="ar-SA"/>
        </w:rPr>
        <w:t>A</w:t>
      </w:r>
      <w:r w:rsidR="00BD2D20" w:rsidRPr="00BD2D20">
        <w:rPr>
          <w:rFonts w:ascii="Times New Roman" w:hAnsi="Times New Roman" w:cs="Times New Roman"/>
          <w:sz w:val="28"/>
          <w:szCs w:val="28"/>
          <w:lang w:bidi="ar-SA"/>
        </w:rPr>
        <w:t xml:space="preserve">, 3435 </w:t>
      </w:r>
      <w:r w:rsidR="00BD2D20">
        <w:rPr>
          <w:rFonts w:ascii="Times New Roman" w:hAnsi="Times New Roman" w:cs="Times New Roman"/>
          <w:sz w:val="28"/>
          <w:szCs w:val="28"/>
          <w:lang w:val="en-US" w:bidi="ar-SA"/>
        </w:rPr>
        <w:t>C</w:t>
      </w:r>
      <w:r w:rsidR="00BD2D20" w:rsidRPr="00BD2D20">
        <w:rPr>
          <w:rFonts w:ascii="Times New Roman" w:hAnsi="Times New Roman" w:cs="Times New Roman"/>
          <w:sz w:val="28"/>
          <w:szCs w:val="28"/>
          <w:lang w:bidi="ar-SA"/>
        </w:rPr>
        <w:t>&gt;</w:t>
      </w:r>
      <w:r w:rsidR="00BD2D20">
        <w:rPr>
          <w:rFonts w:ascii="Times New Roman" w:hAnsi="Times New Roman" w:cs="Times New Roman"/>
          <w:sz w:val="28"/>
          <w:szCs w:val="28"/>
          <w:lang w:val="en-US" w:bidi="ar-SA"/>
        </w:rPr>
        <w:t>T</w:t>
      </w:r>
      <w:r w:rsidR="00BD2D20" w:rsidRPr="00BD2D20">
        <w:rPr>
          <w:rFonts w:ascii="Times New Roman" w:hAnsi="Times New Roman" w:cs="Times New Roman"/>
          <w:sz w:val="28"/>
          <w:szCs w:val="28"/>
          <w:lang w:bidi="ar-SA"/>
        </w:rPr>
        <w:t xml:space="preserve"> </w:t>
      </w:r>
      <w:r w:rsidR="00BD2D20">
        <w:rPr>
          <w:rFonts w:ascii="Times New Roman" w:hAnsi="Times New Roman" w:cs="Times New Roman"/>
          <w:sz w:val="28"/>
          <w:szCs w:val="28"/>
          <w:lang w:bidi="ar-SA"/>
        </w:rPr>
        <w:t xml:space="preserve"> и </w:t>
      </w:r>
      <w:r w:rsidR="00BD2D20" w:rsidRPr="00BD2D20">
        <w:rPr>
          <w:rFonts w:ascii="Times New Roman" w:hAnsi="Times New Roman" w:cs="Times New Roman"/>
          <w:sz w:val="28"/>
          <w:szCs w:val="28"/>
          <w:lang w:bidi="ar-SA"/>
        </w:rPr>
        <w:t xml:space="preserve">1199 </w:t>
      </w:r>
      <w:r w:rsidR="00BD2D20">
        <w:rPr>
          <w:rFonts w:ascii="Times New Roman" w:hAnsi="Times New Roman" w:cs="Times New Roman"/>
          <w:sz w:val="28"/>
          <w:szCs w:val="28"/>
          <w:lang w:val="en-US" w:bidi="ar-SA"/>
        </w:rPr>
        <w:t>G</w:t>
      </w:r>
      <w:r w:rsidR="00BD2D20" w:rsidRPr="00BD2D20">
        <w:rPr>
          <w:rFonts w:ascii="Times New Roman" w:hAnsi="Times New Roman" w:cs="Times New Roman"/>
          <w:sz w:val="28"/>
          <w:szCs w:val="28"/>
          <w:lang w:bidi="ar-SA"/>
        </w:rPr>
        <w:t>&gt;</w:t>
      </w:r>
      <w:r w:rsidR="00BD2D20">
        <w:rPr>
          <w:rFonts w:ascii="Times New Roman" w:hAnsi="Times New Roman" w:cs="Times New Roman"/>
          <w:sz w:val="28"/>
          <w:szCs w:val="28"/>
          <w:lang w:val="en-US" w:bidi="ar-SA"/>
        </w:rPr>
        <w:t>A</w:t>
      </w:r>
      <w:r w:rsidR="00BD2D20" w:rsidRPr="00BD2D20">
        <w:rPr>
          <w:rFonts w:ascii="Times New Roman" w:hAnsi="Times New Roman" w:cs="Times New Roman"/>
          <w:sz w:val="28"/>
          <w:szCs w:val="28"/>
          <w:lang w:bidi="ar-SA"/>
        </w:rPr>
        <w:t xml:space="preserve">, </w:t>
      </w:r>
      <w:r w:rsidR="00BD2D20">
        <w:rPr>
          <w:rFonts w:ascii="Times New Roman" w:hAnsi="Times New Roman" w:cs="Times New Roman"/>
          <w:sz w:val="28"/>
          <w:szCs w:val="28"/>
          <w:lang w:bidi="ar-SA"/>
        </w:rPr>
        <w:t>не оказывали влияния на внутриклеточное накопление ривароксабана по сравнению с диким типом</w:t>
      </w:r>
      <w:r w:rsidR="00BD2D2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{"citationID":"fSM8zLCv","properties":{"unsorted":false,"formattedCitation":"[157]","plainCitation":"[157]","noteIndex":0},"citationItems":[{"id":113,"uris":["http://zotero.org/users/14784094/items/PBCAEQJD"],"itemData":{"id":113,"type":"article-journal","abstract":"BACKGROUND: Serious bleeding events have been frequently described in patients taking direct oral anticoagulants (DOAC). In secondary analyses of phase 3 trials, DOAC plasma concentrations were shown to correlate with bleeding outcomes. This study aimed to describe rivaroxaban plasma levels in patients admitted to the emergency department (ED) for bleeding events. For each patient, risk factors for experiencing bleeding events were also investigated.\nMETHODS: This analysis was part of an observational study conducted in the ED of two teaching hospitals. Plasma samples from 10 rivaroxaban-treated patients admitted for bleeding events were collected. Rivaroxaban plasma concentrations were determined by calibrated chromogenic anti-Xa assay. The measured rivaroxaban levels were then extrapolated at trough using a published population pharmacokinetic (PopPK) model, and compared to on-therapy ranges observed in large clinical trials. For each patient, clinical, medication and ABCB1 genotype data were collected.\nRESULTS: Rivaroxaban measurements varied from 5 to 358 ng/ml, with a post-intake delay ranging from 9 to 38 h. At trough, estimated plasma concentrations were between 12 and 251 ng/ml (median value 94 ng/ml). Four patients had higher-than-expected rivaroxaban levels. Inadequate dose regimen, excessive alcohol consumption and lack of treatment reassessment were observed in several patients. Half of patients were taking ≥1 drug with potential pharmacokinetics interactions (e.g. amiodarone, diltiazem), while half of patients were taking ≥1 drug increasing the risk of bleeding. All 3 patients with available genotyping data and higher-than-expected rivaroxaban levels were heterozygous or homozygous mutated for the ABCB1 1236C &gt; T, 2677G &gt; T, 3435 C &gt; T and rs4148738 single nucleotide polymorphisms (SNP).\nCONCLUSIONS: Rivaroxaban patients admitted to the ED for bleeding events showed highly variable plasma concentrations. This analysis underlines the usefulness of rapid DOAC measurement and the value of PopPK models to estimate concentrations at trough in a context where the post-intake delay is unmanageable. Close patient follow-up, including renal function assessment and drug interactions review, is essential for bleeding risk minimization.","container-title":"Thrombosis Journal","DOI":"10.1186/s12959-018-0183-3","ISSN":"1477-9560","journalAbbreviation":"Thromb J","language":"eng","page":"28","PMID":"30455596","PMCID":"PMC6231259","source":"PubMed","title":"Rivaroxaban plasma levels in patients admitted for bleeding events: insights from a prospective study","title-short":"Rivaroxaban plasma levels in patients admitted for bleeding events","volume":"16","author":[{"family":"Sennesael","given":"Anne-Laure"},{"family":"Larock","given":"Anne-Sophie"},{"family":"Douxfils","given":"Jonathan"},{"family":"Elens","given":"Laure"},{"family":"Stillemans","given":"Gabriel"},{"family":"Wiesen","given":"Martin"},{"family":"Taubert","given":"Max"},{"family":"Dogné","given":"Jean-Michel"},{"family":"Spinewine","given":"Anne"},{"family":"Mullier","given":"François"}],"issued":{"date-parts":[["2018"]]}}}],"schema":"https://github.com/citation-style-language/schema/raw/master/csl-citation.json"} </w:instrText>
      </w:r>
      <w:r w:rsidR="00BD2D2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[157]</w:t>
      </w:r>
      <w:r w:rsidR="00BD2D20">
        <w:rPr>
          <w:rFonts w:ascii="Times New Roman" w:hAnsi="Times New Roman" w:cs="Times New Roman"/>
          <w:sz w:val="28"/>
          <w:szCs w:val="28"/>
          <w:lang w:bidi="ar-SA"/>
        </w:rPr>
        <w:fldChar w:fldCharType="end"/>
      </w:r>
      <w:r w:rsidR="00BD2D20" w:rsidRPr="00BD2D20">
        <w:rPr>
          <w:rFonts w:ascii="Times New Roman" w:hAnsi="Times New Roman" w:cs="Times New Roman"/>
          <w:sz w:val="28"/>
          <w:szCs w:val="28"/>
          <w:lang w:bidi="ar-SA"/>
        </w:rPr>
        <w:t xml:space="preserve">. На основании этих данных было предположено, что </w:t>
      </w:r>
      <w:r w:rsidR="00BD2D20">
        <w:rPr>
          <w:rFonts w:ascii="Times New Roman" w:hAnsi="Times New Roman" w:cs="Times New Roman"/>
          <w:sz w:val="28"/>
          <w:szCs w:val="28"/>
          <w:lang w:val="en-US" w:bidi="ar-SA"/>
        </w:rPr>
        <w:t>SNV</w:t>
      </w:r>
      <w:r w:rsidR="00BD2D20" w:rsidRPr="00BD2D20">
        <w:rPr>
          <w:rFonts w:ascii="Times New Roman" w:hAnsi="Times New Roman" w:cs="Times New Roman"/>
          <w:sz w:val="28"/>
          <w:szCs w:val="28"/>
          <w:lang w:bidi="ar-SA"/>
        </w:rPr>
        <w:t xml:space="preserve"> гена </w:t>
      </w:r>
      <w:r w:rsidR="00BD2D20">
        <w:rPr>
          <w:rFonts w:ascii="Times New Roman" w:hAnsi="Times New Roman" w:cs="Times New Roman"/>
          <w:sz w:val="28"/>
          <w:szCs w:val="28"/>
          <w:lang w:val="en-US" w:bidi="ar-SA"/>
        </w:rPr>
        <w:t>ABCB</w:t>
      </w:r>
      <w:r w:rsidR="00BD2D20" w:rsidRPr="00BD2D20">
        <w:rPr>
          <w:rFonts w:ascii="Times New Roman" w:hAnsi="Times New Roman" w:cs="Times New Roman"/>
          <w:sz w:val="28"/>
          <w:szCs w:val="28"/>
          <w:lang w:bidi="ar-SA"/>
        </w:rPr>
        <w:t>1 вряд ли внос</w:t>
      </w:r>
      <w:r w:rsidR="00BD2D20">
        <w:rPr>
          <w:rFonts w:ascii="Times New Roman" w:hAnsi="Times New Roman" w:cs="Times New Roman"/>
          <w:sz w:val="28"/>
          <w:szCs w:val="28"/>
          <w:lang w:bidi="ar-SA"/>
        </w:rPr>
        <w:t>я</w:t>
      </w:r>
      <w:r w:rsidR="00BD2D20" w:rsidRPr="00BD2D20">
        <w:rPr>
          <w:rFonts w:ascii="Times New Roman" w:hAnsi="Times New Roman" w:cs="Times New Roman"/>
          <w:sz w:val="28"/>
          <w:szCs w:val="28"/>
          <w:lang w:bidi="ar-SA"/>
        </w:rPr>
        <w:t xml:space="preserve">т существенный вклад в индивидуальную вариабельность плазменных концентраций </w:t>
      </w:r>
      <w:r w:rsidR="00BD2D20">
        <w:rPr>
          <w:rFonts w:ascii="Times New Roman" w:hAnsi="Times New Roman" w:cs="Times New Roman"/>
          <w:sz w:val="28"/>
          <w:szCs w:val="28"/>
          <w:lang w:bidi="ar-SA"/>
        </w:rPr>
        <w:t>ривароксабана</w:t>
      </w:r>
      <w:r w:rsidR="00BD2D2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{"citationID":"9gxoP5Vm","properties":{"unsorted":false,"formattedCitation":"[157]","plainCitation":"[157]","noteIndex":0},"citationItems":[{"id":113,"uris":["http://zotero.org/users/14784094/items/PBCAEQJD"],"itemData":{"id":113,"type":"article-journal","abstract":"BACKGROUND: Serious bleeding events have been frequently described in patients taking direct oral anticoagulants (DOAC). In secondary analyses of phase 3 trials, DOAC plasma concentrations were shown to correlate with bleeding outcomes. This study aimed to describe rivaroxaban plasma levels in patients admitted to the emergency department (ED) for bleeding events. For each patient, risk factors for experiencing bleeding events were also investigated.\nMETHODS: This analysis was part of an observational study conducted in the ED of two teaching hospitals. Plasma samples from 10 rivaroxaban-treated patients admitted for bleeding events were collected. Rivaroxaban plasma concentrations were determined by calibrated chromogenic anti-Xa assay. The measured rivaroxaban levels were then extrapolated at trough using a published population pharmacokinetic (PopPK) model, and compared to on-therapy ranges observed in large clinical trials. For each patient, clinical, medication and ABCB1 genotype data were collected.\nRESULTS: Rivaroxaban measurements varied from 5 to 358 ng/ml, with a post-intake delay ranging from 9 to 38 h. At trough, estimated plasma concentrations were between 12 and 251 ng/ml (median value 94 ng/ml). Four patients had higher-than-expected rivaroxaban levels. Inadequate dose regimen, excessive alcohol consumption and lack of treatment reassessment were observed in several patients. Half of patients were taking ≥1 drug with potential pharmacokinetics interactions (e.g. amiodarone, diltiazem), while half of patients were taking ≥1 drug increasing the risk of bleeding. All 3 patients with available genotyping data and higher-than-expected rivaroxaban levels were heterozygous or homozygous mutated for the ABCB1 1236C &gt; T, 2677G &gt; T, 3435 C &gt; T and rs4148738 single nucleotide polymorphisms (SNP).\nCONCLUSIONS: Rivaroxaban patients admitted to the ED for bleeding events showed highly variable plasma concentrations. This analysis underlines the usefulness of rapid DOAC measurement and the value of PopPK models to estimate concentrations at trough in a context where the post-intake delay is unmanageable. Close patient follow-up, including renal function assessment and drug interactions review, is essential for bleeding risk minimization.","container-title":"Thrombosis Journal","DOI":"10.1186/s12959-018-0183-3","ISSN":"1477-9560","journalAbbreviation":"Thromb J","language":"eng","page":"28","PMID":"30455596","PMCID":"PMC6231259","source":"PubMed","title":"Rivaroxaban plasma levels in patients admitted for bleeding events: insights from a prospective study","title-short":"Rivaroxaban plasma levels in patients admitted for bleeding events","volume":"16","author":[{"family":"Sennesael","given":"Anne-Laure"},{"family":"Larock","given":"Anne-Sophie"},{"family":"Douxfils","given":"Jonathan"},{"family":"Elens","given":"Laure"},{"family":"Stillemans","given":"Gabriel"},{"family":"Wiesen","given":"Martin"},{"family":"Taubert","given":"Max"},{"family":"Dogné","given":"Jean-Michel"},{"family":"Spinewine","given":"Anne"},{"family":"Mullier","given":"François"}],"issued":{"date-parts":[["2018"]]}}}],"schema":"https://github.com/citation-style-language/schema/raw/master/csl-citation.json"} </w:instrText>
      </w:r>
      <w:r w:rsidR="00BD2D2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[157]</w:t>
      </w:r>
      <w:r w:rsidR="00BD2D20">
        <w:rPr>
          <w:rFonts w:ascii="Times New Roman" w:hAnsi="Times New Roman" w:cs="Times New Roman"/>
          <w:sz w:val="28"/>
          <w:szCs w:val="28"/>
          <w:lang w:bidi="ar-SA"/>
        </w:rPr>
        <w:fldChar w:fldCharType="end"/>
      </w:r>
      <w:r w:rsidR="00BD2D20" w:rsidRPr="00BD2D20">
        <w:rPr>
          <w:rFonts w:ascii="Times New Roman" w:hAnsi="Times New Roman" w:cs="Times New Roman"/>
          <w:sz w:val="28"/>
          <w:szCs w:val="28"/>
          <w:lang w:bidi="ar-SA"/>
        </w:rPr>
        <w:t>. Было также установлено</w:t>
      </w:r>
      <w:r w:rsidR="00211D32" w:rsidRPr="00211D32">
        <w:rPr>
          <w:rFonts w:ascii="Times New Roman" w:hAnsi="Times New Roman" w:cs="Times New Roman"/>
          <w:sz w:val="28"/>
          <w:szCs w:val="28"/>
          <w:lang w:bidi="ar-SA"/>
        </w:rPr>
        <w:t>,</w:t>
      </w:r>
      <w:r w:rsidR="00BD2D20" w:rsidRPr="00BD2D20">
        <w:rPr>
          <w:rFonts w:ascii="Times New Roman" w:hAnsi="Times New Roman" w:cs="Times New Roman"/>
          <w:sz w:val="28"/>
          <w:szCs w:val="28"/>
          <w:lang w:bidi="ar-SA"/>
        </w:rPr>
        <w:t xml:space="preserve"> что такие ключевые параметры</w:t>
      </w:r>
      <w:r w:rsidR="00211D32">
        <w:rPr>
          <w:rFonts w:ascii="Times New Roman" w:hAnsi="Times New Roman" w:cs="Times New Roman"/>
          <w:sz w:val="28"/>
          <w:szCs w:val="28"/>
          <w:lang w:bidi="ar-SA"/>
        </w:rPr>
        <w:t>,</w:t>
      </w:r>
      <w:r w:rsidR="00BD2D20" w:rsidRPr="00BD2D20">
        <w:rPr>
          <w:rFonts w:ascii="Times New Roman" w:hAnsi="Times New Roman" w:cs="Times New Roman"/>
          <w:sz w:val="28"/>
          <w:szCs w:val="28"/>
          <w:lang w:bidi="ar-SA"/>
        </w:rPr>
        <w:t xml:space="preserve"> как максимальная (</w:t>
      </w:r>
      <w:r w:rsidR="00BD2D20">
        <w:rPr>
          <w:rFonts w:ascii="Times New Roman" w:hAnsi="Times New Roman" w:cs="Times New Roman"/>
          <w:sz w:val="28"/>
          <w:szCs w:val="28"/>
          <w:lang w:bidi="ar-SA"/>
        </w:rPr>
        <w:t>С</w:t>
      </w:r>
      <w:r w:rsidR="00BD2D20" w:rsidRPr="008A6989">
        <w:rPr>
          <w:rFonts w:ascii="Times New Roman" w:hAnsi="Times New Roman" w:cs="Times New Roman"/>
          <w:sz w:val="28"/>
          <w:szCs w:val="28"/>
          <w:vertAlign w:val="subscript"/>
          <w:lang w:val="en-US" w:bidi="ar-SA"/>
        </w:rPr>
        <w:t>max</w:t>
      </w:r>
      <w:r w:rsidR="00BD2D20" w:rsidRPr="00BD2D20">
        <w:rPr>
          <w:rFonts w:ascii="Times New Roman" w:hAnsi="Times New Roman" w:cs="Times New Roman"/>
          <w:sz w:val="28"/>
          <w:szCs w:val="28"/>
          <w:lang w:bidi="ar-SA"/>
        </w:rPr>
        <w:t>) и минимальн</w:t>
      </w:r>
      <w:r w:rsidR="00BD2D20">
        <w:rPr>
          <w:rFonts w:ascii="Times New Roman" w:hAnsi="Times New Roman" w:cs="Times New Roman"/>
          <w:sz w:val="28"/>
          <w:szCs w:val="28"/>
          <w:lang w:bidi="ar-SA"/>
        </w:rPr>
        <w:t>ая (</w:t>
      </w:r>
      <w:r w:rsidR="00BD2D20">
        <w:rPr>
          <w:rFonts w:ascii="Times New Roman" w:hAnsi="Times New Roman" w:cs="Times New Roman"/>
          <w:sz w:val="28"/>
          <w:szCs w:val="28"/>
          <w:lang w:val="en-US" w:bidi="ar-SA"/>
        </w:rPr>
        <w:t>C</w:t>
      </w:r>
      <w:r w:rsidR="00BD2D20" w:rsidRPr="008A6989">
        <w:rPr>
          <w:rFonts w:ascii="Times New Roman" w:hAnsi="Times New Roman" w:cs="Times New Roman"/>
          <w:sz w:val="28"/>
          <w:szCs w:val="28"/>
          <w:vertAlign w:val="subscript"/>
          <w:lang w:val="en-US" w:bidi="ar-SA"/>
        </w:rPr>
        <w:t>min</w:t>
      </w:r>
      <w:r w:rsidR="00BD2D20">
        <w:rPr>
          <w:rFonts w:ascii="Times New Roman" w:hAnsi="Times New Roman" w:cs="Times New Roman"/>
          <w:sz w:val="28"/>
          <w:szCs w:val="28"/>
          <w:lang w:bidi="ar-SA"/>
        </w:rPr>
        <w:t>)</w:t>
      </w:r>
      <w:r w:rsidR="00BD2D20" w:rsidRPr="00BD2D20">
        <w:rPr>
          <w:rFonts w:ascii="Times New Roman" w:hAnsi="Times New Roman" w:cs="Times New Roman"/>
          <w:sz w:val="28"/>
          <w:szCs w:val="28"/>
          <w:lang w:bidi="ar-SA"/>
        </w:rPr>
        <w:t xml:space="preserve"> концентрации </w:t>
      </w:r>
      <w:r w:rsidR="00BD2D20">
        <w:rPr>
          <w:rFonts w:ascii="Times New Roman" w:hAnsi="Times New Roman" w:cs="Times New Roman"/>
          <w:sz w:val="28"/>
          <w:szCs w:val="28"/>
          <w:lang w:bidi="ar-SA"/>
        </w:rPr>
        <w:t xml:space="preserve">ривароксабана, </w:t>
      </w:r>
      <w:r w:rsidR="00BD2D20" w:rsidRPr="00BD2D20">
        <w:rPr>
          <w:rFonts w:ascii="Times New Roman" w:hAnsi="Times New Roman" w:cs="Times New Roman"/>
          <w:sz w:val="28"/>
          <w:szCs w:val="28"/>
          <w:lang w:bidi="ar-SA"/>
        </w:rPr>
        <w:t>зависели от активности изофермента</w:t>
      </w:r>
      <w:r w:rsidR="00BD2D20">
        <w:rPr>
          <w:rFonts w:ascii="Times New Roman" w:hAnsi="Times New Roman" w:cs="Times New Roman"/>
          <w:sz w:val="28"/>
          <w:szCs w:val="28"/>
          <w:lang w:bidi="ar-SA"/>
        </w:rPr>
        <w:t xml:space="preserve"> </w:t>
      </w:r>
      <w:r w:rsidR="00BD2D20">
        <w:rPr>
          <w:rFonts w:ascii="Times New Roman" w:hAnsi="Times New Roman" w:cs="Times New Roman"/>
          <w:sz w:val="28"/>
          <w:szCs w:val="28"/>
          <w:lang w:val="en-US" w:bidi="ar-SA"/>
        </w:rPr>
        <w:t>CYP</w:t>
      </w:r>
      <w:r w:rsidR="00BD2D20" w:rsidRPr="00BD2D20">
        <w:rPr>
          <w:rFonts w:ascii="Times New Roman" w:hAnsi="Times New Roman" w:cs="Times New Roman"/>
          <w:sz w:val="28"/>
          <w:szCs w:val="28"/>
          <w:lang w:bidi="ar-SA"/>
        </w:rPr>
        <w:t>3</w:t>
      </w:r>
      <w:r w:rsidR="00BD2D20">
        <w:rPr>
          <w:rFonts w:ascii="Times New Roman" w:hAnsi="Times New Roman" w:cs="Times New Roman"/>
          <w:sz w:val="28"/>
          <w:szCs w:val="28"/>
          <w:lang w:val="en-US" w:bidi="ar-SA"/>
        </w:rPr>
        <w:t>A</w:t>
      </w:r>
      <w:r w:rsidR="00BD2D20" w:rsidRPr="00BD2D20">
        <w:rPr>
          <w:rFonts w:ascii="Times New Roman" w:hAnsi="Times New Roman" w:cs="Times New Roman"/>
          <w:sz w:val="28"/>
          <w:szCs w:val="28"/>
          <w:lang w:bidi="ar-SA"/>
        </w:rPr>
        <w:t>4</w:t>
      </w:r>
      <w:r w:rsidR="00211D3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5ZTeQ9Nb","properties":{"unsorted":false,"formattedCitation":"[161]","plainCitation":"[161]","noteIndex":0},"citationItems":[{"id":109,"uris":["http://zotero.org/users/14784094/items/4BHGDAIN"],"itemData":{"id":109,"type":"article-journal","abstract":"INTRODUCTION: ABCB1 gene polymorphisms are associated with rivaroxaban distribution changes and adverse reactions but the data are controversial.\nAIM: To evaluate the influence of ABCB1 (rs1045642 and rs4148738) gene polymorphisms on rivaroxaban pharmacokinetics in patients aged 80 years and older with nonvalvular atrial fibrillation (NAF).\nMETHODS: 128 patients aged 80 years and older (median [Me] age 87.5 [83.0-90.0] years) with NAF were included. We performed ABCB1 (rs1045642 and rs4148738) genotyping, measured the trough steady-state plasma concentration (Cmin,ss) of rivaroxaban and prothrombin time (PT) and analyzed prior medical records for clinically relevant non-major bleeding (CRNMB).\nRESULTS: CC genotype carriers had no differences in Cmin,ss (p &gt; 0.05) compared with the CT and TT rs1045642 and rs4148738 genotypes carriers. CC genotype carriers had no differences in PT (p &gt; 0.05) compared with the CT rs1045642 and rs4148738 and TT rs4148738 genotypes carriers. In the TT genotype PT levels were higher than in the CC rs1045642 genotype: Me 14.2 [13.0-16.1] sec vs 13.3 [12.4-14.5] sec (p = 0.049). Incidence of CRNMB was higher in patients with the TT genotype compared with the CC rs1045642 (29.3% vs 4.5%, p = 0.021) and rs4148738 (39.3% vs 8.1%, p = 0.008) and the CT genotype rs4148738 (39.3% vs 14.3%, p = 0.002).\nCONCLUSION: ABCB1 (rs1045642 and rs4148738) polymorphisms didn't influence rivaroxaban pharmacokinetics in patients aged 80 years and older with NAF. TT carriers developed CRNMB more frequently compared with the CC rs1045642 and the CC and CT rs4148738 genotypes. The haplotype TT-TT haplotype was associated with a higher frequency of CRNMB.","container-title":"High Blood Pressure &amp; Cardiovascular Prevention: The Official Journal of the Italian Society of Hypertension","DOI":"10.1007/s40292-022-00536-3","ISSN":"1179-1985","issue":"5","journalAbbreviation":"High Blood Press Cardiovasc Prev","language":"eng","page":"469-480","PMID":"35960493","source":"PubMed","title":"The Influence of ABCB1 (rs1045642 and rs4148738) Gene Polymorphisms on Rivaroxaban Pharmacokinetics in Patients Aged 80 Years and Older with Nonvalvular Atrial Fibrillation","volume":"29","author":[{"family":"Sychev","given":"Dmitry"},{"family":"Ostroumova","given":"Olga"},{"family":"Cherniaeva","given":"Marina"},{"family":"Shakhgildian","given":"Nataliia"},{"family":"Mirzaev","given":"Karin"},{"family":"Abdullaev","given":"Sherzod"},{"family":"Denisenko","given":"Natalia"},{"family":"Sozaeva","given":"Zhannet"},{"family":"Kachanova","given":"Anastasia"},{"family":"Gorbatenkova","given":"Svetlana"},{"family":"Shastina","given":"Vera"}],"issued":{"date-parts":[["2022",9]]}}}],"schema":"https://github.com/citation-style-language/schema/raw/master/csl-citation.json"} </w:instrText>
      </w:r>
      <w:r w:rsidR="00211D3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[161]</w:t>
      </w:r>
      <w:r w:rsidR="00211D32">
        <w:rPr>
          <w:rFonts w:ascii="Times New Roman" w:hAnsi="Times New Roman" w:cs="Times New Roman"/>
          <w:sz w:val="28"/>
          <w:szCs w:val="28"/>
          <w:lang w:bidi="ar-SA"/>
        </w:rPr>
        <w:fldChar w:fldCharType="end"/>
      </w:r>
      <w:r w:rsidR="00211D32" w:rsidRPr="00211D32">
        <w:rPr>
          <w:rFonts w:ascii="Times New Roman" w:hAnsi="Times New Roman" w:cs="Times New Roman"/>
          <w:sz w:val="28"/>
          <w:szCs w:val="28"/>
          <w:lang w:bidi="ar-SA"/>
        </w:rPr>
        <w:t>. Исследовани</w:t>
      </w:r>
      <w:r w:rsidR="00211D32">
        <w:rPr>
          <w:rFonts w:ascii="Times New Roman" w:hAnsi="Times New Roman" w:cs="Times New Roman"/>
          <w:sz w:val="28"/>
          <w:szCs w:val="28"/>
          <w:lang w:bidi="ar-SA"/>
        </w:rPr>
        <w:t>е</w:t>
      </w:r>
      <w:r w:rsidR="00211D32" w:rsidRPr="00211D32">
        <w:rPr>
          <w:rFonts w:ascii="Times New Roman" w:hAnsi="Times New Roman" w:cs="Times New Roman"/>
          <w:sz w:val="28"/>
          <w:szCs w:val="28"/>
          <w:lang w:bidi="ar-SA"/>
        </w:rPr>
        <w:t>, проведенные в 2019 году среди 155 пациентов монгольского происхождения, показал</w:t>
      </w:r>
      <w:r w:rsidR="00211D32">
        <w:rPr>
          <w:rFonts w:ascii="Times New Roman" w:hAnsi="Times New Roman" w:cs="Times New Roman"/>
          <w:sz w:val="28"/>
          <w:szCs w:val="28"/>
          <w:lang w:bidi="ar-SA"/>
        </w:rPr>
        <w:t>о</w:t>
      </w:r>
      <w:r w:rsidR="00211D32" w:rsidRPr="00211D32">
        <w:rPr>
          <w:rFonts w:ascii="Times New Roman" w:hAnsi="Times New Roman" w:cs="Times New Roman"/>
          <w:sz w:val="28"/>
          <w:szCs w:val="28"/>
          <w:lang w:bidi="ar-SA"/>
        </w:rPr>
        <w:t xml:space="preserve"> ассоциацию полиморфизма</w:t>
      </w:r>
      <w:r w:rsid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val="en-US" w:bidi="ar-SA"/>
        </w:rPr>
        <w:t>ABCB</w:t>
      </w:r>
      <w:r w:rsidR="00211D32" w:rsidRPr="00211D32">
        <w:rPr>
          <w:rFonts w:ascii="Times New Roman" w:hAnsi="Times New Roman" w:cs="Times New Roman"/>
          <w:sz w:val="28"/>
          <w:szCs w:val="28"/>
          <w:lang w:bidi="ar-SA"/>
        </w:rPr>
        <w:t xml:space="preserve">1 </w:t>
      </w:r>
      <w:r w:rsidR="00211D32">
        <w:rPr>
          <w:rFonts w:ascii="Times New Roman" w:hAnsi="Times New Roman" w:cs="Times New Roman"/>
          <w:sz w:val="28"/>
          <w:szCs w:val="28"/>
          <w:lang w:bidi="ar-SA"/>
        </w:rPr>
        <w:t>(</w:t>
      </w:r>
      <w:r w:rsidR="00211D32">
        <w:rPr>
          <w:rFonts w:ascii="Times New Roman" w:hAnsi="Times New Roman" w:cs="Times New Roman"/>
          <w:sz w:val="28"/>
          <w:szCs w:val="28"/>
          <w:lang w:val="en-US" w:bidi="ar-SA"/>
        </w:rPr>
        <w:t>rs</w:t>
      </w:r>
      <w:r w:rsidR="00211D32" w:rsidRPr="00211D32">
        <w:rPr>
          <w:rFonts w:ascii="Times New Roman" w:hAnsi="Times New Roman" w:cs="Times New Roman"/>
          <w:sz w:val="28"/>
          <w:szCs w:val="28"/>
          <w:lang w:bidi="ar-SA"/>
        </w:rPr>
        <w:t>1128503</w:t>
      </w:r>
      <w:r w:rsidR="00211D32">
        <w:rPr>
          <w:rFonts w:ascii="Times New Roman" w:hAnsi="Times New Roman" w:cs="Times New Roman"/>
          <w:sz w:val="28"/>
          <w:szCs w:val="28"/>
          <w:lang w:bidi="ar-SA"/>
        </w:rPr>
        <w:t>)</w:t>
      </w:r>
      <w:r w:rsidR="00211D32" w:rsidRPr="00211D32">
        <w:rPr>
          <w:rFonts w:ascii="Times New Roman" w:hAnsi="Times New Roman" w:cs="Times New Roman"/>
          <w:sz w:val="28"/>
          <w:szCs w:val="28"/>
          <w:lang w:bidi="ar-SA"/>
        </w:rPr>
        <w:t xml:space="preserve"> с повышением концентрации </w:t>
      </w:r>
      <w:r w:rsidR="00211D32">
        <w:rPr>
          <w:rFonts w:ascii="Times New Roman" w:hAnsi="Times New Roman" w:cs="Times New Roman"/>
          <w:sz w:val="28"/>
          <w:szCs w:val="28"/>
          <w:lang w:bidi="ar-SA"/>
        </w:rPr>
        <w:t>ривароксабана</w:t>
      </w:r>
      <w:r w:rsidR="00211D3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{"citationID":"SnD5ak0F","properties":{"unsorted":false,"formattedCitation":"[162]","plainCitation":"[162]","noteIndex":0},"citationItems":[{"id":255,"uris":["http://zotero.org/users/14784094/items/FFWWQW7C"],"itemData":{"id":255,"type":"article-journal","abstract":"Background and Objectives: Genetic data on the pharmacokinetics of rivaroxaban and identification of factors that affect its biotransformation, distribution, and excretion will allow for generation of algorithms for personalized use of this drug in patients with atrial fibrillation (AF). Here we tested the effects of ABCB1 (ATP-binding cassette subfamily B member 1) polymorphisms on the valley rivaroxaban blood concentration and on the frequency of hemorrhagic events in patients with AF and propose a personal anticoagulation therapy management protocol. Patients and Methods: This is a retrospective study. We enrolled Mongolian descent patients who met the criteria from May 2018 to August 2019 in Beijing and Fujian. Clinical data on gender, height, weight, liver and kidney functions, drug trough concentration, and drug dosage were collected; we recorded the bleeding events until 6 months after initiating the medication. ABCB1 single nucleotide polymorphisms including rs1128503, rs1045642, and rs4148738 were identified. After reaching the steady state of plasma concentration, the peripheral blood was collected to detect the trough rivaroxaban plasma concentrations before the next medication. Results: We included 155 patients in this study including 81 men and 74 women, with an average age of 71.98 ± 10.72 years. The distribution of ABCB1 genotypes conformed to the Hardy-Weinberg equilibrium. Multiple comparisons between wild (TT) and mutant (CT and CC) genotypes at the rs1045642 locus showed no significant differences of rivaroxaban trough concentrations (TT vs. CT, p = 0.586; TT vs. CC, p = 0.802; and CT vs. CC, p = 0.702). Multiple comparison between wild (TT) and mutant (CC) genotypes at the rs1128503 locus revealed a significant difference of rivaroxaban trough concentrations (TT vs. CC, p = 0.0421). But wild (TT) vs mutant (CT) genotypes and mutant CT vs mutant CC genotypes at the rs1128503 locus showed no significant differences of rivaroxaban trough concentrations (TT vs. CT, p = 0.0651; TT vs. CT, p = 0.6127). Multiple comparisons between wild (GG) and mutant (AG and AA) genotypes at the rs4148738 locus showed no significant differences of rivaroxaban trough concentrations (GG vs. AG, p = 0.341; GG vs. AA, p = 0.612; AG vs. AA, p = 0.649). There was no significant correlation between ABCB1 gene variation loci rs1045642, rs1128503, rs4148738 and bleeding events. Conclusion: rs1128503 locus variations are correlated with the serum concentration of rivaroxaban in patients of Mongolian descent. But no significant correlation between rs1128503 locus variations and bleeding events were obtained.","container-title":"Frontiers in Pharmacology","DOI":"10.3389/fphar.2021.639854","ISSN":"1663-9812","journalAbbreviation":"Front Pharmacol","language":"eng","page":"639854","PMID":"33935730","PMCID":"PMC8079976","source":"PubMed","title":"Influence of ABCB1 Gene Polymorphism on Rivaroxaban Blood Concentration and Hemorrhagic Events in Patients With Atrial Fibrillation","volume":"12","author":[{"family":"Wang","given":"Yan"},{"family":"Chen","given":"Min"},{"family":"Chen","given":"Hui"},{"family":"Wang","given":"Fang"}],"issued":{"date-parts":[["2021"]]}}}],"schema":"https://github.com/citation-style-language/schema/raw/master/csl-citation.json"} </w:instrText>
      </w:r>
      <w:r w:rsidR="00211D3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[162]</w:t>
      </w:r>
      <w:r w:rsidR="00211D32">
        <w:rPr>
          <w:rFonts w:ascii="Times New Roman" w:hAnsi="Times New Roman" w:cs="Times New Roman"/>
          <w:sz w:val="28"/>
          <w:szCs w:val="28"/>
          <w:lang w:bidi="ar-SA"/>
        </w:rPr>
        <w:fldChar w:fldCharType="end"/>
      </w:r>
      <w:r w:rsidR="00211D32">
        <w:rPr>
          <w:rFonts w:ascii="Times New Roman" w:hAnsi="Times New Roman" w:cs="Times New Roman"/>
          <w:sz w:val="28"/>
          <w:szCs w:val="28"/>
          <w:lang w:bidi="ar-SA"/>
        </w:rPr>
        <w:t>. Чжао и</w:t>
      </w:r>
      <w:r w:rsidR="00211D32" w:rsidRPr="00211D32">
        <w:rPr>
          <w:rFonts w:ascii="Times New Roman" w:hAnsi="Times New Roman" w:cs="Times New Roman"/>
          <w:sz w:val="28"/>
          <w:szCs w:val="28"/>
          <w:lang w:bidi="ar-SA"/>
        </w:rPr>
        <w:t xml:space="preserve"> его коллеги в недавно опубликованной работе провели систематическую оценку вклада различных из</w:t>
      </w:r>
      <w:r w:rsidR="00211D32">
        <w:rPr>
          <w:rFonts w:ascii="Times New Roman" w:hAnsi="Times New Roman" w:cs="Times New Roman"/>
          <w:sz w:val="28"/>
          <w:szCs w:val="28"/>
          <w:lang w:bidi="ar-SA"/>
        </w:rPr>
        <w:t>о</w:t>
      </w:r>
      <w:r w:rsidR="00211D32" w:rsidRPr="00211D32">
        <w:rPr>
          <w:rFonts w:ascii="Times New Roman" w:hAnsi="Times New Roman" w:cs="Times New Roman"/>
          <w:sz w:val="28"/>
          <w:szCs w:val="28"/>
          <w:lang w:bidi="ar-SA"/>
        </w:rPr>
        <w:t xml:space="preserve">форм цитохрома </w:t>
      </w:r>
      <w:r w:rsidR="00211D32">
        <w:rPr>
          <w:rFonts w:ascii="Times New Roman" w:hAnsi="Times New Roman" w:cs="Times New Roman"/>
          <w:sz w:val="28"/>
          <w:szCs w:val="28"/>
          <w:lang w:bidi="ar-SA"/>
        </w:rPr>
        <w:t>Р</w:t>
      </w:r>
      <w:r w:rsidR="00211D32" w:rsidRPr="00211D32">
        <w:rPr>
          <w:rFonts w:ascii="Times New Roman" w:hAnsi="Times New Roman" w:cs="Times New Roman"/>
          <w:sz w:val="28"/>
          <w:szCs w:val="28"/>
          <w:lang w:bidi="ar-SA"/>
        </w:rPr>
        <w:t xml:space="preserve">450 в метаболизм </w:t>
      </w:r>
      <w:r w:rsidR="00211D32">
        <w:rPr>
          <w:rFonts w:ascii="Times New Roman" w:hAnsi="Times New Roman" w:cs="Times New Roman"/>
          <w:sz w:val="28"/>
          <w:szCs w:val="28"/>
          <w:lang w:bidi="ar-SA"/>
        </w:rPr>
        <w:t>ривароксабана</w:t>
      </w:r>
      <w:r w:rsidR="00211D32" w:rsidRPr="00211D32">
        <w:rPr>
          <w:rFonts w:ascii="Times New Roman" w:hAnsi="Times New Roman" w:cs="Times New Roman"/>
          <w:sz w:val="28"/>
          <w:szCs w:val="28"/>
          <w:lang w:bidi="ar-SA"/>
        </w:rPr>
        <w:t xml:space="preserve"> и впервые продемонстрировали преобладающую роль</w:t>
      </w:r>
      <w:r w:rsid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val="en-US" w:bidi="ar-SA"/>
        </w:rPr>
        <w:t>CYP</w:t>
      </w:r>
      <w:r w:rsidR="00211D32" w:rsidRPr="00211D32">
        <w:rPr>
          <w:rFonts w:ascii="Times New Roman" w:hAnsi="Times New Roman" w:cs="Times New Roman"/>
          <w:sz w:val="28"/>
          <w:szCs w:val="28"/>
          <w:lang w:bidi="ar-SA"/>
        </w:rPr>
        <w:t>2</w:t>
      </w:r>
      <w:r w:rsidR="00211D32">
        <w:rPr>
          <w:rFonts w:ascii="Times New Roman" w:hAnsi="Times New Roman" w:cs="Times New Roman"/>
          <w:sz w:val="28"/>
          <w:szCs w:val="28"/>
          <w:lang w:val="en-US" w:bidi="ar-SA"/>
        </w:rPr>
        <w:t>J</w:t>
      </w:r>
      <w:r w:rsidR="00211D32" w:rsidRPr="00211D32">
        <w:rPr>
          <w:rFonts w:ascii="Times New Roman" w:hAnsi="Times New Roman" w:cs="Times New Roman"/>
          <w:sz w:val="28"/>
          <w:szCs w:val="28"/>
          <w:lang w:bidi="ar-SA"/>
        </w:rPr>
        <w:t>2, ответственного за 41.1%</w:t>
      </w:r>
      <w:r w:rsidR="00211D32">
        <w:rPr>
          <w:rFonts w:ascii="Times New Roman" w:hAnsi="Times New Roman" w:cs="Times New Roman"/>
          <w:sz w:val="28"/>
          <w:szCs w:val="28"/>
          <w:lang w:bidi="ar-SA"/>
        </w:rPr>
        <w:t xml:space="preserve"> </w:t>
      </w:r>
      <w:r w:rsidR="00211D32" w:rsidRPr="00211D32">
        <w:rPr>
          <w:rFonts w:ascii="Times New Roman" w:hAnsi="Times New Roman" w:cs="Times New Roman"/>
          <w:sz w:val="28"/>
          <w:szCs w:val="28"/>
          <w:lang w:bidi="ar-SA"/>
        </w:rPr>
        <w:t>метаболизма препарата</w:t>
      </w:r>
      <w:r w:rsidR="00211D3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{"citationID":"AnsFV4eT","properties":{"unsorted":false,"formattedCitation":"[163]","plainCitation":"[163]","noteIndex":0},"citationItems":[{"id":107,"uris":["http://zotero.org/users/14784094/items/YTLGWSPM"],"itemData":{"id":107,"type":"article-journal","abstract":"PURPOSE: Rivaroxaban, an oral anticoagulant, undergoes the metabolism mediated by human cytochrome P450 (CYP). The present study is to quantitatively analyze and compare the contributions of multiple CYPs in the metabolism of rivaroxaban to provide new information for medication safety.\nMETHODS: The metabolic stability of rivaroxaban in the presence of human liver microsomes (HLMs) and recombinant CYPs was systematically evaluated to estimate the participation of various CYP isoforms. Furthermore, the catalytic efficiency of CYP isoforms was compared via metabolic kinetic studies of rivaroxaban with recombinant CYP isoenzymes, as well as via CYP-specific inhibitory studies. Additionally, docking simulations were used to illustrate molecular interactions.\nRESULTS: Multiple CYP isoforms were involved in the hydroxylation of rivaroxaban, with decreasing catalytic rates as follows: CYP2J2 &gt; 3A4 &gt; 2D6 &gt; 4F3 &gt; 1A1 &gt; 3A5 &gt; 3A7 &gt; 2A6 &gt; 2E1 &gt; 2C9 &gt; 2C19. Among the CYPs, 2J2, 3A4, 2D6, and 4F3 were the four major isoforms responsible for rivaroxaban metabolism. Notably, the intrinsic clearance of rivaroxaban catalyzed by CYP2J2 was nearly 39-, 64-, and 100-fold that catalyzed by CYP3A4, 2D6, and 4F3, respectively. In addition, rivaroxaban hydroxylation was inhibited by 41.1% in the presence of the CYP2J2-specific inhibitor danazol, which was comparable to the inhibition rate of 43.3% by the CYP3A-specific inhibitor ketoconazole in mixed HLMs. Furthermore, molecular simulations showed that rivaroxaban is principally bound to CYP2J2 by π-alkyl bonds, carbon-hydrogen bonds, and alkyl interactions.\nCONCLUSION: CYP2J2 dominated the hydroxylation of rivaroxaban, which may provide new insight into clinical drug interactions involving rivaroxaban.","container-title":"Cardiovascular Drugs and Therapy","DOI":"10.1007/s10557-020-07129-z","ISSN":"1573-7241","issue":"1","journalAbbreviation":"Cardiovasc Drugs Ther","language":"eng","page":"121-129","PMID":"33411110","source":"PubMed","title":"Identifying the Dominant Contribution of Human Cytochrome P450 2J2 to the Metabolism of Rivaroxaban, an Oral Anticoagulant","volume":"36","author":[{"family":"Zhao","given":"Tingting"},{"family":"Chen","given":"Yanwei"},{"family":"Wang","given":"Dalong"},{"family":"Wang","given":"Liyan"},{"family":"Dong","given":"Peipei"},{"family":"Zhao","given":"Shan"},{"family":"Wang","given":"Changyuan"},{"family":"Meng","given":"Qiang"},{"family":"Sun","given":"Huijun"},{"family":"Liu","given":"Kexin"},{"family":"Wu","given":"Jingjing"}],"issued":{"date-parts":[["2022",2]]}}}],"schema":"https://github.com/citation-style-language/schema/raw/master/csl-citation.json"} </w:instrText>
      </w:r>
      <w:r w:rsidR="00211D3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[163]</w:t>
      </w:r>
      <w:r w:rsidR="00211D32">
        <w:rPr>
          <w:rFonts w:ascii="Times New Roman" w:hAnsi="Times New Roman" w:cs="Times New Roman"/>
          <w:sz w:val="28"/>
          <w:szCs w:val="28"/>
          <w:lang w:bidi="ar-SA"/>
        </w:rPr>
        <w:fldChar w:fldCharType="end"/>
      </w:r>
      <w:r w:rsidR="00211D32" w:rsidRP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bidi="ar-SA"/>
        </w:rPr>
        <w:t xml:space="preserve">Вклад </w:t>
      </w:r>
      <w:r w:rsidR="00211D32">
        <w:rPr>
          <w:rFonts w:ascii="Times New Roman" w:hAnsi="Times New Roman" w:cs="Times New Roman"/>
          <w:sz w:val="28"/>
          <w:szCs w:val="28"/>
          <w:lang w:val="en-US" w:bidi="ar-SA"/>
        </w:rPr>
        <w:t>CYP</w:t>
      </w:r>
      <w:r w:rsidR="00211D32" w:rsidRPr="00211D32">
        <w:rPr>
          <w:rFonts w:ascii="Times New Roman" w:hAnsi="Times New Roman" w:cs="Times New Roman"/>
          <w:sz w:val="28"/>
          <w:szCs w:val="28"/>
          <w:lang w:bidi="ar-SA"/>
        </w:rPr>
        <w:t>3</w:t>
      </w:r>
      <w:r w:rsidR="00211D32">
        <w:rPr>
          <w:rFonts w:ascii="Times New Roman" w:hAnsi="Times New Roman" w:cs="Times New Roman"/>
          <w:sz w:val="28"/>
          <w:szCs w:val="28"/>
          <w:lang w:val="en-US" w:bidi="ar-SA"/>
        </w:rPr>
        <w:t>A</w:t>
      </w:r>
      <w:r w:rsidR="00211D32" w:rsidRPr="00211D32">
        <w:rPr>
          <w:rFonts w:ascii="Times New Roman" w:hAnsi="Times New Roman" w:cs="Times New Roman"/>
          <w:sz w:val="28"/>
          <w:szCs w:val="28"/>
          <w:lang w:bidi="ar-SA"/>
        </w:rPr>
        <w:t xml:space="preserve">4 </w:t>
      </w:r>
      <w:r>
        <w:rPr>
          <w:rFonts w:ascii="Times New Roman" w:hAnsi="Times New Roman" w:cs="Times New Roman"/>
          <w:sz w:val="28"/>
          <w:szCs w:val="28"/>
          <w:lang w:bidi="ar-SA"/>
        </w:rPr>
        <w:t>в</w:t>
      </w:r>
      <w:r w:rsidR="00211D32" w:rsidRPr="00211D32">
        <w:rPr>
          <w:rFonts w:ascii="Times New Roman" w:hAnsi="Times New Roman" w:cs="Times New Roman"/>
          <w:sz w:val="28"/>
          <w:szCs w:val="28"/>
          <w:lang w:bidi="ar-SA"/>
        </w:rPr>
        <w:t xml:space="preserve"> этом исследовании оказался значительно ниже и составил 27.3%</w:t>
      </w:r>
      <w:r w:rsidR="00211D32">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{"citationID":"gg2hKO63","properties":{"unsorted":false,"formattedCitation":"[163]","plainCitation":"[163]","noteIndex":0},"citationItems":[{"id":107,"uris":["http://zotero.org/users/14784094/items/YTLGWSPM"],"itemData":{"id":107,"type":"article-journal","abstract":"PURPOSE: Rivaroxaban, an oral anticoagulant, undergoes the metabolism mediated by human cytochrome P450 (CYP). The present study is to quantitatively analyze and compare the contributions of multiple CYPs in the metabolism of rivaroxaban to provide new information for medication safety.\nMETHODS: The metabolic stability of rivaroxaban in the presence of human liver microsomes (HLMs) and recombinant CYPs was systematically evaluated to estimate the participation of various CYP isoforms. Furthermore, the catalytic efficiency of CYP isoforms was compared via metabolic kinetic studies of rivaroxaban with recombinant CYP isoenzymes, as well as via CYP-specific inhibitory studies. Additionally, docking simulations were used to illustrate molecular interactions.\nRESULTS: Multiple CYP isoforms were involved in the hydroxylation of rivaroxaban, with decreasing catalytic rates as follows: CYP2J2 &gt; 3A4 &gt; 2D6 &gt; 4F3 &gt; 1A1 &gt; 3A5 &gt; 3A7 &gt; 2A6 &gt; 2E1 &gt; 2C9 &gt; 2C19. Among the CYPs, 2J2, 3A4, 2D6, and 4F3 were the four major isoforms responsible for rivaroxaban metabolism. Notably, the intrinsic clearance of rivaroxaban catalyzed by CYP2J2 was nearly 39-, 64-, and 100-fold that catalyzed by CYP3A4, 2D6, and 4F3, respectively. In addition, rivaroxaban hydroxylation was inhibited by 41.1% in the presence of the CYP2J2-specific inhibitor danazol, which was comparable to the inhibition rate of 43.3% by the CYP3A-specific inhibitor ketoconazole in mixed HLMs. Furthermore, molecular simulations showed that rivaroxaban is principally bound to CYP2J2 by π-alkyl bonds, carbon-hydrogen bonds, and alkyl interactions.\nCONCLUSION: CYP2J2 dominated the hydroxylation of rivaroxaban, which may provide new insight into clinical drug interactions involving rivaroxaban.","container-title":"Cardiovascular Drugs and Therapy","DOI":"10.1007/s10557-020-07129-z","ISSN":"1573-7241","issue":"1","journalAbbreviation":"Cardiovasc Drugs Ther","language":"eng","page":"121-129","PMID":"33411110","source":"PubMed","title":"Identifying the Dominant Contribution of Human Cytochrome P450 2J2 to the Metabolism of Rivaroxaban, an Oral Anticoagulant","volume":"36","author":[{"family":"Zhao","given":"Tingting"},{"family":"Chen","given":"Yanwei"},{"family":"Wang","given":"Dalong"},{"family":"Wang","given":"Liyan"},{"family":"Dong","given":"Peipei"},{"family":"Zhao","given":"Shan"},{"family":"Wang","given":"Changyuan"},{"family":"Meng","given":"Qiang"},{"family":"Sun","given":"Huijun"},{"family":"Liu","given":"Kexin"},{"family":"Wu","given":"Jingjing"}],"issued":{"date-parts":[["2022",2]]}}}],"schema":"https://github.com/citation-style-language/schema/raw/master/csl-citation.json"} </w:instrText>
      </w:r>
      <w:r w:rsidR="00211D32">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[163]</w:t>
      </w:r>
      <w:r w:rsidR="00211D32">
        <w:rPr>
          <w:rFonts w:ascii="Times New Roman" w:hAnsi="Times New Roman" w:cs="Times New Roman"/>
          <w:sz w:val="28"/>
          <w:szCs w:val="28"/>
          <w:lang w:bidi="ar-SA"/>
        </w:rPr>
        <w:fldChar w:fldCharType="end"/>
      </w:r>
      <w:r w:rsidR="00211D32" w:rsidRP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bidi="ar-SA"/>
        </w:rPr>
        <w:t>Накагава и др. и</w:t>
      </w:r>
      <w:r w:rsidR="00211D32" w:rsidRPr="00211D32">
        <w:rPr>
          <w:rFonts w:ascii="Times New Roman" w:hAnsi="Times New Roman" w:cs="Times New Roman"/>
          <w:sz w:val="28"/>
          <w:szCs w:val="28"/>
          <w:lang w:bidi="ar-SA"/>
        </w:rPr>
        <w:t>зучали влияние одн</w:t>
      </w:r>
      <w:r w:rsidR="00211D32">
        <w:rPr>
          <w:rFonts w:ascii="Times New Roman" w:hAnsi="Times New Roman" w:cs="Times New Roman"/>
          <w:sz w:val="28"/>
          <w:szCs w:val="28"/>
          <w:lang w:bidi="ar-SA"/>
        </w:rPr>
        <w:t>о</w:t>
      </w:r>
      <w:r w:rsidR="00211D32" w:rsidRPr="00211D32">
        <w:rPr>
          <w:rFonts w:ascii="Times New Roman" w:hAnsi="Times New Roman" w:cs="Times New Roman"/>
          <w:sz w:val="28"/>
          <w:szCs w:val="28"/>
          <w:lang w:bidi="ar-SA"/>
        </w:rPr>
        <w:t xml:space="preserve">нуклеотидных полиморфизмов </w:t>
      </w:r>
      <w:r w:rsidR="00211D32">
        <w:rPr>
          <w:rFonts w:ascii="Times New Roman" w:hAnsi="Times New Roman" w:cs="Times New Roman"/>
          <w:sz w:val="28"/>
          <w:szCs w:val="28"/>
          <w:lang w:val="en-US" w:bidi="ar-SA"/>
        </w:rPr>
        <w:t>CYP</w:t>
      </w:r>
      <w:r w:rsidR="00211D32" w:rsidRPr="00211D32">
        <w:rPr>
          <w:rFonts w:ascii="Times New Roman" w:hAnsi="Times New Roman" w:cs="Times New Roman"/>
          <w:sz w:val="28"/>
          <w:szCs w:val="28"/>
          <w:lang w:bidi="ar-SA"/>
        </w:rPr>
        <w:t>3</w:t>
      </w:r>
      <w:r w:rsidR="00211D32">
        <w:rPr>
          <w:rFonts w:ascii="Times New Roman" w:hAnsi="Times New Roman" w:cs="Times New Roman"/>
          <w:sz w:val="28"/>
          <w:szCs w:val="28"/>
          <w:lang w:val="en-US" w:bidi="ar-SA"/>
        </w:rPr>
        <w:t>A</w:t>
      </w:r>
      <w:r w:rsidR="00211D32" w:rsidRPr="00211D32">
        <w:rPr>
          <w:rFonts w:ascii="Times New Roman" w:hAnsi="Times New Roman" w:cs="Times New Roman"/>
          <w:sz w:val="28"/>
          <w:szCs w:val="28"/>
          <w:lang w:bidi="ar-SA"/>
        </w:rPr>
        <w:t>53 (</w:t>
      </w:r>
      <w:r w:rsidR="00211D32">
        <w:rPr>
          <w:rFonts w:ascii="Times New Roman" w:hAnsi="Times New Roman" w:cs="Times New Roman"/>
          <w:sz w:val="28"/>
          <w:szCs w:val="28"/>
          <w:lang w:val="en-US" w:bidi="ar-SA"/>
        </w:rPr>
        <w:t>rs</w:t>
      </w:r>
      <w:r w:rsidR="00211D32" w:rsidRPr="00211D32">
        <w:rPr>
          <w:rFonts w:ascii="Times New Roman" w:hAnsi="Times New Roman" w:cs="Times New Roman"/>
          <w:sz w:val="28"/>
          <w:szCs w:val="28"/>
          <w:lang w:bidi="ar-SA"/>
        </w:rPr>
        <w:t xml:space="preserve">776746), </w:t>
      </w:r>
      <w:r w:rsidR="00211D32">
        <w:rPr>
          <w:rFonts w:ascii="Times New Roman" w:hAnsi="Times New Roman" w:cs="Times New Roman"/>
          <w:sz w:val="28"/>
          <w:szCs w:val="28"/>
          <w:lang w:val="en-US" w:bidi="ar-SA"/>
        </w:rPr>
        <w:t>ABCB</w:t>
      </w:r>
      <w:r w:rsidR="00211D32" w:rsidRPr="00211D32">
        <w:rPr>
          <w:rFonts w:ascii="Times New Roman" w:hAnsi="Times New Roman" w:cs="Times New Roman"/>
          <w:sz w:val="28"/>
          <w:szCs w:val="28"/>
          <w:lang w:bidi="ar-SA"/>
        </w:rPr>
        <w:t xml:space="preserve">1 </w:t>
      </w:r>
      <w:r w:rsidR="00211D32">
        <w:rPr>
          <w:rFonts w:ascii="Times New Roman" w:hAnsi="Times New Roman" w:cs="Times New Roman"/>
          <w:sz w:val="28"/>
          <w:szCs w:val="28"/>
          <w:lang w:val="en-US" w:bidi="ar-SA"/>
        </w:rPr>
        <w:t>c</w:t>
      </w:r>
      <w:r w:rsidR="00211D32" w:rsidRPr="00211D32">
        <w:rPr>
          <w:rFonts w:ascii="Times New Roman" w:hAnsi="Times New Roman" w:cs="Times New Roman"/>
          <w:sz w:val="28"/>
          <w:szCs w:val="28"/>
          <w:lang w:bidi="ar-SA"/>
        </w:rPr>
        <w:t>.3435</w:t>
      </w:r>
      <w:r w:rsidR="00211D32">
        <w:rPr>
          <w:rFonts w:ascii="Times New Roman" w:hAnsi="Times New Roman" w:cs="Times New Roman"/>
          <w:sz w:val="28"/>
          <w:szCs w:val="28"/>
          <w:lang w:val="en-US" w:bidi="ar-SA"/>
        </w:rPr>
        <w:t>C</w:t>
      </w:r>
      <w:r w:rsidR="00211D32" w:rsidRPr="00211D32">
        <w:rPr>
          <w:rFonts w:ascii="Times New Roman" w:hAnsi="Times New Roman" w:cs="Times New Roman"/>
          <w:sz w:val="28"/>
          <w:szCs w:val="28"/>
          <w:lang w:bidi="ar-SA"/>
        </w:rPr>
        <w:t>&gt;</w:t>
      </w:r>
      <w:r w:rsidR="00211D32">
        <w:rPr>
          <w:rFonts w:ascii="Times New Roman" w:hAnsi="Times New Roman" w:cs="Times New Roman"/>
          <w:sz w:val="28"/>
          <w:szCs w:val="28"/>
          <w:lang w:val="en-US" w:bidi="ar-SA"/>
        </w:rPr>
        <w:t>T</w:t>
      </w:r>
      <w:r w:rsidR="00211D32" w:rsidRP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val="en-US" w:bidi="ar-SA"/>
        </w:rPr>
        <w:t>c</w:t>
      </w:r>
      <w:r w:rsidR="00211D32" w:rsidRPr="00211D32">
        <w:rPr>
          <w:rFonts w:ascii="Times New Roman" w:hAnsi="Times New Roman" w:cs="Times New Roman"/>
          <w:sz w:val="28"/>
          <w:szCs w:val="28"/>
          <w:lang w:bidi="ar-SA"/>
        </w:rPr>
        <w:t>.2677</w:t>
      </w:r>
      <w:r w:rsidR="00211D32">
        <w:rPr>
          <w:rFonts w:ascii="Times New Roman" w:hAnsi="Times New Roman" w:cs="Times New Roman"/>
          <w:sz w:val="28"/>
          <w:szCs w:val="28"/>
          <w:lang w:val="en-US" w:bidi="ar-SA"/>
        </w:rPr>
        <w:t>G</w:t>
      </w:r>
      <w:r w:rsidR="00211D32" w:rsidRPr="00211D32">
        <w:rPr>
          <w:rFonts w:ascii="Times New Roman" w:hAnsi="Times New Roman" w:cs="Times New Roman"/>
          <w:sz w:val="28"/>
          <w:szCs w:val="28"/>
          <w:lang w:bidi="ar-SA"/>
        </w:rPr>
        <w:t>&gt;</w:t>
      </w:r>
      <w:r w:rsidR="00211D32">
        <w:rPr>
          <w:rFonts w:ascii="Times New Roman" w:hAnsi="Times New Roman" w:cs="Times New Roman"/>
          <w:sz w:val="28"/>
          <w:szCs w:val="28"/>
          <w:lang w:val="en-US" w:bidi="ar-SA"/>
        </w:rPr>
        <w:t>A</w:t>
      </w:r>
      <w:r w:rsidR="00211D32" w:rsidRPr="00211D32">
        <w:rPr>
          <w:rFonts w:ascii="Times New Roman" w:hAnsi="Times New Roman" w:cs="Times New Roman"/>
          <w:sz w:val="28"/>
          <w:szCs w:val="28"/>
          <w:lang w:bidi="ar-SA"/>
        </w:rPr>
        <w:t>/</w:t>
      </w:r>
      <w:r w:rsidR="00211D32">
        <w:rPr>
          <w:rFonts w:ascii="Times New Roman" w:hAnsi="Times New Roman" w:cs="Times New Roman"/>
          <w:sz w:val="28"/>
          <w:szCs w:val="28"/>
          <w:lang w:val="en-US" w:bidi="ar-SA"/>
        </w:rPr>
        <w:t>T</w:t>
      </w:r>
      <w:r w:rsidR="00211D32" w:rsidRP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val="en-US" w:bidi="ar-SA"/>
        </w:rPr>
        <w:t>c</w:t>
      </w:r>
      <w:r w:rsidR="00211D32" w:rsidRPr="00211D32">
        <w:rPr>
          <w:rFonts w:ascii="Times New Roman" w:hAnsi="Times New Roman" w:cs="Times New Roman"/>
          <w:sz w:val="28"/>
          <w:szCs w:val="28"/>
          <w:lang w:bidi="ar-SA"/>
        </w:rPr>
        <w:t>.1236</w:t>
      </w:r>
      <w:r w:rsidR="00211D32">
        <w:rPr>
          <w:rFonts w:ascii="Times New Roman" w:hAnsi="Times New Roman" w:cs="Times New Roman"/>
          <w:sz w:val="28"/>
          <w:szCs w:val="28"/>
          <w:lang w:val="en-US" w:bidi="ar-SA"/>
        </w:rPr>
        <w:t>C</w:t>
      </w:r>
      <w:r w:rsidR="00211D32" w:rsidRPr="00211D32">
        <w:rPr>
          <w:rFonts w:ascii="Times New Roman" w:hAnsi="Times New Roman" w:cs="Times New Roman"/>
          <w:sz w:val="28"/>
          <w:szCs w:val="28"/>
          <w:lang w:bidi="ar-SA"/>
        </w:rPr>
        <w:t>&gt;</w:t>
      </w:r>
      <w:r w:rsidR="00211D32">
        <w:rPr>
          <w:rFonts w:ascii="Times New Roman" w:hAnsi="Times New Roman" w:cs="Times New Roman"/>
          <w:sz w:val="28"/>
          <w:szCs w:val="28"/>
          <w:lang w:val="en-US" w:bidi="ar-SA"/>
        </w:rPr>
        <w:t>T</w:t>
      </w:r>
      <w:r w:rsidR="00211D32" w:rsidRP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val="en-US" w:bidi="ar-SA"/>
        </w:rPr>
        <w:t>ABCG</w:t>
      </w:r>
      <w:r w:rsidR="00211D32" w:rsidRPr="00211D32">
        <w:rPr>
          <w:rFonts w:ascii="Times New Roman" w:hAnsi="Times New Roman" w:cs="Times New Roman"/>
          <w:sz w:val="28"/>
          <w:szCs w:val="28"/>
          <w:lang w:bidi="ar-SA"/>
        </w:rPr>
        <w:t xml:space="preserve">2 </w:t>
      </w:r>
      <w:r w:rsidR="00211D32">
        <w:rPr>
          <w:rFonts w:ascii="Times New Roman" w:hAnsi="Times New Roman" w:cs="Times New Roman"/>
          <w:sz w:val="28"/>
          <w:szCs w:val="28"/>
          <w:lang w:val="en-US" w:bidi="ar-SA"/>
        </w:rPr>
        <w:t>c</w:t>
      </w:r>
      <w:r w:rsidR="00211D32" w:rsidRPr="00211D32">
        <w:rPr>
          <w:rFonts w:ascii="Times New Roman" w:hAnsi="Times New Roman" w:cs="Times New Roman"/>
          <w:sz w:val="28"/>
          <w:szCs w:val="28"/>
          <w:lang w:bidi="ar-SA"/>
        </w:rPr>
        <w:t>.421</w:t>
      </w:r>
      <w:r w:rsidR="00211D32">
        <w:rPr>
          <w:rFonts w:ascii="Times New Roman" w:hAnsi="Times New Roman" w:cs="Times New Roman"/>
          <w:sz w:val="28"/>
          <w:szCs w:val="28"/>
          <w:lang w:val="en-US" w:bidi="ar-SA"/>
        </w:rPr>
        <w:t>C</w:t>
      </w:r>
      <w:r w:rsidR="00211D32" w:rsidRPr="00211D32">
        <w:rPr>
          <w:rFonts w:ascii="Times New Roman" w:hAnsi="Times New Roman" w:cs="Times New Roman"/>
          <w:sz w:val="28"/>
          <w:szCs w:val="28"/>
          <w:lang w:bidi="ar-SA"/>
        </w:rPr>
        <w:t>&gt;</w:t>
      </w:r>
      <w:r w:rsidR="00211D32">
        <w:rPr>
          <w:rFonts w:ascii="Times New Roman" w:hAnsi="Times New Roman" w:cs="Times New Roman"/>
          <w:sz w:val="28"/>
          <w:szCs w:val="28"/>
          <w:lang w:val="en-US" w:bidi="ar-SA"/>
        </w:rPr>
        <w:t>A</w:t>
      </w:r>
      <w:r w:rsidR="00211D32" w:rsidRPr="00211D32">
        <w:rPr>
          <w:rFonts w:ascii="Times New Roman" w:hAnsi="Times New Roman" w:cs="Times New Roman"/>
          <w:sz w:val="28"/>
          <w:szCs w:val="28"/>
          <w:lang w:bidi="ar-SA"/>
        </w:rPr>
        <w:t xml:space="preserve"> </w:t>
      </w:r>
      <w:r w:rsidR="00211D32">
        <w:rPr>
          <w:rFonts w:ascii="Times New Roman" w:hAnsi="Times New Roman" w:cs="Times New Roman"/>
          <w:sz w:val="28"/>
          <w:szCs w:val="28"/>
          <w:lang w:bidi="ar-SA"/>
        </w:rPr>
        <w:t xml:space="preserve">и </w:t>
      </w:r>
      <w:r w:rsidR="00211D32">
        <w:rPr>
          <w:rFonts w:ascii="Times New Roman" w:hAnsi="Times New Roman" w:cs="Times New Roman"/>
          <w:sz w:val="28"/>
          <w:szCs w:val="28"/>
          <w:lang w:val="en-US" w:bidi="ar-SA"/>
        </w:rPr>
        <w:t>CYP</w:t>
      </w:r>
      <w:r w:rsidR="00211D32" w:rsidRPr="00211D32">
        <w:rPr>
          <w:rFonts w:ascii="Times New Roman" w:hAnsi="Times New Roman" w:cs="Times New Roman"/>
          <w:sz w:val="28"/>
          <w:szCs w:val="28"/>
          <w:lang w:bidi="ar-SA"/>
        </w:rPr>
        <w:t>2</w:t>
      </w:r>
      <w:r w:rsidR="00211D32">
        <w:rPr>
          <w:rFonts w:ascii="Times New Roman" w:hAnsi="Times New Roman" w:cs="Times New Roman"/>
          <w:sz w:val="28"/>
          <w:szCs w:val="28"/>
          <w:lang w:val="en-US" w:bidi="ar-SA"/>
        </w:rPr>
        <w:t>J</w:t>
      </w:r>
      <w:r w:rsidR="00211D32" w:rsidRPr="00211D32">
        <w:rPr>
          <w:rFonts w:ascii="Times New Roman" w:hAnsi="Times New Roman" w:cs="Times New Roman"/>
          <w:sz w:val="28"/>
          <w:szCs w:val="28"/>
          <w:lang w:bidi="ar-SA"/>
        </w:rPr>
        <w:t>27 на концентрации р</w:t>
      </w:r>
      <w:r w:rsidR="00211D32">
        <w:rPr>
          <w:rFonts w:ascii="Times New Roman" w:hAnsi="Times New Roman" w:cs="Times New Roman"/>
          <w:sz w:val="28"/>
          <w:szCs w:val="28"/>
          <w:lang w:bidi="ar-SA"/>
        </w:rPr>
        <w:t>ива</w:t>
      </w:r>
      <w:r w:rsidR="00211D32" w:rsidRPr="00211D32">
        <w:rPr>
          <w:rFonts w:ascii="Times New Roman" w:hAnsi="Times New Roman" w:cs="Times New Roman"/>
          <w:sz w:val="28"/>
          <w:szCs w:val="28"/>
          <w:lang w:bidi="ar-SA"/>
        </w:rPr>
        <w:t>рокса</w:t>
      </w:r>
      <w:r w:rsidR="00211D32">
        <w:rPr>
          <w:rFonts w:ascii="Times New Roman" w:hAnsi="Times New Roman" w:cs="Times New Roman"/>
          <w:sz w:val="28"/>
          <w:szCs w:val="28"/>
          <w:lang w:bidi="ar-SA"/>
        </w:rPr>
        <w:t>ба</w:t>
      </w:r>
      <w:r w:rsidR="00211D32" w:rsidRPr="00211D32">
        <w:rPr>
          <w:rFonts w:ascii="Times New Roman" w:hAnsi="Times New Roman" w:cs="Times New Roman"/>
          <w:sz w:val="28"/>
          <w:szCs w:val="28"/>
          <w:lang w:bidi="ar-SA"/>
        </w:rPr>
        <w:t xml:space="preserve">на в плазме у японских пациентов </w:t>
      </w:r>
      <w:r w:rsidR="00057E70">
        <w:rPr>
          <w:rFonts w:ascii="Times New Roman" w:hAnsi="Times New Roman" w:cs="Times New Roman"/>
          <w:sz w:val="28"/>
          <w:szCs w:val="28"/>
          <w:lang w:bidi="ar-SA"/>
        </w:rPr>
        <w:t>с неклапанной</w:t>
      </w:r>
      <w:r w:rsidR="00211D32" w:rsidRPr="00211D32">
        <w:rPr>
          <w:rFonts w:ascii="Times New Roman" w:hAnsi="Times New Roman" w:cs="Times New Roman"/>
          <w:sz w:val="28"/>
          <w:szCs w:val="28"/>
          <w:lang w:bidi="ar-SA"/>
        </w:rPr>
        <w:t xml:space="preserve"> фибрилляцией предсердий</w:t>
      </w:r>
      <w:r w:rsidR="00057E7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{"citationID":"gLsqpHaW","properties":{"unsorted":false,"formattedCitation":"[164]","plainCitation":"[164]","noteIndex":0},"citationItems":[{"id":106,"uris":["http://zotero.org/users/14784094/items/V5A2DIWL"],"itemData":{"id":106,"type":"article-journal","abstract":"Rivaroxaban is excreted from the body via multiple pathways involving glomerular filtration, drug-metabolizing enzymes and transporters. In this study, we aimed to examine the impact of single nucleotide polymorphisms in P-glycoprotein, breast cancer resistance protein, cytochrome P450 (CYP) 3A5 and CYP2J2 on the pharmacokinetics of rivaroxaban. Eighty-six patients with non-valvular atrial fibrillation (NVAF) undergoing AF catheter ablation were enrolled in this study. In these analyses, the dose-adjusted plasma trough concentration ratio (C0h /D) of rivaroxaban was used as the pharmacokinetic index. The median (quartile range) rivaroxaban C0h /D was 3.39 (2.08-5.21) ng/mL/mg (coefficient of variation: 80.5%). The C0h /D did not differ significantly among ABCB1 c.3435C&gt;T, c.2677G&gt;A/T, c.1236C&gt;T, ABCG2 c.421C&gt;A, CYP3A5*3 and CYP2J2*7 genotypes. Stepwise selection multiple linear regression analysis showed that the estimated glomerular filtration rate was the only independent factor influencing the C0h /D of rivaroxaban (R2  = 0.152, P &lt; 0.001). There was a significant correlation between the C0h of rivaroxaban and prothrombin time (PT) (rho = 0.357, P = 0.001). In patients with NVAF, pharmacokinetic genotype tests are unlikely to be useful for prediction of the C0h of rivaroxaban.","container-title":"Basic &amp; Clinical Pharmacology &amp; Toxicology","DOI":"10.1111/bcpt.13488","ISSN":"1742-7843","issue":"2","journalAbbreviation":"Basic Clin Pharmacol Toxicol","language":"eng","page":"297-304","PMID":"32920985","source":"PubMed","title":"Impact of gene polymorphisms in drug-metabolizing enzymes and transporters on trough concentrations of rivaroxaban in patients with atrial fibrillation","volume":"128","author":[{"family":"Nakagawa","given":"Junichi"},{"family":"Kinjo","given":"Takahiko"},{"family":"Iizuka","given":"Mei"},{"family":"Ueno","given":"Kayo"},{"family":"Tomita","given":"Hirofumi"},{"family":"Niioka","given":"Takenori"}],"issued":{"date-parts":[["2021",2]]}}}],"schema":"https://github.com/citation-style-language/schema/raw/master/csl-citation.json"} </w:instrText>
      </w:r>
      <w:r w:rsidR="00057E7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[164]</w:t>
      </w:r>
      <w:r w:rsidR="00057E70">
        <w:rPr>
          <w:rFonts w:ascii="Times New Roman" w:hAnsi="Times New Roman" w:cs="Times New Roman"/>
          <w:sz w:val="28"/>
          <w:szCs w:val="28"/>
          <w:lang w:bidi="ar-SA"/>
        </w:rPr>
        <w:fldChar w:fldCharType="end"/>
      </w:r>
      <w:r w:rsidR="00057E70" w:rsidRPr="00057E70">
        <w:rPr>
          <w:rFonts w:ascii="Times New Roman" w:hAnsi="Times New Roman" w:cs="Times New Roman"/>
          <w:sz w:val="28"/>
          <w:szCs w:val="28"/>
          <w:lang w:bidi="ar-SA"/>
        </w:rPr>
        <w:t xml:space="preserve">. Результаты этого исследования не выявили влияния генотипов </w:t>
      </w:r>
      <w:r w:rsidR="00057E70">
        <w:rPr>
          <w:rFonts w:ascii="Times New Roman" w:hAnsi="Times New Roman" w:cs="Times New Roman"/>
          <w:sz w:val="28"/>
          <w:szCs w:val="28"/>
          <w:lang w:val="en-US" w:bidi="ar-SA"/>
        </w:rPr>
        <w:t>ABCB</w:t>
      </w:r>
      <w:r w:rsidR="00057E70" w:rsidRPr="00057E70">
        <w:rPr>
          <w:rFonts w:ascii="Times New Roman" w:hAnsi="Times New Roman" w:cs="Times New Roman"/>
          <w:sz w:val="28"/>
          <w:szCs w:val="28"/>
          <w:lang w:bidi="ar-SA"/>
        </w:rPr>
        <w:t xml:space="preserve">1 </w:t>
      </w:r>
      <w:r w:rsidR="00057E70">
        <w:rPr>
          <w:rFonts w:ascii="Times New Roman" w:hAnsi="Times New Roman" w:cs="Times New Roman"/>
          <w:sz w:val="28"/>
          <w:szCs w:val="28"/>
          <w:lang w:val="en-US" w:bidi="ar-SA"/>
        </w:rPr>
        <w:t>c</w:t>
      </w:r>
      <w:r w:rsidR="00057E70" w:rsidRPr="00057E70">
        <w:rPr>
          <w:rFonts w:ascii="Times New Roman" w:hAnsi="Times New Roman" w:cs="Times New Roman"/>
          <w:sz w:val="28"/>
          <w:szCs w:val="28"/>
          <w:lang w:bidi="ar-SA"/>
        </w:rPr>
        <w:t>.2677</w:t>
      </w:r>
      <w:r w:rsidR="00057E70">
        <w:rPr>
          <w:rFonts w:ascii="Times New Roman" w:hAnsi="Times New Roman" w:cs="Times New Roman"/>
          <w:sz w:val="28"/>
          <w:szCs w:val="28"/>
          <w:lang w:val="en-US" w:bidi="ar-SA"/>
        </w:rPr>
        <w:t>G</w:t>
      </w:r>
      <w:r w:rsidR="00057E70" w:rsidRPr="00057E70">
        <w:rPr>
          <w:rFonts w:ascii="Times New Roman" w:hAnsi="Times New Roman" w:cs="Times New Roman"/>
          <w:sz w:val="28"/>
          <w:szCs w:val="28"/>
          <w:lang w:bidi="ar-SA"/>
        </w:rPr>
        <w:t>&gt;</w:t>
      </w:r>
      <w:r w:rsidR="00057E70">
        <w:rPr>
          <w:rFonts w:ascii="Times New Roman" w:hAnsi="Times New Roman" w:cs="Times New Roman"/>
          <w:sz w:val="28"/>
          <w:szCs w:val="28"/>
          <w:lang w:val="en-US" w:bidi="ar-SA"/>
        </w:rPr>
        <w:t>A</w:t>
      </w:r>
      <w:r w:rsidR="00057E70" w:rsidRPr="00057E70">
        <w:rPr>
          <w:rFonts w:ascii="Times New Roman" w:hAnsi="Times New Roman" w:cs="Times New Roman"/>
          <w:sz w:val="28"/>
          <w:szCs w:val="28"/>
          <w:lang w:bidi="ar-SA"/>
        </w:rPr>
        <w:t>/</w:t>
      </w:r>
      <w:r w:rsidR="00057E70">
        <w:rPr>
          <w:rFonts w:ascii="Times New Roman" w:hAnsi="Times New Roman" w:cs="Times New Roman"/>
          <w:sz w:val="28"/>
          <w:szCs w:val="28"/>
          <w:lang w:val="en-US" w:bidi="ar-SA"/>
        </w:rPr>
        <w:t>T</w:t>
      </w:r>
      <w:r w:rsidR="00057E70">
        <w:rPr>
          <w:rFonts w:ascii="Times New Roman" w:hAnsi="Times New Roman" w:cs="Times New Roman"/>
          <w:sz w:val="28"/>
          <w:szCs w:val="28"/>
          <w:lang w:bidi="ar-SA"/>
        </w:rPr>
        <w:t xml:space="preserve">, </w:t>
      </w:r>
      <w:r w:rsidR="00057E70">
        <w:rPr>
          <w:rFonts w:ascii="Times New Roman" w:hAnsi="Times New Roman" w:cs="Times New Roman"/>
          <w:sz w:val="28"/>
          <w:szCs w:val="28"/>
          <w:lang w:val="en-US" w:bidi="ar-SA"/>
        </w:rPr>
        <w:t>c</w:t>
      </w:r>
      <w:r w:rsidR="00057E70" w:rsidRPr="00057E70">
        <w:rPr>
          <w:rFonts w:ascii="Times New Roman" w:hAnsi="Times New Roman" w:cs="Times New Roman"/>
          <w:sz w:val="28"/>
          <w:szCs w:val="28"/>
          <w:lang w:bidi="ar-SA"/>
        </w:rPr>
        <w:t>.3435</w:t>
      </w:r>
      <w:r w:rsidR="00057E70">
        <w:rPr>
          <w:rFonts w:ascii="Times New Roman" w:hAnsi="Times New Roman" w:cs="Times New Roman"/>
          <w:sz w:val="28"/>
          <w:szCs w:val="28"/>
          <w:lang w:val="en-US" w:bidi="ar-SA"/>
        </w:rPr>
        <w:t>C</w:t>
      </w:r>
      <w:r w:rsidR="00057E70" w:rsidRPr="00057E70">
        <w:rPr>
          <w:rFonts w:ascii="Times New Roman" w:hAnsi="Times New Roman" w:cs="Times New Roman"/>
          <w:sz w:val="28"/>
          <w:szCs w:val="28"/>
          <w:lang w:bidi="ar-SA"/>
        </w:rPr>
        <w:t>&gt;</w:t>
      </w:r>
      <w:r w:rsidR="00057E70">
        <w:rPr>
          <w:rFonts w:ascii="Times New Roman" w:hAnsi="Times New Roman" w:cs="Times New Roman"/>
          <w:sz w:val="28"/>
          <w:szCs w:val="28"/>
          <w:lang w:val="en-US" w:bidi="ar-SA"/>
        </w:rPr>
        <w:t>T</w:t>
      </w:r>
      <w:r w:rsidR="00057E70" w:rsidRPr="00057E70">
        <w:rPr>
          <w:rFonts w:ascii="Times New Roman" w:hAnsi="Times New Roman" w:cs="Times New Roman"/>
          <w:sz w:val="28"/>
          <w:szCs w:val="28"/>
          <w:lang w:bidi="ar-SA"/>
        </w:rPr>
        <w:t xml:space="preserve"> </w:t>
      </w:r>
      <w:r w:rsidR="00057E70">
        <w:rPr>
          <w:rFonts w:ascii="Times New Roman" w:hAnsi="Times New Roman" w:cs="Times New Roman"/>
          <w:sz w:val="28"/>
          <w:szCs w:val="28"/>
          <w:lang w:bidi="ar-SA"/>
        </w:rPr>
        <w:t xml:space="preserve">и </w:t>
      </w:r>
      <w:r w:rsidR="00057E70">
        <w:rPr>
          <w:rFonts w:ascii="Times New Roman" w:hAnsi="Times New Roman" w:cs="Times New Roman"/>
          <w:sz w:val="28"/>
          <w:szCs w:val="28"/>
          <w:lang w:val="en-US" w:bidi="ar-SA"/>
        </w:rPr>
        <w:t>c</w:t>
      </w:r>
      <w:r w:rsidR="00057E70" w:rsidRPr="00057E70">
        <w:rPr>
          <w:rFonts w:ascii="Times New Roman" w:hAnsi="Times New Roman" w:cs="Times New Roman"/>
          <w:sz w:val="28"/>
          <w:szCs w:val="28"/>
          <w:lang w:bidi="ar-SA"/>
        </w:rPr>
        <w:t>.1236</w:t>
      </w:r>
      <w:r w:rsidR="00057E70">
        <w:rPr>
          <w:rFonts w:ascii="Times New Roman" w:hAnsi="Times New Roman" w:cs="Times New Roman"/>
          <w:sz w:val="28"/>
          <w:szCs w:val="28"/>
          <w:lang w:val="en-US" w:bidi="ar-SA"/>
        </w:rPr>
        <w:t>C</w:t>
      </w:r>
      <w:r w:rsidR="00057E70" w:rsidRPr="00057E70">
        <w:rPr>
          <w:rFonts w:ascii="Times New Roman" w:hAnsi="Times New Roman" w:cs="Times New Roman"/>
          <w:sz w:val="28"/>
          <w:szCs w:val="28"/>
          <w:lang w:bidi="ar-SA"/>
        </w:rPr>
        <w:t>&gt;</w:t>
      </w:r>
      <w:r w:rsidR="00057E70">
        <w:rPr>
          <w:rFonts w:ascii="Times New Roman" w:hAnsi="Times New Roman" w:cs="Times New Roman"/>
          <w:sz w:val="28"/>
          <w:szCs w:val="28"/>
          <w:lang w:val="en-US" w:bidi="ar-SA"/>
        </w:rPr>
        <w:t>T</w:t>
      </w:r>
      <w:r w:rsidR="00057E70" w:rsidRPr="00057E70">
        <w:rPr>
          <w:rFonts w:ascii="Times New Roman" w:hAnsi="Times New Roman" w:cs="Times New Roman"/>
          <w:sz w:val="28"/>
          <w:szCs w:val="28"/>
          <w:lang w:bidi="ar-SA"/>
        </w:rPr>
        <w:t xml:space="preserve"> на минимальную концентрацию</w:t>
      </w:r>
      <w:r w:rsidR="00057E70">
        <w:rPr>
          <w:rFonts w:ascii="Times New Roman" w:hAnsi="Times New Roman" w:cs="Times New Roman"/>
          <w:sz w:val="28"/>
          <w:szCs w:val="28"/>
          <w:lang w:bidi="ar-SA"/>
        </w:rPr>
        <w:t xml:space="preserve"> ривароксабана</w:t>
      </w:r>
      <w:r w:rsidR="00057E7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{"citationID":"XiZ7Cwib","properties":{"unsorted":false,"formattedCitation":"[164]","plainCitation":"[164]","noteIndex":0},"citationItems":[{"id":106,"uris":["http://zotero.org/users/14784094/items/V5A2DIWL"],"itemData":{"id":106,"type":"article-journal","abstract":"Rivaroxaban is excreted from the body via multiple pathways involving glomerular filtration, drug-metabolizing enzymes and transporters. In this study, we aimed to examine the impact of single nucleotide polymorphisms in P-glycoprotein, breast cancer resistance protein, cytochrome P450 (CYP) 3A5 and CYP2J2 on the pharmacokinetics of rivaroxaban. Eighty-six patients with non-valvular atrial fibrillation (NVAF) undergoing AF catheter ablation were enrolled in this study. In these analyses, the dose-adjusted plasma trough concentration ratio (C0h /D) of rivaroxaban was used as the pharmacokinetic index. The median (quartile range) rivaroxaban C0h /D was 3.39 (2.08-5.21) ng/mL/mg (coefficient of variation: 80.5%). The C0h /D did not differ significantly among ABCB1 c.3435C&gt;T, c.2677G&gt;A/T, c.1236C&gt;T, ABCG2 c.421C&gt;A, CYP3A5*3 and CYP2J2*7 genotypes. Stepwise selection multiple linear regression analysis showed that the estimated glomerular filtration rate was the only independent factor influencing the C0h /D of rivaroxaban (R2  = 0.152, P &lt; 0.001). There was a significant correlation between the C0h of rivaroxaban and prothrombin time (PT) (rho = 0.357, P = 0.001). In patients with NVAF, pharmacokinetic genotype tests are unlikely to be useful for prediction of the C0h of rivaroxaban.","container-title":"Basic &amp; Clinical Pharmacology &amp; Toxicology","DOI":"10.1111/bcpt.13488","ISSN":"1742-7843","issue":"2","journalAbbreviation":"Basic Clin Pharmacol Toxicol","language":"eng","page":"297-304","PMID":"32920985","source":"PubMed","title":"Impact of gene polymorphisms in drug-metabolizing enzymes and transporters on trough concentrations of rivaroxaban in patients with atrial fibrillation","volume":"128","author":[{"family":"Nakagawa","given":"Junichi"},{"family":"Kinjo","given":"Takahiko"},{"family":"Iizuka","given":"Mei"},{"family":"Ueno","given":"Kayo"},{"family":"Tomita","given":"Hirofumi"},{"family":"Niioka","given":"Takenori"}],"issued":{"date-parts":[["2021",2]]}}}],"schema":"https://github.com/citation-style-language/schema/raw/master/csl-citation.json"} </w:instrText>
      </w:r>
      <w:r w:rsidR="00057E7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[164]</w:t>
      </w:r>
      <w:r w:rsidR="00057E70">
        <w:rPr>
          <w:rFonts w:ascii="Times New Roman" w:hAnsi="Times New Roman" w:cs="Times New Roman"/>
          <w:sz w:val="28"/>
          <w:szCs w:val="28"/>
          <w:lang w:bidi="ar-SA"/>
        </w:rPr>
        <w:fldChar w:fldCharType="end"/>
      </w:r>
      <w:r w:rsidR="00057E70" w:rsidRPr="00057E70">
        <w:rPr>
          <w:rFonts w:ascii="Times New Roman" w:hAnsi="Times New Roman" w:cs="Times New Roman"/>
          <w:sz w:val="28"/>
          <w:szCs w:val="28"/>
          <w:lang w:bidi="ar-SA"/>
        </w:rPr>
        <w:t>. Недавно опубликованн</w:t>
      </w:r>
      <w:r w:rsidR="00057E70">
        <w:rPr>
          <w:rFonts w:ascii="Times New Roman" w:hAnsi="Times New Roman" w:cs="Times New Roman"/>
          <w:sz w:val="28"/>
          <w:szCs w:val="28"/>
          <w:lang w:bidi="ar-SA"/>
        </w:rPr>
        <w:t>о</w:t>
      </w:r>
      <w:r w:rsidR="00057E70" w:rsidRPr="00057E70">
        <w:rPr>
          <w:rFonts w:ascii="Times New Roman" w:hAnsi="Times New Roman" w:cs="Times New Roman"/>
          <w:sz w:val="28"/>
          <w:szCs w:val="28"/>
          <w:lang w:bidi="ar-SA"/>
        </w:rPr>
        <w:t>е ретроспективн</w:t>
      </w:r>
      <w:r w:rsidR="00057E70">
        <w:rPr>
          <w:rFonts w:ascii="Times New Roman" w:hAnsi="Times New Roman" w:cs="Times New Roman"/>
          <w:sz w:val="28"/>
          <w:szCs w:val="28"/>
          <w:lang w:bidi="ar-SA"/>
        </w:rPr>
        <w:t>о</w:t>
      </w:r>
      <w:r w:rsidR="00057E70" w:rsidRPr="00057E70">
        <w:rPr>
          <w:rFonts w:ascii="Times New Roman" w:hAnsi="Times New Roman" w:cs="Times New Roman"/>
          <w:sz w:val="28"/>
          <w:szCs w:val="28"/>
          <w:lang w:bidi="ar-SA"/>
        </w:rPr>
        <w:t>е когорт</w:t>
      </w:r>
      <w:r w:rsidR="00057E70">
        <w:rPr>
          <w:rFonts w:ascii="Times New Roman" w:hAnsi="Times New Roman" w:cs="Times New Roman"/>
          <w:sz w:val="28"/>
          <w:szCs w:val="28"/>
          <w:lang w:bidi="ar-SA"/>
        </w:rPr>
        <w:t>ное</w:t>
      </w:r>
      <w:r w:rsidR="00057E70" w:rsidRPr="00057E70">
        <w:rPr>
          <w:rFonts w:ascii="Times New Roman" w:hAnsi="Times New Roman" w:cs="Times New Roman"/>
          <w:sz w:val="28"/>
          <w:szCs w:val="28"/>
          <w:lang w:bidi="ar-SA"/>
        </w:rPr>
        <w:t xml:space="preserve"> исследовани</w:t>
      </w:r>
      <w:r w:rsidR="00057E70">
        <w:rPr>
          <w:rFonts w:ascii="Times New Roman" w:hAnsi="Times New Roman" w:cs="Times New Roman"/>
          <w:sz w:val="28"/>
          <w:szCs w:val="28"/>
          <w:lang w:bidi="ar-SA"/>
        </w:rPr>
        <w:t>е</w:t>
      </w:r>
      <w:r w:rsidR="00057E70" w:rsidRPr="00057E70">
        <w:rPr>
          <w:rFonts w:ascii="Times New Roman" w:hAnsi="Times New Roman" w:cs="Times New Roman"/>
          <w:sz w:val="28"/>
          <w:szCs w:val="28"/>
          <w:lang w:bidi="ar-SA"/>
        </w:rPr>
        <w:t>, включавш</w:t>
      </w:r>
      <w:r w:rsidR="00057E70">
        <w:rPr>
          <w:rFonts w:ascii="Times New Roman" w:hAnsi="Times New Roman" w:cs="Times New Roman"/>
          <w:sz w:val="28"/>
          <w:szCs w:val="28"/>
          <w:lang w:bidi="ar-SA"/>
        </w:rPr>
        <w:t>е</w:t>
      </w:r>
      <w:r w:rsidR="00057E70" w:rsidRPr="00057E70">
        <w:rPr>
          <w:rFonts w:ascii="Times New Roman" w:hAnsi="Times New Roman" w:cs="Times New Roman"/>
          <w:sz w:val="28"/>
          <w:szCs w:val="28"/>
          <w:lang w:bidi="ar-SA"/>
        </w:rPr>
        <w:t xml:space="preserve">е анализ </w:t>
      </w:r>
      <w:r w:rsidR="00057E70">
        <w:rPr>
          <w:rFonts w:ascii="Times New Roman" w:hAnsi="Times New Roman" w:cs="Times New Roman"/>
          <w:sz w:val="28"/>
          <w:szCs w:val="28"/>
          <w:lang w:bidi="ar-SA"/>
        </w:rPr>
        <w:t>восьми</w:t>
      </w:r>
      <w:r w:rsidR="00057E70" w:rsidRPr="00057E70">
        <w:rPr>
          <w:rFonts w:ascii="Times New Roman" w:hAnsi="Times New Roman" w:cs="Times New Roman"/>
          <w:sz w:val="28"/>
          <w:szCs w:val="28"/>
          <w:lang w:bidi="ar-SA"/>
        </w:rPr>
        <w:t xml:space="preserve"> фармако</w:t>
      </w:r>
      <w:r w:rsidR="00057E70">
        <w:rPr>
          <w:rFonts w:ascii="Times New Roman" w:hAnsi="Times New Roman" w:cs="Times New Roman"/>
          <w:sz w:val="28"/>
          <w:szCs w:val="28"/>
          <w:lang w:bidi="ar-SA"/>
        </w:rPr>
        <w:t>гене</w:t>
      </w:r>
      <w:r w:rsidR="00057E70" w:rsidRPr="00057E70">
        <w:rPr>
          <w:rFonts w:ascii="Times New Roman" w:hAnsi="Times New Roman" w:cs="Times New Roman"/>
          <w:sz w:val="28"/>
          <w:szCs w:val="28"/>
          <w:lang w:bidi="ar-SA"/>
        </w:rPr>
        <w:t>тических вариантов, не выявил</w:t>
      </w:r>
      <w:r w:rsidR="00057E70">
        <w:rPr>
          <w:rFonts w:ascii="Times New Roman" w:hAnsi="Times New Roman" w:cs="Times New Roman"/>
          <w:sz w:val="28"/>
          <w:szCs w:val="28"/>
          <w:lang w:bidi="ar-SA"/>
        </w:rPr>
        <w:t>о</w:t>
      </w:r>
      <w:r w:rsidR="00057E70" w:rsidRPr="00057E70">
        <w:rPr>
          <w:rFonts w:ascii="Times New Roman" w:hAnsi="Times New Roman" w:cs="Times New Roman"/>
          <w:sz w:val="28"/>
          <w:szCs w:val="28"/>
          <w:lang w:bidi="ar-SA"/>
        </w:rPr>
        <w:t xml:space="preserve"> их связи с риском кровотечений на фоне терапии </w:t>
      </w:r>
      <w:r w:rsidR="00057E70">
        <w:rPr>
          <w:rFonts w:ascii="Times New Roman" w:hAnsi="Times New Roman" w:cs="Times New Roman"/>
          <w:sz w:val="28"/>
          <w:szCs w:val="28"/>
          <w:lang w:bidi="ar-SA"/>
        </w:rPr>
        <w:t>ривароксабаном и апиксабаном</w:t>
      </w:r>
      <w:r w:rsidR="00057E7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{"citationID":"ABV9BxmS","properties":{"unsorted":false,"formattedCitation":"[165]","plainCitation":"[165]","noteIndex":0},"citationItems":[{"id":104,"uris":["http://zotero.org/users/14784094/items/TKIRUXFD"],"itemData":{"id":104,"type":"article-journal","abstract":"Background: Atrial fibrillation (AF) is the leading cause of ischemic stroke and treatment has focused on reducing this risk through anticoagulation. Direct Oral Anticoagulants (DOACs) are the first-line guideline-recommended therapy since they are as effective and overall safer than warfarin in preventing AF-related stroke. Although patients bleed less from DOACs compared to warfarin, bleeding remains the primary safety concern with this therapy. Hypothesis: Genetic variants known to modify the function of metabolic enzymes or transporters involved in the pharmacokinetics (PK) of DOACs could increase the risk of bleeding. Aim: To assess the association of eight, functional PK-related single nucleotide variants (SNVs) in five genes (ABCB1, ABCG2, CYP2J2, CYP3A4, CYP3A5) with the risk of bleeding from DOACs in non-valvular AF patients. Methods: A retrospective cohort study was carried out with 2,364 self-identified white non-valvular AF patients treated with either rivaroxaban or apixaban. Genotyping was performed with Illumina Infinium CoreExome v12.1 bead arrays by the Michigan Genomics Initiative biobank. The primary endpoint was a composite of major and clinically relevant non-major bleeding. Cox proportional hazards regression with time-varying analysis assessed the association of the eight PK-related SNVs with the risk of bleeding from DOACs in unadjusted and covariate-adjusted models. The pre-specified primary analysis was the covariate-adjusted, additive genetic models. Six tests were performed in the primary analysis as three SNVs are in the same haplotype, and thus p-values below the Bonferroni-corrected level of 8.33e-3 were considered statistically significant. Results: In the primary analysis, none of the SNVs met the Bonferroni-corrected level of statistical significance (all p &gt; 0.1). In exploratory analyses with other genetic models, the ABCB1 (rs4148732) GG genotype tended to be associated with the risk of bleeding from rivaroxaban [HR: 1.391 (95%CI: 1.019-1.900); p = 0.038] but not from apixaban (p = 0.487). Conclusion: Eight functional PK-related genetic variants were not significantly associated with bleeding from either rivaroxaban or apixaban in more than 2,000 AF self-identified white outpatients.","container-title":"Frontiers in Pharmacology","DOI":"10.3389/fphar.2022.1007113","ISSN":"1663-9812","journalAbbreviation":"Front Pharmacol","language":"eng","page":"1007113","PMID":"36506510","PMCID":"PMC9730333","source":"PubMed","title":"Eight pharmacokinetic genetic variants are not associated with the risk of bleeding from direct oral anticoagulants in non-valvular atrial fibrillation patients","volume":"13","author":[{"family":"Campos-Staffico","given":"Alessandra M."},{"family":"Dorsch","given":"Michael P."},{"family":"Barnes","given":"Geoffrey D."},{"family":"Zhu","given":"Hao-Jie"},{"family":"Limdi","given":"Nita A."},{"family":"Luzum","given":"Jasmine A."}],"issued":{"date-parts":[["2022"]]}}}],"schema":"https://github.com/citation-style-language/schema/raw/master/csl-citation.json"} </w:instrText>
      </w:r>
      <w:r w:rsidR="00057E7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[165]</w:t>
      </w:r>
      <w:r w:rsidR="00057E70">
        <w:rPr>
          <w:rFonts w:ascii="Times New Roman" w:hAnsi="Times New Roman" w:cs="Times New Roman"/>
          <w:sz w:val="28"/>
          <w:szCs w:val="28"/>
          <w:lang w:bidi="ar-SA"/>
        </w:rPr>
        <w:fldChar w:fldCharType="end"/>
      </w:r>
      <w:r w:rsidR="00057E70" w:rsidRPr="00D137D9">
        <w:rPr>
          <w:rFonts w:ascii="Times New Roman" w:hAnsi="Times New Roman" w:cs="Times New Roman"/>
          <w:sz w:val="28"/>
          <w:szCs w:val="28"/>
          <w:lang w:bidi="ar-SA"/>
        </w:rPr>
        <w:t>.</w:t>
      </w:r>
    </w:p>
    <w:p w14:paraId="6D74BA77" w14:textId="529BEC8C" w:rsidR="00057E70" w:rsidRPr="00D137D9" w:rsidRDefault="00057E70" w:rsidP="008D7CBD">
      <w:pPr>
        <w:pStyle w:val="LO-normal"/>
        <w:spacing w:after="0" w:line="240" w:lineRule="auto"/>
        <w:ind w:firstLine="567"/>
        <w:jc w:val="both"/>
        <w:rPr>
          <w:rFonts w:ascii="Times New Roman" w:hAnsi="Times New Roman" w:cs="Times New Roman"/>
          <w:sz w:val="28"/>
          <w:szCs w:val="28"/>
          <w:lang w:bidi="ar-SA"/>
        </w:rPr>
      </w:pPr>
    </w:p>
    <w:p w14:paraId="08F9A9F2" w14:textId="25361C30" w:rsidR="00057E70" w:rsidRPr="00057E70" w:rsidRDefault="00057E70" w:rsidP="008D7CBD">
      <w:pPr>
        <w:pStyle w:val="LO-normal"/>
        <w:spacing w:after="0" w:line="240" w:lineRule="auto"/>
        <w:ind w:firstLine="567"/>
        <w:jc w:val="both"/>
        <w:rPr>
          <w:rFonts w:ascii="Times New Roman" w:hAnsi="Times New Roman" w:cs="Times New Roman"/>
          <w:b/>
          <w:bCs/>
          <w:sz w:val="28"/>
          <w:szCs w:val="28"/>
          <w:lang w:bidi="ar-SA"/>
        </w:rPr>
      </w:pPr>
      <w:r w:rsidRPr="001C6886">
        <w:rPr>
          <w:rFonts w:ascii="Times New Roman" w:hAnsi="Times New Roman" w:cs="Times New Roman"/>
          <w:b/>
          <w:bCs/>
          <w:sz w:val="28"/>
          <w:szCs w:val="28"/>
          <w:lang w:bidi="ar-SA"/>
        </w:rPr>
        <w:t xml:space="preserve">1.4.2.3 </w:t>
      </w:r>
      <w:r w:rsidRPr="00057E70">
        <w:rPr>
          <w:rFonts w:ascii="Times New Roman" w:hAnsi="Times New Roman" w:cs="Times New Roman"/>
          <w:b/>
          <w:bCs/>
          <w:sz w:val="28"/>
          <w:szCs w:val="28"/>
          <w:lang w:bidi="ar-SA"/>
        </w:rPr>
        <w:t>Эдоксабан</w:t>
      </w:r>
    </w:p>
    <w:p w14:paraId="78E193B2" w14:textId="48A96082" w:rsidR="00057E70" w:rsidRDefault="00057E70" w:rsidP="008D7CBD">
      <w:pPr>
        <w:pStyle w:val="LO-normal"/>
        <w:spacing w:after="0" w:line="240" w:lineRule="auto"/>
        <w:ind w:firstLine="567"/>
        <w:jc w:val="both"/>
        <w:rPr>
          <w:rFonts w:ascii="Times New Roman" w:hAnsi="Times New Roman" w:cs="Times New Roman"/>
          <w:i/>
          <w:iCs/>
          <w:sz w:val="28"/>
          <w:szCs w:val="28"/>
          <w:lang w:bidi="ar-SA"/>
        </w:rPr>
      </w:pPr>
      <w:r w:rsidRPr="00057E70">
        <w:rPr>
          <w:rFonts w:ascii="Times New Roman" w:hAnsi="Times New Roman" w:cs="Times New Roman"/>
          <w:i/>
          <w:iCs/>
          <w:sz w:val="28"/>
          <w:szCs w:val="28"/>
          <w:lang w:bidi="ar-SA"/>
        </w:rPr>
        <w:t>Фармакокинетика и фармакогенетика эдоксабана</w:t>
      </w:r>
    </w:p>
    <w:p w14:paraId="09CCDFEA" w14:textId="74837B06" w:rsidR="00057E70" w:rsidRPr="00D137D9" w:rsidRDefault="00057E70" w:rsidP="008D7CBD">
      <w:pPr>
        <w:pStyle w:val="LO-normal"/>
        <w:spacing w:after="0" w:line="240" w:lineRule="auto"/>
        <w:ind w:firstLine="567"/>
        <w:jc w:val="both"/>
        <w:rPr>
          <w:rFonts w:ascii="Times New Roman" w:hAnsi="Times New Roman" w:cs="Times New Roman"/>
          <w:sz w:val="28"/>
          <w:szCs w:val="28"/>
          <w:lang w:bidi="ar-SA"/>
        </w:rPr>
      </w:pPr>
      <w:r w:rsidRPr="00057E70">
        <w:rPr>
          <w:rFonts w:ascii="Times New Roman" w:hAnsi="Times New Roman" w:cs="Times New Roman"/>
          <w:sz w:val="28"/>
          <w:szCs w:val="28"/>
          <w:lang w:bidi="ar-SA"/>
        </w:rPr>
        <w:t>Эд</w:t>
      </w:r>
      <w:r>
        <w:rPr>
          <w:rFonts w:ascii="Times New Roman" w:hAnsi="Times New Roman" w:cs="Times New Roman"/>
          <w:sz w:val="28"/>
          <w:szCs w:val="28"/>
          <w:lang w:bidi="ar-SA"/>
        </w:rPr>
        <w:t>ок</w:t>
      </w:r>
      <w:r w:rsidRPr="00057E70">
        <w:rPr>
          <w:rFonts w:ascii="Times New Roman" w:hAnsi="Times New Roman" w:cs="Times New Roman"/>
          <w:sz w:val="28"/>
          <w:szCs w:val="28"/>
          <w:lang w:bidi="ar-SA"/>
        </w:rPr>
        <w:t>сабан, представляющий собой</w:t>
      </w:r>
      <w:r>
        <w:rPr>
          <w:rFonts w:ascii="Times New Roman" w:hAnsi="Times New Roman" w:cs="Times New Roman"/>
          <w:sz w:val="28"/>
          <w:szCs w:val="28"/>
          <w:lang w:bidi="ar-SA"/>
        </w:rPr>
        <w:t xml:space="preserve"> </w:t>
      </w:r>
      <w:r w:rsidRPr="00057E70">
        <w:rPr>
          <w:rFonts w:ascii="Times New Roman" w:hAnsi="Times New Roman" w:cs="Times New Roman"/>
          <w:sz w:val="28"/>
          <w:szCs w:val="28"/>
          <w:lang w:bidi="ar-SA"/>
        </w:rPr>
        <w:t>селективный прямой ингибитор фактора свертывания крови</w:t>
      </w:r>
      <w:r>
        <w:rPr>
          <w:rFonts w:ascii="Times New Roman" w:hAnsi="Times New Roman" w:cs="Times New Roman"/>
          <w:sz w:val="28"/>
          <w:szCs w:val="28"/>
          <w:lang w:bidi="ar-SA"/>
        </w:rPr>
        <w:t xml:space="preserve"> Ха, </w:t>
      </w:r>
      <w:r w:rsidRPr="00057E70">
        <w:rPr>
          <w:rFonts w:ascii="Times New Roman" w:hAnsi="Times New Roman" w:cs="Times New Roman"/>
          <w:sz w:val="28"/>
          <w:szCs w:val="28"/>
          <w:lang w:bidi="ar-SA"/>
        </w:rPr>
        <w:t xml:space="preserve">в рамках масштабного исследования </w:t>
      </w:r>
      <w:r>
        <w:rPr>
          <w:rFonts w:ascii="Times New Roman" w:hAnsi="Times New Roman" w:cs="Times New Roman"/>
          <w:sz w:val="28"/>
          <w:szCs w:val="28"/>
          <w:lang w:val="en-US" w:bidi="ar-SA"/>
        </w:rPr>
        <w:t>ENGAGE</w:t>
      </w:r>
      <w:r w:rsidRPr="00057E70">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AF</w:t>
      </w:r>
      <w:r w:rsidRPr="00057E70">
        <w:rPr>
          <w:rFonts w:ascii="Times New Roman" w:hAnsi="Times New Roman" w:cs="Times New Roman"/>
          <w:sz w:val="28"/>
          <w:szCs w:val="28"/>
          <w:lang w:bidi="ar-SA"/>
        </w:rPr>
        <w:t>-</w:t>
      </w:r>
      <w:r>
        <w:rPr>
          <w:rFonts w:ascii="Times New Roman" w:hAnsi="Times New Roman" w:cs="Times New Roman"/>
          <w:sz w:val="28"/>
          <w:szCs w:val="28"/>
          <w:lang w:val="en-US" w:bidi="ar-SA"/>
        </w:rPr>
        <w:t>TIMI</w:t>
      </w:r>
      <w:r w:rsidRPr="00057E70">
        <w:rPr>
          <w:rFonts w:ascii="Times New Roman" w:hAnsi="Times New Roman" w:cs="Times New Roman"/>
          <w:sz w:val="28"/>
          <w:szCs w:val="28"/>
          <w:lang w:bidi="ar-SA"/>
        </w:rPr>
        <w:t xml:space="preserve"> 48</w:t>
      </w:r>
      <w:r>
        <w:rPr>
          <w:rFonts w:ascii="Times New Roman" w:hAnsi="Times New Roman" w:cs="Times New Roman"/>
          <w:sz w:val="28"/>
          <w:szCs w:val="28"/>
          <w:lang w:bidi="ar-SA"/>
        </w:rPr>
        <w:t>, п</w:t>
      </w:r>
      <w:r w:rsidRPr="00057E70">
        <w:rPr>
          <w:rFonts w:ascii="Times New Roman" w:hAnsi="Times New Roman" w:cs="Times New Roman"/>
          <w:sz w:val="28"/>
          <w:szCs w:val="28"/>
          <w:lang w:bidi="ar-SA"/>
        </w:rPr>
        <w:t>родемонстрировал клиническую эффективность и приемлемый профиль безопасности по сравнению с варфарином в профилактике инсульта и системной эмболии у пациентов с</w:t>
      </w:r>
      <w:r>
        <w:rPr>
          <w:rFonts w:ascii="Times New Roman" w:hAnsi="Times New Roman" w:cs="Times New Roman"/>
          <w:sz w:val="28"/>
          <w:szCs w:val="28"/>
          <w:lang w:bidi="ar-SA"/>
        </w:rPr>
        <w:t xml:space="preserve"> ФП</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vlgjGV9o","properties":{"unsorted":false,"formattedCitation":"[166,167]","plainCitation":"[166,167]","noteIndex":0},"citationItems":[{"id":103,"uris":["http://zotero.org/users/14784094/items/GBRRA5LJ"],"itemData":{"id":103,"type":"article-journal","abstract":"BACKGROUND: Vitamin K antagonists have been the standard oral antithrombotic used for more than a half century for prevention and treatment of thromboembolism. Their limitations include multiple food and drug interactions and need for frequent monitoring and dose adjustments. Edoxaban is a selective and direct factor Xa inhibitor that may provide effective, safe, and more convenient anticoagulation.\nSTUDY DESIGN: ENGAGE AF-TIMI 48 is a phase 3, randomized, double-blind, double-dummy, multinational, noninferiority design megatrial comparing 2 exposure strategies of edoxaban to warfarin. Approximately 20,500 subjects will be randomized to edoxaban high exposure (60 mg daily, adjusted for drug clearance), edoxaban low exposure (30 mg daily, adjusted for drug clearance), or warfarin titrated to an international normalized ratio of 2.0 to 3.0. The edoxaban strategies provide for dynamic dose reductions in subjects with anticipated increased drug exposure. Blinded treatment is maintained through the use of sham international normalized ratios in patients receiving edoxaban. Eligibility criteria include electrical documentation of atrial fibrillation ≤12 months and a CHADS(2) score ≥2. Randomization is stratified by CHADS(2) score and anticipated drug exposure. The primary objective is to determine whether edoxaban is noninferior to warfarin for the prevention of stroke and systemic embolism. The primary safety end point is modified International Society on Thrombosis and Haemostasis major bleeding. Recruitment began in November 2008. The expected median follow-up is 24 months.\nCONCLUSIONS: ENGAGE AF-TIMI 48 is a phase 3 comparison of the novel oral factor Xa inhibitor edoxaban to warfarin for the prevention of thromboembolism in patients with atrial fibrillation.","container-title":"American Heart Journal","DOI":"10.1016/j.ahj.2010.06.042","ISSN":"1097-6744","issue":"4","journalAbbreviation":"Am Heart J","language":"eng","page":"635-641","PMID":"20934556","source":"PubMed","title":"Evaluation of the novel factor Xa inhibitor edoxaban compared with warfarin in patients with atrial fibrillation: design and rationale for the Effective aNticoaGulation with factor xA next GEneration in Atrial Fibrillation-Thrombolysis In Myocardial Infarction study 48 (ENGAGE AF-TIMI 48)","title-short":"Evaluation of the novel factor Xa inhibitor edoxaban compared with warfarin in patients with atrial fibrillation","volume":"160","author":[{"family":"Ruff","given":"Christian T."},{"family":"Giugliano","given":"Robert P."},{"family":"Antman","given":"Elliott M."},{"family":"Crugnale","given":"Sharon E."},{"family":"Bocanegra","given":"Tomas"},{"family":"Mercuri","given":"Michele"},{"family":"Hanyok","given":"James"},{"family":"Patel","given":"Indravadan"},{"family":"Shi","given":"Minggao"},{"family":"Salazar","given":"Dan"},{"family":"McCabe","given":"Carolyn H."},{"family":"Braunwald","given":"Eugene"}],"issued":{"date-parts":[["2010",10]]}}},{"id":102,"uris":["http://zotero.org/users/14784094/items/MNRL2WUN"],"itemData":{"id":102,"type":"article-journal","abstract":"In the past decade, direct oral anticoagulants (DOACs) have transformed the world of anti-thrombotic therapy. Edoxaban is the most recently approved DOAC. Though intended for use primarily in stroke prevention, it has found applications in various other conditions including thromboembolic and peripheral arterial disease. This review aims to provide a detailed outline of the growing indications, evidence for use in special populations, pharmacogenetics and side-effect profile of edoxaban.","container-title":"British Journal of Clinical Pharmacology","DOI":"10.1111/bcp.15026","ISSN":"1365-2125","issue":"2","journalAbbreviation":"Br J Clin Pharmacol","language":"eng","page":"535-540","PMID":"34365675","source":"PubMed","title":"Edoxaban in cardiovascular disease management: Review","title-short":"Edoxaban in cardiovascular disease management","volume":"88","author":[{"family":"Srinivasan","given":"Sharanyah"},{"family":"Ajmal","given":"Muhammad"},{"family":"Pecci","given":"Cristina"},{"family":"Lassar","given":"Tom"}],"issued":{"date-parts":[["2022",2]]}}}],"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[166,167]</w:t>
      </w:r>
      <w:r>
        <w:rPr>
          <w:rFonts w:ascii="Times New Roman" w:hAnsi="Times New Roman" w:cs="Times New Roman"/>
          <w:sz w:val="28"/>
          <w:szCs w:val="28"/>
          <w:lang w:bidi="ar-SA"/>
        </w:rPr>
        <w:fldChar w:fldCharType="end"/>
      </w:r>
      <w:r w:rsidRPr="00057E70">
        <w:rPr>
          <w:rFonts w:ascii="Times New Roman" w:hAnsi="Times New Roman" w:cs="Times New Roman"/>
          <w:sz w:val="28"/>
          <w:szCs w:val="28"/>
          <w:lang w:bidi="ar-SA"/>
        </w:rPr>
        <w:t>. Подобно другим представителям класса прямых пероральных антикоагулянтов, таким как</w:t>
      </w:r>
      <w:r>
        <w:rPr>
          <w:rFonts w:ascii="Times New Roman" w:hAnsi="Times New Roman" w:cs="Times New Roman"/>
          <w:sz w:val="28"/>
          <w:szCs w:val="28"/>
          <w:lang w:bidi="ar-SA"/>
        </w:rPr>
        <w:t xml:space="preserve"> ривароксабан и апиксабан, эдоксабан х</w:t>
      </w:r>
      <w:r w:rsidRPr="00057E70">
        <w:rPr>
          <w:rFonts w:ascii="Times New Roman" w:hAnsi="Times New Roman" w:cs="Times New Roman"/>
          <w:sz w:val="28"/>
          <w:szCs w:val="28"/>
          <w:lang w:bidi="ar-SA"/>
        </w:rPr>
        <w:t>арактеризуется быстрым всасыванием в желудочно</w:t>
      </w:r>
      <w:r>
        <w:rPr>
          <w:rFonts w:ascii="Times New Roman" w:hAnsi="Times New Roman" w:cs="Times New Roman"/>
          <w:sz w:val="28"/>
          <w:szCs w:val="28"/>
          <w:lang w:bidi="ar-SA"/>
        </w:rPr>
        <w:t>-</w:t>
      </w:r>
      <w:r w:rsidRPr="00057E70">
        <w:rPr>
          <w:rFonts w:ascii="Times New Roman" w:hAnsi="Times New Roman" w:cs="Times New Roman"/>
          <w:sz w:val="28"/>
          <w:szCs w:val="28"/>
          <w:lang w:bidi="ar-SA"/>
        </w:rPr>
        <w:t>кишечном тракте</w:t>
      </w:r>
      <w:r>
        <w:rPr>
          <w:rFonts w:ascii="Times New Roman" w:hAnsi="Times New Roman" w:cs="Times New Roman"/>
          <w:sz w:val="28"/>
          <w:szCs w:val="28"/>
          <w:lang w:bidi="ar-SA"/>
        </w:rPr>
        <w:t xml:space="preserve">. </w:t>
      </w:r>
      <w:r w:rsidRPr="00057E70">
        <w:rPr>
          <w:rFonts w:ascii="Times New Roman" w:hAnsi="Times New Roman" w:cs="Times New Roman"/>
          <w:sz w:val="28"/>
          <w:szCs w:val="28"/>
          <w:lang w:bidi="ar-SA"/>
        </w:rPr>
        <w:t>Максимальная концентрация (</w:t>
      </w:r>
      <w:r>
        <w:rPr>
          <w:rFonts w:ascii="Times New Roman" w:hAnsi="Times New Roman" w:cs="Times New Roman"/>
          <w:sz w:val="28"/>
          <w:szCs w:val="28"/>
          <w:lang w:val="en-US" w:bidi="ar-SA"/>
        </w:rPr>
        <w:t>C</w:t>
      </w:r>
      <w:r w:rsidRPr="008A6989">
        <w:rPr>
          <w:rFonts w:ascii="Times New Roman" w:hAnsi="Times New Roman" w:cs="Times New Roman"/>
          <w:sz w:val="28"/>
          <w:szCs w:val="28"/>
          <w:vertAlign w:val="subscript"/>
          <w:lang w:val="en-US" w:bidi="ar-SA"/>
        </w:rPr>
        <w:t>max</w:t>
      </w:r>
      <w:r w:rsidRPr="00057E70">
        <w:rPr>
          <w:rFonts w:ascii="Times New Roman" w:hAnsi="Times New Roman" w:cs="Times New Roman"/>
          <w:sz w:val="28"/>
          <w:szCs w:val="28"/>
          <w:lang w:bidi="ar-SA"/>
        </w:rPr>
        <w:t>) в плазме крови достигается в относительно короткие сроки - в пределах 1-2 часов после перорального приема</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{"citationID":"QrfWUBcG","properties":{"unsorted":false,"formattedCitation":"[168]","plainCitation":"[168]","noteIndex":0},"citationItems":[{"id":100,"uris":["http://zotero.org/users/14784094/items/XPRQA2HH"],"itemData":{"id":100,"type":"article-journal","abstract":"Edoxaban, a once daily non-vitamin K antagonist oral anticoagulant, is a direct, selective, reversible inhibitor of factor Xa (FXa). In healthy subjects, single oral doses of edoxaban result in peak plasma concentrations within 1.0–2.0 h of administration, followed by a biphasic decline. Exposure is approximately dose proportional for once daily doses of 15–150 mg. Edoxaban is predominantly absorbed from the upper gastrointestinal tract, and oral bioavailability is approximately 62 %. Food does not affect total exposure to edoxaban. The terminal elimination half-life in healthy subjects ranges from 10 to 14 h, with minimal accumulation upon repeat once daily dosing up to doses of 120 mg. The steady-state volume of distribution is approximately 107 L, and total clearance is approximately 22 L/h; renal clearance accounts for approximately 50 % of total clearance, while metabolism and biliary secretion account for the remaining 50 %. Intrinsic factors, such as age, sex and race, do not affect edoxaban pharmacokinetics after renal function is taken into account. Oral administration of edoxaban results in rapid changes in anticoagulatory biomarkers, with peak effects on anticoagulation markers (such as anti-FXa), the prothrombin time and the activated partial thromboplastin time occurring within 1–2 h of dosing.","container-title":"Clinical Pharmacokinetics","DOI":"10.1007/s40262-015-0342-7","ISSN":"0312-5963","journalAbbreviation":"Clin Pharmacokinet","page":"641-655","PMID":"26620048","PMCID":"PMC4875962","source":"PubMed Central","title":"Pharmacokinetics and Pharmacodynamics of Edoxaban, a Non-Vitamin K Antagonist Oral Anticoagulant that Inhibits Clotting Factor Xa","volume":"55","author":[{"family":"Parasrampuria","given":"Dolly A."},{"family":"Truitt","given":"Kenneth E."}],"issued":{"date-parts":[["2016"]]}}}],"schema":"https://github.com/citation-style-language/schema/raw/master/csl-citation.json"}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[168]</w:t>
      </w:r>
      <w:r>
        <w:rPr>
          <w:rFonts w:ascii="Times New Roman" w:hAnsi="Times New Roman" w:cs="Times New Roman"/>
          <w:sz w:val="28"/>
          <w:szCs w:val="28"/>
          <w:lang w:bidi="ar-SA"/>
        </w:rPr>
        <w:fldChar w:fldCharType="end"/>
      </w:r>
      <w:r w:rsidRPr="00D62B17">
        <w:rPr>
          <w:rFonts w:ascii="Times New Roman" w:hAnsi="Times New Roman" w:cs="Times New Roman"/>
          <w:sz w:val="28"/>
          <w:szCs w:val="28"/>
          <w:lang w:bidi="ar-SA"/>
        </w:rPr>
        <w:t xml:space="preserve">. </w:t>
      </w:r>
      <w:r w:rsidR="00D62B17" w:rsidRPr="00D62B17">
        <w:rPr>
          <w:rFonts w:ascii="Times New Roman" w:hAnsi="Times New Roman" w:cs="Times New Roman"/>
          <w:sz w:val="28"/>
          <w:szCs w:val="28"/>
          <w:lang w:bidi="ar-SA"/>
        </w:rPr>
        <w:t>Абсолютная биодоступность эд</w:t>
      </w:r>
      <w:r w:rsidR="00D62B17">
        <w:rPr>
          <w:rFonts w:ascii="Times New Roman" w:hAnsi="Times New Roman" w:cs="Times New Roman"/>
          <w:sz w:val="28"/>
          <w:szCs w:val="28"/>
          <w:lang w:bidi="ar-SA"/>
        </w:rPr>
        <w:t>ок</w:t>
      </w:r>
      <w:r w:rsidR="00D62B17" w:rsidRPr="00D62B17">
        <w:rPr>
          <w:rFonts w:ascii="Times New Roman" w:hAnsi="Times New Roman" w:cs="Times New Roman"/>
          <w:sz w:val="28"/>
          <w:szCs w:val="28"/>
          <w:lang w:bidi="ar-SA"/>
        </w:rPr>
        <w:t>сабана оценивается на уровне приблизительно 62%</w:t>
      </w:r>
      <w:r w:rsidR="00D62B17">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{"citationID":"2HUj2eVC","properties":{"unsorted":false,"formattedCitation":"[168]","plainCitation":"[168]","noteIndex":0},"citationItems":[{"id":100,"uris":["http://zotero.org/users/14784094/items/XPRQA2HH"],"itemData":{"id":100,"type":"article-journal","abstract":"Edoxaban, a once daily non-vitamin K antagonist oral anticoagulant, is a direct, selective, reversible inhibitor of factor Xa (FXa). In healthy subjects, single oral doses of edoxaban result in peak plasma concentrations within 1.0–2.0 h of administration, followed by a biphasic decline. Exposure is approximately dose proportional for once daily doses of 15–150 mg. Edoxaban is predominantly absorbed from the upper gastrointestinal tract, and oral bioavailability is approximately 62 %. Food does not affect total exposure to edoxaban. The terminal elimination half-life in healthy subjects ranges from 10 to 14 h, with minimal accumulation upon repeat once daily dosing up to doses of 120 mg. The steady-state volume of distribution is approximately 107 L, and total clearance is approximately 22 L/h; renal clearance accounts for approximately 50 % of total clearance, while metabolism and biliary secretion account for the remaining 50 %. Intrinsic factors, such as age, sex and race, do not affect edoxaban pharmacokinetics after renal function is taken into account. Oral administration of edoxaban results in rapid changes in anticoagulatory biomarkers, with peak effects on anticoagulation markers (such as anti-FXa), the prothrombin time and the activated partial thromboplastin time occurring within 1–2 h of dosing.","container-title":"Clinical Pharmacokinetics","DOI":"10.1007/s40262-015-0342-7","ISSN":"0312-5963","journalAbbreviation":"Clin Pharmacokinet","page":"641-655","PMID":"26620048","PMCID":"PMC4875962","source":"PubMed Central","title":"Pharmacokinetics and Pharmacodynamics of Edoxaban, a Non-Vitamin K Antagonist Oral Anticoagulant that Inhibits Clotting Factor Xa","volume":"55","author":[{"family":"Parasrampuria","given":"Dolly A."},{"family":"Truitt","given":"Kenneth E."}],"issued":{"date-parts":[["2016"]]}}}],"schema":"https://github.com/citation-style-language/schema/raw/master/csl-citation.json"} </w:instrText>
      </w:r>
      <w:r w:rsidR="00D62B17">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[168]</w:t>
      </w:r>
      <w:r w:rsidR="00D62B17">
        <w:rPr>
          <w:rFonts w:ascii="Times New Roman" w:hAnsi="Times New Roman" w:cs="Times New Roman"/>
          <w:sz w:val="28"/>
          <w:szCs w:val="28"/>
          <w:lang w:val="en-US" w:bidi="ar-SA"/>
        </w:rPr>
        <w:fldChar w:fldCharType="end"/>
      </w:r>
      <w:r w:rsidR="00D62B17" w:rsidRPr="00D62B17">
        <w:rPr>
          <w:rFonts w:ascii="Times New Roman" w:hAnsi="Times New Roman" w:cs="Times New Roman"/>
          <w:sz w:val="28"/>
          <w:szCs w:val="28"/>
          <w:lang w:bidi="ar-SA"/>
        </w:rPr>
        <w:t>. Период полувыведения препарата из системного кровотока составляет от 10 до 14</w:t>
      </w:r>
      <w:r w:rsidR="00D62B17">
        <w:rPr>
          <w:rFonts w:ascii="Times New Roman" w:hAnsi="Times New Roman" w:cs="Times New Roman"/>
          <w:sz w:val="28"/>
          <w:szCs w:val="28"/>
          <w:lang w:bidi="ar-SA"/>
        </w:rPr>
        <w:t xml:space="preserve"> часов</w:t>
      </w:r>
      <w:r w:rsidR="00D62B17" w:rsidRPr="00D62B17">
        <w:rPr>
          <w:rFonts w:ascii="Times New Roman" w:hAnsi="Times New Roman" w:cs="Times New Roman"/>
          <w:sz w:val="28"/>
          <w:szCs w:val="28"/>
          <w:lang w:bidi="ar-SA"/>
        </w:rPr>
        <w:t>, что обеспечивает возможность однократного суточного дозирования для поддержани</w:t>
      </w:r>
      <w:r w:rsidR="00D62B17">
        <w:rPr>
          <w:rFonts w:ascii="Times New Roman" w:hAnsi="Times New Roman" w:cs="Times New Roman"/>
          <w:sz w:val="28"/>
          <w:szCs w:val="28"/>
          <w:lang w:bidi="ar-SA"/>
        </w:rPr>
        <w:t xml:space="preserve">я </w:t>
      </w:r>
      <w:r w:rsidR="00D62B17" w:rsidRPr="00D62B17">
        <w:rPr>
          <w:rFonts w:ascii="Times New Roman" w:hAnsi="Times New Roman" w:cs="Times New Roman"/>
          <w:sz w:val="28"/>
          <w:szCs w:val="28"/>
          <w:lang w:bidi="ar-SA"/>
        </w:rPr>
        <w:t>стабильного антикоагулянтно</w:t>
      </w:r>
      <w:r w:rsidR="00D62B17">
        <w:rPr>
          <w:rFonts w:ascii="Times New Roman" w:hAnsi="Times New Roman" w:cs="Times New Roman"/>
          <w:sz w:val="28"/>
          <w:szCs w:val="28"/>
          <w:lang w:bidi="ar-SA"/>
        </w:rPr>
        <w:t>го</w:t>
      </w:r>
      <w:r w:rsidR="00D62B17" w:rsidRPr="00D62B17">
        <w:rPr>
          <w:rFonts w:ascii="Times New Roman" w:hAnsi="Times New Roman" w:cs="Times New Roman"/>
          <w:sz w:val="28"/>
          <w:szCs w:val="28"/>
          <w:lang w:bidi="ar-SA"/>
        </w:rPr>
        <w:t xml:space="preserve"> эффекта</w:t>
      </w:r>
      <w:r w:rsidR="00D62B1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{"citationID":"oDJzM6cI","properties":{"unsorted":false,"formattedCitation":"[169]","plainCitation":"[169]","noteIndex":0},"citationItems":[{"id":101,"uris":["http://zotero.org/users/14784094/items/GPMC326P"],"itemData":{"id":101,"type":"article-journal","abstract":"Edoxaban, a direct factor Xa inhibitor, was extensively studied in the prevention and treatment of venous thromboembolism and in patients with nonvalvular atrial fibrillation (AF). The aim of this review is to focus specifically on the efficacy and safety profile of edoxaban in patients with AF from preclinical development through the phase III trial that led to regulatory approval.","container-title":"Therapeutic Advances in Cardiovascular Disease","DOI":"10.1177/1753944715622130","ISSN":"1753-9455","issue":"3","journalAbbreviation":"Ther Adv Cardiovasc Dis","language":"eng","page":"81-90","PMID":"26680560","PMCID":"PMC5942795","source":"PubMed","title":"Edoxaban in patients with atrial fibrillation","volume":"11","author":[{"family":"Eisen","given":"Alon"},{"family":"Ruff","given":"Christian T."}],"issued":{"date-parts":[["2017",3]]}}}],"schema":"https://github.com/citation-style-language/schema/raw/master/csl-citation.json"} </w:instrText>
      </w:r>
      <w:r w:rsidR="00D62B1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[169]</w:t>
      </w:r>
      <w:r w:rsidR="00D62B17">
        <w:rPr>
          <w:rFonts w:ascii="Times New Roman" w:hAnsi="Times New Roman" w:cs="Times New Roman"/>
          <w:sz w:val="28"/>
          <w:szCs w:val="28"/>
          <w:lang w:bidi="ar-SA"/>
        </w:rPr>
        <w:fldChar w:fldCharType="end"/>
      </w:r>
      <w:r w:rsidR="00D62B17" w:rsidRPr="00D62B17">
        <w:rPr>
          <w:rFonts w:ascii="Times New Roman" w:hAnsi="Times New Roman" w:cs="Times New Roman"/>
          <w:sz w:val="28"/>
          <w:szCs w:val="28"/>
          <w:lang w:bidi="ar-SA"/>
        </w:rPr>
        <w:t>. Почечны</w:t>
      </w:r>
      <w:r w:rsidR="00D62B17">
        <w:rPr>
          <w:rFonts w:ascii="Times New Roman" w:hAnsi="Times New Roman" w:cs="Times New Roman"/>
          <w:sz w:val="28"/>
          <w:szCs w:val="28"/>
          <w:lang w:bidi="ar-SA"/>
        </w:rPr>
        <w:t>й</w:t>
      </w:r>
      <w:r w:rsidR="00D62B17" w:rsidRPr="00D62B17">
        <w:rPr>
          <w:rFonts w:ascii="Times New Roman" w:hAnsi="Times New Roman" w:cs="Times New Roman"/>
          <w:sz w:val="28"/>
          <w:szCs w:val="28"/>
          <w:lang w:bidi="ar-SA"/>
        </w:rPr>
        <w:t xml:space="preserve"> пут</w:t>
      </w:r>
      <w:r w:rsidR="00D62B17">
        <w:rPr>
          <w:rFonts w:ascii="Times New Roman" w:hAnsi="Times New Roman" w:cs="Times New Roman"/>
          <w:sz w:val="28"/>
          <w:szCs w:val="28"/>
          <w:lang w:bidi="ar-SA"/>
        </w:rPr>
        <w:t>ь эли</w:t>
      </w:r>
      <w:r w:rsidR="00D62B17" w:rsidRPr="00D62B17">
        <w:rPr>
          <w:rFonts w:ascii="Times New Roman" w:hAnsi="Times New Roman" w:cs="Times New Roman"/>
          <w:sz w:val="28"/>
          <w:szCs w:val="28"/>
          <w:lang w:bidi="ar-SA"/>
        </w:rPr>
        <w:t>минаци</w:t>
      </w:r>
      <w:r w:rsidR="00D62B17">
        <w:rPr>
          <w:rFonts w:ascii="Times New Roman" w:hAnsi="Times New Roman" w:cs="Times New Roman"/>
          <w:sz w:val="28"/>
          <w:szCs w:val="28"/>
          <w:lang w:bidi="ar-SA"/>
        </w:rPr>
        <w:t xml:space="preserve">и </w:t>
      </w:r>
      <w:r w:rsidR="00D62B17" w:rsidRPr="00D62B17">
        <w:rPr>
          <w:rFonts w:ascii="Times New Roman" w:hAnsi="Times New Roman" w:cs="Times New Roman"/>
          <w:sz w:val="28"/>
          <w:szCs w:val="28"/>
          <w:lang w:bidi="ar-SA"/>
        </w:rPr>
        <w:t xml:space="preserve">играет существенную роль в выведении </w:t>
      </w:r>
      <w:r w:rsidR="00D62B17">
        <w:rPr>
          <w:rFonts w:ascii="Times New Roman" w:hAnsi="Times New Roman" w:cs="Times New Roman"/>
          <w:sz w:val="28"/>
          <w:szCs w:val="28"/>
          <w:lang w:bidi="ar-SA"/>
        </w:rPr>
        <w:t>эдок</w:t>
      </w:r>
      <w:r w:rsidR="00D62B17" w:rsidRPr="00D62B17">
        <w:rPr>
          <w:rFonts w:ascii="Times New Roman" w:hAnsi="Times New Roman" w:cs="Times New Roman"/>
          <w:sz w:val="28"/>
          <w:szCs w:val="28"/>
          <w:lang w:bidi="ar-SA"/>
        </w:rPr>
        <w:t>сабана, на его долю приходится около 50% неизмененного препарата</w:t>
      </w:r>
      <w:r w:rsidR="00D62B1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{"citationID":"cWHG5tjp","properties":{"unsorted":false,"formattedCitation":"[14,168]","plainCitation":"[14,168]","noteIndex":0},"citationItems":[{"id":248,"uris":["http://zotero.org/users/14784094/items/3QLQY7JC"],"itemData":{"id":248,"type":"article-journal","abstract":"Direct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P."}],"issued":{"date-parts":[["2019",1,17]]}}},{"id":100,"uris":["http://zotero.org/users/14784094/items/XPRQA2HH"],"itemData":{"id":100,"type":"article-journal","abstract":"Edoxaban, a once daily non-vitamin K antagonist oral anticoagulant, is a direct, selective, reversible inhibitor of factor Xa (FXa). In healthy subjects, single oral doses of edoxaban result in peak plasma concentrations within 1.0–2.0 h of administration, followed by a biphasic decline. Exposure is approximately dose proportional for once daily doses of 15–150 mg. Edoxaban is predominantly absorbed from the upper gastrointestinal tract, and oral bioavailability is approximately 62 %. Food does not affect total exposure to edoxaban. The terminal elimination half-life in healthy subjects ranges from 10 to 14 h, with minimal accumulation upon repeat once daily dosing up to doses of 120 mg. The steady-state volume of distribution is approximately 107 L, and total clearance is approximately 22 L/h; renal clearance accounts for approximately 50 % of total clearance, while metabolism and biliary secretion account for the remaining 50 %. Intrinsic factors, such as age, sex and race, do not affect edoxaban pharmacokinetics after renal function is taken into account. Oral administration of edoxaban results in rapid changes in anticoagulatory biomarkers, with peak effects on anticoagulation markers (such as anti-FXa), the prothrombin time and the activated partial thromboplastin time occurring within 1–2 h of dosing.","container-title":"Clinical Pharmacokinetics","DOI":"10.1007/s40262-015-0342-7","ISSN":"0312-5963","journalAbbreviation":"Clin Pharmacokinet","page":"641-655","PMID":"26620048","PMCID":"PMC4875962","source":"PubMed Central","title":"Pharmacokinetics and Pharmacodynamics of Edoxaban, a Non-Vitamin K Antagonist Oral Anticoagulant that Inhibits Clotting Factor Xa","volume":"55","author":[{"family":"Parasrampuria","given":"Dolly A."},{"family":"Truitt","given":"Kenneth E."}],"issued":{"date-parts":[["2016"]]}}}],"schema":"https://github.com/citation-style-language/schema/raw/master/csl-citation.json"} </w:instrText>
      </w:r>
      <w:r w:rsidR="00D62B1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[14,168]</w:t>
      </w:r>
      <w:r w:rsidR="00D62B17">
        <w:rPr>
          <w:rFonts w:ascii="Times New Roman" w:hAnsi="Times New Roman" w:cs="Times New Roman"/>
          <w:sz w:val="28"/>
          <w:szCs w:val="28"/>
          <w:lang w:bidi="ar-SA"/>
        </w:rPr>
        <w:fldChar w:fldCharType="end"/>
      </w:r>
      <w:r w:rsidR="00D62B17" w:rsidRPr="00D62B17">
        <w:rPr>
          <w:rFonts w:ascii="Times New Roman" w:hAnsi="Times New Roman" w:cs="Times New Roman"/>
          <w:sz w:val="28"/>
          <w:szCs w:val="28"/>
          <w:lang w:bidi="ar-SA"/>
        </w:rPr>
        <w:t>. Важн</w:t>
      </w:r>
      <w:r w:rsidR="00D62B17">
        <w:rPr>
          <w:rFonts w:ascii="Times New Roman" w:hAnsi="Times New Roman" w:cs="Times New Roman"/>
          <w:sz w:val="28"/>
          <w:szCs w:val="28"/>
          <w:lang w:bidi="ar-SA"/>
        </w:rPr>
        <w:t>о</w:t>
      </w:r>
      <w:r w:rsidR="00D62B17" w:rsidRPr="00D62B17">
        <w:rPr>
          <w:rFonts w:ascii="Times New Roman" w:hAnsi="Times New Roman" w:cs="Times New Roman"/>
          <w:sz w:val="28"/>
          <w:szCs w:val="28"/>
          <w:lang w:bidi="ar-SA"/>
        </w:rPr>
        <w:t>й отличительн</w:t>
      </w:r>
      <w:r w:rsidR="00D62B17">
        <w:rPr>
          <w:rFonts w:ascii="Times New Roman" w:hAnsi="Times New Roman" w:cs="Times New Roman"/>
          <w:sz w:val="28"/>
          <w:szCs w:val="28"/>
          <w:lang w:bidi="ar-SA"/>
        </w:rPr>
        <w:t>о</w:t>
      </w:r>
      <w:r w:rsidR="00D62B17" w:rsidRPr="00D62B17">
        <w:rPr>
          <w:rFonts w:ascii="Times New Roman" w:hAnsi="Times New Roman" w:cs="Times New Roman"/>
          <w:sz w:val="28"/>
          <w:szCs w:val="28"/>
          <w:lang w:bidi="ar-SA"/>
        </w:rPr>
        <w:t>й фармакокинетической особенностью эд</w:t>
      </w:r>
      <w:r w:rsidR="00D62B17">
        <w:rPr>
          <w:rFonts w:ascii="Times New Roman" w:hAnsi="Times New Roman" w:cs="Times New Roman"/>
          <w:sz w:val="28"/>
          <w:szCs w:val="28"/>
          <w:lang w:bidi="ar-SA"/>
        </w:rPr>
        <w:t>ок</w:t>
      </w:r>
      <w:r w:rsidR="00D62B17" w:rsidRPr="00D62B17">
        <w:rPr>
          <w:rFonts w:ascii="Times New Roman" w:hAnsi="Times New Roman" w:cs="Times New Roman"/>
          <w:sz w:val="28"/>
          <w:szCs w:val="28"/>
          <w:lang w:bidi="ar-SA"/>
        </w:rPr>
        <w:t xml:space="preserve">сабана является его минимальная зависимость от системы цитохрома </w:t>
      </w:r>
      <w:r w:rsidR="00D62B17">
        <w:rPr>
          <w:rFonts w:ascii="Times New Roman" w:hAnsi="Times New Roman" w:cs="Times New Roman"/>
          <w:sz w:val="28"/>
          <w:szCs w:val="28"/>
          <w:lang w:bidi="ar-SA"/>
        </w:rPr>
        <w:t>Р</w:t>
      </w:r>
      <w:r w:rsidR="00D62B17" w:rsidRPr="00D62B17">
        <w:rPr>
          <w:rFonts w:ascii="Times New Roman" w:hAnsi="Times New Roman" w:cs="Times New Roman"/>
          <w:sz w:val="28"/>
          <w:szCs w:val="28"/>
          <w:lang w:bidi="ar-SA"/>
        </w:rPr>
        <w:t>450,</w:t>
      </w:r>
      <w:r w:rsidR="00D62B17">
        <w:rPr>
          <w:rFonts w:ascii="Times New Roman" w:hAnsi="Times New Roman" w:cs="Times New Roman"/>
          <w:sz w:val="28"/>
          <w:szCs w:val="28"/>
          <w:lang w:bidi="ar-SA"/>
        </w:rPr>
        <w:t xml:space="preserve"> </w:t>
      </w:r>
      <w:r w:rsidR="00D62B17" w:rsidRPr="00D62B17">
        <w:rPr>
          <w:rFonts w:ascii="Times New Roman" w:hAnsi="Times New Roman" w:cs="Times New Roman"/>
          <w:sz w:val="28"/>
          <w:szCs w:val="28"/>
          <w:lang w:bidi="ar-SA"/>
        </w:rPr>
        <w:t>в частности от изофермента</w:t>
      </w:r>
      <w:r w:rsidR="00D62B17">
        <w:rPr>
          <w:rFonts w:ascii="Times New Roman" w:hAnsi="Times New Roman" w:cs="Times New Roman"/>
          <w:sz w:val="28"/>
          <w:szCs w:val="28"/>
          <w:lang w:bidi="ar-SA"/>
        </w:rPr>
        <w:t xml:space="preserve"> </w:t>
      </w:r>
      <w:r w:rsidR="00D62B17">
        <w:rPr>
          <w:rFonts w:ascii="Times New Roman" w:hAnsi="Times New Roman" w:cs="Times New Roman"/>
          <w:sz w:val="28"/>
          <w:szCs w:val="28"/>
          <w:lang w:val="en-US" w:bidi="ar-SA"/>
        </w:rPr>
        <w:t>CYP</w:t>
      </w:r>
      <w:r w:rsidR="00D62B17" w:rsidRPr="00D62B17">
        <w:rPr>
          <w:rFonts w:ascii="Times New Roman" w:hAnsi="Times New Roman" w:cs="Times New Roman"/>
          <w:sz w:val="28"/>
          <w:szCs w:val="28"/>
          <w:lang w:bidi="ar-SA"/>
        </w:rPr>
        <w:t>3</w:t>
      </w:r>
      <w:r w:rsidR="00D62B17">
        <w:rPr>
          <w:rFonts w:ascii="Times New Roman" w:hAnsi="Times New Roman" w:cs="Times New Roman"/>
          <w:sz w:val="28"/>
          <w:szCs w:val="28"/>
          <w:lang w:val="en-US" w:bidi="ar-SA"/>
        </w:rPr>
        <w:t>A</w:t>
      </w:r>
      <w:r w:rsidR="00D62B17" w:rsidRPr="00D62B17">
        <w:rPr>
          <w:rFonts w:ascii="Times New Roman" w:hAnsi="Times New Roman" w:cs="Times New Roman"/>
          <w:sz w:val="28"/>
          <w:szCs w:val="28"/>
          <w:lang w:bidi="ar-SA"/>
        </w:rPr>
        <w:t>4, котор</w:t>
      </w:r>
      <w:r w:rsidR="00D62B17">
        <w:rPr>
          <w:rFonts w:ascii="Times New Roman" w:hAnsi="Times New Roman" w:cs="Times New Roman"/>
          <w:sz w:val="28"/>
          <w:szCs w:val="28"/>
          <w:lang w:bidi="ar-SA"/>
        </w:rPr>
        <w:t>ый</w:t>
      </w:r>
      <w:r w:rsidR="00D62B17" w:rsidRPr="00D62B17">
        <w:rPr>
          <w:rFonts w:ascii="Times New Roman" w:hAnsi="Times New Roman" w:cs="Times New Roman"/>
          <w:sz w:val="28"/>
          <w:szCs w:val="28"/>
          <w:lang w:bidi="ar-SA"/>
        </w:rPr>
        <w:t xml:space="preserve"> активно участвует в метаболизме </w:t>
      </w:r>
      <w:r w:rsidR="00D62B17">
        <w:rPr>
          <w:rFonts w:ascii="Times New Roman" w:hAnsi="Times New Roman" w:cs="Times New Roman"/>
          <w:sz w:val="28"/>
          <w:szCs w:val="28"/>
          <w:lang w:bidi="ar-SA"/>
        </w:rPr>
        <w:t>ривароксабана и апиксабана</w:t>
      </w:r>
      <w:r w:rsidR="00D62B1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{"citationID":"kcpIqPxU","properties":{"unsorted":false,"formattedCitation":"[169]","plainCitation":"[169]","noteIndex":0},"citationItems":[{"id":101,"uris":["http://zotero.org/users/14784094/items/GPMC326P"],"itemData":{"id":101,"type":"article-journal","abstract":"Edoxaban, a direct factor Xa inhibitor, was extensively studied in the prevention and treatment of venous thromboembolism and in patients with nonvalvular atrial fibrillation (AF). The aim of this review is to focus specifically on the efficacy and safety profile of edoxaban in patients with AF from preclinical development through the phase III trial that led to regulatory approval.","container-title":"Therapeutic Advances in Cardiovascular Disease","DOI":"10.1177/1753944715622130","ISSN":"1753-9455","issue":"3","journalAbbreviation":"Ther Adv Cardiovasc Dis","language":"eng","page":"81-90","PMID":"26680560","PMCID":"PMC5942795","source":"PubMed","title":"Edoxaban in patients with atrial fibrillation","volume":"11","author":[{"family":"Eisen","given":"Alon"},{"family":"Ruff","given":"Christian T."}],"issued":{"date-parts":[["2017",3]]}}}],"schema":"https://github.com/citation-style-language/schema/raw/master/csl-citation.json"} </w:instrText>
      </w:r>
      <w:r w:rsidR="00D62B1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[169]</w:t>
      </w:r>
      <w:r w:rsidR="00D62B17">
        <w:rPr>
          <w:rFonts w:ascii="Times New Roman" w:hAnsi="Times New Roman" w:cs="Times New Roman"/>
          <w:sz w:val="28"/>
          <w:szCs w:val="28"/>
          <w:lang w:bidi="ar-SA"/>
        </w:rPr>
        <w:fldChar w:fldCharType="end"/>
      </w:r>
      <w:r w:rsidR="00D62B17" w:rsidRPr="00D62B17">
        <w:rPr>
          <w:rFonts w:ascii="Times New Roman" w:hAnsi="Times New Roman" w:cs="Times New Roman"/>
          <w:sz w:val="28"/>
          <w:szCs w:val="28"/>
          <w:lang w:bidi="ar-SA"/>
        </w:rPr>
        <w:t>. Эт</w:t>
      </w:r>
      <w:r w:rsidR="00D62B17">
        <w:rPr>
          <w:rFonts w:ascii="Times New Roman" w:hAnsi="Times New Roman" w:cs="Times New Roman"/>
          <w:sz w:val="28"/>
          <w:szCs w:val="28"/>
          <w:lang w:bidi="ar-SA"/>
        </w:rPr>
        <w:t>о</w:t>
      </w:r>
      <w:r w:rsidR="00D62B17" w:rsidRPr="00D62B17">
        <w:rPr>
          <w:rFonts w:ascii="Times New Roman" w:hAnsi="Times New Roman" w:cs="Times New Roman"/>
          <w:sz w:val="28"/>
          <w:szCs w:val="28"/>
          <w:lang w:bidi="ar-SA"/>
        </w:rPr>
        <w:t xml:space="preserve"> свойство существенно снижает потенциал клинически значимых межлекарственных взаимодействий</w:t>
      </w:r>
      <w:r w:rsidR="00D62B17">
        <w:rPr>
          <w:rFonts w:ascii="Times New Roman" w:hAnsi="Times New Roman" w:cs="Times New Roman"/>
          <w:sz w:val="28"/>
          <w:szCs w:val="28"/>
          <w:lang w:bidi="ar-SA"/>
        </w:rPr>
        <w:t xml:space="preserve"> (</w:t>
      </w:r>
      <w:r w:rsidR="00D62B17">
        <w:rPr>
          <w:rFonts w:ascii="Times New Roman" w:hAnsi="Times New Roman" w:cs="Times New Roman"/>
          <w:sz w:val="28"/>
          <w:szCs w:val="28"/>
          <w:lang w:val="en-US" w:bidi="ar-SA"/>
        </w:rPr>
        <w:t>DDI</w:t>
      </w:r>
      <w:r w:rsidR="00D62B17">
        <w:rPr>
          <w:rFonts w:ascii="Times New Roman" w:hAnsi="Times New Roman" w:cs="Times New Roman"/>
          <w:sz w:val="28"/>
          <w:szCs w:val="28"/>
          <w:lang w:bidi="ar-SA"/>
        </w:rPr>
        <w:t>)</w:t>
      </w:r>
      <w:r w:rsidR="00D62B17" w:rsidRPr="00D62B17">
        <w:rPr>
          <w:rFonts w:ascii="Times New Roman" w:hAnsi="Times New Roman" w:cs="Times New Roman"/>
          <w:sz w:val="28"/>
          <w:szCs w:val="28"/>
          <w:lang w:bidi="ar-SA"/>
        </w:rPr>
        <w:t xml:space="preserve"> с мощными индукторами (например, рифампицин, карбамазепин) или ингибиторами (например, кетоконазол, итраконазол) </w:t>
      </w:r>
      <w:r w:rsidR="00D62B17">
        <w:rPr>
          <w:rFonts w:ascii="Times New Roman" w:hAnsi="Times New Roman" w:cs="Times New Roman"/>
          <w:sz w:val="28"/>
          <w:szCs w:val="28"/>
          <w:lang w:val="en-US" w:bidi="ar-SA"/>
        </w:rPr>
        <w:t>CYP</w:t>
      </w:r>
      <w:r w:rsidR="00D62B17" w:rsidRPr="00D62B17">
        <w:rPr>
          <w:rFonts w:ascii="Times New Roman" w:hAnsi="Times New Roman" w:cs="Times New Roman"/>
          <w:sz w:val="28"/>
          <w:szCs w:val="28"/>
          <w:lang w:bidi="ar-SA"/>
        </w:rPr>
        <w:t>3</w:t>
      </w:r>
      <w:r w:rsidR="00D62B17">
        <w:rPr>
          <w:rFonts w:ascii="Times New Roman" w:hAnsi="Times New Roman" w:cs="Times New Roman"/>
          <w:sz w:val="28"/>
          <w:szCs w:val="28"/>
          <w:lang w:val="en-US" w:bidi="ar-SA"/>
        </w:rPr>
        <w:t>A</w:t>
      </w:r>
      <w:r w:rsidR="00D62B17" w:rsidRPr="00D62B17">
        <w:rPr>
          <w:rFonts w:ascii="Times New Roman" w:hAnsi="Times New Roman" w:cs="Times New Roman"/>
          <w:sz w:val="28"/>
          <w:szCs w:val="28"/>
          <w:lang w:bidi="ar-SA"/>
        </w:rPr>
        <w:t>4, что является важным преимуществом в условиях полипрагмази</w:t>
      </w:r>
      <w:r w:rsidR="00D62B17">
        <w:rPr>
          <w:rFonts w:ascii="Times New Roman" w:hAnsi="Times New Roman" w:cs="Times New Roman"/>
          <w:sz w:val="28"/>
          <w:szCs w:val="28"/>
          <w:lang w:bidi="ar-SA"/>
        </w:rPr>
        <w:t>и</w:t>
      </w:r>
      <w:r w:rsidR="00D62B1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{"citationID":"exqZVUrS","properties":{"unsorted":false,"formattedCitation":"[138,170]","plainCitation":"[138,170]","noteIndex":0},"citationItems":[{"id":128,"uris":["http://zotero.org/users/14784094/items/TSJR62IB"],"itemData":{"id":128,"type":"article-journal","abstract":"Oral anticoagulants (OACs) are medications commonly used in patients with atrial fibrillation and other cardiovascular conditions. Both warfarin and direct oral anticoagulants are susceptible to drug-drug interactions (DDIs). DDIs are an important cause of adverse drug reactions and exact a large toll on the health care system. DDI for warfarin mainly involve moderate to strong inhibitors/inducers of cytochrome P450 (CYP) 2C9, which is responsible for the elimination of the more potent S-isomer of warfarin. However, inhibitor/inducers of CYP3A4 and CYP1A2 may also cause DDI with warfarin. Recognition of these precipitating agents along with increased frequency of monitoring when these agents are initiated or discontinued will minimize the impact of warfarin DDI. Direct oral anticoagulants are mainly affected by medications strongly affecting the permeability glycoprotein (P-gp), and to a lesser extent, strong CYP3A4 inhibitors/inducers. Dabigatran and edoxaban are affected by P-gp modulation. Strong inducers of CYP3A4 or P-gp should be avoided in all patients taking direct oral anticoagulant unless previously proven to be otherwise safe. Simultaneous strong CYP3A4 and P-gp inhibitors should be avoided in patients taking apixaban and rivaroxaban. Concomitant antiplatelet/anticoagulant use confers additive risk for bleeding, but their combination is unavoidable in many cases. Minimizing duration of concomitant anticoagulant/ antiplatelet therapy as indicated by evidence-based clinical guidelines is the best way to reduce the risk of bleeding.","container-title":"Circulation: Arrhythmia and Electrophysiology","DOI":"10.1161/CIRCEP.121.007956","ISSN":"1941-3149, 1941-3084","issue":"6","journalAbbreviation":"Circ: Arrhythmia and Electrophysiology","language":"en","source":"DOI.org (Crossref)","title":"Drug Interactions Affecting Oral Anticoagulant Use","URL":"https://www.ahajournals.org/doi/10.1161/CIRCEP.121.007956","volume":"15","author":[{"family":"Mar","given":"Philip L."},{"family":"Gopinathannair","given":"Rakesh"},{"family":"Gengler","given":"Brooke E."},{"family":"Chung","given":"Mina K."},{"family":"Perez","given":"Arturo"},{"family":"Dukes","given":"Jonathan"},{"family":"Ezekowitz","given":"Michael D."},{"family":"Lakkireddy","given":"Dhanunjaya"},{"family":"Lip","given":"Gregory Y.H."},{"family":"Miletello","given":"Mike"},{"family":"Noseworthy","given":"Peter A."},{"family":"Reiffel","given":"James"},{"family":"Tisdale","given":"James E."},{"family":"Olshansky","given":"Brian"},{"literal":"from the American Heart Association Electrocardiography &amp; Arrhythmias Committee of the Council of Clinical Cardiology"}],"accessed":{"date-parts":[["2025",6,9]]},"issued":{"date-parts":[["2022",6]]}}},{"id":96,"uris":["http://zotero.org/users/14784094/items/8L2U99UP"],"itemData":{"id":96,"type":"article-journal","abstract":"The aim of the study was to assess the magnitude of the CYP3A4 inhibitory effect of 2 dosing regimens of ketoconazole and the influence of the pharmacokinetic properties of the CYP3A4 substrate on the extent of the substrate exposure increase. For this purpose, a clinical study was conducted and PBPK modeling simulations were performed. A crossover study was conducted in healthy subjects. The study was designed to compare the effects of different regimens of reversible CYP3A4 inhibitors, i.e., ketoconazole 400 mg OD, ketoconazole 200 mg BID, on two CYP3A4 substrates, alprazolam and midazolam, reflecting different pharmacokinetic properties in terms of first-pass effect and elimination. In parallel, time-based simulations were performed using the Simcyp population-based Simulator to address the usefulness of modeling to assess interaction clinical study design with CYP3A4 substrates. Comparison of the OD versus BID regimens for ketoconazole showed an opposite trend for the 2 substrates: BID (200 mg) dosing regimen provided the maximal clearance inhibition for alprazolam, while it was OD (400 mg) dosing regimen for midazolam. However, these effects are moderate despite the well-known pharmacokinetic differences between these substrates, suggesting that these differences are not enough. In the other way round, these investigations show how two CYP3A4 substrates can be different without leading to a major impact of the ketoconazole dosing regimen. The clinical findings are consistent with the Simcyp predictions, in particular the opposite trend observed with midazolam and alprazolam and the ketoconazole dosing regimen. These clinical investigations showed the influence of the CYP3A4 substrates' pharmacokinetic properties and the relevance of ketoconazole dose regimen on the magnitude of the interaction ratios. In addition, PBPK Simcyp simulations demonstrated how they can be used to help clinical study design assessment to capture the maximum effect.","container-title":"European Journal of Drug Metabolism and Pharmacokinetics","DOI":"10.1007/s13318-014-0235-4","ISSN":"2107-0180","issue":"1","journalAbbreviation":"Eur J Drug Metab Pharmacokinet","language":"eng","page":"45-54","PMID":"25374256","source":"PubMed","title":"CYP3A4-based drug-drug interaction: CYP3A4 substrates' pharmacokinetic properties and ketoconazole dose regimen effect","title-short":"CYP3A4-based drug-drug interaction","volume":"41","author":[{"family":"Boulenc","given":"Xavier"},{"family":"Nicolas","given":"Olivier"},{"family":"Hermabessière","given":"Stéphanie"},{"family":"Zobouyan","given":"Isabelle"},{"family":"Martin","given":"Valérie"},{"family":"Donazzolo","given":"Yves"},{"family":"Ollier","given":"Céline"}],"issued":{"date-parts":[["2016",2]]}}}],"schema":"https://github.com/citation-style-language/schema/raw/master/csl-citation.json"} </w:instrText>
      </w:r>
      <w:r w:rsidR="00D62B1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[138,170]</w:t>
      </w:r>
      <w:r w:rsidR="00D62B17">
        <w:rPr>
          <w:rFonts w:ascii="Times New Roman" w:hAnsi="Times New Roman" w:cs="Times New Roman"/>
          <w:sz w:val="28"/>
          <w:szCs w:val="28"/>
          <w:lang w:bidi="ar-SA"/>
        </w:rPr>
        <w:fldChar w:fldCharType="end"/>
      </w:r>
      <w:r w:rsidR="00920CFE" w:rsidRPr="00920CFE">
        <w:rPr>
          <w:rFonts w:ascii="Times New Roman" w:hAnsi="Times New Roman" w:cs="Times New Roman"/>
          <w:sz w:val="28"/>
          <w:szCs w:val="28"/>
          <w:lang w:bidi="ar-SA"/>
        </w:rPr>
        <w:t>. Однако</w:t>
      </w:r>
      <w:r w:rsidR="00920CFE">
        <w:rPr>
          <w:rFonts w:ascii="Times New Roman" w:hAnsi="Times New Roman" w:cs="Times New Roman"/>
          <w:sz w:val="28"/>
          <w:szCs w:val="28"/>
          <w:lang w:bidi="ar-SA"/>
        </w:rPr>
        <w:t xml:space="preserve"> эдоксабан </w:t>
      </w:r>
      <w:r w:rsidR="00920CFE" w:rsidRPr="00920CFE">
        <w:rPr>
          <w:rFonts w:ascii="Times New Roman" w:hAnsi="Times New Roman" w:cs="Times New Roman"/>
          <w:sz w:val="28"/>
          <w:szCs w:val="28"/>
          <w:lang w:bidi="ar-SA"/>
        </w:rPr>
        <w:t>является субстратом</w:t>
      </w:r>
      <w:r w:rsidR="00920CFE">
        <w:rPr>
          <w:rFonts w:ascii="Times New Roman" w:hAnsi="Times New Roman" w:cs="Times New Roman"/>
          <w:sz w:val="28"/>
          <w:szCs w:val="28"/>
          <w:lang w:bidi="ar-SA"/>
        </w:rPr>
        <w:t xml:space="preserve"> </w:t>
      </w:r>
      <w:r w:rsidR="00920CFE">
        <w:rPr>
          <w:rFonts w:ascii="Times New Roman" w:hAnsi="Times New Roman" w:cs="Times New Roman"/>
          <w:sz w:val="28"/>
          <w:szCs w:val="28"/>
          <w:lang w:val="en-US" w:bidi="ar-SA"/>
        </w:rPr>
        <w:t>P</w:t>
      </w:r>
      <w:r w:rsidR="00920CFE" w:rsidRPr="00920CFE">
        <w:rPr>
          <w:rFonts w:ascii="Times New Roman" w:hAnsi="Times New Roman" w:cs="Times New Roman"/>
          <w:sz w:val="28"/>
          <w:szCs w:val="28"/>
          <w:lang w:bidi="ar-SA"/>
        </w:rPr>
        <w:t>-</w:t>
      </w:r>
      <w:r w:rsidR="00920CFE">
        <w:rPr>
          <w:rFonts w:ascii="Times New Roman" w:hAnsi="Times New Roman" w:cs="Times New Roman"/>
          <w:sz w:val="28"/>
          <w:szCs w:val="28"/>
          <w:lang w:val="en-US" w:bidi="ar-SA"/>
        </w:rPr>
        <w:t>gp</w:t>
      </w:r>
      <w:r w:rsidR="00920CFE" w:rsidRPr="00920CFE">
        <w:rPr>
          <w:rFonts w:ascii="Times New Roman" w:hAnsi="Times New Roman" w:cs="Times New Roman"/>
          <w:sz w:val="28"/>
          <w:szCs w:val="28"/>
          <w:lang w:bidi="ar-SA"/>
        </w:rPr>
        <w:t>, мембранного транспортера, кодируе</w:t>
      </w:r>
      <w:r w:rsidR="00920CFE">
        <w:rPr>
          <w:rFonts w:ascii="Times New Roman" w:hAnsi="Times New Roman" w:cs="Times New Roman"/>
          <w:sz w:val="28"/>
          <w:szCs w:val="28"/>
          <w:lang w:bidi="ar-SA"/>
        </w:rPr>
        <w:t>мо</w:t>
      </w:r>
      <w:r w:rsidR="00920CFE" w:rsidRPr="00920CFE">
        <w:rPr>
          <w:rFonts w:ascii="Times New Roman" w:hAnsi="Times New Roman" w:cs="Times New Roman"/>
          <w:sz w:val="28"/>
          <w:szCs w:val="28"/>
          <w:lang w:bidi="ar-SA"/>
        </w:rPr>
        <w:t>го</w:t>
      </w:r>
      <w:r w:rsidR="00920CFE">
        <w:rPr>
          <w:rFonts w:ascii="Times New Roman" w:hAnsi="Times New Roman" w:cs="Times New Roman"/>
          <w:sz w:val="28"/>
          <w:szCs w:val="28"/>
          <w:lang w:bidi="ar-SA"/>
        </w:rPr>
        <w:t xml:space="preserve"> </w:t>
      </w:r>
      <w:r w:rsidR="00920CFE" w:rsidRPr="00920CFE">
        <w:rPr>
          <w:rFonts w:ascii="Times New Roman" w:hAnsi="Times New Roman" w:cs="Times New Roman"/>
          <w:sz w:val="28"/>
          <w:szCs w:val="28"/>
          <w:lang w:bidi="ar-SA"/>
        </w:rPr>
        <w:t>геном</w:t>
      </w:r>
      <w:r w:rsidR="00920CFE">
        <w:rPr>
          <w:rFonts w:ascii="Times New Roman" w:hAnsi="Times New Roman" w:cs="Times New Roman"/>
          <w:sz w:val="28"/>
          <w:szCs w:val="28"/>
          <w:lang w:bidi="ar-SA"/>
        </w:rPr>
        <w:t xml:space="preserve"> </w:t>
      </w:r>
      <w:r w:rsidR="00920CFE">
        <w:rPr>
          <w:rFonts w:ascii="Times New Roman" w:hAnsi="Times New Roman" w:cs="Times New Roman"/>
          <w:sz w:val="28"/>
          <w:szCs w:val="28"/>
          <w:lang w:val="en-US" w:bidi="ar-SA"/>
        </w:rPr>
        <w:t>ABCB</w:t>
      </w:r>
      <w:r w:rsidR="00920CFE" w:rsidRPr="00920CFE">
        <w:rPr>
          <w:rFonts w:ascii="Times New Roman" w:hAnsi="Times New Roman" w:cs="Times New Roman"/>
          <w:sz w:val="28"/>
          <w:szCs w:val="28"/>
          <w:lang w:bidi="ar-SA"/>
        </w:rPr>
        <w:t>1</w:t>
      </w:r>
      <w:r w:rsidR="00920CFE">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{"citationID":"feKCOAMb","properties":{"unsorted":false,"formattedCitation":"[171]","plainCitation":"[171]","noteIndex":0},"citationItems":[{"id":94,"uris":["http://zotero.org/users/14784094/items/YGZ9L8CC"],"itemData":{"id":94,"type":"article-journal","abstract":"BACKGROUND: Edoxaban, an oral direct factor Xa inhibitor, is in development for thromboprophylaxis, including prevention of stroke and systemic embolism in patients with atrial fibrillation (AF). P-glycoprotein (P-gp), an efflux transporter, modulates absorption and excretion of xenobiotics. Edoxaban is a P-gp substrate, and several cardiovascular (CV) drugs have the potential to inhibit P-gp and increase drug exposure.\nOBJECTIVE: To assess the potential pharmacokinetic interactions of edoxaban and 6 cardiovascular drugs used in the management of AF and known P-gp substrates/inhibitors.\nMETHODS: Drug-drug interaction studies with edoxaban and CV drugs with known P-gp substrate/inhibitor potential were conducted in healthy subjects. In 4 crossover, 2-period, 2-treatment studies, subjects received edoxaban 60 mg alone and coadministered with quinidine 300 mg (n = 42), verapamil 240 mg (n = 34), atorvastatin 80 mg (n = 32), or dronedarone 400 mg (n = 34). Additionally, edoxaban 60 mg alone and coadministered with amiodarone 400 mg (n = 30) or digoxin 0.25 mg (n = 48) was evaluated in a single-sequence study and 2-cohort study, respectively.\nRESULTS: Edoxaban exposure measured as area under the curve increased for concomitant administration of edoxaban with quinidine (76.7 %), verapamil (52.7 %), amiodarone (39.8 %), and dronedarone (84.5 %), and exposure measured as 24-h concentrations for quinidine (11.8 %), verapamil (29.1 %), and dronedarone (157.6 %) also increased. Administration of edoxaban with amiodarone decreased the 24-h concentration for edoxaban by 25.7 %. Concomitant administration with digoxin or atorvastatin had minimal effects on edoxaban exposure.\nCONCLUSION: Coadministration of the P-gp inhibitors quinidine, verapamil, and dronedarone increased edoxaban exposure. Modest/minimal effects were observed for amiodarone, atorvastatin, and digoxin.","container-title":"American Journal of Cardiovascular Drugs: Drugs, Devices, and Other Interventions","DOI":"10.1007/s40256-013-0029-0","ISSN":"1179-187X","issue":"5","journalAbbreviation":"Am J Cardiovasc Drugs","language":"eng","page":"331-342","PMID":"23784266","PMCID":"PMC3781304","source":"PubMed","title":"Drug-drug interaction studies of cardiovascular drugs involving P-glycoprotein, an efflux transporter, on the pharmacokinetics of edoxaban, an oral factor Xa inhibitor","volume":"13","author":[{"family":"Mendell","given":"Jeanne"},{"family":"Zahir","given":"Hamim"},{"family":"Matsushima","given":"Nobuko"},{"family":"Noveck","given":"Robert"},{"family":"Lee","given":"Frank"},{"family":"Chen","given":"Shuquan"},{"family":"Zhang","given":"George"},{"family":"Shi","given":"Minggao"}],"issued":{"date-parts":[["2013",10]]}}}],"schema":"https://github.com/citation-style-language/schema/raw/master/csl-citation.json"} </w:instrText>
      </w:r>
      <w:r w:rsidR="00920CFE">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[171]</w:t>
      </w:r>
      <w:r w:rsidR="00920CFE">
        <w:rPr>
          <w:rFonts w:ascii="Times New Roman" w:hAnsi="Times New Roman" w:cs="Times New Roman"/>
          <w:sz w:val="28"/>
          <w:szCs w:val="28"/>
          <w:lang w:bidi="ar-SA"/>
        </w:rPr>
        <w:fldChar w:fldCharType="end"/>
      </w:r>
      <w:r w:rsidR="00920CFE" w:rsidRPr="00920CFE">
        <w:rPr>
          <w:rFonts w:ascii="Times New Roman" w:hAnsi="Times New Roman" w:cs="Times New Roman"/>
          <w:sz w:val="28"/>
          <w:szCs w:val="28"/>
          <w:lang w:bidi="ar-SA"/>
        </w:rPr>
        <w:t xml:space="preserve">. Основной путь метаболической трансформации </w:t>
      </w:r>
      <w:r w:rsidR="00920CFE">
        <w:rPr>
          <w:rFonts w:ascii="Times New Roman" w:hAnsi="Times New Roman" w:cs="Times New Roman"/>
          <w:sz w:val="28"/>
          <w:szCs w:val="28"/>
          <w:lang w:bidi="ar-SA"/>
        </w:rPr>
        <w:t xml:space="preserve">эдоксабана </w:t>
      </w:r>
      <w:r w:rsidR="00920CFE" w:rsidRPr="00920CFE">
        <w:rPr>
          <w:rFonts w:ascii="Times New Roman" w:hAnsi="Times New Roman" w:cs="Times New Roman"/>
          <w:sz w:val="28"/>
          <w:szCs w:val="28"/>
          <w:lang w:bidi="ar-SA"/>
        </w:rPr>
        <w:t>в организме человека осуществляется под действием карбоксил</w:t>
      </w:r>
      <w:r w:rsidR="00920CFE">
        <w:rPr>
          <w:rFonts w:ascii="Times New Roman" w:hAnsi="Times New Roman" w:cs="Times New Roman"/>
          <w:sz w:val="28"/>
          <w:szCs w:val="28"/>
          <w:lang w:bidi="ar-SA"/>
        </w:rPr>
        <w:t>э</w:t>
      </w:r>
      <w:r w:rsidR="00920CFE" w:rsidRPr="00920CFE">
        <w:rPr>
          <w:rFonts w:ascii="Times New Roman" w:hAnsi="Times New Roman" w:cs="Times New Roman"/>
          <w:sz w:val="28"/>
          <w:szCs w:val="28"/>
          <w:lang w:bidi="ar-SA"/>
        </w:rPr>
        <w:t>ст</w:t>
      </w:r>
      <w:r w:rsidR="00920CFE">
        <w:rPr>
          <w:rFonts w:ascii="Times New Roman" w:hAnsi="Times New Roman" w:cs="Times New Roman"/>
          <w:sz w:val="28"/>
          <w:szCs w:val="28"/>
          <w:lang w:bidi="ar-SA"/>
        </w:rPr>
        <w:t>е</w:t>
      </w:r>
      <w:r w:rsidR="00920CFE" w:rsidRPr="00920CFE">
        <w:rPr>
          <w:rFonts w:ascii="Times New Roman" w:hAnsi="Times New Roman" w:cs="Times New Roman"/>
          <w:sz w:val="28"/>
          <w:szCs w:val="28"/>
          <w:lang w:bidi="ar-SA"/>
        </w:rPr>
        <w:t xml:space="preserve">разы </w:t>
      </w:r>
      <w:r w:rsidR="00920CFE">
        <w:rPr>
          <w:rFonts w:ascii="Times New Roman" w:hAnsi="Times New Roman" w:cs="Times New Roman"/>
          <w:sz w:val="28"/>
          <w:szCs w:val="28"/>
          <w:lang w:bidi="ar-SA"/>
        </w:rPr>
        <w:t>1 (</w:t>
      </w:r>
      <w:r w:rsidR="00920CFE">
        <w:rPr>
          <w:rFonts w:ascii="Times New Roman" w:hAnsi="Times New Roman" w:cs="Times New Roman"/>
          <w:sz w:val="28"/>
          <w:szCs w:val="28"/>
          <w:lang w:val="en-US" w:bidi="ar-SA"/>
        </w:rPr>
        <w:t>CES</w:t>
      </w:r>
      <w:r w:rsidR="00920CFE" w:rsidRPr="00920CFE">
        <w:rPr>
          <w:rFonts w:ascii="Times New Roman" w:hAnsi="Times New Roman" w:cs="Times New Roman"/>
          <w:sz w:val="28"/>
          <w:szCs w:val="28"/>
          <w:lang w:bidi="ar-SA"/>
        </w:rPr>
        <w:t>1</w:t>
      </w:r>
      <w:r w:rsidR="00920CFE">
        <w:rPr>
          <w:rFonts w:ascii="Times New Roman" w:hAnsi="Times New Roman" w:cs="Times New Roman"/>
          <w:sz w:val="28"/>
          <w:szCs w:val="28"/>
          <w:lang w:bidi="ar-SA"/>
        </w:rPr>
        <w:t>)</w:t>
      </w:r>
      <w:r w:rsidR="00920CFE" w:rsidRPr="00920CFE">
        <w:rPr>
          <w:rFonts w:ascii="Times New Roman" w:hAnsi="Times New Roman" w:cs="Times New Roman"/>
          <w:sz w:val="28"/>
          <w:szCs w:val="28"/>
          <w:lang w:bidi="ar-SA"/>
        </w:rPr>
        <w:t>, с меньшим вкладом и</w:t>
      </w:r>
      <w:r w:rsidR="00920CFE">
        <w:rPr>
          <w:rFonts w:ascii="Times New Roman" w:hAnsi="Times New Roman" w:cs="Times New Roman"/>
          <w:sz w:val="28"/>
          <w:szCs w:val="28"/>
          <w:lang w:bidi="ar-SA"/>
        </w:rPr>
        <w:t>зо</w:t>
      </w:r>
      <w:r w:rsidR="00920CFE" w:rsidRPr="00920CFE">
        <w:rPr>
          <w:rFonts w:ascii="Times New Roman" w:hAnsi="Times New Roman" w:cs="Times New Roman"/>
          <w:sz w:val="28"/>
          <w:szCs w:val="28"/>
          <w:lang w:bidi="ar-SA"/>
        </w:rPr>
        <w:t>фермента</w:t>
      </w:r>
      <w:r w:rsidR="00920CFE">
        <w:rPr>
          <w:rFonts w:ascii="Times New Roman" w:hAnsi="Times New Roman" w:cs="Times New Roman"/>
          <w:sz w:val="28"/>
          <w:szCs w:val="28"/>
          <w:lang w:bidi="ar-SA"/>
        </w:rPr>
        <w:t xml:space="preserve"> </w:t>
      </w:r>
      <w:r w:rsidR="00920CFE">
        <w:rPr>
          <w:rFonts w:ascii="Times New Roman" w:hAnsi="Times New Roman" w:cs="Times New Roman"/>
          <w:sz w:val="28"/>
          <w:szCs w:val="28"/>
          <w:lang w:val="en-US" w:bidi="ar-SA"/>
        </w:rPr>
        <w:t>CYP</w:t>
      </w:r>
      <w:r w:rsidR="00920CFE" w:rsidRPr="00920CFE">
        <w:rPr>
          <w:rFonts w:ascii="Times New Roman" w:hAnsi="Times New Roman" w:cs="Times New Roman"/>
          <w:sz w:val="28"/>
          <w:szCs w:val="28"/>
          <w:lang w:bidi="ar-SA"/>
        </w:rPr>
        <w:t>3</w:t>
      </w:r>
      <w:r w:rsidR="00920CFE">
        <w:rPr>
          <w:rFonts w:ascii="Times New Roman" w:hAnsi="Times New Roman" w:cs="Times New Roman"/>
          <w:sz w:val="28"/>
          <w:szCs w:val="28"/>
          <w:lang w:val="en-US" w:bidi="ar-SA"/>
        </w:rPr>
        <w:t>A</w:t>
      </w:r>
      <w:r w:rsidR="00920CFE" w:rsidRPr="00920CFE">
        <w:rPr>
          <w:rFonts w:ascii="Times New Roman" w:hAnsi="Times New Roman" w:cs="Times New Roman"/>
          <w:sz w:val="28"/>
          <w:szCs w:val="28"/>
          <w:lang w:bidi="ar-SA"/>
        </w:rPr>
        <w:t>4/5</w:t>
      </w:r>
      <w:r w:rsidR="00920CFE">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{"citationID":"t0W9twhK","properties":{"unsorted":false,"formattedCitation":"[172]","plainCitation":"[172]","noteIndex":0},"citationItems":[{"id":95,"uris":["http://zotero.org/users/14784094/items/F6YPD4LL"],"itemData":{"id":95,"type":"article-journal","abstract":"Edoxaban (Savaysa) has been approved for patients with atrial fibrillation.","collection-title":"August 2015 Pain Awareness","language":"en","publisher":"MJH Life Sciences","source":"www.pharmacytimes.com","title":"Edoxaban: A New Oral Factor Xa Inhibitor Anticoagulant","title-short":"Edoxaban","URL":"https://www.pharmacytimes.com/view/edoxaban-a-new-oral-factor-xa-inhibitor-anticoagulant","volume":"81","author":[{"family":"John R. Horn","given":"PharmD"},{"family":"Philip D. Hansten","given":"PharmD"}],"accessed":{"date-parts":[["2025",6,9]]},"issued":{"date-parts":[["2015",8,11]]}}}],"schema":"https://github.com/citation-style-language/schema/raw/master/csl-citation.json"} </w:instrText>
      </w:r>
      <w:r w:rsidR="00920CFE">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[172]</w:t>
      </w:r>
      <w:r w:rsidR="00920CFE">
        <w:rPr>
          <w:rFonts w:ascii="Times New Roman" w:hAnsi="Times New Roman" w:cs="Times New Roman"/>
          <w:sz w:val="28"/>
          <w:szCs w:val="28"/>
          <w:lang w:val="en-US" w:bidi="ar-SA"/>
        </w:rPr>
        <w:fldChar w:fldCharType="end"/>
      </w:r>
      <w:r w:rsidR="00920CFE" w:rsidRPr="00920CFE">
        <w:rPr>
          <w:rFonts w:ascii="Times New Roman" w:hAnsi="Times New Roman" w:cs="Times New Roman"/>
          <w:sz w:val="28"/>
          <w:szCs w:val="28"/>
          <w:lang w:bidi="ar-SA"/>
        </w:rPr>
        <w:t xml:space="preserve">. Образующиеся </w:t>
      </w:r>
      <w:r w:rsidR="00920CFE">
        <w:rPr>
          <w:rFonts w:ascii="Times New Roman" w:hAnsi="Times New Roman" w:cs="Times New Roman"/>
          <w:sz w:val="28"/>
          <w:szCs w:val="28"/>
          <w:lang w:bidi="ar-SA"/>
        </w:rPr>
        <w:t>метаболиты</w:t>
      </w:r>
      <w:r w:rsidR="00920CFE" w:rsidRPr="00920CFE">
        <w:rPr>
          <w:rFonts w:ascii="Times New Roman" w:hAnsi="Times New Roman" w:cs="Times New Roman"/>
          <w:sz w:val="28"/>
          <w:szCs w:val="28"/>
          <w:lang w:bidi="ar-SA"/>
        </w:rPr>
        <w:t xml:space="preserve"> преимущественно вывод</w:t>
      </w:r>
      <w:r w:rsidR="00920CFE">
        <w:rPr>
          <w:rFonts w:ascii="Times New Roman" w:hAnsi="Times New Roman" w:cs="Times New Roman"/>
          <w:sz w:val="28"/>
          <w:szCs w:val="28"/>
          <w:lang w:bidi="ar-SA"/>
        </w:rPr>
        <w:t>я</w:t>
      </w:r>
      <w:r w:rsidR="00920CFE" w:rsidRPr="00920CFE">
        <w:rPr>
          <w:rFonts w:ascii="Times New Roman" w:hAnsi="Times New Roman" w:cs="Times New Roman"/>
          <w:sz w:val="28"/>
          <w:szCs w:val="28"/>
          <w:lang w:bidi="ar-SA"/>
        </w:rPr>
        <w:t>тся через кишечник с желчью и калом</w:t>
      </w:r>
      <w:r w:rsidR="00920CFE">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{"citationID":"1yWU8Osh","properties":{"unsorted":false,"formattedCitation":"[172]","plainCitation":"[172]","noteIndex":0},"citationItems":[{"id":95,"uris":["http://zotero.org/users/14784094/items/F6YPD4LL"],"itemData":{"id":95,"type":"article-journal","abstract":"Edoxaban (Savaysa) has been approved for patients with atrial fibrillation.","collection-title":"August 2015 Pain Awareness","language":"en","publisher":"MJH Life Sciences","source":"www.pharmacytimes.com","title":"Edoxaban: A New Oral Factor Xa Inhibitor Anticoagulant","title-short":"Edoxaban","URL":"https://www.pharmacytimes.com/view/edoxaban-a-new-oral-factor-xa-inhibitor-anticoagulant","volume":"81","author":[{"family":"John R. Horn","given":"PharmD"},{"family":"Philip D. Hansten","given":"PharmD"}],"accessed":{"date-parts":[["2025",6,9]]},"issued":{"date-parts":[["2015",8,11]]}}}],"schema":"https://github.com/citation-style-language/schema/raw/master/csl-citation.json"} </w:instrText>
      </w:r>
      <w:r w:rsidR="00920CFE">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[172]</w:t>
      </w:r>
      <w:r w:rsidR="00920CFE">
        <w:rPr>
          <w:rFonts w:ascii="Times New Roman" w:hAnsi="Times New Roman" w:cs="Times New Roman"/>
          <w:sz w:val="28"/>
          <w:szCs w:val="28"/>
          <w:lang w:bidi="ar-SA"/>
        </w:rPr>
        <w:fldChar w:fldCharType="end"/>
      </w:r>
      <w:r w:rsidR="00920CFE" w:rsidRPr="00920CFE">
        <w:rPr>
          <w:rFonts w:ascii="Times New Roman" w:hAnsi="Times New Roman" w:cs="Times New Roman"/>
          <w:sz w:val="28"/>
          <w:szCs w:val="28"/>
          <w:lang w:bidi="ar-SA"/>
        </w:rPr>
        <w:t>. Как отмечалось ранее, почечная экскреция играет значительную роль: приблизительно 35% от введенной дозы выводится почками в неизмененном виде</w:t>
      </w:r>
      <w:r w:rsidR="00920CFE">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{"citationID":"nqAnuviQ","properties":{"unsorted":false,"formattedCitation":"[173]","plainCitation":"[173]","noteIndex":0},"citationItems":[{"id":93,"uris":["http://zotero.org/users/14784094/items/NVVKBSV7"],"itemData":{"id":93,"type":"article-journal","abstract":"Edoxaban is a once-daily oral anticoagulant that rapidly and selectively inhibits factor Xa in a concentration-dependent manner. This review describes the extensive clinical development program of edoxaban, including phase III studies in patients with non-valvular atrial fibrillation (NVAF) and symptomatic venous thromboembolism (VTE). The ENGAGE AF-TIMI 48 study (N = 21,105; mean CHADS2 score 2.8) compared edoxaban 60 mg once daily (high-dose regimen) and edoxaban 30 mg once daily (low-dose regimen) with dose-adjusted warfarin [international normalized ratio (INR) 2.0–3.0] and found that both regimens were non-inferior to warfarin in the prevention of stroke and systemic embolism in patients with NVAF. Both edoxaban regimens also provided significant reductions in the risk of hemorrhagic stroke, cardiovascular mortality, major bleeding and intracranial bleeding. The Hokusai-VTE study (N = 8,292) in patients with symptomatic VTE had a flexible treatment duration of 3–12 months and found that following initial heparin, edoxaban 60 mg once daily was non-inferior to dose-adjusted warfarin (INR 2.0–3.0) for the prevention of recurrent VTE, and also had a significantly lower risk of bleeding events. Both studies randomized patients at moderate-to-high risk of thromboembolic events and were further designed to simulate routine clinical practice as much as possible, with edoxaban dose reduction (halving dose) at randomisation or during the study if required, a frequently monitored and well-controlled warfarin group, a well-monitored transition period at study end and a flexible treatment duration in Hokusai-VTE. Given the phase III results obtained, once-daily edoxaban may soon be a key addition to the range of antithrombotic treatment options.","container-title":"Drugs","DOI":"10.1007/s40265-014-0261-1","ISSN":"0012-6667","issue":"11","journalAbbreviation":"Drugs","page":"1209-1231","PMID":"25034361","PMCID":"PMC4107274","source":"PubMed Central","title":"Edoxaban: An Update on the New Oral Direct Factor Xa Inhibitor","title-short":"Edoxaban","volume":"74","author":[{"family":"Bounameaux","given":"Henri"},{"family":"Camm","given":"A. John"}],"issued":{"date-parts":[["2014"]]}}}],"schema":"https://github.com/citation-style-language/schema/raw/master/csl-citation.json"} </w:instrText>
      </w:r>
      <w:r w:rsidR="00920CFE">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[173]</w:t>
      </w:r>
      <w:r w:rsidR="00920CFE">
        <w:rPr>
          <w:rFonts w:ascii="Times New Roman" w:hAnsi="Times New Roman" w:cs="Times New Roman"/>
          <w:sz w:val="28"/>
          <w:szCs w:val="28"/>
          <w:lang w:bidi="ar-SA"/>
        </w:rPr>
        <w:fldChar w:fldCharType="end"/>
      </w:r>
      <w:r w:rsidR="00920CFE" w:rsidRPr="00920CFE">
        <w:rPr>
          <w:rFonts w:ascii="Times New Roman" w:hAnsi="Times New Roman" w:cs="Times New Roman"/>
          <w:sz w:val="28"/>
          <w:szCs w:val="28"/>
          <w:lang w:bidi="ar-SA"/>
        </w:rPr>
        <w:t>. Сочетанн</w:t>
      </w:r>
      <w:r w:rsidR="00920CFE">
        <w:rPr>
          <w:rFonts w:ascii="Times New Roman" w:hAnsi="Times New Roman" w:cs="Times New Roman"/>
          <w:sz w:val="28"/>
          <w:szCs w:val="28"/>
          <w:lang w:bidi="ar-SA"/>
        </w:rPr>
        <w:t>о</w:t>
      </w:r>
      <w:r w:rsidR="00920CFE" w:rsidRPr="00920CFE">
        <w:rPr>
          <w:rFonts w:ascii="Times New Roman" w:hAnsi="Times New Roman" w:cs="Times New Roman"/>
          <w:sz w:val="28"/>
          <w:szCs w:val="28"/>
          <w:lang w:bidi="ar-SA"/>
        </w:rPr>
        <w:t>е применени</w:t>
      </w:r>
      <w:r w:rsidR="00920CFE">
        <w:rPr>
          <w:rFonts w:ascii="Times New Roman" w:hAnsi="Times New Roman" w:cs="Times New Roman"/>
          <w:sz w:val="28"/>
          <w:szCs w:val="28"/>
          <w:lang w:bidi="ar-SA"/>
        </w:rPr>
        <w:t xml:space="preserve">е эдоксабана </w:t>
      </w:r>
      <w:r w:rsidR="00920CFE" w:rsidRPr="00920CFE">
        <w:rPr>
          <w:rFonts w:ascii="Times New Roman" w:hAnsi="Times New Roman" w:cs="Times New Roman"/>
          <w:sz w:val="28"/>
          <w:szCs w:val="28"/>
          <w:lang w:bidi="ar-SA"/>
        </w:rPr>
        <w:t>с мощными ингибиторами</w:t>
      </w:r>
      <w:r w:rsidR="00920CFE">
        <w:rPr>
          <w:rFonts w:ascii="Times New Roman" w:hAnsi="Times New Roman" w:cs="Times New Roman"/>
          <w:sz w:val="28"/>
          <w:szCs w:val="28"/>
          <w:lang w:bidi="ar-SA"/>
        </w:rPr>
        <w:t xml:space="preserve"> </w:t>
      </w:r>
      <w:r w:rsidR="00920CFE">
        <w:rPr>
          <w:rFonts w:ascii="Times New Roman" w:hAnsi="Times New Roman" w:cs="Times New Roman"/>
          <w:sz w:val="28"/>
          <w:szCs w:val="28"/>
          <w:lang w:val="en-US" w:bidi="ar-SA"/>
        </w:rPr>
        <w:t>P</w:t>
      </w:r>
      <w:r w:rsidR="00920CFE" w:rsidRPr="00920CFE">
        <w:rPr>
          <w:rFonts w:ascii="Times New Roman" w:hAnsi="Times New Roman" w:cs="Times New Roman"/>
          <w:sz w:val="28"/>
          <w:szCs w:val="28"/>
          <w:lang w:bidi="ar-SA"/>
        </w:rPr>
        <w:t>-</w:t>
      </w:r>
      <w:r w:rsidR="00920CFE">
        <w:rPr>
          <w:rFonts w:ascii="Times New Roman" w:hAnsi="Times New Roman" w:cs="Times New Roman"/>
          <w:sz w:val="28"/>
          <w:szCs w:val="28"/>
          <w:lang w:val="en-US" w:bidi="ar-SA"/>
        </w:rPr>
        <w:t>gp</w:t>
      </w:r>
      <w:r w:rsidR="00920CFE" w:rsidRPr="00920CFE">
        <w:rPr>
          <w:rFonts w:ascii="Times New Roman" w:hAnsi="Times New Roman" w:cs="Times New Roman"/>
          <w:sz w:val="28"/>
          <w:szCs w:val="28"/>
          <w:lang w:bidi="ar-SA"/>
        </w:rPr>
        <w:t xml:space="preserve"> (типа амиодарона, вер</w:t>
      </w:r>
      <w:r w:rsidR="00920CFE">
        <w:rPr>
          <w:rFonts w:ascii="Times New Roman" w:hAnsi="Times New Roman" w:cs="Times New Roman"/>
          <w:sz w:val="28"/>
          <w:szCs w:val="28"/>
          <w:lang w:bidi="ar-SA"/>
        </w:rPr>
        <w:t>апа</w:t>
      </w:r>
      <w:r w:rsidR="00920CFE" w:rsidRPr="00920CFE">
        <w:rPr>
          <w:rFonts w:ascii="Times New Roman" w:hAnsi="Times New Roman" w:cs="Times New Roman"/>
          <w:sz w:val="28"/>
          <w:szCs w:val="28"/>
          <w:lang w:bidi="ar-SA"/>
        </w:rPr>
        <w:t xml:space="preserve">мила, хинидина или циклоспорина) может приводить к увеличению системной экспозиции препарата </w:t>
      </w:r>
      <w:r w:rsidR="00920CFE">
        <w:rPr>
          <w:rFonts w:ascii="Times New Roman" w:hAnsi="Times New Roman" w:cs="Times New Roman"/>
          <w:sz w:val="28"/>
          <w:szCs w:val="28"/>
          <w:lang w:bidi="ar-SA"/>
        </w:rPr>
        <w:t xml:space="preserve">в 1.5-2 </w:t>
      </w:r>
      <w:r w:rsidR="00920CFE" w:rsidRPr="00920CFE">
        <w:rPr>
          <w:rFonts w:ascii="Times New Roman" w:hAnsi="Times New Roman" w:cs="Times New Roman"/>
          <w:sz w:val="28"/>
          <w:szCs w:val="28"/>
          <w:lang w:bidi="ar-SA"/>
        </w:rPr>
        <w:t>раза за счет снижения его кишечно</w:t>
      </w:r>
      <w:r w:rsidR="00920CFE">
        <w:rPr>
          <w:rFonts w:ascii="Times New Roman" w:hAnsi="Times New Roman" w:cs="Times New Roman"/>
          <w:sz w:val="28"/>
          <w:szCs w:val="28"/>
          <w:lang w:bidi="ar-SA"/>
        </w:rPr>
        <w:t>го эффлю</w:t>
      </w:r>
      <w:r w:rsidR="00920CFE" w:rsidRPr="00920CFE">
        <w:rPr>
          <w:rFonts w:ascii="Times New Roman" w:hAnsi="Times New Roman" w:cs="Times New Roman"/>
          <w:sz w:val="28"/>
          <w:szCs w:val="28"/>
          <w:lang w:bidi="ar-SA"/>
        </w:rPr>
        <w:t>кса и повышени</w:t>
      </w:r>
      <w:r w:rsidR="00864066">
        <w:rPr>
          <w:rFonts w:ascii="Times New Roman" w:hAnsi="Times New Roman" w:cs="Times New Roman"/>
          <w:sz w:val="28"/>
          <w:szCs w:val="28"/>
          <w:lang w:bidi="ar-SA"/>
        </w:rPr>
        <w:t>я</w:t>
      </w:r>
      <w:r w:rsidR="00920CFE" w:rsidRPr="00920CFE">
        <w:rPr>
          <w:rFonts w:ascii="Times New Roman" w:hAnsi="Times New Roman" w:cs="Times New Roman"/>
          <w:sz w:val="28"/>
          <w:szCs w:val="28"/>
          <w:lang w:bidi="ar-SA"/>
        </w:rPr>
        <w:t xml:space="preserve"> биодоступности, что требует осторожности из</w:t>
      </w:r>
      <w:r w:rsidR="00864066">
        <w:rPr>
          <w:rFonts w:ascii="Times New Roman" w:hAnsi="Times New Roman" w:cs="Times New Roman"/>
          <w:sz w:val="28"/>
          <w:szCs w:val="28"/>
          <w:lang w:bidi="ar-SA"/>
        </w:rPr>
        <w:t>-</w:t>
      </w:r>
      <w:r w:rsidR="00920CFE" w:rsidRPr="00920CFE">
        <w:rPr>
          <w:rFonts w:ascii="Times New Roman" w:hAnsi="Times New Roman" w:cs="Times New Roman"/>
          <w:sz w:val="28"/>
          <w:szCs w:val="28"/>
          <w:lang w:bidi="ar-SA"/>
        </w:rPr>
        <w:t>за потенциального усиления антикоагулянтно</w:t>
      </w:r>
      <w:r w:rsidR="00864066">
        <w:rPr>
          <w:rFonts w:ascii="Times New Roman" w:hAnsi="Times New Roman" w:cs="Times New Roman"/>
          <w:sz w:val="28"/>
          <w:szCs w:val="28"/>
          <w:lang w:bidi="ar-SA"/>
        </w:rPr>
        <w:t>го</w:t>
      </w:r>
      <w:r w:rsidR="00920CFE" w:rsidRPr="00920CFE">
        <w:rPr>
          <w:rFonts w:ascii="Times New Roman" w:hAnsi="Times New Roman" w:cs="Times New Roman"/>
          <w:sz w:val="28"/>
          <w:szCs w:val="28"/>
          <w:lang w:bidi="ar-SA"/>
        </w:rPr>
        <w:t xml:space="preserve"> эффекта и риска геморрагических осложнений</w:t>
      </w:r>
      <w:r w:rsidR="00920CFE">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{"citationID":"tlR8w6Cq","properties":{"unsorted":false,"formattedCitation":"[174]","plainCitation":"[174]","noteIndex":0},"citationItems":[{"id":560,"uris":["http://zotero.org/users/14784094/items/WARK7DP9"],"itemData":{"id":560,"type":"article-journal","abstract":"Background and Objectives\nEdoxaban is an oral, once-daily direct factor Xa inhibitor. To support the possibility that patients may choose to switch treatment from another nonvitamin K antagonist oral anticoagulant to edoxaban, this clinical study was conducted to evaluate the pharmacokinetic and pharmacodynamic effects of edoxaban after switching from rivaroxaban or dabigatran etexilate to edoxaban.\n\nMethods\nIn this open-label, three-period, crossover study, healthy subjects received 3 days of edoxaban 60 mg daily, rivaroxaban 20 mg daily, or dabigatran etexilate 150 mg twice daily, followed by edoxaban 60 mg on day 4.\n\nResults\nDay 4 edoxaban pharmacokinetic parameters were similar for all treatments. The peak effect of edoxaban on prothrombin time (PT) after 4 days of edoxaban only was 21.8 ± 2.46 s; after switching from rivaroxaban to edoxaban, peak effect on PT was similar at 21.8 ± 2.88 s. After switching from dabigatran etexilate to edoxaban, least squares mean activated partial thromboplastin time (aPTT) at 2 h after administration was 47.6 vs 35.0 s for edoxaban alone. The treatment difference was 12.8 s (95 % confidence interval 10.5–15.1; p &lt; 0.0001). Post hoc analysis revealed that predose aPTT was elevated on day 3 of dabigatran etexilate administration, and on day 4, indicating a carryover effect from dabigatran. All treatments were well tolerated and there were no safety concerns upon switching, with no increased risk of bleeding.\n\nConclusions\nThe study results suggest that switching to edoxaban from either rivaroxaban or dabigatran etexilate at the time of the next dose is well tolerated and maintains coagulation status.","container-title":"Clinical Drug Investigation","DOI":"10.1007/s40261-015-0357-8","ISSN":"1173-2563","journalAbbreviation":"Clin Drug Investig","page":"127-136","PMID":"26597179","PMCID":"PMC4740573","source":"PubMed Central","title":"Pharmacokinetics and Pharmacodynamics of the Nonvitamin K Antagonist Oral Anticoagulant Edoxaban When Administered Alone or After Switching from Rivaroxaban or Dabigatran Etexilate in Healthy Subjects","volume":"36","author":[{"family":"Parasrampuria","given":"Dolly A."},{"family":"Weilert","given":"Doris"},{"family":"Maa","given":"Jen-Fue"},{"family":"Dishy","given":"Victor"},{"family":"Kochan","given":"Jarema"},{"family":"Shi","given":"Minggao"},{"family":"Brown","given":"Karen S."}],"issued":{"date-parts":[["2016"]]}}}],"schema":"https://github.com/citation-style-language/schema/raw/master/csl-citation.json"} </w:instrText>
      </w:r>
      <w:r w:rsidR="00920CFE">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[174]</w:t>
      </w:r>
      <w:r w:rsidR="00920CFE">
        <w:rPr>
          <w:rFonts w:ascii="Times New Roman" w:hAnsi="Times New Roman" w:cs="Times New Roman"/>
          <w:sz w:val="28"/>
          <w:szCs w:val="28"/>
          <w:lang w:bidi="ar-SA"/>
        </w:rPr>
        <w:fldChar w:fldCharType="end"/>
      </w:r>
      <w:r w:rsidR="00864066" w:rsidRPr="00D137D9">
        <w:rPr>
          <w:rFonts w:ascii="Times New Roman" w:hAnsi="Times New Roman" w:cs="Times New Roman"/>
          <w:sz w:val="28"/>
          <w:szCs w:val="28"/>
          <w:lang w:bidi="ar-SA"/>
        </w:rPr>
        <w:t xml:space="preserve">. </w:t>
      </w:r>
    </w:p>
    <w:p w14:paraId="7BFE694B" w14:textId="6E94D345" w:rsidR="00864066" w:rsidRDefault="00864066" w:rsidP="008D7CBD">
      <w:pPr>
        <w:pStyle w:val="LO-normal"/>
        <w:spacing w:after="0" w:line="240" w:lineRule="auto"/>
        <w:ind w:firstLine="567"/>
        <w:jc w:val="both"/>
        <w:rPr>
          <w:rFonts w:ascii="Times New Roman" w:hAnsi="Times New Roman" w:cs="Times New Roman"/>
          <w:sz w:val="28"/>
          <w:szCs w:val="28"/>
          <w:lang w:bidi="ar-SA"/>
        </w:rPr>
      </w:pPr>
      <w:r w:rsidRPr="00864066">
        <w:rPr>
          <w:rFonts w:ascii="Times New Roman" w:hAnsi="Times New Roman" w:cs="Times New Roman"/>
          <w:sz w:val="28"/>
          <w:szCs w:val="28"/>
          <w:lang w:bidi="ar-SA"/>
        </w:rPr>
        <w:t>Индивидуальн</w:t>
      </w:r>
      <w:r>
        <w:rPr>
          <w:rFonts w:ascii="Times New Roman" w:hAnsi="Times New Roman" w:cs="Times New Roman"/>
          <w:sz w:val="28"/>
          <w:szCs w:val="28"/>
          <w:lang w:bidi="ar-SA"/>
        </w:rPr>
        <w:t>ая</w:t>
      </w:r>
      <w:r w:rsidRPr="00864066">
        <w:rPr>
          <w:rFonts w:ascii="Times New Roman" w:hAnsi="Times New Roman" w:cs="Times New Roman"/>
          <w:sz w:val="28"/>
          <w:szCs w:val="28"/>
          <w:lang w:bidi="ar-SA"/>
        </w:rPr>
        <w:t xml:space="preserve"> вариабельность ответа на терапию э</w:t>
      </w:r>
      <w:r>
        <w:rPr>
          <w:rFonts w:ascii="Times New Roman" w:hAnsi="Times New Roman" w:cs="Times New Roman"/>
          <w:sz w:val="28"/>
          <w:szCs w:val="28"/>
          <w:lang w:bidi="ar-SA"/>
        </w:rPr>
        <w:t>до</w:t>
      </w:r>
      <w:r w:rsidRPr="00864066">
        <w:rPr>
          <w:rFonts w:ascii="Times New Roman" w:hAnsi="Times New Roman" w:cs="Times New Roman"/>
          <w:sz w:val="28"/>
          <w:szCs w:val="28"/>
          <w:lang w:bidi="ar-SA"/>
        </w:rPr>
        <w:t>кса</w:t>
      </w:r>
      <w:r>
        <w:rPr>
          <w:rFonts w:ascii="Times New Roman" w:hAnsi="Times New Roman" w:cs="Times New Roman"/>
          <w:sz w:val="28"/>
          <w:szCs w:val="28"/>
          <w:lang w:bidi="ar-SA"/>
        </w:rPr>
        <w:t>ба</w:t>
      </w:r>
      <w:r w:rsidRPr="00864066">
        <w:rPr>
          <w:rFonts w:ascii="Times New Roman" w:hAnsi="Times New Roman" w:cs="Times New Roman"/>
          <w:sz w:val="28"/>
          <w:szCs w:val="28"/>
          <w:lang w:bidi="ar-SA"/>
        </w:rPr>
        <w:t>н</w:t>
      </w:r>
      <w:r>
        <w:rPr>
          <w:rFonts w:ascii="Times New Roman" w:hAnsi="Times New Roman" w:cs="Times New Roman"/>
          <w:sz w:val="28"/>
          <w:szCs w:val="28"/>
          <w:lang w:bidi="ar-SA"/>
        </w:rPr>
        <w:t>о</w:t>
      </w:r>
      <w:r w:rsidRPr="00864066">
        <w:rPr>
          <w:rFonts w:ascii="Times New Roman" w:hAnsi="Times New Roman" w:cs="Times New Roman"/>
          <w:sz w:val="28"/>
          <w:szCs w:val="28"/>
          <w:lang w:bidi="ar-SA"/>
        </w:rPr>
        <w:t>м может быть обусловлен</w:t>
      </w:r>
      <w:r>
        <w:rPr>
          <w:rFonts w:ascii="Times New Roman" w:hAnsi="Times New Roman" w:cs="Times New Roman"/>
          <w:sz w:val="28"/>
          <w:szCs w:val="28"/>
          <w:lang w:bidi="ar-SA"/>
        </w:rPr>
        <w:t>а</w:t>
      </w:r>
      <w:r w:rsidRPr="00864066">
        <w:rPr>
          <w:rFonts w:ascii="Times New Roman" w:hAnsi="Times New Roman" w:cs="Times New Roman"/>
          <w:sz w:val="28"/>
          <w:szCs w:val="28"/>
          <w:lang w:bidi="ar-SA"/>
        </w:rPr>
        <w:t xml:space="preserve"> генетическими факторами, влияющими на ключевые этапы его фармакокинетики: метаболизм (преимущественно фермент</w:t>
      </w:r>
      <w:r>
        <w:rPr>
          <w:rFonts w:ascii="Times New Roman" w:hAnsi="Times New Roman" w:cs="Times New Roman"/>
          <w:sz w:val="28"/>
          <w:szCs w:val="28"/>
          <w:lang w:bidi="ar-SA"/>
        </w:rPr>
        <w:t>о</w:t>
      </w:r>
      <w:r w:rsidRPr="00864066">
        <w:rPr>
          <w:rFonts w:ascii="Times New Roman" w:hAnsi="Times New Roman" w:cs="Times New Roman"/>
          <w:sz w:val="28"/>
          <w:szCs w:val="28"/>
          <w:lang w:bidi="ar-SA"/>
        </w:rPr>
        <w:t xml:space="preserve">м </w:t>
      </w:r>
      <w:r>
        <w:rPr>
          <w:rFonts w:ascii="Times New Roman" w:hAnsi="Times New Roman" w:cs="Times New Roman"/>
          <w:sz w:val="28"/>
          <w:szCs w:val="28"/>
          <w:lang w:val="en-US" w:bidi="ar-SA"/>
        </w:rPr>
        <w:t>CES</w:t>
      </w:r>
      <w:r w:rsidRPr="00864066">
        <w:rPr>
          <w:rFonts w:ascii="Times New Roman" w:hAnsi="Times New Roman" w:cs="Times New Roman"/>
          <w:sz w:val="28"/>
          <w:szCs w:val="28"/>
          <w:lang w:bidi="ar-SA"/>
        </w:rPr>
        <w:t xml:space="preserve">1) и транспорт (через </w:t>
      </w:r>
      <w:r>
        <w:rPr>
          <w:rFonts w:ascii="Times New Roman" w:hAnsi="Times New Roman" w:cs="Times New Roman"/>
          <w:sz w:val="28"/>
          <w:szCs w:val="28"/>
          <w:lang w:val="en-US" w:bidi="ar-SA"/>
        </w:rPr>
        <w:t>P</w:t>
      </w:r>
      <w:r w:rsidRPr="00864066">
        <w:rPr>
          <w:rFonts w:ascii="Times New Roman" w:hAnsi="Times New Roman" w:cs="Times New Roman"/>
          <w:sz w:val="28"/>
          <w:szCs w:val="28"/>
          <w:lang w:bidi="ar-SA"/>
        </w:rPr>
        <w:t>-</w:t>
      </w:r>
      <w:r>
        <w:rPr>
          <w:rFonts w:ascii="Times New Roman" w:hAnsi="Times New Roman" w:cs="Times New Roman"/>
          <w:sz w:val="28"/>
          <w:szCs w:val="28"/>
          <w:lang w:val="en-US" w:bidi="ar-SA"/>
        </w:rPr>
        <w:t>gp</w:t>
      </w:r>
      <w:r w:rsidRPr="00864066">
        <w:rPr>
          <w:rFonts w:ascii="Times New Roman" w:hAnsi="Times New Roman" w:cs="Times New Roman"/>
          <w:sz w:val="28"/>
          <w:szCs w:val="28"/>
          <w:lang w:bidi="ar-SA"/>
        </w:rPr>
        <w:t xml:space="preserve"> и другие транспортеры, такие как</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OATP</w:t>
      </w:r>
      <w:r w:rsidRPr="00864066">
        <w:rPr>
          <w:rFonts w:ascii="Times New Roman" w:hAnsi="Times New Roman" w:cs="Times New Roman"/>
          <w:sz w:val="28"/>
          <w:szCs w:val="28"/>
          <w:lang w:bidi="ar-SA"/>
        </w:rPr>
        <w:t>1</w:t>
      </w:r>
      <w:r>
        <w:rPr>
          <w:rFonts w:ascii="Times New Roman" w:hAnsi="Times New Roman" w:cs="Times New Roman"/>
          <w:sz w:val="28"/>
          <w:szCs w:val="28"/>
          <w:lang w:val="en-US" w:bidi="ar-SA"/>
        </w:rPr>
        <w:t>B</w:t>
      </w:r>
      <w:r w:rsidRPr="00864066">
        <w:rPr>
          <w:rFonts w:ascii="Times New Roman" w:hAnsi="Times New Roman" w:cs="Times New Roman"/>
          <w:sz w:val="28"/>
          <w:szCs w:val="28"/>
          <w:lang w:bidi="ar-SA"/>
        </w:rPr>
        <w:t xml:space="preserve">1, кодируемый геном </w:t>
      </w:r>
      <w:r>
        <w:rPr>
          <w:rFonts w:ascii="Times New Roman" w:hAnsi="Times New Roman" w:cs="Times New Roman"/>
          <w:sz w:val="28"/>
          <w:szCs w:val="28"/>
          <w:lang w:val="en-US" w:bidi="ar-SA"/>
        </w:rPr>
        <w:t>SLCO</w:t>
      </w:r>
      <w:r w:rsidRPr="00864066">
        <w:rPr>
          <w:rFonts w:ascii="Times New Roman" w:hAnsi="Times New Roman" w:cs="Times New Roman"/>
          <w:sz w:val="28"/>
          <w:szCs w:val="28"/>
          <w:lang w:bidi="ar-SA"/>
        </w:rPr>
        <w:t>1</w:t>
      </w:r>
      <w:r>
        <w:rPr>
          <w:rFonts w:ascii="Times New Roman" w:hAnsi="Times New Roman" w:cs="Times New Roman"/>
          <w:sz w:val="28"/>
          <w:szCs w:val="28"/>
          <w:lang w:val="en-US" w:bidi="ar-SA"/>
        </w:rPr>
        <w:t>B</w:t>
      </w:r>
      <w:r w:rsidRPr="00864066">
        <w:rPr>
          <w:rFonts w:ascii="Times New Roman" w:hAnsi="Times New Roman" w:cs="Times New Roman"/>
          <w:sz w:val="28"/>
          <w:szCs w:val="28"/>
          <w:lang w:bidi="ar-SA"/>
        </w:rPr>
        <w:t>1)</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{"citationID":"YTHmlsUB","properties":{"unsorted":false,"formattedCitation":"[175]","plainCitation":"[175]","noteIndex":0},"citationItems":[{"id":91,"uris":["http://zotero.org/users/14784094/items/T64TXZIM"],"itemData":{"id":91,"type":"article-journal","abstract":"Edoxaban and its low-abundance, active metabolite M4 are substrates of P-glycoprotein (P-gp; MDR1) and organic anion transporter protein 1B1 (OATP1B1), respectively, and pharmacological inhibitors of P-gp and OATP1B1 can affect edoxaban and M4 pharmacokinetics (PK). In this integrated pharmacogenomic analysis, genotype and concentration–time data from 458 healthy volunteers in 14 completed phase 1 studies were pooled to examine the impact on edoxaban PK parameters of allelic variants of ABCB1 (rs1045642: C3435T) and SLCO1B1 (rs4149056: T521C), which encode for P-gp and OATP1B1. Although some pharmacologic inhibitors of P-gp and OATP1B1 increase edoxaban exposure, neither the ABCB1 C3435T nor the SLCO1B1 T521C polymorphism affected edoxaban PK. A slight elevation in M4 exposure was observed among SLCO1B1 C-allele carriers; however, this elevation is unlikely to be clinically significant as plasma M4 concentrations comprise &lt;10% of total edoxaban levels.","container-title":"The Pharmacogenomics Journal","DOI":"10.1038/tpj.2016.82","ISSN":"1473-1150","issue":"1","journalAbbreviation":"Pharmacogenomics J","language":"en","license":"2018 The Author(s)","page":"153-159","publisher":"Nature Publishing Group","source":"www.nature.com","title":"An integrated pharmacokinetic/pharmacogenomic analysis of ABCB1 and SLCO1B1 polymorphisms on edoxaban exposure","volume":"18","author":[{"family":"Vandell","given":"A. G."},{"family":"Lee","given":"J."},{"family":"Shi","given":"M."},{"family":"Rubets","given":"I."},{"family":"Brown","given":"K. S."},{"family":"Walker","given":"J. R."}],"issued":{"date-parts":[["2018",1]]}}}],"schema":"https://github.com/citation-style-language/schema/raw/master/csl-citation.json"}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[175]</w:t>
      </w:r>
      <w:r>
        <w:rPr>
          <w:rFonts w:ascii="Times New Roman" w:hAnsi="Times New Roman" w:cs="Times New Roman"/>
          <w:sz w:val="28"/>
          <w:szCs w:val="28"/>
          <w:lang w:bidi="ar-SA"/>
        </w:rPr>
        <w:fldChar w:fldCharType="end"/>
      </w:r>
      <w:r w:rsidRPr="00864066">
        <w:rPr>
          <w:rFonts w:ascii="Times New Roman" w:hAnsi="Times New Roman" w:cs="Times New Roman"/>
          <w:sz w:val="28"/>
          <w:szCs w:val="28"/>
          <w:lang w:bidi="ar-SA"/>
        </w:rPr>
        <w:t>. Полиморфизм</w:t>
      </w:r>
      <w:r>
        <w:rPr>
          <w:rFonts w:ascii="Times New Roman" w:hAnsi="Times New Roman" w:cs="Times New Roman"/>
          <w:sz w:val="28"/>
          <w:szCs w:val="28"/>
          <w:lang w:bidi="ar-SA"/>
        </w:rPr>
        <w:t>ы</w:t>
      </w:r>
      <w:r w:rsidRPr="00864066">
        <w:rPr>
          <w:rFonts w:ascii="Times New Roman" w:hAnsi="Times New Roman" w:cs="Times New Roman"/>
          <w:sz w:val="28"/>
          <w:szCs w:val="28"/>
          <w:lang w:bidi="ar-SA"/>
        </w:rPr>
        <w:t xml:space="preserve"> в генах, кодирующих эти белки</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864066">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ABCB</w:t>
      </w:r>
      <w:r w:rsidRPr="00864066">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SLCO</w:t>
      </w:r>
      <w:r w:rsidRPr="00864066">
        <w:rPr>
          <w:rFonts w:ascii="Times New Roman" w:hAnsi="Times New Roman" w:cs="Times New Roman"/>
          <w:sz w:val="28"/>
          <w:szCs w:val="28"/>
          <w:lang w:bidi="ar-SA"/>
        </w:rPr>
        <w:t>1</w:t>
      </w:r>
      <w:r>
        <w:rPr>
          <w:rFonts w:ascii="Times New Roman" w:hAnsi="Times New Roman" w:cs="Times New Roman"/>
          <w:sz w:val="28"/>
          <w:szCs w:val="28"/>
          <w:lang w:val="en-US" w:bidi="ar-SA"/>
        </w:rPr>
        <w:t>B</w:t>
      </w:r>
      <w:r w:rsidRPr="00864066">
        <w:rPr>
          <w:rFonts w:ascii="Times New Roman" w:hAnsi="Times New Roman" w:cs="Times New Roman"/>
          <w:sz w:val="28"/>
          <w:szCs w:val="28"/>
          <w:lang w:bidi="ar-SA"/>
        </w:rPr>
        <w:t>1</w:t>
      </w:r>
      <w:r>
        <w:rPr>
          <w:rFonts w:ascii="Times New Roman" w:hAnsi="Times New Roman" w:cs="Times New Roman"/>
          <w:sz w:val="28"/>
          <w:szCs w:val="28"/>
          <w:lang w:bidi="ar-SA"/>
        </w:rPr>
        <w:t>)</w:t>
      </w:r>
      <w:r w:rsidRPr="00864066">
        <w:rPr>
          <w:rFonts w:ascii="Times New Roman" w:hAnsi="Times New Roman" w:cs="Times New Roman"/>
          <w:sz w:val="28"/>
          <w:szCs w:val="28"/>
          <w:lang w:bidi="ar-SA"/>
        </w:rPr>
        <w:t xml:space="preserve">, </w:t>
      </w:r>
      <w:r>
        <w:rPr>
          <w:rFonts w:ascii="Times New Roman" w:hAnsi="Times New Roman" w:cs="Times New Roman"/>
          <w:sz w:val="28"/>
          <w:szCs w:val="28"/>
          <w:lang w:bidi="ar-SA"/>
        </w:rPr>
        <w:t>т</w:t>
      </w:r>
      <w:r w:rsidRPr="00864066">
        <w:rPr>
          <w:rFonts w:ascii="Times New Roman" w:hAnsi="Times New Roman" w:cs="Times New Roman"/>
          <w:sz w:val="28"/>
          <w:szCs w:val="28"/>
          <w:lang w:bidi="ar-SA"/>
        </w:rPr>
        <w:t>еоретически способны влиять на концентрации препарата в плазме</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{"citationID":"FB1etAwa","properties":{"unsorted":false,"formattedCitation":"[15]","plainCitation":"[15]","noteIndex":0},"citationItems":[{"id":727,"uris":["http://zotero.org/users/14784094/items/A5RFIEWD"],"itemData":{"id":727,"type":"article-journal","abstract":"Dabigatran, rivaroxaban, apixaban, and edoxaban are direct oral anticoagulants (DOACs) that are increasingly used worldwide. Taking into account their widespread use for the prevention of thromboembolism in cardiology, neurology, orthopedics, and coronavirus disease 2019 (COVID 19) as well as their different pharmacokinetics and pharmacogenetics dependence, it is critical to explore new opportunities for DOACs administration and predict their dosage when used as monotherapy or in combination with other drugs. In this review, we describe the details of the relative pharmacogenetics on the pharmacokinetics of DOACs as well as new data concerning the clinical characteristics that predetermine the needed dosage and the risk of adverse drug reactions (ADRs). The usefulness of genetic information before and shortly after the initiation of DOACs is also discussed. The reasons for particular attention to these issues are not only new genetic knowledge and genotyping possibilities, but also the risk of serious ADRs (primarily, gastrointestinal bleeding). Taking into account the effect of the carriership of single nucleotide variants (SNVs) of genes encoding biotransformation enzymes and DOACs metabolism, the use of these measures is important to predict changes in pharmacokinetics and the risk of ADRs in patients with a high risk of thromboembolism who receive anticoagulant therapy.","container-title":"Biomedicines","DOI":"10.3390/biomedicines9050451","ISSN":"2227-9059","issue":"5","journalAbbreviation":"Biomedicines","language":"en","license":"https://creativecommons.org/licenses/by/4.0/","page":"451","source":"DOI.org (Crossref)","title":"Using Pharmacogenetics of Direct Oral Anticoagulants to Predict Changes in Their Pharmacokinetics and the Risk of Adverse Drug Reactions","volume":"9","author":[{"family":"Shnayder","given":"Natalia A."},{"family":"Petrova","given":"Marina M."},{"family":"Shesternya","given":"Pavel A."},{"family":"Savinova","given":"Alina V."},{"family":"Bochanova","given":"Elena N."},{"family":"Zimnitskaya","given":"Olga V."},{"family":"Pozhilenkova","given":"Elena A."},{"family":"Nasyrova","given":"Regina F."}],"issued":{"date-parts":[["2021",4,22]]}}}],"schema":"https://github.com/citation-style-language/schema/raw/master/csl-citation.json"}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w:t>
      </w:r>
      <w:r>
        <w:rPr>
          <w:rFonts w:ascii="Times New Roman" w:hAnsi="Times New Roman" w:cs="Times New Roman"/>
          <w:sz w:val="28"/>
          <w:szCs w:val="28"/>
          <w:lang w:bidi="ar-SA"/>
        </w:rPr>
        <w:fldChar w:fldCharType="end"/>
      </w:r>
      <w:r w:rsidRPr="00864066">
        <w:rPr>
          <w:rFonts w:ascii="Times New Roman" w:hAnsi="Times New Roman" w:cs="Times New Roman"/>
          <w:sz w:val="28"/>
          <w:szCs w:val="28"/>
          <w:lang w:bidi="ar-SA"/>
        </w:rPr>
        <w:t>. На сегодняшний день фармако</w:t>
      </w:r>
      <w:r>
        <w:rPr>
          <w:rFonts w:ascii="Times New Roman" w:hAnsi="Times New Roman" w:cs="Times New Roman"/>
          <w:sz w:val="28"/>
          <w:szCs w:val="28"/>
          <w:lang w:bidi="ar-SA"/>
        </w:rPr>
        <w:t>ге</w:t>
      </w:r>
      <w:r w:rsidRPr="00864066">
        <w:rPr>
          <w:rFonts w:ascii="Times New Roman" w:hAnsi="Times New Roman" w:cs="Times New Roman"/>
          <w:sz w:val="28"/>
          <w:szCs w:val="28"/>
          <w:lang w:bidi="ar-SA"/>
        </w:rPr>
        <w:t>нетические исследования эд</w:t>
      </w:r>
      <w:r>
        <w:rPr>
          <w:rFonts w:ascii="Times New Roman" w:hAnsi="Times New Roman" w:cs="Times New Roman"/>
          <w:sz w:val="28"/>
          <w:szCs w:val="28"/>
          <w:lang w:bidi="ar-SA"/>
        </w:rPr>
        <w:t>ок</w:t>
      </w:r>
      <w:r w:rsidRPr="00864066">
        <w:rPr>
          <w:rFonts w:ascii="Times New Roman" w:hAnsi="Times New Roman" w:cs="Times New Roman"/>
          <w:sz w:val="28"/>
          <w:szCs w:val="28"/>
          <w:lang w:bidi="ar-SA"/>
        </w:rPr>
        <w:t xml:space="preserve">сабана остаются относительно ограниченными по сравнению с другими </w:t>
      </w:r>
      <w:r>
        <w:rPr>
          <w:rFonts w:ascii="Times New Roman" w:hAnsi="Times New Roman" w:cs="Times New Roman"/>
          <w:sz w:val="28"/>
          <w:szCs w:val="28"/>
          <w:lang w:bidi="ar-SA"/>
        </w:rPr>
        <w:t xml:space="preserve">ПОАК. </w:t>
      </w:r>
      <w:r w:rsidRPr="00864066">
        <w:rPr>
          <w:rFonts w:ascii="Times New Roman" w:hAnsi="Times New Roman" w:cs="Times New Roman"/>
          <w:sz w:val="28"/>
          <w:szCs w:val="28"/>
          <w:lang w:bidi="ar-SA"/>
        </w:rPr>
        <w:t>В одном из немногих исследований, посвященных этой теме, изучалось влияние конкретных однонуклеотидных полиморфизмов</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864066">
        <w:rPr>
          <w:rFonts w:ascii="Times New Roman" w:hAnsi="Times New Roman" w:cs="Times New Roman"/>
          <w:sz w:val="28"/>
          <w:szCs w:val="28"/>
          <w:lang w:bidi="ar-SA"/>
        </w:rPr>
        <w:t xml:space="preserve">1045642 (3435 </w:t>
      </w:r>
      <w:r>
        <w:rPr>
          <w:rFonts w:ascii="Times New Roman" w:hAnsi="Times New Roman" w:cs="Times New Roman"/>
          <w:sz w:val="28"/>
          <w:szCs w:val="28"/>
          <w:lang w:val="en-US" w:bidi="ar-SA"/>
        </w:rPr>
        <w:t>C</w:t>
      </w:r>
      <w:r w:rsidRPr="00864066">
        <w:rPr>
          <w:rFonts w:ascii="Times New Roman" w:hAnsi="Times New Roman" w:cs="Times New Roman"/>
          <w:sz w:val="28"/>
          <w:szCs w:val="28"/>
          <w:lang w:bidi="ar-SA"/>
        </w:rPr>
        <w:t>&gt;</w:t>
      </w:r>
      <w:r>
        <w:rPr>
          <w:rFonts w:ascii="Times New Roman" w:hAnsi="Times New Roman" w:cs="Times New Roman"/>
          <w:sz w:val="28"/>
          <w:szCs w:val="28"/>
          <w:lang w:val="en-US" w:bidi="ar-SA"/>
        </w:rPr>
        <w:t>T</w:t>
      </w:r>
      <w:r w:rsidRPr="00864066">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гена </w:t>
      </w:r>
      <w:r>
        <w:rPr>
          <w:rFonts w:ascii="Times New Roman" w:hAnsi="Times New Roman" w:cs="Times New Roman"/>
          <w:sz w:val="28"/>
          <w:szCs w:val="28"/>
          <w:lang w:val="en-US" w:bidi="ar-SA"/>
        </w:rPr>
        <w:t>ABCB</w:t>
      </w:r>
      <w:r w:rsidRPr="00864066">
        <w:rPr>
          <w:rFonts w:ascii="Times New Roman" w:hAnsi="Times New Roman" w:cs="Times New Roman"/>
          <w:sz w:val="28"/>
          <w:szCs w:val="28"/>
          <w:lang w:bidi="ar-SA"/>
        </w:rPr>
        <w:t>1</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864066">
        <w:rPr>
          <w:rFonts w:ascii="Times New Roman" w:hAnsi="Times New Roman" w:cs="Times New Roman"/>
          <w:sz w:val="28"/>
          <w:szCs w:val="28"/>
          <w:lang w:bidi="ar-SA"/>
        </w:rPr>
        <w:t>-</w:t>
      </w:r>
      <w:r>
        <w:rPr>
          <w:rFonts w:ascii="Times New Roman" w:hAnsi="Times New Roman" w:cs="Times New Roman"/>
          <w:sz w:val="28"/>
          <w:szCs w:val="28"/>
          <w:lang w:val="en-US" w:bidi="ar-SA"/>
        </w:rPr>
        <w:t>gp</w:t>
      </w:r>
      <w:r>
        <w:rPr>
          <w:rFonts w:ascii="Times New Roman" w:hAnsi="Times New Roman" w:cs="Times New Roman"/>
          <w:sz w:val="28"/>
          <w:szCs w:val="28"/>
          <w:lang w:bidi="ar-SA"/>
        </w:rPr>
        <w:t>)</w:t>
      </w:r>
      <w:r w:rsidRPr="00864066">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rs</w:t>
      </w:r>
      <w:r w:rsidRPr="00864066">
        <w:rPr>
          <w:rFonts w:ascii="Times New Roman" w:hAnsi="Times New Roman" w:cs="Times New Roman"/>
          <w:sz w:val="28"/>
          <w:szCs w:val="28"/>
          <w:lang w:bidi="ar-SA"/>
        </w:rPr>
        <w:t xml:space="preserve">4149056 (521 </w:t>
      </w:r>
      <w:r>
        <w:rPr>
          <w:rFonts w:ascii="Times New Roman" w:hAnsi="Times New Roman" w:cs="Times New Roman"/>
          <w:sz w:val="28"/>
          <w:szCs w:val="28"/>
          <w:lang w:val="en-US" w:bidi="ar-SA"/>
        </w:rPr>
        <w:t>T</w:t>
      </w:r>
      <w:r w:rsidRPr="00864066">
        <w:rPr>
          <w:rFonts w:ascii="Times New Roman" w:hAnsi="Times New Roman" w:cs="Times New Roman"/>
          <w:sz w:val="28"/>
          <w:szCs w:val="28"/>
          <w:lang w:bidi="ar-SA"/>
        </w:rPr>
        <w:t>&gt;</w:t>
      </w:r>
      <w:r>
        <w:rPr>
          <w:rFonts w:ascii="Times New Roman" w:hAnsi="Times New Roman" w:cs="Times New Roman"/>
          <w:sz w:val="28"/>
          <w:szCs w:val="28"/>
          <w:lang w:val="en-US" w:bidi="ar-SA"/>
        </w:rPr>
        <w:t>C</w:t>
      </w:r>
      <w:r w:rsidRPr="00864066">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гена </w:t>
      </w:r>
      <w:r>
        <w:rPr>
          <w:rFonts w:ascii="Times New Roman" w:hAnsi="Times New Roman" w:cs="Times New Roman"/>
          <w:sz w:val="28"/>
          <w:szCs w:val="28"/>
          <w:lang w:val="en-US" w:bidi="ar-SA"/>
        </w:rPr>
        <w:t>SLCO</w:t>
      </w:r>
      <w:r w:rsidRPr="00864066">
        <w:rPr>
          <w:rFonts w:ascii="Times New Roman" w:hAnsi="Times New Roman" w:cs="Times New Roman"/>
          <w:sz w:val="28"/>
          <w:szCs w:val="28"/>
          <w:lang w:bidi="ar-SA"/>
        </w:rPr>
        <w:t>1</w:t>
      </w:r>
      <w:r>
        <w:rPr>
          <w:rFonts w:ascii="Times New Roman" w:hAnsi="Times New Roman" w:cs="Times New Roman"/>
          <w:sz w:val="28"/>
          <w:szCs w:val="28"/>
          <w:lang w:val="en-US" w:bidi="ar-SA"/>
        </w:rPr>
        <w:t>B</w:t>
      </w:r>
      <w:r w:rsidRPr="00864066">
        <w:rPr>
          <w:rFonts w:ascii="Times New Roman" w:hAnsi="Times New Roman" w:cs="Times New Roman"/>
          <w:sz w:val="28"/>
          <w:szCs w:val="28"/>
          <w:lang w:bidi="ar-SA"/>
        </w:rPr>
        <w:t>1 (</w:t>
      </w:r>
      <w:r>
        <w:rPr>
          <w:rFonts w:ascii="Times New Roman" w:hAnsi="Times New Roman" w:cs="Times New Roman"/>
          <w:sz w:val="28"/>
          <w:szCs w:val="28"/>
          <w:lang w:val="en-US" w:bidi="ar-SA"/>
        </w:rPr>
        <w:t>OATP</w:t>
      </w:r>
      <w:r w:rsidRPr="00864066">
        <w:rPr>
          <w:rFonts w:ascii="Times New Roman" w:hAnsi="Times New Roman" w:cs="Times New Roman"/>
          <w:sz w:val="28"/>
          <w:szCs w:val="28"/>
          <w:lang w:bidi="ar-SA"/>
        </w:rPr>
        <w:t>1</w:t>
      </w:r>
      <w:r>
        <w:rPr>
          <w:rFonts w:ascii="Times New Roman" w:hAnsi="Times New Roman" w:cs="Times New Roman"/>
          <w:sz w:val="28"/>
          <w:szCs w:val="28"/>
          <w:lang w:val="en-US" w:bidi="ar-SA"/>
        </w:rPr>
        <w:t>B</w:t>
      </w:r>
      <w:r w:rsidRPr="00864066">
        <w:rPr>
          <w:rFonts w:ascii="Times New Roman" w:hAnsi="Times New Roman" w:cs="Times New Roman"/>
          <w:sz w:val="28"/>
          <w:szCs w:val="28"/>
          <w:lang w:bidi="ar-SA"/>
        </w:rPr>
        <w:t>1)</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{"citationID":"qwoLeHxk","properties":{"unsorted":false,"formattedCitation":"[175]","plainCitation":"[175]","noteIndex":0},"citationItems":[{"id":91,"uris":["http://zotero.org/users/14784094/items/T64TXZIM"],"itemData":{"id":91,"type":"article-journal","abstract":"Edoxaban and its low-abundance, active metabolite M4 are substrates of P-glycoprotein (P-gp; MDR1) and organic anion transporter protein 1B1 (OATP1B1), respectively, and pharmacological inhibitors of P-gp and OATP1B1 can affect edoxaban and M4 pharmacokinetics (PK). In this integrated pharmacogenomic analysis, genotype and concentration–time data from 458 healthy volunteers in 14 completed phase 1 studies were pooled to examine the impact on edoxaban PK parameters of allelic variants of ABCB1 (rs1045642: C3435T) and SLCO1B1 (rs4149056: T521C), which encode for P-gp and OATP1B1. Although some pharmacologic inhibitors of P-gp and OATP1B1 increase edoxaban exposure, neither the ABCB1 C3435T nor the SLCO1B1 T521C polymorphism affected edoxaban PK. A slight elevation in M4 exposure was observed among SLCO1B1 C-allele carriers; however, this elevation is unlikely to be clinically significant as plasma M4 concentrations comprise &lt;10% of total edoxaban levels.","container-title":"The Pharmacogenomics Journal","DOI":"10.1038/tpj.2016.82","ISSN":"1473-1150","issue":"1","journalAbbreviation":"Pharmacogenomics J","language":"en","license":"2018 The Author(s)","page":"153-159","publisher":"Nature Publishing Group","source":"www.nature.com","title":"An integrated pharmacokinetic/pharmacogenomic analysis of ABCB1 and SLCO1B1 polymorphisms on edoxaban exposure","volume":"18","author":[{"family":"Vandell","given":"A. G."},{"family":"Lee","given":"J."},{"family":"Shi","given":"M."},{"family":"Rubets","given":"I."},{"family":"Brown","given":"K. S."},{"family":"Walker","given":"J. R."}],"issued":{"date-parts":[["2018",1]]}}}],"schema":"https://github.com/citation-style-language/schema/raw/master/csl-citation.json"}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[175]</w:t>
      </w:r>
      <w:r>
        <w:rPr>
          <w:rFonts w:ascii="Times New Roman" w:hAnsi="Times New Roman" w:cs="Times New Roman"/>
          <w:sz w:val="28"/>
          <w:szCs w:val="28"/>
          <w:lang w:bidi="ar-SA"/>
        </w:rPr>
        <w:fldChar w:fldCharType="end"/>
      </w:r>
      <w:r w:rsidRPr="002573A9">
        <w:rPr>
          <w:rFonts w:ascii="Times New Roman" w:hAnsi="Times New Roman" w:cs="Times New Roman"/>
          <w:sz w:val="28"/>
          <w:szCs w:val="28"/>
          <w:lang w:bidi="ar-SA"/>
        </w:rPr>
        <w:t xml:space="preserve">. </w:t>
      </w:r>
      <w:r w:rsidR="002573A9" w:rsidRPr="002573A9">
        <w:rPr>
          <w:rFonts w:ascii="Times New Roman" w:hAnsi="Times New Roman" w:cs="Times New Roman"/>
          <w:sz w:val="28"/>
          <w:szCs w:val="28"/>
          <w:lang w:bidi="ar-SA"/>
        </w:rPr>
        <w:t xml:space="preserve">Авторы не обнаружили статистически значимого влияния этих вариантов на основные фармакокинетические параметры самого </w:t>
      </w:r>
      <w:r w:rsidR="002573A9">
        <w:rPr>
          <w:rFonts w:ascii="Times New Roman" w:hAnsi="Times New Roman" w:cs="Times New Roman"/>
          <w:sz w:val="28"/>
          <w:szCs w:val="28"/>
          <w:lang w:bidi="ar-SA"/>
        </w:rPr>
        <w:t xml:space="preserve">эдоксабана. </w:t>
      </w:r>
      <w:r w:rsidR="002573A9" w:rsidRPr="002573A9">
        <w:rPr>
          <w:rFonts w:ascii="Times New Roman" w:hAnsi="Times New Roman" w:cs="Times New Roman"/>
          <w:sz w:val="28"/>
          <w:szCs w:val="28"/>
          <w:lang w:bidi="ar-SA"/>
        </w:rPr>
        <w:t>Однако было отмечено небольшое, н</w:t>
      </w:r>
      <w:r w:rsidR="002573A9">
        <w:rPr>
          <w:rFonts w:ascii="Times New Roman" w:hAnsi="Times New Roman" w:cs="Times New Roman"/>
          <w:sz w:val="28"/>
          <w:szCs w:val="28"/>
          <w:lang w:bidi="ar-SA"/>
        </w:rPr>
        <w:t>о</w:t>
      </w:r>
      <w:r w:rsidR="002573A9" w:rsidRPr="002573A9">
        <w:rPr>
          <w:rFonts w:ascii="Times New Roman" w:hAnsi="Times New Roman" w:cs="Times New Roman"/>
          <w:sz w:val="28"/>
          <w:szCs w:val="28"/>
          <w:lang w:bidi="ar-SA"/>
        </w:rPr>
        <w:t xml:space="preserve"> потенциальн</w:t>
      </w:r>
      <w:r w:rsidR="002573A9">
        <w:rPr>
          <w:rFonts w:ascii="Times New Roman" w:hAnsi="Times New Roman" w:cs="Times New Roman"/>
          <w:sz w:val="28"/>
          <w:szCs w:val="28"/>
          <w:lang w:bidi="ar-SA"/>
        </w:rPr>
        <w:t>о</w:t>
      </w:r>
      <w:r w:rsidR="002573A9" w:rsidRPr="002573A9">
        <w:rPr>
          <w:rFonts w:ascii="Times New Roman" w:hAnsi="Times New Roman" w:cs="Times New Roman"/>
          <w:sz w:val="28"/>
          <w:szCs w:val="28"/>
          <w:lang w:bidi="ar-SA"/>
        </w:rPr>
        <w:t xml:space="preserve"> важное увеличение экспозиции его активного метаболита </w:t>
      </w:r>
      <w:r w:rsidR="002573A9">
        <w:rPr>
          <w:rFonts w:ascii="Times New Roman" w:hAnsi="Times New Roman" w:cs="Times New Roman"/>
          <w:sz w:val="28"/>
          <w:szCs w:val="28"/>
          <w:lang w:bidi="ar-SA"/>
        </w:rPr>
        <w:t>М</w:t>
      </w:r>
      <w:r w:rsidR="002573A9" w:rsidRPr="002573A9">
        <w:rPr>
          <w:rFonts w:ascii="Times New Roman" w:hAnsi="Times New Roman" w:cs="Times New Roman"/>
          <w:sz w:val="28"/>
          <w:szCs w:val="28"/>
          <w:lang w:bidi="ar-SA"/>
        </w:rPr>
        <w:t xml:space="preserve">4 у носителей минорного аллея </w:t>
      </w:r>
      <w:r w:rsidR="002573A9">
        <w:rPr>
          <w:rFonts w:ascii="Times New Roman" w:hAnsi="Times New Roman" w:cs="Times New Roman"/>
          <w:sz w:val="28"/>
          <w:szCs w:val="28"/>
          <w:lang w:bidi="ar-SA"/>
        </w:rPr>
        <w:t>С</w:t>
      </w:r>
      <w:r w:rsidR="002573A9" w:rsidRPr="002573A9">
        <w:rPr>
          <w:rFonts w:ascii="Times New Roman" w:hAnsi="Times New Roman" w:cs="Times New Roman"/>
          <w:sz w:val="28"/>
          <w:szCs w:val="28"/>
          <w:lang w:bidi="ar-SA"/>
        </w:rPr>
        <w:t xml:space="preserve">* гена </w:t>
      </w:r>
      <w:r w:rsidR="002573A9">
        <w:rPr>
          <w:rFonts w:ascii="Times New Roman" w:hAnsi="Times New Roman" w:cs="Times New Roman"/>
          <w:sz w:val="28"/>
          <w:szCs w:val="28"/>
          <w:lang w:val="en-US" w:bidi="ar-SA"/>
        </w:rPr>
        <w:t>SLCO</w:t>
      </w:r>
      <w:r w:rsidR="002573A9" w:rsidRPr="002573A9">
        <w:rPr>
          <w:rFonts w:ascii="Times New Roman" w:hAnsi="Times New Roman" w:cs="Times New Roman"/>
          <w:sz w:val="28"/>
          <w:szCs w:val="28"/>
          <w:lang w:bidi="ar-SA"/>
        </w:rPr>
        <w:t>1</w:t>
      </w:r>
      <w:r w:rsidR="002573A9">
        <w:rPr>
          <w:rFonts w:ascii="Times New Roman" w:hAnsi="Times New Roman" w:cs="Times New Roman"/>
          <w:sz w:val="28"/>
          <w:szCs w:val="28"/>
          <w:lang w:val="en-US" w:bidi="ar-SA"/>
        </w:rPr>
        <w:t>B</w:t>
      </w:r>
      <w:r w:rsidR="002573A9" w:rsidRPr="002573A9">
        <w:rPr>
          <w:rFonts w:ascii="Times New Roman" w:hAnsi="Times New Roman" w:cs="Times New Roman"/>
          <w:sz w:val="28"/>
          <w:szCs w:val="28"/>
          <w:lang w:bidi="ar-SA"/>
        </w:rPr>
        <w:t>1 (</w:t>
      </w:r>
      <w:r w:rsidR="002573A9">
        <w:rPr>
          <w:rFonts w:ascii="Times New Roman" w:hAnsi="Times New Roman" w:cs="Times New Roman"/>
          <w:sz w:val="28"/>
          <w:szCs w:val="28"/>
          <w:lang w:val="en-US" w:bidi="ar-SA"/>
        </w:rPr>
        <w:t>rs</w:t>
      </w:r>
      <w:r w:rsidR="002573A9" w:rsidRPr="002573A9">
        <w:rPr>
          <w:rFonts w:ascii="Times New Roman" w:hAnsi="Times New Roman" w:cs="Times New Roman"/>
          <w:sz w:val="28"/>
          <w:szCs w:val="28"/>
          <w:lang w:bidi="ar-SA"/>
        </w:rPr>
        <w:t>4149056)</w:t>
      </w:r>
      <w:r w:rsidR="002573A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{"citationID":"53yTvF6c","properties":{"unsorted":false,"formattedCitation":"[175]","plainCitation":"[175]","noteIndex":0},"citationItems":[{"id":91,"uris":["http://zotero.org/users/14784094/items/T64TXZIM"],"itemData":{"id":91,"type":"article-journal","abstract":"Edoxaban and its low-abundance, active metabolite M4 are substrates of P-glycoprotein (P-gp; MDR1) and organic anion transporter protein 1B1 (OATP1B1), respectively, and pharmacological inhibitors of P-gp and OATP1B1 can affect edoxaban and M4 pharmacokinetics (PK). In this integrated pharmacogenomic analysis, genotype and concentration–time data from 458 healthy volunteers in 14 completed phase 1 studies were pooled to examine the impact on edoxaban PK parameters of allelic variants of ABCB1 (rs1045642: C3435T) and SLCO1B1 (rs4149056: T521C), which encode for P-gp and OATP1B1. Although some pharmacologic inhibitors of P-gp and OATP1B1 increase edoxaban exposure, neither the ABCB1 C3435T nor the SLCO1B1 T521C polymorphism affected edoxaban PK. A slight elevation in M4 exposure was observed among SLCO1B1 C-allele carriers; however, this elevation is unlikely to be clinically significant as plasma M4 concentrations comprise &lt;10% of total edoxaban levels.","container-title":"The Pharmacogenomics Journal","DOI":"10.1038/tpj.2016.82","ISSN":"1473-1150","issue":"1","journalAbbreviation":"Pharmacogenomics J","language":"en","license":"2018 The Author(s)","page":"153-159","publisher":"Nature Publishing Group","source":"www.nature.com","title":"An integrated pharmacokinetic/pharmacogenomic analysis of ABCB1 and SLCO1B1 polymorphisms on edoxaban exposure","volume":"18","author":[{"family":"Vandell","given":"A. G."},{"family":"Lee","given":"J."},{"family":"Shi","given":"M."},{"family":"Rubets","given":"I."},{"family":"Brown","given":"K. S."},{"family":"Walker","given":"J. R."}],"issued":{"date-parts":[["2018",1]]}}}],"schema":"https://github.com/citation-style-language/schema/raw/master/csl-citation.json"} </w:instrText>
      </w:r>
      <w:r w:rsidR="002573A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[175]</w:t>
      </w:r>
      <w:r w:rsidR="002573A9">
        <w:rPr>
          <w:rFonts w:ascii="Times New Roman" w:hAnsi="Times New Roman" w:cs="Times New Roman"/>
          <w:sz w:val="28"/>
          <w:szCs w:val="28"/>
          <w:lang w:bidi="ar-SA"/>
        </w:rPr>
        <w:fldChar w:fldCharType="end"/>
      </w:r>
      <w:r w:rsidR="002573A9" w:rsidRPr="002573A9">
        <w:rPr>
          <w:rFonts w:ascii="Times New Roman" w:hAnsi="Times New Roman" w:cs="Times New Roman"/>
          <w:sz w:val="28"/>
          <w:szCs w:val="28"/>
          <w:lang w:bidi="ar-SA"/>
        </w:rPr>
        <w:t xml:space="preserve">. Роль генетических вариантов самого гена </w:t>
      </w:r>
      <w:r w:rsidR="002573A9">
        <w:rPr>
          <w:rFonts w:ascii="Times New Roman" w:hAnsi="Times New Roman" w:cs="Times New Roman"/>
          <w:sz w:val="28"/>
          <w:szCs w:val="28"/>
          <w:lang w:val="en-US" w:bidi="ar-SA"/>
        </w:rPr>
        <w:t>CES</w:t>
      </w:r>
      <w:r w:rsidR="002573A9" w:rsidRPr="002573A9">
        <w:rPr>
          <w:rFonts w:ascii="Times New Roman" w:hAnsi="Times New Roman" w:cs="Times New Roman"/>
          <w:sz w:val="28"/>
          <w:szCs w:val="28"/>
          <w:lang w:bidi="ar-SA"/>
        </w:rPr>
        <w:t>1 (</w:t>
      </w:r>
      <w:r w:rsidR="002573A9">
        <w:rPr>
          <w:rFonts w:ascii="Times New Roman" w:hAnsi="Times New Roman" w:cs="Times New Roman"/>
          <w:sz w:val="28"/>
          <w:szCs w:val="28"/>
          <w:lang w:bidi="ar-SA"/>
        </w:rPr>
        <w:t xml:space="preserve">например, </w:t>
      </w:r>
      <w:r w:rsidR="002573A9">
        <w:rPr>
          <w:rFonts w:ascii="Times New Roman" w:hAnsi="Times New Roman" w:cs="Times New Roman"/>
          <w:sz w:val="28"/>
          <w:szCs w:val="28"/>
          <w:lang w:val="en-US" w:bidi="ar-SA"/>
        </w:rPr>
        <w:t>rs</w:t>
      </w:r>
      <w:r w:rsidR="002573A9" w:rsidRPr="002573A9">
        <w:rPr>
          <w:rFonts w:ascii="Times New Roman" w:hAnsi="Times New Roman" w:cs="Times New Roman"/>
          <w:sz w:val="28"/>
          <w:szCs w:val="28"/>
          <w:lang w:bidi="ar-SA"/>
        </w:rPr>
        <w:t xml:space="preserve">8192935, </w:t>
      </w:r>
      <w:r w:rsidR="002573A9">
        <w:rPr>
          <w:rFonts w:ascii="Times New Roman" w:hAnsi="Times New Roman" w:cs="Times New Roman"/>
          <w:sz w:val="28"/>
          <w:szCs w:val="28"/>
          <w:lang w:val="en-US" w:bidi="ar-SA"/>
        </w:rPr>
        <w:t>rs</w:t>
      </w:r>
      <w:r w:rsidR="002573A9" w:rsidRPr="002573A9">
        <w:rPr>
          <w:rFonts w:ascii="Times New Roman" w:hAnsi="Times New Roman" w:cs="Times New Roman"/>
          <w:sz w:val="28"/>
          <w:szCs w:val="28"/>
          <w:lang w:bidi="ar-SA"/>
        </w:rPr>
        <w:t xml:space="preserve">2244613, </w:t>
      </w:r>
      <w:r w:rsidR="002573A9">
        <w:rPr>
          <w:rFonts w:ascii="Times New Roman" w:hAnsi="Times New Roman" w:cs="Times New Roman"/>
          <w:sz w:val="28"/>
          <w:szCs w:val="28"/>
          <w:lang w:val="en-US" w:bidi="ar-SA"/>
        </w:rPr>
        <w:t>rs</w:t>
      </w:r>
      <w:r w:rsidR="002573A9" w:rsidRPr="002573A9">
        <w:rPr>
          <w:rFonts w:ascii="Times New Roman" w:hAnsi="Times New Roman" w:cs="Times New Roman"/>
          <w:sz w:val="28"/>
          <w:szCs w:val="28"/>
          <w:lang w:bidi="ar-SA"/>
        </w:rPr>
        <w:t>71647871), которые могут существенно влиять на активность этого ключевого метаболизирующе</w:t>
      </w:r>
      <w:r w:rsidR="002573A9">
        <w:rPr>
          <w:rFonts w:ascii="Times New Roman" w:hAnsi="Times New Roman" w:cs="Times New Roman"/>
          <w:sz w:val="28"/>
          <w:szCs w:val="28"/>
          <w:lang w:bidi="ar-SA"/>
        </w:rPr>
        <w:t>го</w:t>
      </w:r>
      <w:r w:rsidR="002573A9" w:rsidRPr="002573A9">
        <w:rPr>
          <w:rFonts w:ascii="Times New Roman" w:hAnsi="Times New Roman" w:cs="Times New Roman"/>
          <w:sz w:val="28"/>
          <w:szCs w:val="28"/>
          <w:lang w:bidi="ar-SA"/>
        </w:rPr>
        <w:t xml:space="preserve"> фермента, в контексте фармакокинетики</w:t>
      </w:r>
      <w:r w:rsidR="002573A9">
        <w:rPr>
          <w:rFonts w:ascii="Times New Roman" w:hAnsi="Times New Roman" w:cs="Times New Roman"/>
          <w:sz w:val="28"/>
          <w:szCs w:val="28"/>
          <w:lang w:bidi="ar-SA"/>
        </w:rPr>
        <w:t xml:space="preserve"> эдоксабана</w:t>
      </w:r>
      <w:r w:rsidR="002573A9" w:rsidRPr="002573A9">
        <w:rPr>
          <w:rFonts w:ascii="Times New Roman" w:hAnsi="Times New Roman" w:cs="Times New Roman"/>
          <w:sz w:val="28"/>
          <w:szCs w:val="28"/>
          <w:lang w:bidi="ar-SA"/>
        </w:rPr>
        <w:t xml:space="preserve"> остается малоизученной</w:t>
      </w:r>
      <w:r w:rsidR="002573A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{"citationID":"JwIXqsaw","properties":{"unsorted":false,"formattedCitation":"[14]","plainCitation":"[14]","noteIndex":0},"citationItems":[{"id":248,"uris":["http://zotero.org/users/14784094/items/3QLQY7JC"],"itemData":{"id":248,"type":"article-journal","abstract":"Direct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P."}],"issued":{"date-parts":[["2019",1,17]]}}}],"schema":"https://github.com/citation-style-language/schema/raw/master/csl-citation.json"} </w:instrText>
      </w:r>
      <w:r w:rsidR="002573A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w:t>
      </w:r>
      <w:r w:rsidR="002573A9">
        <w:rPr>
          <w:rFonts w:ascii="Times New Roman" w:hAnsi="Times New Roman" w:cs="Times New Roman"/>
          <w:sz w:val="28"/>
          <w:szCs w:val="28"/>
          <w:lang w:bidi="ar-SA"/>
        </w:rPr>
        <w:fldChar w:fldCharType="end"/>
      </w:r>
      <w:r w:rsidR="002573A9" w:rsidRPr="002573A9">
        <w:rPr>
          <w:rFonts w:ascii="Times New Roman" w:hAnsi="Times New Roman" w:cs="Times New Roman"/>
          <w:sz w:val="28"/>
          <w:szCs w:val="28"/>
          <w:lang w:bidi="ar-SA"/>
        </w:rPr>
        <w:t>. Крупные рандомизированные клинические исследования, специально спроектированные для оценки влияния фармакогенетических факторов на эффективность и безопасность эд</w:t>
      </w:r>
      <w:r w:rsidR="002573A9">
        <w:rPr>
          <w:rFonts w:ascii="Times New Roman" w:hAnsi="Times New Roman" w:cs="Times New Roman"/>
          <w:sz w:val="28"/>
          <w:szCs w:val="28"/>
          <w:lang w:bidi="ar-SA"/>
        </w:rPr>
        <w:t>ок</w:t>
      </w:r>
      <w:r w:rsidR="002573A9" w:rsidRPr="002573A9">
        <w:rPr>
          <w:rFonts w:ascii="Times New Roman" w:hAnsi="Times New Roman" w:cs="Times New Roman"/>
          <w:sz w:val="28"/>
          <w:szCs w:val="28"/>
          <w:lang w:bidi="ar-SA"/>
        </w:rPr>
        <w:t>сабана, на данный момент отсутству</w:t>
      </w:r>
      <w:r w:rsidR="002573A9">
        <w:rPr>
          <w:rFonts w:ascii="Times New Roman" w:hAnsi="Times New Roman" w:cs="Times New Roman"/>
          <w:sz w:val="28"/>
          <w:szCs w:val="28"/>
          <w:lang w:bidi="ar-SA"/>
        </w:rPr>
        <w:t>ю</w:t>
      </w:r>
      <w:r w:rsidR="002573A9" w:rsidRPr="002573A9">
        <w:rPr>
          <w:rFonts w:ascii="Times New Roman" w:hAnsi="Times New Roman" w:cs="Times New Roman"/>
          <w:sz w:val="28"/>
          <w:szCs w:val="28"/>
          <w:lang w:bidi="ar-SA"/>
        </w:rPr>
        <w:t>т</w:t>
      </w:r>
      <w:r w:rsidR="002573A9">
        <w:rPr>
          <w:rFonts w:ascii="Times New Roman" w:hAnsi="Times New Roman" w:cs="Times New Roman"/>
          <w:sz w:val="28"/>
          <w:szCs w:val="28"/>
          <w:lang w:bidi="ar-SA"/>
        </w:rPr>
        <w:t xml:space="preserve">, </w:t>
      </w:r>
      <w:r w:rsidR="002573A9" w:rsidRPr="002573A9">
        <w:rPr>
          <w:rFonts w:ascii="Times New Roman" w:hAnsi="Times New Roman" w:cs="Times New Roman"/>
          <w:sz w:val="28"/>
          <w:szCs w:val="28"/>
          <w:lang w:bidi="ar-SA"/>
        </w:rPr>
        <w:t>что подчеркивает необходимость дальнейших изысканий в этой области для персонализации терапии.</w:t>
      </w:r>
    </w:p>
    <w:p w14:paraId="6A9B957D" w14:textId="77777777" w:rsidR="002573A9" w:rsidRDefault="002573A9" w:rsidP="008D7CBD">
      <w:pPr>
        <w:pStyle w:val="LO-normal"/>
        <w:spacing w:after="0" w:line="240" w:lineRule="auto"/>
        <w:ind w:firstLine="567"/>
        <w:jc w:val="both"/>
        <w:rPr>
          <w:rFonts w:ascii="Times New Roman" w:hAnsi="Times New Roman" w:cs="Times New Roman"/>
          <w:sz w:val="28"/>
          <w:szCs w:val="28"/>
          <w:lang w:bidi="ar-SA"/>
        </w:rPr>
      </w:pPr>
    </w:p>
    <w:p w14:paraId="660C766C" w14:textId="66DBC92F" w:rsidR="002573A9" w:rsidRPr="002573A9" w:rsidRDefault="002573A9" w:rsidP="008D7CBD">
      <w:pPr>
        <w:pStyle w:val="LO-normal"/>
        <w:spacing w:after="0" w:line="240" w:lineRule="auto"/>
        <w:ind w:firstLine="567"/>
        <w:jc w:val="both"/>
        <w:rPr>
          <w:rFonts w:ascii="Times New Roman" w:hAnsi="Times New Roman" w:cs="Times New Roman"/>
          <w:b/>
          <w:bCs/>
          <w:sz w:val="28"/>
          <w:szCs w:val="28"/>
          <w:lang w:bidi="ar-SA"/>
        </w:rPr>
      </w:pPr>
      <w:r w:rsidRPr="002573A9">
        <w:rPr>
          <w:rFonts w:ascii="Times New Roman" w:hAnsi="Times New Roman" w:cs="Times New Roman"/>
          <w:b/>
          <w:bCs/>
          <w:sz w:val="28"/>
          <w:szCs w:val="28"/>
          <w:lang w:bidi="ar-SA"/>
        </w:rPr>
        <w:t>1.4.2.4 Дабигатран (ингибитор тромбина)</w:t>
      </w:r>
    </w:p>
    <w:p w14:paraId="78EA1A22" w14:textId="50B7946C" w:rsidR="00057E70" w:rsidRPr="00566203" w:rsidRDefault="002573A9" w:rsidP="008D7CB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Дабигатрана этексилат</w:t>
      </w:r>
      <w:r w:rsidRPr="002573A9">
        <w:rPr>
          <w:rFonts w:ascii="Times New Roman" w:hAnsi="Times New Roman" w:cs="Times New Roman"/>
          <w:sz w:val="28"/>
          <w:szCs w:val="28"/>
          <w:lang w:bidi="ar-SA"/>
        </w:rPr>
        <w:t xml:space="preserve"> получил первоначальное разрешение </w:t>
      </w:r>
      <w:r>
        <w:rPr>
          <w:rFonts w:ascii="Times New Roman" w:hAnsi="Times New Roman" w:cs="Times New Roman"/>
          <w:sz w:val="28"/>
          <w:szCs w:val="28"/>
          <w:lang w:bidi="ar-SA"/>
        </w:rPr>
        <w:t xml:space="preserve">к </w:t>
      </w:r>
      <w:r w:rsidRPr="002573A9">
        <w:rPr>
          <w:rFonts w:ascii="Times New Roman" w:hAnsi="Times New Roman" w:cs="Times New Roman"/>
          <w:sz w:val="28"/>
          <w:szCs w:val="28"/>
          <w:lang w:bidi="ar-SA"/>
        </w:rPr>
        <w:t>клиническому применению в 2009 году со стороны регулирующих органов Великобритании и Европейского союза</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{"citationID":"gTynVPHU","properties":{"unsorted":false,"formattedCitation":"[176]","plainCitation":"[176]","noteIndex":0},"citationItems":[{"id":90,"uris":["http://zotero.org/users/14784094/items/IGKM878W"],"itemData":{"id":90,"type":"article-journal","abstract":"Dabigatran etexilate (Pradaxa®, Pradax™, Prazaxa®) is indicated for the primary prevention of venous thromboembolic (VTE) events in adults who have undergone elective total hip replacement (THR) or total knee replacement (TKR) surgery. This article reviews the clinical efficacy and tolerability of oral dabigatran etexilate in patients undergoing major orthopaedic surgery, as well as summarizing its pharmacological properties and results of a cost-utility analysis. The discussion of clinical trial data focuses on comparative trials with the EU approved dosage regimen of once-daily subcutaneous enoxaparin sodium 40 mg. Dabigatran etexilate is an oral prodrug of the potent, rapidly acting, reversible, competitive inhibitor of thrombin, dabigatran. Dabigatran has predictable and consistent anticoagulant effects and does not require routine coagulation monitoring or dose titration. In the large, randomized, double-blind, phase III, noninferiority trials, RE-MODEL, RE-NOVATE and RE-NOVATE II, oral dabigatran etexilate, at dosages of 150 and 220 mg once daily, initiated postoperatively was shown to be noninferior to subcutaneous enoxaparin sodium 40 mg once daily (initiated prior to surgery) with regard to the incidence of the composite of total VTE events and all-cause mortality in patients undergoing TKR or THR surgery. In general, oral dabigatran etexilate was well tolerated in clinical trials of patients undergoing major orthopaedic surgery. There were no significant between-group differences in bleeding complications, including major bleeding, clinically relevant non-major bleeding or minor bleeding between the dabigatran etexilate or enoxaparin sodium groups. In addition, a cost-utility analysis from the perspective of the UK National Health Service indicated that dabigatran etexilate 220 mg once daily is dominant (i.e. more effective and less costly) to enoxaparin sodium 40 mg once daily in patients undergoing THR or TKR. Additional head-to-head comparisons would be beneficial to more definitively position dabigatran etexilate relative to other available oral treatment options for VTE prophylaxis, such as rivaroxaban and apixaban. In the meantime, dabigatran etexilate offers a convenient, effective and generally well tolerated treatment option for the prophylaxis of VTE in patients undergoing TKR and THR surgery.","container-title":"Drugs","DOI":"10.2165/11209080-000000000-00000","ISSN":"1179-1950","issue":"7","journalAbbreviation":"Drugs","language":"eng","page":"963-986","PMID":"22564134","source":"PubMed","title":"Dabigatran etexilate: a review of its use for the prevention of venous thromboembolism after total hip or knee replacement surgery","title-short":"Dabigatran etexilate","volume":"72","author":[{"family":"Burness","given":"Celeste B."},{"family":"McKeage","given":"Kate"}],"issued":{"date-parts":[["2012",5,7]]}}}],"schema":"https://github.com/citation-style-language/schema/raw/master/csl-citation.json"}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[176]</w:t>
      </w:r>
      <w:r>
        <w:rPr>
          <w:rFonts w:ascii="Times New Roman" w:hAnsi="Times New Roman" w:cs="Times New Roman"/>
          <w:sz w:val="28"/>
          <w:szCs w:val="28"/>
          <w:lang w:bidi="ar-SA"/>
        </w:rPr>
        <w:fldChar w:fldCharType="end"/>
      </w:r>
      <w:r w:rsidRPr="002573A9">
        <w:rPr>
          <w:rFonts w:ascii="Times New Roman" w:hAnsi="Times New Roman" w:cs="Times New Roman"/>
          <w:sz w:val="28"/>
          <w:szCs w:val="28"/>
          <w:lang w:bidi="ar-SA"/>
        </w:rPr>
        <w:t>. Показанием для его назначения стала профилактика венозных тромбоэмболических осложнений (</w:t>
      </w:r>
      <w:r>
        <w:rPr>
          <w:rFonts w:ascii="Times New Roman" w:hAnsi="Times New Roman" w:cs="Times New Roman"/>
          <w:sz w:val="28"/>
          <w:szCs w:val="28"/>
          <w:lang w:bidi="ar-SA"/>
        </w:rPr>
        <w:t>ВТЭО</w:t>
      </w:r>
      <w:r w:rsidRPr="002573A9">
        <w:rPr>
          <w:rFonts w:ascii="Times New Roman" w:hAnsi="Times New Roman" w:cs="Times New Roman"/>
          <w:sz w:val="28"/>
          <w:szCs w:val="28"/>
          <w:lang w:bidi="ar-SA"/>
        </w:rPr>
        <w:t>) в группе взрослых пациентов</w:t>
      </w:r>
      <w:r>
        <w:rPr>
          <w:rFonts w:ascii="Times New Roman" w:hAnsi="Times New Roman" w:cs="Times New Roman"/>
          <w:sz w:val="28"/>
          <w:szCs w:val="28"/>
          <w:lang w:bidi="ar-SA"/>
        </w:rPr>
        <w:t>,</w:t>
      </w:r>
      <w:r w:rsidRPr="002573A9">
        <w:rPr>
          <w:rFonts w:ascii="Times New Roman" w:hAnsi="Times New Roman" w:cs="Times New Roman"/>
          <w:sz w:val="28"/>
          <w:szCs w:val="28"/>
          <w:lang w:bidi="ar-SA"/>
        </w:rPr>
        <w:t xml:space="preserve"> перенесших операцию тотального эндопротезирования коленного </w:t>
      </w:r>
      <w:r>
        <w:rPr>
          <w:rFonts w:ascii="Times New Roman" w:hAnsi="Times New Roman" w:cs="Times New Roman"/>
          <w:sz w:val="28"/>
          <w:szCs w:val="28"/>
          <w:lang w:bidi="ar-SA"/>
        </w:rPr>
        <w:t xml:space="preserve">или </w:t>
      </w:r>
      <w:r w:rsidRPr="002573A9">
        <w:rPr>
          <w:rFonts w:ascii="Times New Roman" w:hAnsi="Times New Roman" w:cs="Times New Roman"/>
          <w:sz w:val="28"/>
          <w:szCs w:val="28"/>
          <w:lang w:bidi="ar-SA"/>
        </w:rPr>
        <w:t>тазобедренного суставов</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{"citationID":"zyM6EnXf","properties":{"unsorted":false,"formattedCitation":"[176]","plainCitation":"[176]","noteIndex":0},"citationItems":[{"id":90,"uris":["http://zotero.org/users/14784094/items/IGKM878W"],"itemData":{"id":90,"type":"article-journal","abstract":"Dabigatran etexilate (Pradaxa®, Pradax™, Prazaxa®) is indicated for the primary prevention of venous thromboembolic (VTE) events in adults who have undergone elective total hip replacement (THR) or total knee replacement (TKR) surgery. This article reviews the clinical efficacy and tolerability of oral dabigatran etexilate in patients undergoing major orthopaedic surgery, as well as summarizing its pharmacological properties and results of a cost-utility analysis. The discussion of clinical trial data focuses on comparative trials with the EU approved dosage regimen of once-daily subcutaneous enoxaparin sodium 40 mg. Dabigatran etexilate is an oral prodrug of the potent, rapidly acting, reversible, competitive inhibitor of thrombin, dabigatran. Dabigatran has predictable and consistent anticoagulant effects and does not require routine coagulation monitoring or dose titration. In the large, randomized, double-blind, phase III, noninferiority trials, RE-MODEL, RE-NOVATE and RE-NOVATE II, oral dabigatran etexilate, at dosages of 150 and 220 mg once daily, initiated postoperatively was shown to be noninferior to subcutaneous enoxaparin sodium 40 mg once daily (initiated prior to surgery) with regard to the incidence of the composite of total VTE events and all-cause mortality in patients undergoing TKR or THR surgery. In general, oral dabigatran etexilate was well tolerated in clinical trials of patients undergoing major orthopaedic surgery. There were no significant between-group differences in bleeding complications, including major bleeding, clinically relevant non-major bleeding or minor bleeding between the dabigatran etexilate or enoxaparin sodium groups. In addition, a cost-utility analysis from the perspective of the UK National Health Service indicated that dabigatran etexilate 220 mg once daily is dominant (i.e. more effective and less costly) to enoxaparin sodium 40 mg once daily in patients undergoing THR or TKR. Additional head-to-head comparisons would be beneficial to more definitively position dabigatran etexilate relative to other available oral treatment options for VTE prophylaxis, such as rivaroxaban and apixaban. In the meantime, dabigatran etexilate offers a convenient, effective and generally well tolerated treatment option for the prophylaxis of VTE in patients undergoing TKR and THR surgery.","container-title":"Drugs","DOI":"10.2165/11209080-000000000-00000","ISSN":"1179-1950","issue":"7","journalAbbreviation":"Drugs","language":"eng","page":"963-986","PMID":"22564134","source":"PubMed","title":"Dabigatran etexilate: a review of its use for the prevention of venous thromboembolism after total hip or knee replacement surgery","title-short":"Dabigatran etexilate","volume":"72","author":[{"family":"Burness","given":"Celeste B."},{"family":"McKeage","given":"Kate"}],"issued":{"date-parts":[["2012",5,7]]}}}],"schema":"https://github.com/citation-style-language/schema/raw/master/csl-citation.json"}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[176]</w:t>
      </w:r>
      <w:r>
        <w:rPr>
          <w:rFonts w:ascii="Times New Roman" w:hAnsi="Times New Roman" w:cs="Times New Roman"/>
          <w:sz w:val="28"/>
          <w:szCs w:val="28"/>
          <w:lang w:bidi="ar-SA"/>
        </w:rPr>
        <w:fldChar w:fldCharType="end"/>
      </w:r>
      <w:r w:rsidRPr="008736EA">
        <w:rPr>
          <w:rFonts w:ascii="Times New Roman" w:hAnsi="Times New Roman" w:cs="Times New Roman"/>
          <w:sz w:val="28"/>
          <w:szCs w:val="28"/>
          <w:lang w:bidi="ar-SA"/>
        </w:rPr>
        <w:t xml:space="preserve">. </w:t>
      </w:r>
      <w:r w:rsidR="008736EA" w:rsidRPr="008736EA">
        <w:rPr>
          <w:rFonts w:ascii="Times New Roman" w:hAnsi="Times New Roman" w:cs="Times New Roman"/>
          <w:sz w:val="28"/>
          <w:szCs w:val="28"/>
          <w:lang w:bidi="ar-SA"/>
        </w:rPr>
        <w:t>Последующее подтверждение его терапевтической ценности произошло в 2012 году</w:t>
      </w:r>
      <w:r w:rsidR="008736EA">
        <w:rPr>
          <w:rFonts w:ascii="Times New Roman" w:hAnsi="Times New Roman" w:cs="Times New Roman"/>
          <w:sz w:val="28"/>
          <w:szCs w:val="28"/>
          <w:lang w:bidi="ar-SA"/>
        </w:rPr>
        <w:t>,</w:t>
      </w:r>
      <w:r w:rsidR="008736EA" w:rsidRPr="008736EA">
        <w:rPr>
          <w:rFonts w:ascii="Times New Roman" w:hAnsi="Times New Roman" w:cs="Times New Roman"/>
          <w:sz w:val="28"/>
          <w:szCs w:val="28"/>
          <w:lang w:bidi="ar-SA"/>
        </w:rPr>
        <w:t xml:space="preserve"> когда на основании убедительных данных о эффективности в предотвращении инсульта и системной эмболии у пациентов с </w:t>
      </w:r>
      <w:r w:rsidR="008736EA">
        <w:rPr>
          <w:rFonts w:ascii="Times New Roman" w:hAnsi="Times New Roman" w:cs="Times New Roman"/>
          <w:sz w:val="28"/>
          <w:szCs w:val="28"/>
          <w:lang w:bidi="ar-SA"/>
        </w:rPr>
        <w:t>неклапанной</w:t>
      </w:r>
      <w:r w:rsidR="008736EA" w:rsidRPr="008736EA">
        <w:rPr>
          <w:rFonts w:ascii="Times New Roman" w:hAnsi="Times New Roman" w:cs="Times New Roman"/>
          <w:sz w:val="28"/>
          <w:szCs w:val="28"/>
          <w:lang w:bidi="ar-SA"/>
        </w:rPr>
        <w:t xml:space="preserve"> фибрилляци</w:t>
      </w:r>
      <w:r w:rsidR="008736EA">
        <w:rPr>
          <w:rFonts w:ascii="Times New Roman" w:hAnsi="Times New Roman" w:cs="Times New Roman"/>
          <w:sz w:val="28"/>
          <w:szCs w:val="28"/>
          <w:lang w:bidi="ar-SA"/>
        </w:rPr>
        <w:t>ей</w:t>
      </w:r>
      <w:r w:rsidR="008736EA" w:rsidRPr="008736EA">
        <w:rPr>
          <w:rFonts w:ascii="Times New Roman" w:hAnsi="Times New Roman" w:cs="Times New Roman"/>
          <w:sz w:val="28"/>
          <w:szCs w:val="28"/>
          <w:lang w:bidi="ar-SA"/>
        </w:rPr>
        <w:t xml:space="preserve"> предсердий</w:t>
      </w:r>
      <w:r w:rsidR="008736EA">
        <w:rPr>
          <w:rFonts w:ascii="Times New Roman" w:hAnsi="Times New Roman" w:cs="Times New Roman"/>
          <w:sz w:val="28"/>
          <w:szCs w:val="28"/>
          <w:lang w:bidi="ar-SA"/>
        </w:rPr>
        <w:t>,</w:t>
      </w:r>
      <w:r w:rsidR="008736EA" w:rsidRPr="008736EA">
        <w:rPr>
          <w:rFonts w:ascii="Times New Roman" w:hAnsi="Times New Roman" w:cs="Times New Roman"/>
          <w:sz w:val="28"/>
          <w:szCs w:val="28"/>
          <w:lang w:bidi="ar-SA"/>
        </w:rPr>
        <w:t xml:space="preserve"> </w:t>
      </w:r>
      <w:r w:rsidR="008736EA">
        <w:rPr>
          <w:rFonts w:ascii="Times New Roman" w:hAnsi="Times New Roman" w:cs="Times New Roman"/>
          <w:sz w:val="28"/>
          <w:szCs w:val="28"/>
          <w:lang w:bidi="ar-SA"/>
        </w:rPr>
        <w:t xml:space="preserve">дабигатран </w:t>
      </w:r>
      <w:r w:rsidR="008736EA" w:rsidRPr="008736EA">
        <w:rPr>
          <w:rFonts w:ascii="Times New Roman" w:hAnsi="Times New Roman" w:cs="Times New Roman"/>
          <w:sz w:val="28"/>
          <w:szCs w:val="28"/>
          <w:lang w:bidi="ar-SA"/>
        </w:rPr>
        <w:t xml:space="preserve">получил одобрение как от </w:t>
      </w:r>
      <w:r w:rsidR="008736EA">
        <w:rPr>
          <w:rFonts w:ascii="Times New Roman" w:hAnsi="Times New Roman" w:cs="Times New Roman"/>
          <w:sz w:val="28"/>
          <w:szCs w:val="28"/>
          <w:lang w:bidi="ar-SA"/>
        </w:rPr>
        <w:t>А</w:t>
      </w:r>
      <w:r w:rsidR="008736EA" w:rsidRPr="008736EA">
        <w:rPr>
          <w:rFonts w:ascii="Times New Roman" w:hAnsi="Times New Roman" w:cs="Times New Roman"/>
          <w:sz w:val="28"/>
          <w:szCs w:val="28"/>
          <w:lang w:bidi="ar-SA"/>
        </w:rPr>
        <w:t>мериканского управления по контролю за качеством пищевых продуктов и медикаментов</w:t>
      </w:r>
      <w:r w:rsidR="008736EA">
        <w:rPr>
          <w:rFonts w:ascii="Times New Roman" w:hAnsi="Times New Roman" w:cs="Times New Roman"/>
          <w:sz w:val="28"/>
          <w:szCs w:val="28"/>
          <w:lang w:bidi="ar-SA"/>
        </w:rPr>
        <w:t xml:space="preserve"> (</w:t>
      </w:r>
      <w:r w:rsidR="008736EA">
        <w:rPr>
          <w:rFonts w:ascii="Times New Roman" w:hAnsi="Times New Roman" w:cs="Times New Roman"/>
          <w:sz w:val="28"/>
          <w:szCs w:val="28"/>
          <w:lang w:val="en-US" w:bidi="ar-SA"/>
        </w:rPr>
        <w:t>FDA</w:t>
      </w:r>
      <w:r w:rsidR="008736EA">
        <w:rPr>
          <w:rFonts w:ascii="Times New Roman" w:hAnsi="Times New Roman" w:cs="Times New Roman"/>
          <w:sz w:val="28"/>
          <w:szCs w:val="28"/>
          <w:lang w:bidi="ar-SA"/>
        </w:rPr>
        <w:t>)</w:t>
      </w:r>
      <w:r w:rsidR="008736EA" w:rsidRPr="008736EA">
        <w:rPr>
          <w:rFonts w:ascii="Times New Roman" w:hAnsi="Times New Roman" w:cs="Times New Roman"/>
          <w:sz w:val="28"/>
          <w:szCs w:val="28"/>
          <w:lang w:bidi="ar-SA"/>
        </w:rPr>
        <w:t>, так и от Национального института здоровья и клинического совершенствования Великобритании (</w:t>
      </w:r>
      <w:r w:rsidR="008736EA">
        <w:rPr>
          <w:rFonts w:ascii="Times New Roman" w:hAnsi="Times New Roman" w:cs="Times New Roman"/>
          <w:sz w:val="28"/>
          <w:szCs w:val="28"/>
          <w:lang w:val="en-US" w:bidi="ar-SA"/>
        </w:rPr>
        <w:t>NICE</w:t>
      </w:r>
      <w:r w:rsidR="008736EA" w:rsidRPr="008736EA">
        <w:rPr>
          <w:rFonts w:ascii="Times New Roman" w:hAnsi="Times New Roman" w:cs="Times New Roman"/>
          <w:sz w:val="28"/>
          <w:szCs w:val="28"/>
          <w:lang w:bidi="ar-SA"/>
        </w:rPr>
        <w:t>)</w:t>
      </w:r>
      <w:r w:rsidR="008736E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{"citationID":"xqMTf7kq","properties":{"unsorted":false,"formattedCitation":"[59]","plainCitation":"[59]","noteIndex":0},"citationItems":[{"id":665,"uris":["http://zotero.org/users/14784094/items/GQWCRYSU"],"itemData":{"id":665,"type":"article-journal","abstract":"Background Warfarin reduces the risk of stroke in patients with atrial fibrillation but increases the risk of hemorrhage and is difficult to use. Dabigatran is a new oral direct thrombin inhibitor.\nMethods In this noninferiority trial, we randomly assigned 18,113 patients who had atrial fibrillation and a risk of stroke to receive, in a blinded fashion, fixed doses of dabigatran — 110 mg or 150 mg twice daily — or, in an unblinded fashion, adjusted-dose warfarin. The median duration of the follow-up period was 2.0 years. The primary outcome was stroke or systemic embolism.\nResults Rates of the primary outcome were 1.69% per year in the warfarin group, as compared with 1.53% per year in the group that received 110 mg of dabigatran (relative risk with dabigatran, 0.91; 95% confidence interval [CI], 0.74 to 1.11; P&lt;0.001 for noninferiority) and 1.11% per year in the group that received 150 mg of dabigatran (relative risk, 0.66; 95% CI, 0.53 to 0.82; P&lt;0.001 for superiority). The rate of major bleeding was 3.36% per year in the warfarin group, as compared with 2.71% per year in the group receiving 110 mg of dabigatran (P = 0.003) and 3.11% per year in the group receiving 150 mg of dabigatran (P = 0.31). The rate of hemorrhagic stroke was 0.38% per year in the warfarin group, as compared with 0.12% per year with 110 mg of dabigatran (P&lt;0.001) and 0.10% per year with 150 mg of dabigatran (P&lt;0.001). The mortality rate was 4.13% per year in the warfarin group, as compared with 3.75% per year with 110 mg of dabigatran (P = 0.13) and 3.64% per year with 150 mg of dabigatran (P = 0.051).\nConclusions In patients with atrial fibrillation, dabigatran given at a dose of 110 mg was associated with rates of stroke and systemic embolism that were similar to those associated with warfarin, as well as lower rates of major hemorrhage. Dabigatran administered at a dose of 150 mg, as compared with warfarin, was associated with lower rates of stroke and systemic embolism but similar rates of major hemorrhage. (ClinicalTrials.gov number, NCT00262600.)","container-title":"New England Journal of Medicine","DOI":"10.1056/NEJMoa0905561","ISSN":"0028-4793, 1533-4406","issue":"12","journalAbbreviation":"N Engl J Med","language":"en","page":"1139-1151","source":"DOI.org (Crossref)","title":"Dabigatran versus Warfarin in Patients with Atrial Fibrillation","volume":"361","author":[{"family":"Connolly","given":"Stuart J."},{"family":"Ezekowitz","given":"Michael D."},{"family":"Yusuf","given":"Salim"},{"family":"Eikelboom","given":"John"},{"family":"Oldgren","given":"Jonas"},{"family":"Parekh","given":"Amit"},{"family":"Pogue","given":"Janice"},{"family":"Reilly","given":"Paul A."},{"family":"Themeles","given":"Ellison"},{"family":"Varrone","given":"Jeanne"},{"family":"Wang","given":"Susan"},{"family":"Alings","given":"Marco"},{"family":"Xavier","given":"Denis"},{"family":"Zhu","given":"Jun"},{"family":"Diaz","given":"Rafael"},{"family":"Lewis","given":"Basil S."},{"family":"Darius","given":"Harald"},{"family":"Diener","given":"Hans-Christoph"},{"family":"Joyner","given":"Campbell D."},{"family":"Wallentin","given":"Lars"}],"issued":{"date-parts":[["2009",9,17]]}}}],"schema":"https://github.com/citation-style-language/schema/raw/master/csl-citation.json"} </w:instrText>
      </w:r>
      <w:r w:rsidR="008736E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[59]</w:t>
      </w:r>
      <w:r w:rsidR="008736EA">
        <w:rPr>
          <w:rFonts w:ascii="Times New Roman" w:hAnsi="Times New Roman" w:cs="Times New Roman"/>
          <w:sz w:val="28"/>
          <w:szCs w:val="28"/>
          <w:lang w:bidi="ar-SA"/>
        </w:rPr>
        <w:fldChar w:fldCharType="end"/>
      </w:r>
      <w:r w:rsidR="008736EA" w:rsidRPr="00566203">
        <w:rPr>
          <w:rFonts w:ascii="Times New Roman" w:hAnsi="Times New Roman" w:cs="Times New Roman"/>
          <w:sz w:val="28"/>
          <w:szCs w:val="28"/>
          <w:lang w:bidi="ar-SA"/>
        </w:rPr>
        <w:t>.</w:t>
      </w:r>
    </w:p>
    <w:p w14:paraId="5C44F243" w14:textId="65268F2D" w:rsidR="00AD673F" w:rsidRDefault="00AD673F" w:rsidP="008D7CBD">
      <w:pPr>
        <w:pStyle w:val="LO-normal"/>
        <w:spacing w:after="0" w:line="240" w:lineRule="auto"/>
        <w:ind w:firstLine="567"/>
        <w:jc w:val="both"/>
        <w:rPr>
          <w:rFonts w:ascii="Times New Roman" w:hAnsi="Times New Roman" w:cs="Times New Roman"/>
          <w:i/>
          <w:iCs/>
          <w:sz w:val="28"/>
          <w:szCs w:val="28"/>
          <w:lang w:bidi="ar-SA"/>
        </w:rPr>
      </w:pPr>
      <w:r w:rsidRPr="00AD673F">
        <w:rPr>
          <w:rFonts w:ascii="Times New Roman" w:hAnsi="Times New Roman" w:cs="Times New Roman"/>
          <w:i/>
          <w:iCs/>
          <w:sz w:val="28"/>
          <w:szCs w:val="28"/>
          <w:lang w:bidi="ar-SA"/>
        </w:rPr>
        <w:t>Фармакокинетический и фармакодинамический профиль</w:t>
      </w:r>
    </w:p>
    <w:p w14:paraId="5C1A0EA7" w14:textId="7CEECAA9" w:rsidR="008478DD" w:rsidRPr="00CB7AE0" w:rsidRDefault="00AD673F" w:rsidP="008D7CB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Дабигатрана этексилат п</w:t>
      </w:r>
      <w:r w:rsidRPr="00AD673F">
        <w:rPr>
          <w:rFonts w:ascii="Times New Roman" w:hAnsi="Times New Roman" w:cs="Times New Roman"/>
          <w:sz w:val="28"/>
          <w:szCs w:val="28"/>
          <w:lang w:bidi="ar-SA"/>
        </w:rPr>
        <w:t>редставляет собой пролекарств</w:t>
      </w:r>
      <w:r>
        <w:rPr>
          <w:rFonts w:ascii="Times New Roman" w:hAnsi="Times New Roman" w:cs="Times New Roman"/>
          <w:sz w:val="28"/>
          <w:szCs w:val="28"/>
          <w:lang w:bidi="ar-SA"/>
        </w:rPr>
        <w:t>о,</w:t>
      </w:r>
      <w:r w:rsidRPr="00AD673F">
        <w:rPr>
          <w:rFonts w:ascii="Times New Roman" w:hAnsi="Times New Roman" w:cs="Times New Roman"/>
          <w:sz w:val="28"/>
          <w:szCs w:val="28"/>
          <w:lang w:bidi="ar-SA"/>
        </w:rPr>
        <w:t xml:space="preserve"> которое после перорального приема подвергается биотрансформации с образованием активного метаболита </w:t>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д</w:t>
      </w:r>
      <w:r>
        <w:rPr>
          <w:rFonts w:ascii="Times New Roman" w:hAnsi="Times New Roman" w:cs="Times New Roman"/>
          <w:sz w:val="28"/>
          <w:szCs w:val="28"/>
          <w:lang w:bidi="ar-SA"/>
        </w:rPr>
        <w:t>абигат</w:t>
      </w:r>
      <w:r w:rsidRPr="00AD673F">
        <w:rPr>
          <w:rFonts w:ascii="Times New Roman" w:hAnsi="Times New Roman" w:cs="Times New Roman"/>
          <w:sz w:val="28"/>
          <w:szCs w:val="28"/>
          <w:lang w:bidi="ar-SA"/>
        </w:rPr>
        <w:t>рана</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{"citationID":"zm4zxET1","properties":{"unsorted":false,"formattedCitation":"[177]","plainCitation":"[177]","noteIndex":0},"citationItems":[{"id":87,"uris":["http://zotero.org/users/14784094/items/BSHDHYM3"],"itemData":{"id":87,"type":"article-journal","abstract":"Dabigatran etexilate is a novel, oral reversible direct thrombin inhibitor that is rapidly absorbed and converted to its active form, dabigatran. Dabigatran has been shown to be a potent, competitive, and reversible inhibitor of thrombin, inhibiting both thrombin activity and generation. Studies in healthy volunteers and in patients undergoing orthopedic surgery indicate that dabigatran has a predictable pharmacokinetic profile, allowing for a fixed-dose regimen without the need for coagulation monitoring. In healthy volunteers, peak plasma concentrations of dabigatran are reached approximately 2 hours after oral administration. The elimination half-life is 12 to 14 hours, with clearance predominantly occurring via renal excretion of unchanged drug. Dabigatran is not metabolized by cytochrome P450 isoenzymes, has no interactions with food, and also has a low potential for drug-drug interactions. The pharmacokinetic profile of dabigatran is consistent across a broad range of different patient populations and is unaffected by gender, body weight, ethnic origin, obesity, and mild-to-moderate hepatic impairment. Small differences in dabigatran pharmacokinetics associated with age are attributable to variation in renal function. Dabigatran etexilate produces a predictable pharmacodynamic effect and requires no coagulation monitoring. It has been approved in the European Union (EU) and Canada for prophylaxis of thromboembolism in patients undergoing total knee or hip arthroplasty. Ongoing clinical trials are investigating its use in the treatment of venous thromboembolism, prevention of stroke in patients with nonvalvular atrial fibrillation, and treatment of thromboembolic complications, following acute coronary syndromes.","container-title":"Clinical and Applied Thrombosis/Hemostasis: Official Journal of the International Academy of Clinical and Applied Thrombosis/Hemostasis","DOI":"10.1177/1076029609343004","ISSN":"1938-2723","journalAbbreviation":"Clin Appl Thromb Hemost","language":"eng","page":"9S-16S","PMID":"19696042","source":"PubMed","title":"Pharmacology, pharmacokinetics, and pharmacodynamics of dabigatran etexilate, an oral direct thrombin inhibitor","volume":"15 Suppl 1","author":[{"family":"Stangier","given":"Joachim"},{"family":"Clemens","given":"Andreas"}],"issued":{"date-parts":[["2009"]]}}}],"schema":"https://github.com/citation-style-language/schema/raw/master/csl-citation.json"}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[177]</w:t>
      </w:r>
      <w:r>
        <w:rPr>
          <w:rFonts w:ascii="Times New Roman" w:hAnsi="Times New Roman" w:cs="Times New Roman"/>
          <w:sz w:val="28"/>
          <w:szCs w:val="28"/>
          <w:lang w:bidi="ar-SA"/>
        </w:rPr>
        <w:fldChar w:fldCharType="end"/>
      </w:r>
      <w:r w:rsidRPr="00AD673F">
        <w:rPr>
          <w:rFonts w:ascii="Times New Roman" w:hAnsi="Times New Roman" w:cs="Times New Roman"/>
          <w:sz w:val="28"/>
          <w:szCs w:val="28"/>
          <w:lang w:bidi="ar-SA"/>
        </w:rPr>
        <w:t>. Фармакологическ</w:t>
      </w:r>
      <w:r>
        <w:rPr>
          <w:rFonts w:ascii="Times New Roman" w:hAnsi="Times New Roman" w:cs="Times New Roman"/>
          <w:sz w:val="28"/>
          <w:szCs w:val="28"/>
          <w:lang w:bidi="ar-SA"/>
        </w:rPr>
        <w:t>ое</w:t>
      </w:r>
      <w:r w:rsidRPr="00AD673F">
        <w:rPr>
          <w:rFonts w:ascii="Times New Roman" w:hAnsi="Times New Roman" w:cs="Times New Roman"/>
          <w:sz w:val="28"/>
          <w:szCs w:val="28"/>
          <w:lang w:bidi="ar-SA"/>
        </w:rPr>
        <w:t xml:space="preserve"> действие последнего реализуется через прямой и конкурентный механизм ингибирования ключевого фермента системы свертывания крови </w:t>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 xml:space="preserve">тромбина </w:t>
      </w:r>
      <w:r>
        <w:rPr>
          <w:rFonts w:ascii="Times New Roman" w:hAnsi="Times New Roman" w:cs="Times New Roman"/>
          <w:sz w:val="28"/>
          <w:szCs w:val="28"/>
          <w:lang w:bidi="ar-SA"/>
        </w:rPr>
        <w:t>(</w:t>
      </w:r>
      <w:r w:rsidRPr="00AD673F">
        <w:rPr>
          <w:rFonts w:ascii="Times New Roman" w:hAnsi="Times New Roman" w:cs="Times New Roman"/>
          <w:sz w:val="28"/>
          <w:szCs w:val="28"/>
          <w:lang w:bidi="ar-SA"/>
        </w:rPr>
        <w:t>фактор</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IIa</w:t>
      </w:r>
      <w:r w:rsidRPr="00AD673F">
        <w:rPr>
          <w:rFonts w:ascii="Times New Roman" w:hAnsi="Times New Roman" w:cs="Times New Roman"/>
          <w:sz w:val="28"/>
          <w:szCs w:val="28"/>
          <w:lang w:bidi="ar-SA"/>
        </w:rPr>
        <w:t>)</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{"citationID":"vC7MF4Nm","properties":{"unsorted":false,"formattedCitation":"[178]","plainCitation":"[178]","noteIndex":0},"citationItems":[{"id":88,"uris":["http://zotero.org/users/14784094/items/6M98XTF9"],"itemData":{"id":88,"type":"article-journal","abstract":"Dabigatran etexilate represents the first synthetic oral, reversible, direct inhibitor of thrombin with a very favorable biochemical and pharmacological profile that translates into clinical efficacy and safety. The increasing amount of clinical data being obtained with dabigatran etexilate shows promise in introducing a new era in oral anticoagulation. Eventually, this may result in the replacement of vitamin K antagonists with a newer, safer, more convenient, and reliable anticoagulation by direct thrombin inhibition.","container-title":"Arteriosclerosis, Thrombosis, and Vascular Biology","DOI":"10.1161/ATVBAHA.110.203604","ISSN":"1079-5642, 1524-4636","issue":"10","journalAbbreviation":"ATVB","language":"en","page":"1885-1889","source":"DOI.org (Crossref)","title":"Dabigatran: An Oral Novel Potent Reversible Nonpeptide Inhibitor of Thrombin","title-short":"Dabigatran","volume":"30","author":[{"family":"Eisert","given":"Wolfgang G."},{"family":"Hauel","given":"Norbert"},{"family":"Stangier","given":"Joachim"},{"family":"Wienen","given":"Wolfgang"},{"family":"Clemens","given":"Andreas"},{"family":"Van Ryn","given":"Joanne"}],"issued":{"date-parts":[["2010",10]]}}}],"schema":"https://github.com/citation-style-language/schema/raw/master/csl-citation.json"}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[178]</w:t>
      </w:r>
      <w:r>
        <w:rPr>
          <w:rFonts w:ascii="Times New Roman" w:hAnsi="Times New Roman" w:cs="Times New Roman"/>
          <w:sz w:val="28"/>
          <w:szCs w:val="28"/>
          <w:lang w:bidi="ar-SA"/>
        </w:rPr>
        <w:fldChar w:fldCharType="end"/>
      </w:r>
      <w:r w:rsidRPr="00AD673F">
        <w:rPr>
          <w:rFonts w:ascii="Times New Roman" w:hAnsi="Times New Roman" w:cs="Times New Roman"/>
          <w:sz w:val="28"/>
          <w:szCs w:val="28"/>
          <w:lang w:bidi="ar-SA"/>
        </w:rPr>
        <w:t>. Процесс активации пролекарства протекает последовательно: начальный этап гидролиза осуществляется под действием карбокси</w:t>
      </w:r>
      <w:r w:rsidR="004E7D03">
        <w:rPr>
          <w:rFonts w:ascii="Times New Roman" w:hAnsi="Times New Roman" w:cs="Times New Roman"/>
          <w:sz w:val="28"/>
          <w:szCs w:val="28"/>
          <w:lang w:bidi="ar-SA"/>
        </w:rPr>
        <w:t>лэстер</w:t>
      </w:r>
      <w:r w:rsidRPr="00AD673F">
        <w:rPr>
          <w:rFonts w:ascii="Times New Roman" w:hAnsi="Times New Roman" w:cs="Times New Roman"/>
          <w:sz w:val="28"/>
          <w:szCs w:val="28"/>
          <w:lang w:bidi="ar-SA"/>
        </w:rPr>
        <w:t>аз</w:t>
      </w:r>
      <w:r w:rsidR="004E7D03">
        <w:rPr>
          <w:rFonts w:ascii="Times New Roman" w:hAnsi="Times New Roman" w:cs="Times New Roman"/>
          <w:sz w:val="28"/>
          <w:szCs w:val="28"/>
          <w:lang w:bidi="ar-SA"/>
        </w:rPr>
        <w:t>ы</w:t>
      </w:r>
      <w:r w:rsidRPr="00AD673F">
        <w:rPr>
          <w:rFonts w:ascii="Times New Roman" w:hAnsi="Times New Roman" w:cs="Times New Roman"/>
          <w:sz w:val="28"/>
          <w:szCs w:val="28"/>
          <w:lang w:bidi="ar-SA"/>
        </w:rPr>
        <w:t xml:space="preserve"> 2</w:t>
      </w:r>
      <w:r w:rsidR="004E7D03">
        <w:rPr>
          <w:rFonts w:ascii="Times New Roman" w:hAnsi="Times New Roman" w:cs="Times New Roman"/>
          <w:sz w:val="28"/>
          <w:szCs w:val="28"/>
          <w:lang w:bidi="ar-SA"/>
        </w:rPr>
        <w:t xml:space="preserve"> (</w:t>
      </w:r>
      <w:r w:rsidR="004E7D03">
        <w:rPr>
          <w:rFonts w:ascii="Times New Roman" w:hAnsi="Times New Roman" w:cs="Times New Roman"/>
          <w:sz w:val="28"/>
          <w:szCs w:val="28"/>
          <w:lang w:val="en-US" w:bidi="ar-SA"/>
        </w:rPr>
        <w:t>CES</w:t>
      </w:r>
      <w:r w:rsidR="004E7D03" w:rsidRPr="004E7D03">
        <w:rPr>
          <w:rFonts w:ascii="Times New Roman" w:hAnsi="Times New Roman" w:cs="Times New Roman"/>
          <w:sz w:val="28"/>
          <w:szCs w:val="28"/>
          <w:lang w:bidi="ar-SA"/>
        </w:rPr>
        <w:t>2</w:t>
      </w:r>
      <w:r w:rsidR="004E7D03">
        <w:rPr>
          <w:rFonts w:ascii="Times New Roman" w:hAnsi="Times New Roman" w:cs="Times New Roman"/>
          <w:sz w:val="28"/>
          <w:szCs w:val="28"/>
          <w:lang w:bidi="ar-SA"/>
        </w:rPr>
        <w:t>)</w:t>
      </w:r>
      <w:r w:rsidR="004E7D03" w:rsidRPr="004E7D03">
        <w:rPr>
          <w:rFonts w:ascii="Times New Roman" w:hAnsi="Times New Roman" w:cs="Times New Roman"/>
          <w:sz w:val="28"/>
          <w:szCs w:val="28"/>
          <w:lang w:bidi="ar-SA"/>
        </w:rPr>
        <w:t>,</w:t>
      </w:r>
      <w:r w:rsidRPr="00AD673F">
        <w:rPr>
          <w:rFonts w:ascii="Times New Roman" w:hAnsi="Times New Roman" w:cs="Times New Roman"/>
          <w:sz w:val="28"/>
          <w:szCs w:val="28"/>
          <w:lang w:bidi="ar-SA"/>
        </w:rPr>
        <w:t xml:space="preserve"> локализованн</w:t>
      </w:r>
      <w:r w:rsidR="004E7D03">
        <w:rPr>
          <w:rFonts w:ascii="Times New Roman" w:hAnsi="Times New Roman" w:cs="Times New Roman"/>
          <w:sz w:val="28"/>
          <w:szCs w:val="28"/>
          <w:lang w:bidi="ar-SA"/>
        </w:rPr>
        <w:t>ой</w:t>
      </w:r>
      <w:r w:rsidRPr="00AD673F">
        <w:rPr>
          <w:rFonts w:ascii="Times New Roman" w:hAnsi="Times New Roman" w:cs="Times New Roman"/>
          <w:sz w:val="28"/>
          <w:szCs w:val="28"/>
          <w:lang w:bidi="ar-SA"/>
        </w:rPr>
        <w:t xml:space="preserve"> преимущественно в кишечнике</w:t>
      </w:r>
      <w:r w:rsidR="004E7D03">
        <w:rPr>
          <w:rFonts w:ascii="Times New Roman" w:hAnsi="Times New Roman" w:cs="Times New Roman"/>
          <w:sz w:val="28"/>
          <w:szCs w:val="28"/>
          <w:lang w:bidi="ar-SA"/>
        </w:rPr>
        <w:t>,</w:t>
      </w:r>
      <w:r w:rsidRPr="00AD673F">
        <w:rPr>
          <w:rFonts w:ascii="Times New Roman" w:hAnsi="Times New Roman" w:cs="Times New Roman"/>
          <w:sz w:val="28"/>
          <w:szCs w:val="28"/>
          <w:lang w:bidi="ar-SA"/>
        </w:rPr>
        <w:t xml:space="preserve"> после чего промежуточный метаболит (этиловый эфир</w:t>
      </w:r>
      <w:r>
        <w:rPr>
          <w:rFonts w:ascii="Times New Roman" w:hAnsi="Times New Roman" w:cs="Times New Roman"/>
          <w:sz w:val="28"/>
          <w:szCs w:val="28"/>
          <w:lang w:bidi="ar-SA"/>
        </w:rPr>
        <w:t xml:space="preserve"> дабигатрана</w:t>
      </w:r>
      <w:r w:rsidRPr="00AD673F">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транспортируется в печень</w:t>
      </w:r>
      <w:r w:rsidR="004E7D0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{"citationID":"exNPXawI","properties":{"unsorted":false,"formattedCitation":"[179,180]","plainCitation":"[179,180]","noteIndex":0},"citationItems":[{"id":85,"uris":["http://zotero.org/users/14784094/items/GIUQS7T6"],"itemData":{"id":85,"type":"article-journal","abstract":"The oral anticoagulant prodrug dabigatran etexilate (DABE) is sequentially metabolized by intestinal carboxylesterase 2 (CES2) and hepatic carboxylesterase 1 (CES1) to form its active metabolite dabigatran (DAB). A recent genome-wide association study reported that the CES1 single nucleotide polymorphisms (SNPs) rs2244613 and rs8192935 were associated with lower DAB plasma concentrations in the Randomized Evaluation of Long-term Anticoagulation Therapy (RE-LY) study participants. In addition, gender differences in exposure to DAB were observed in clinical studies. The aim of this study was to examine the effect of CES1 genetic polymorphisms and gender on DABE activation using several in vitro approaches. The genotypes of the CES1 SNPs rs2244613, rs8192935, and the known loss-of-function CES1 variant rs71647871 (G143E), and the activation of DABE and its intermediate metabolites M1 and M2 were determined in 104 normal human liver samples. DABE, M1, and M2 activations were found to be impaired in human livers carrying the G143E variant. However, neither rs2244613 nor rs8192935 was associated with the activation in human livers. The incubation study of DABE with supernatant fractions (S9) prepared from the G143E-transfected cells showed that the G143E is a loss-of-function variant for DABE metabolism. Moreover, hepatic CES1 activity on M2 activation was significantly higher in female liver samples than male. Our data suggest that CES1 genetic variants and gender are important contributing factors to variability in DABE activation in humans. A personalized DABE treatment approach based on patient-specific CES1 genotypes and sex may have the potential to improve the efficacy and safety of DABE pharmacotherapy.,","container-title":"Biochemical pharmacology","DOI":"10.1016/j.bcp.2016.09.003","ISSN":"0006-2952","journalAbbreviation":"Biochem Pharmacol","page":"76-84","PMID":"27614009","PMCID":"PMC5061634","source":"PubMed Central","title":"Dabigatran Etexilate Activation is Affected by the CES1 Genetic Polymorphism G143E (rs71647871) and Gender","volume":"119","author":[{"family":"Shi","given":"Jian"},{"family":"Wang","given":"Xinwen"},{"family":"Nguyen","given":"Jenny"},{"family":"Bleske","given":"Barry E."},{"family":"Liang","given":"Yan"},{"family":"Liu","given":"Li"},{"family":"Zhu","given":"Hao-Jie"}],"issued":{"date-parts":[["2016",11,1]]}}},{"id":86,"uris":["http://zotero.org/users/14784094/items/8KMX5794"],"itemData":{"id":86,"type":"article-journal","abstract":"Dabigatran etexilate (DABE), an oral anticoagulant prodrug, is nearly completely metabolized to the dabigatran (DAB) active metabolite by carboxylesterase-1 (CES1) and carboxylesterase-2 (CES2). The high interpatient variation in DAB plasma concentrations, coupled with its low therapeutic index, emphasizes the need to understand how CES1 and CES2 impact active metabolite formation. Previous work focused on CES1 enzyme activity but the contributions of CES2 remain unclear. The purpose of this study was to determine how CES2 activity influences DAB active metabolite formation. We compared the efficiency of DAB formation from DABE when exposed sequentially to human intestinal and then human hepatic microsomes (mimicking the normal metabolic sequence) with the reverse metabolic sequence in which DABE is exposed to hepatic and then intestinal microsomes. The poor efficiency of DAB formation with reverse sequential hydrolysis indicates that CES2 activity is crucial for active metabolite formation. Thus, the decrease in DAB formation with normal sequential hydrolysis was more sensitive to CES2 inhibition by verapamil (CES2 IC50 = 3.4 μM) than CES1 inhibition by diltiazem (CES2 IC50 = 9.1 μM). These results show CES2 activity plays a crucial role in DAB formation and that variability in its activity is an important determinant of therapeutic response.","container-title":"Drug Metabolism and Pharmacokinetics","DOI":"10.1016/j.dmpk.2022.100479","ISSN":"1880-0920","journalAbbreviation":"Drug Metab Pharmacokinet","language":"eng","page":"100479","PMID":"36375226","source":"PubMed","title":"Carboxylesterase-2 plays a critical role in dabigatran etexilate active metabolite formation","volume":"47","author":[{"family":"Laizure","given":"S. Casey"},{"family":"Chen","given":"Feng"},{"family":"Farrar","given":"Julie E."},{"family":"Ali","given":"Dina"},{"family":"Yang","given":"Bing"},{"family":"Parker","given":"Robert B."}],"issued":{"date-parts":[["2022",12]]}}}],"schema":"https://github.com/citation-style-language/schema/raw/master/csl-citation.json"} </w:instrText>
      </w:r>
      <w:r w:rsidR="004E7D0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[179,180]</w:t>
      </w:r>
      <w:r w:rsidR="004E7D0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Здесь основную роль в его окончательном превращении в активны</w:t>
      </w:r>
      <w:r w:rsidR="004E7D03">
        <w:rPr>
          <w:rFonts w:ascii="Times New Roman" w:hAnsi="Times New Roman" w:cs="Times New Roman"/>
          <w:sz w:val="28"/>
          <w:szCs w:val="28"/>
          <w:lang w:bidi="ar-SA"/>
        </w:rPr>
        <w:t>й</w:t>
      </w:r>
      <w:r w:rsidRPr="00AD673F">
        <w:rPr>
          <w:rFonts w:ascii="Times New Roman" w:hAnsi="Times New Roman" w:cs="Times New Roman"/>
          <w:sz w:val="28"/>
          <w:szCs w:val="28"/>
          <w:lang w:bidi="ar-SA"/>
        </w:rPr>
        <w:t xml:space="preserve"> даби</w:t>
      </w:r>
      <w:r w:rsidR="004E7D03">
        <w:rPr>
          <w:rFonts w:ascii="Times New Roman" w:hAnsi="Times New Roman" w:cs="Times New Roman"/>
          <w:sz w:val="28"/>
          <w:szCs w:val="28"/>
          <w:lang w:bidi="ar-SA"/>
        </w:rPr>
        <w:t>гатран</w:t>
      </w:r>
      <w:r w:rsidRPr="00AD673F">
        <w:rPr>
          <w:rFonts w:ascii="Times New Roman" w:hAnsi="Times New Roman" w:cs="Times New Roman"/>
          <w:sz w:val="28"/>
          <w:szCs w:val="28"/>
          <w:lang w:bidi="ar-SA"/>
        </w:rPr>
        <w:t xml:space="preserve"> играет печеночная карбоксил</w:t>
      </w:r>
      <w:r w:rsidR="004E7D03">
        <w:rPr>
          <w:rFonts w:ascii="Times New Roman" w:hAnsi="Times New Roman" w:cs="Times New Roman"/>
          <w:sz w:val="28"/>
          <w:szCs w:val="28"/>
          <w:lang w:bidi="ar-SA"/>
        </w:rPr>
        <w:t>эстераза 1 (С</w:t>
      </w:r>
      <w:r w:rsidR="004E7D03">
        <w:rPr>
          <w:rFonts w:ascii="Times New Roman" w:hAnsi="Times New Roman" w:cs="Times New Roman"/>
          <w:sz w:val="28"/>
          <w:szCs w:val="28"/>
          <w:lang w:val="en-US" w:bidi="ar-SA"/>
        </w:rPr>
        <w:t>ES</w:t>
      </w:r>
      <w:r w:rsidR="004E7D03" w:rsidRPr="004E7D03">
        <w:rPr>
          <w:rFonts w:ascii="Times New Roman" w:hAnsi="Times New Roman" w:cs="Times New Roman"/>
          <w:sz w:val="28"/>
          <w:szCs w:val="28"/>
          <w:lang w:bidi="ar-SA"/>
        </w:rPr>
        <w:t>1</w:t>
      </w:r>
      <w:r w:rsidR="00E2467A">
        <w:rPr>
          <w:rFonts w:ascii="Times New Roman" w:hAnsi="Times New Roman" w:cs="Times New Roman"/>
          <w:sz w:val="28"/>
          <w:szCs w:val="28"/>
          <w:lang w:bidi="ar-SA"/>
        </w:rPr>
        <w:t>)</w:t>
      </w:r>
      <w:r w:rsidR="00E2467A" w:rsidRPr="004E7D03">
        <w:rPr>
          <w:rFonts w:ascii="Times New Roman" w:hAnsi="Times New Roman" w:cs="Times New Roman"/>
          <w:sz w:val="28"/>
          <w:szCs w:val="28"/>
          <w:lang w:bidi="ar-SA"/>
        </w:rPr>
        <w:t xml:space="preserve">, </w:t>
      </w:r>
      <w:r w:rsidR="00E2467A" w:rsidRPr="00AD673F">
        <w:rPr>
          <w:rFonts w:ascii="Times New Roman" w:hAnsi="Times New Roman" w:cs="Times New Roman"/>
          <w:sz w:val="28"/>
          <w:szCs w:val="28"/>
          <w:lang w:bidi="ar-SA"/>
        </w:rPr>
        <w:t>кодируемая</w:t>
      </w:r>
      <w:r w:rsidRPr="00AD673F">
        <w:rPr>
          <w:rFonts w:ascii="Times New Roman" w:hAnsi="Times New Roman" w:cs="Times New Roman"/>
          <w:sz w:val="28"/>
          <w:szCs w:val="28"/>
          <w:lang w:bidi="ar-SA"/>
        </w:rPr>
        <w:t xml:space="preserve"> геном</w:t>
      </w:r>
      <w:r w:rsidR="004E7D03" w:rsidRPr="004E7D03">
        <w:rPr>
          <w:rFonts w:ascii="Times New Roman" w:hAnsi="Times New Roman" w:cs="Times New Roman"/>
          <w:sz w:val="28"/>
          <w:szCs w:val="28"/>
          <w:lang w:bidi="ar-SA"/>
        </w:rPr>
        <w:t xml:space="preserve"> </w:t>
      </w:r>
      <w:r w:rsidR="004E7D03">
        <w:rPr>
          <w:rFonts w:ascii="Times New Roman" w:hAnsi="Times New Roman" w:cs="Times New Roman"/>
          <w:sz w:val="28"/>
          <w:szCs w:val="28"/>
          <w:lang w:val="en-US" w:bidi="ar-SA"/>
        </w:rPr>
        <w:t>CES</w:t>
      </w:r>
      <w:r w:rsidR="004E7D03" w:rsidRPr="004E7D03">
        <w:rPr>
          <w:rFonts w:ascii="Times New Roman" w:hAnsi="Times New Roman" w:cs="Times New Roman"/>
          <w:sz w:val="28"/>
          <w:szCs w:val="28"/>
          <w:lang w:bidi="ar-SA"/>
        </w:rPr>
        <w:t>1</w:t>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Этот фермент ответственен за гидролиз широкого спектра соединений, содержащих сложноэфирные и амидные связи</w:t>
      </w:r>
      <w:r w:rsidR="004E7D0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{"citationID":"0rbshEuG","properties":{"unsorted":false,"formattedCitation":"[179]","plainCitation":"[179]","noteIndex":0},"citationItems":[{"id":85,"uris":["http://zotero.org/users/14784094/items/GIUQS7T6"],"itemData":{"id":85,"type":"article-journal","abstract":"The oral anticoagulant prodrug dabigatran etexilate (DABE) is sequentially metabolized by intestinal carboxylesterase 2 (CES2) and hepatic carboxylesterase 1 (CES1) to form its active metabolite dabigatran (DAB). A recent genome-wide association study reported that the CES1 single nucleotide polymorphisms (SNPs) rs2244613 and rs8192935 were associated with lower DAB plasma concentrations in the Randomized Evaluation of Long-term Anticoagulation Therapy (RE-LY) study participants. In addition, gender differences in exposure to DAB were observed in clinical studies. The aim of this study was to examine the effect of CES1 genetic polymorphisms and gender on DABE activation using several in vitro approaches. The genotypes of the CES1 SNPs rs2244613, rs8192935, and the known loss-of-function CES1 variant rs71647871 (G143E), and the activation of DABE and its intermediate metabolites M1 and M2 were determined in 104 normal human liver samples. DABE, M1, and M2 activations were found to be impaired in human livers carrying the G143E variant. However, neither rs2244613 nor rs8192935 was associated with the activation in human livers. The incubation study of DABE with supernatant fractions (S9) prepared from the G143E-transfected cells showed that the G143E is a loss-of-function variant for DABE metabolism. Moreover, hepatic CES1 activity on M2 activation was significantly higher in female liver samples than male. Our data suggest that CES1 genetic variants and gender are important contributing factors to variability in DABE activation in humans. A personalized DABE treatment approach based on patient-specific CES1 genotypes and sex may have the potential to improve the efficacy and safety of DABE pharmacotherapy.,","container-title":"Biochemical pharmacology","DOI":"10.1016/j.bcp.2016.09.003","ISSN":"0006-2952","journalAbbreviation":"Biochem Pharmacol","page":"76-84","PMID":"27614009","PMCID":"PMC5061634","source":"PubMed Central","title":"Dabigatran Etexilate Activation is Affected by the CES1 Genetic Polymorphism G143E (rs71647871) and Gender","volume":"119","author":[{"family":"Shi","given":"Jian"},{"family":"Wang","given":"Xinwen"},{"family":"Nguyen","given":"Jenny"},{"family":"Bleske","given":"Barry E."},{"family":"Liang","given":"Yan"},{"family":"Liu","given":"Li"},{"family":"Zhu","given":"Hao-Jie"}],"issued":{"date-parts":[["2016",11,1]]}}}],"schema":"https://github.com/citation-style-language/schema/raw/master/csl-citation.json"} </w:instrText>
      </w:r>
      <w:r w:rsidR="004E7D0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[179]</w:t>
      </w:r>
      <w:r w:rsidR="004E7D0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Исследовани</w:t>
      </w:r>
      <w:r w:rsidR="004E7D03">
        <w:rPr>
          <w:rFonts w:ascii="Times New Roman" w:hAnsi="Times New Roman" w:cs="Times New Roman"/>
          <w:sz w:val="28"/>
          <w:szCs w:val="28"/>
          <w:lang w:bidi="ar-SA"/>
        </w:rPr>
        <w:t>я</w:t>
      </w:r>
      <w:r w:rsidRPr="00AD673F">
        <w:rPr>
          <w:rFonts w:ascii="Times New Roman" w:hAnsi="Times New Roman" w:cs="Times New Roman"/>
          <w:sz w:val="28"/>
          <w:szCs w:val="28"/>
          <w:lang w:bidi="ar-SA"/>
        </w:rPr>
        <w:t xml:space="preserve"> подчеркивают, что вклад </w:t>
      </w:r>
      <w:r w:rsidR="004E7D03">
        <w:rPr>
          <w:rFonts w:ascii="Times New Roman" w:hAnsi="Times New Roman" w:cs="Times New Roman"/>
          <w:sz w:val="28"/>
          <w:szCs w:val="28"/>
          <w:lang w:val="en-US" w:bidi="ar-SA"/>
        </w:rPr>
        <w:t>CES</w:t>
      </w:r>
      <w:r w:rsidR="004E7D03" w:rsidRPr="004E7D03">
        <w:rPr>
          <w:rFonts w:ascii="Times New Roman" w:hAnsi="Times New Roman" w:cs="Times New Roman"/>
          <w:sz w:val="28"/>
          <w:szCs w:val="28"/>
          <w:lang w:bidi="ar-SA"/>
        </w:rPr>
        <w:t xml:space="preserve">1 </w:t>
      </w:r>
      <w:r w:rsidRPr="00AD673F">
        <w:rPr>
          <w:rFonts w:ascii="Times New Roman" w:hAnsi="Times New Roman" w:cs="Times New Roman"/>
          <w:sz w:val="28"/>
          <w:szCs w:val="28"/>
          <w:lang w:bidi="ar-SA"/>
        </w:rPr>
        <w:t xml:space="preserve">в общую активацию </w:t>
      </w:r>
      <w:r w:rsidR="004E7D03">
        <w:rPr>
          <w:rFonts w:ascii="Times New Roman" w:hAnsi="Times New Roman" w:cs="Times New Roman"/>
          <w:sz w:val="28"/>
          <w:szCs w:val="28"/>
          <w:lang w:bidi="ar-SA"/>
        </w:rPr>
        <w:t xml:space="preserve">дабигатрана этексилат </w:t>
      </w:r>
      <w:r w:rsidRPr="00AD673F">
        <w:rPr>
          <w:rFonts w:ascii="Times New Roman" w:hAnsi="Times New Roman" w:cs="Times New Roman"/>
          <w:sz w:val="28"/>
          <w:szCs w:val="28"/>
          <w:lang w:bidi="ar-SA"/>
        </w:rPr>
        <w:t>является более значительным по сравнению с</w:t>
      </w:r>
      <w:r w:rsidR="004E7D03">
        <w:rPr>
          <w:rFonts w:ascii="Times New Roman" w:hAnsi="Times New Roman" w:cs="Times New Roman"/>
          <w:sz w:val="28"/>
          <w:szCs w:val="28"/>
          <w:lang w:bidi="ar-SA"/>
        </w:rPr>
        <w:t xml:space="preserve"> </w:t>
      </w:r>
      <w:r w:rsidR="004E7D03">
        <w:rPr>
          <w:rFonts w:ascii="Times New Roman" w:hAnsi="Times New Roman" w:cs="Times New Roman"/>
          <w:sz w:val="28"/>
          <w:szCs w:val="28"/>
          <w:lang w:val="en-US" w:bidi="ar-SA"/>
        </w:rPr>
        <w:t>CES</w:t>
      </w:r>
      <w:r w:rsidR="004E7D03" w:rsidRPr="004E7D03">
        <w:rPr>
          <w:rFonts w:ascii="Times New Roman" w:hAnsi="Times New Roman" w:cs="Times New Roman"/>
          <w:sz w:val="28"/>
          <w:szCs w:val="28"/>
          <w:lang w:bidi="ar-SA"/>
        </w:rPr>
        <w:t>2</w:t>
      </w:r>
      <w:r w:rsidR="004E7D0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{"citationID":"4JxgWjYy","properties":{"unsorted":false,"formattedCitation":"[180]","plainCitation":"[180]","noteIndex":0},"citationItems":[{"id":86,"uris":["http://zotero.org/users/14784094/items/8KMX5794"],"itemData":{"id":86,"type":"article-journal","abstract":"Dabigatran etexilate (DABE), an oral anticoagulant prodrug, is nearly completely metabolized to the dabigatran (DAB) active metabolite by carboxylesterase-1 (CES1) and carboxylesterase-2 (CES2). The high interpatient variation in DAB plasma concentrations, coupled with its low therapeutic index, emphasizes the need to understand how CES1 and CES2 impact active metabolite formation. Previous work focused on CES1 enzyme activity but the contributions of CES2 remain unclear. The purpose of this study was to determine how CES2 activity influences DAB active metabolite formation. We compared the efficiency of DAB formation from DABE when exposed sequentially to human intestinal and then human hepatic microsomes (mimicking the normal metabolic sequence) with the reverse metabolic sequence in which DABE is exposed to hepatic and then intestinal microsomes. The poor efficiency of DAB formation with reverse sequential hydrolysis indicates that CES2 activity is crucial for active metabolite formation. Thus, the decrease in DAB formation with normal sequential hydrolysis was more sensitive to CES2 inhibition by verapamil (CES2 IC50 = 3.4 μM) than CES1 inhibition by diltiazem (CES2 IC50 = 9.1 μM). These results show CES2 activity plays a crucial role in DAB formation and that variability in its activity is an important determinant of therapeutic response.","container-title":"Drug Metabolism and Pharmacokinetics","DOI":"10.1016/j.dmpk.2022.100479","ISSN":"1880-0920","journalAbbreviation":"Drug Metab Pharmacokinet","language":"eng","page":"100479","PMID":"36375226","source":"PubMed","title":"Carboxylesterase-2 plays a critical role in dabigatran etexilate active metabolite formation","volume":"47","author":[{"family":"Laizure","given":"S. Casey"},{"family":"Chen","given":"Feng"},{"family":"Farrar","given":"Julie E."},{"family":"Ali","given":"Dina"},{"family":"Yang","given":"Bing"},{"family":"Parker","given":"Robert B."}],"issued":{"date-parts":[["2022",12]]}}}],"schema":"https://github.com/citation-style-language/schema/raw/master/csl-citation.json"} </w:instrText>
      </w:r>
      <w:r w:rsidR="004E7D0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[180]</w:t>
      </w:r>
      <w:r w:rsidR="004E7D0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 xml:space="preserve">После приема внутрь </w:t>
      </w:r>
      <w:r w:rsidR="004E7D03">
        <w:rPr>
          <w:rFonts w:ascii="Times New Roman" w:hAnsi="Times New Roman" w:cs="Times New Roman"/>
          <w:sz w:val="28"/>
          <w:szCs w:val="28"/>
          <w:lang w:bidi="ar-SA"/>
        </w:rPr>
        <w:t>дабигатран</w:t>
      </w:r>
      <w:r w:rsidR="004E7D03" w:rsidRPr="004E7D03">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демонстрирует относительно быстрое всасывание</w:t>
      </w:r>
      <w:r w:rsidR="004E7D03" w:rsidRPr="004E7D03">
        <w:rPr>
          <w:rFonts w:ascii="Times New Roman" w:hAnsi="Times New Roman" w:cs="Times New Roman"/>
          <w:sz w:val="28"/>
          <w:szCs w:val="28"/>
          <w:lang w:bidi="ar-SA"/>
        </w:rPr>
        <w:t>,</w:t>
      </w:r>
      <w:r w:rsidRPr="00AD673F">
        <w:rPr>
          <w:rFonts w:ascii="Times New Roman" w:hAnsi="Times New Roman" w:cs="Times New Roman"/>
          <w:sz w:val="28"/>
          <w:szCs w:val="28"/>
          <w:lang w:bidi="ar-SA"/>
        </w:rPr>
        <w:t xml:space="preserve"> достигая своей максимальной концентрации в плазме крови в интервале от 0</w:t>
      </w:r>
      <w:r w:rsidR="004E7D03" w:rsidRPr="004E7D03">
        <w:rPr>
          <w:rFonts w:ascii="Times New Roman" w:hAnsi="Times New Roman" w:cs="Times New Roman"/>
          <w:sz w:val="28"/>
          <w:szCs w:val="28"/>
          <w:lang w:bidi="ar-SA"/>
        </w:rPr>
        <w:t>.</w:t>
      </w:r>
      <w:r w:rsidRPr="00AD673F">
        <w:rPr>
          <w:rFonts w:ascii="Times New Roman" w:hAnsi="Times New Roman" w:cs="Times New Roman"/>
          <w:sz w:val="28"/>
          <w:szCs w:val="28"/>
          <w:lang w:bidi="ar-SA"/>
        </w:rPr>
        <w:t>5 до 2 часов</w:t>
      </w:r>
      <w:r w:rsidR="004E7D0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{"citationID":"NCF6moZ7","properties":{"unsorted":false,"formattedCitation":"[177]","plainCitation":"[177]","noteIndex":0},"citationItems":[{"id":87,"uris":["http://zotero.org/users/14784094/items/BSHDHYM3"],"itemData":{"id":87,"type":"article-journal","abstract":"Dabigatran etexilate is a novel, oral reversible direct thrombin inhibitor that is rapidly absorbed and converted to its active form, dabigatran. Dabigatran has been shown to be a potent, competitive, and reversible inhibitor of thrombin, inhibiting both thrombin activity and generation. Studies in healthy volunteers and in patients undergoing orthopedic surgery indicate that dabigatran has a predictable pharmacokinetic profile, allowing for a fixed-dose regimen without the need for coagulation monitoring. In healthy volunteers, peak plasma concentrations of dabigatran are reached approximately 2 hours after oral administration. The elimination half-life is 12 to 14 hours, with clearance predominantly occurring via renal excretion of unchanged drug. Dabigatran is not metabolized by cytochrome P450 isoenzymes, has no interactions with food, and also has a low potential for drug-drug interactions. The pharmacokinetic profile of dabigatran is consistent across a broad range of different patient populations and is unaffected by gender, body weight, ethnic origin, obesity, and mild-to-moderate hepatic impairment. Small differences in dabigatran pharmacokinetics associated with age are attributable to variation in renal function. Dabigatran etexilate produces a predictable pharmacodynamic effect and requires no coagulation monitoring. It has been approved in the European Union (EU) and Canada for prophylaxis of thromboembolism in patients undergoing total knee or hip arthroplasty. Ongoing clinical trials are investigating its use in the treatment of venous thromboembolism, prevention of stroke in patients with nonvalvular atrial fibrillation, and treatment of thromboembolic complications, following acute coronary syndromes.","container-title":"Clinical and Applied Thrombosis/Hemostasis: Official Journal of the International Academy of Clinical and Applied Thrombosis/Hemostasis","DOI":"10.1177/1076029609343004","ISSN":"1938-2723","journalAbbreviation":"Clin Appl Thromb Hemost","language":"eng","page":"9S-16S","PMID":"19696042","source":"PubMed","title":"Pharmacology, pharmacokinetics, and pharmacodynamics of dabigatran etexilate, an oral direct thrombin inhibitor","volume":"15 Suppl 1","author":[{"family":"Stangier","given":"Joachim"},{"family":"Clemens","given":"Andreas"}],"issued":{"date-parts":[["2009"]]}}}],"schema":"https://github.com/citation-style-language/schema/raw/master/csl-citation.json"} </w:instrText>
      </w:r>
      <w:r w:rsidR="004E7D0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[177]</w:t>
      </w:r>
      <w:r w:rsidR="004E7D0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Период полувыведения активного вещества составляет приблизительно 12</w:t>
      </w:r>
      <w:r w:rsidR="004E7D03" w:rsidRPr="004E7D03">
        <w:rPr>
          <w:rFonts w:ascii="Times New Roman" w:hAnsi="Times New Roman" w:cs="Times New Roman"/>
          <w:sz w:val="28"/>
          <w:szCs w:val="28"/>
          <w:lang w:bidi="ar-SA"/>
        </w:rPr>
        <w:t>-</w:t>
      </w:r>
      <w:r w:rsidRPr="00AD673F">
        <w:rPr>
          <w:rFonts w:ascii="Times New Roman" w:hAnsi="Times New Roman" w:cs="Times New Roman"/>
          <w:sz w:val="28"/>
          <w:szCs w:val="28"/>
          <w:lang w:bidi="ar-SA"/>
        </w:rPr>
        <w:t>14 часов</w:t>
      </w:r>
      <w:r w:rsidR="004E7D0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{"citationID":"23VJy0bQ","properties":{"unsorted":false,"formattedCitation":"[177]","plainCitation":"[177]","noteIndex":0},"citationItems":[{"id":87,"uris":["http://zotero.org/users/14784094/items/BSHDHYM3"],"itemData":{"id":87,"type":"article-journal","abstract":"Dabigatran etexilate is a novel, oral reversible direct thrombin inhibitor that is rapidly absorbed and converted to its active form, dabigatran. Dabigatran has been shown to be a potent, competitive, and reversible inhibitor of thrombin, inhibiting both thrombin activity and generation. Studies in healthy volunteers and in patients undergoing orthopedic surgery indicate that dabigatran has a predictable pharmacokinetic profile, allowing for a fixed-dose regimen without the need for coagulation monitoring. In healthy volunteers, peak plasma concentrations of dabigatran are reached approximately 2 hours after oral administration. The elimination half-life is 12 to 14 hours, with clearance predominantly occurring via renal excretion of unchanged drug. Dabigatran is not metabolized by cytochrome P450 isoenzymes, has no interactions with food, and also has a low potential for drug-drug interactions. The pharmacokinetic profile of dabigatran is consistent across a broad range of different patient populations and is unaffected by gender, body weight, ethnic origin, obesity, and mild-to-moderate hepatic impairment. Small differences in dabigatran pharmacokinetics associated with age are attributable to variation in renal function. Dabigatran etexilate produces a predictable pharmacodynamic effect and requires no coagulation monitoring. It has been approved in the European Union (EU) and Canada for prophylaxis of thromboembolism in patients undergoing total knee or hip arthroplasty. Ongoing clinical trials are investigating its use in the treatment of venous thromboembolism, prevention of stroke in patients with nonvalvular atrial fibrillation, and treatment of thromboembolic complications, following acute coronary syndromes.","container-title":"Clinical and Applied Thrombosis/Hemostasis: Official Journal of the International Academy of Clinical and Applied Thrombosis/Hemostasis","DOI":"10.1177/1076029609343004","ISSN":"1938-2723","journalAbbreviation":"Clin Appl Thromb Hemost","language":"eng","page":"9S-16S","PMID":"19696042","source":"PubMed","title":"Pharmacology, pharmacokinetics, and pharmacodynamics of dabigatran etexilate, an oral direct thrombin inhibitor","volume":"15 Suppl 1","author":[{"family":"Stangier","given":"Joachim"},{"family":"Clemens","given":"Andreas"}],"issued":{"date-parts":[["2009"]]}}}],"schema":"https://github.com/citation-style-language/schema/raw/master/csl-citation.json"} </w:instrText>
      </w:r>
      <w:r w:rsidR="004E7D0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[177]</w:t>
      </w:r>
      <w:r w:rsidR="004E7D0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 xml:space="preserve">Основной путь </w:t>
      </w:r>
      <w:r w:rsidR="004E7D03">
        <w:rPr>
          <w:rFonts w:ascii="Times New Roman" w:hAnsi="Times New Roman" w:cs="Times New Roman"/>
          <w:sz w:val="28"/>
          <w:szCs w:val="28"/>
          <w:lang w:bidi="ar-SA"/>
        </w:rPr>
        <w:t>эли</w:t>
      </w:r>
      <w:r w:rsidRPr="00AD673F">
        <w:rPr>
          <w:rFonts w:ascii="Times New Roman" w:hAnsi="Times New Roman" w:cs="Times New Roman"/>
          <w:sz w:val="28"/>
          <w:szCs w:val="28"/>
          <w:lang w:bidi="ar-SA"/>
        </w:rPr>
        <w:t>минаци</w:t>
      </w:r>
      <w:r w:rsidR="004E7D03">
        <w:rPr>
          <w:rFonts w:ascii="Times New Roman" w:hAnsi="Times New Roman" w:cs="Times New Roman"/>
          <w:sz w:val="28"/>
          <w:szCs w:val="28"/>
          <w:lang w:bidi="ar-SA"/>
        </w:rPr>
        <w:t>и</w:t>
      </w:r>
      <w:r w:rsidRPr="00AD673F">
        <w:rPr>
          <w:rFonts w:ascii="Times New Roman" w:hAnsi="Times New Roman" w:cs="Times New Roman"/>
          <w:sz w:val="28"/>
          <w:szCs w:val="28"/>
          <w:lang w:bidi="ar-SA"/>
        </w:rPr>
        <w:t xml:space="preserve"> неизмененного </w:t>
      </w:r>
      <w:r w:rsidR="004E7D03">
        <w:rPr>
          <w:rFonts w:ascii="Times New Roman" w:hAnsi="Times New Roman" w:cs="Times New Roman"/>
          <w:sz w:val="28"/>
          <w:szCs w:val="28"/>
          <w:lang w:bidi="ar-SA"/>
        </w:rPr>
        <w:t xml:space="preserve">дабигатрана </w:t>
      </w:r>
      <w:r w:rsidRPr="00AD673F">
        <w:rPr>
          <w:rFonts w:ascii="Times New Roman" w:hAnsi="Times New Roman" w:cs="Times New Roman"/>
          <w:sz w:val="28"/>
          <w:szCs w:val="28"/>
          <w:lang w:bidi="ar-SA"/>
        </w:rPr>
        <w:t>из организма</w:t>
      </w:r>
      <w:r w:rsidR="004E7D03">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004E7D03">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почечная экскреция</w:t>
      </w:r>
      <w:r w:rsidR="004E7D03">
        <w:rPr>
          <w:rFonts w:ascii="Times New Roman" w:hAnsi="Times New Roman" w:cs="Times New Roman"/>
          <w:sz w:val="28"/>
          <w:szCs w:val="28"/>
          <w:lang w:bidi="ar-SA"/>
        </w:rPr>
        <w:t>,</w:t>
      </w:r>
      <w:r w:rsidRPr="00AD673F">
        <w:rPr>
          <w:rFonts w:ascii="Times New Roman" w:hAnsi="Times New Roman" w:cs="Times New Roman"/>
          <w:sz w:val="28"/>
          <w:szCs w:val="28"/>
          <w:lang w:bidi="ar-SA"/>
        </w:rPr>
        <w:t xml:space="preserve"> на долю которой приходится около 85</w:t>
      </w:r>
      <w:r w:rsidR="004E7D03">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выводимой дозы</w:t>
      </w:r>
      <w:r w:rsidR="004E7D0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{"citationID":"IPTWp3Jz","properties":{"unsorted":false,"formattedCitation":"[181]","plainCitation":"[181]","noteIndex":0},"citationItems":[{"id":83,"uris":["http://zotero.org/users/14784094/items/US9UWLBZ"],"itemData":{"id":83,"type":"article-journal","abstract":"Following oral administration, dabigatran etexilate (DABE) is rapidly hydrolyzed to its active form, dabigatran. DABE, but not dabigatran, presents as a P-glycoprotein (P-gp) substrate and has increasingly been used as a probe drug. Therefore, although dosed as DABE, a P-gp drug-drug interaction (DDI) is reported as a dabigatran plasma concentration ratio (perpetrator versus placebo). Because the majority of a DABE dose (80 to 85%) is recovered in urine as unchanged dabigatran (renal active secretion is </w:instrText>
      </w:r>
      <w:r w:rsidR="00AC4691">
        <w:rPr>
          <w:rFonts w:ascii="Cambria Math" w:hAnsi="Cambria Math" w:cs="Cambria Math"/>
          <w:sz w:val="28"/>
          <w:szCs w:val="28"/>
          <w:lang w:bidi="ar-SA"/>
        </w:rPr>
        <w:instrText>∼</w:instrText>
      </w:r>
      <w:r w:rsidR="00AC4691">
        <w:rPr>
          <w:rFonts w:ascii="Times New Roman" w:hAnsi="Times New Roman" w:cs="Times New Roman"/>
          <w:sz w:val="28"/>
          <w:szCs w:val="28"/>
          <w:lang w:bidi="ar-SA"/>
        </w:rPr>
        <w:instrText xml:space="preserve">25% of total clearance), dabigatran was evaluated in vitro as a substrate of various human renal transporters. Active (pyrimethamine-sensitive) dabigatran uptake was observed with human embryonic kidney (HEK) 293 cells expressing multidrug and toxin extrusion protein 1 (MATE1) and 2K (MATE2K), with Michaelis-Menten constant (Km) values of 4.0 and 8.0 μM, respectively. By comparison, no uptake of 2 μM dabigatran (versus mock-transfected HEK293 cells) was evident with HEK293 cells transfected with organic cation transporters (OCT1 and OCT2) and organic anion transporters (OAT1, 2, 3, and 4). The efflux ratios of dabigatran across P-gp- and BCRP (breast cancer resistance protein)-MDCK (Madin-Darby canine kidney) cell monolayers were 1.5 and 2.0 (versus mock-MDCK cell monolayers), suggesting dabigatran is a relatively poor P-gp and BCRP substrate. Three of five drugs (verapamil, ketoconazole, and quinidine) known to interact clinically with dabigatran, as P-gp inhibitors, presented as MATE inhibitors in vitro (IC50 = 1.0 to 25.2 μM). Taken together, although no basolateral transporter was identified for dabigatran, the results suggest that apical MATE1 and MATE2K could play an important role in its renal clearance. MATE-mediated renal secretion of dabigatran needs to be considered when interpreting the results of P-gp DDI studies following DABE administration.","container-title":"Molecular Pharmaceutics","DOI":"10.1021/acs.molpharmaceut.9b00472","ISSN":"1543-8392","issue":"9","journalAbbreviation":"Mol Pharm","language":"eng","page":"4065-4076","PMID":"31335150","source":"PubMed","title":"Renal Excretion of Dabigatran: The Potential Role of Multidrug and Toxin Extrusion (MATE) Proteins","title-short":"Renal Excretion of Dabigatran","volume":"16","author":[{"family":"Shen","given":"Hong"},{"family":"Yao","given":"Ming"},{"family":"Sinz","given":"Michael"},{"family":"Marathe","given":"Punit"},{"family":"Rodrigues","given":"A. David"},{"family":"Zhu","given":"Mingshe"}],"issued":{"date-parts":[["2019",9,3]]}}}],"schema":"https://github.com/citation-style-language/schema/raw/master/csl-citation.json"} </w:instrText>
      </w:r>
      <w:r w:rsidR="004E7D0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[181]</w:t>
      </w:r>
      <w:r w:rsidR="004E7D0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Оставши</w:t>
      </w:r>
      <w:r w:rsidR="004E7D03">
        <w:rPr>
          <w:rFonts w:ascii="Times New Roman" w:hAnsi="Times New Roman" w:cs="Times New Roman"/>
          <w:sz w:val="28"/>
          <w:szCs w:val="28"/>
          <w:lang w:bidi="ar-SA"/>
        </w:rPr>
        <w:t>е</w:t>
      </w:r>
      <w:r w:rsidRPr="00AD673F">
        <w:rPr>
          <w:rFonts w:ascii="Times New Roman" w:hAnsi="Times New Roman" w:cs="Times New Roman"/>
          <w:sz w:val="28"/>
          <w:szCs w:val="28"/>
          <w:lang w:bidi="ar-SA"/>
        </w:rPr>
        <w:t>ся 15</w:t>
      </w:r>
      <w:r w:rsidR="004E7D03" w:rsidRPr="00D67F83">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выво</w:t>
      </w:r>
      <w:r w:rsidR="004E7D03">
        <w:rPr>
          <w:rFonts w:ascii="Times New Roman" w:hAnsi="Times New Roman" w:cs="Times New Roman"/>
          <w:sz w:val="28"/>
          <w:szCs w:val="28"/>
          <w:lang w:bidi="ar-SA"/>
        </w:rPr>
        <w:t>дя</w:t>
      </w:r>
      <w:r w:rsidRPr="00AD673F">
        <w:rPr>
          <w:rFonts w:ascii="Times New Roman" w:hAnsi="Times New Roman" w:cs="Times New Roman"/>
          <w:sz w:val="28"/>
          <w:szCs w:val="28"/>
          <w:lang w:bidi="ar-SA"/>
        </w:rPr>
        <w:t xml:space="preserve">тся через печень посредством </w:t>
      </w:r>
      <w:r w:rsidR="0083435A" w:rsidRPr="00AD673F">
        <w:rPr>
          <w:rFonts w:ascii="Times New Roman" w:hAnsi="Times New Roman" w:cs="Times New Roman"/>
          <w:sz w:val="28"/>
          <w:szCs w:val="28"/>
          <w:lang w:bidi="ar-SA"/>
        </w:rPr>
        <w:t>бил</w:t>
      </w:r>
      <w:r w:rsidR="0083435A">
        <w:rPr>
          <w:rFonts w:ascii="Times New Roman" w:hAnsi="Times New Roman" w:cs="Times New Roman"/>
          <w:sz w:val="28"/>
          <w:szCs w:val="28"/>
          <w:lang w:bidi="ar-SA"/>
        </w:rPr>
        <w:t>иар</w:t>
      </w:r>
      <w:r w:rsidR="0083435A" w:rsidRPr="00AD673F">
        <w:rPr>
          <w:rFonts w:ascii="Times New Roman" w:hAnsi="Times New Roman" w:cs="Times New Roman"/>
          <w:sz w:val="28"/>
          <w:szCs w:val="28"/>
          <w:lang w:bidi="ar-SA"/>
        </w:rPr>
        <w:t>ной</w:t>
      </w:r>
      <w:r w:rsidRPr="00AD673F">
        <w:rPr>
          <w:rFonts w:ascii="Times New Roman" w:hAnsi="Times New Roman" w:cs="Times New Roman"/>
          <w:sz w:val="28"/>
          <w:szCs w:val="28"/>
          <w:lang w:bidi="ar-SA"/>
        </w:rPr>
        <w:t xml:space="preserve"> экскреции</w:t>
      </w:r>
      <w:r w:rsidR="00D67F8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{"citationID":"rS2oyaLN","properties":{"unsorted":false,"formattedCitation":"[182]","plainCitation":"[182]","noteIndex":0},"citationItems":[{"id":81,"uris":["http://zotero.org/users/14784094/items/IQGUVQMC"],"itemData":{"id":81,"type":"article-journal","abstract":"Cirrhosis is a major health concern worldwide with a complex pathophysiology affecting various biological systems, including all aspects of haemostasis. Bleeding risk is mainly driven by portal hypertension, but in end-stage liver disease it is further increased by alterations in haemostatic components, including platelet function, coagulation, and fibrinolysis. Concurrently, patients with cirrhosis are prone to venous thromboembolic events (VTE) because of the altered haemostatic balance, in particular an increase in thrombin generation. In patients with cirrhosis, vitamin K antagonists (VKA) and low molecular weight heparins (LMWH) are currently the standard of care for VTE prevention, with VKA also being standard of care for stroke prevention in those with atrial fibrillation. However, direct oral anticoagulants (DOAC) could have specific advantages in this patient population. Clinical experience suggests that DOAC are a safe and possibly more effective alternative to traditional anticoagulants for the treatment of VTE in patients with compensated cirrhosis. In addition, emerging data suggest that primary prophylactic treatment with anticoagulants may improve clinical outcomes in patients with cirrhosis by reducing the risk of hepatic decompensation. The selection of the most appropriate DOAC remains to be clarified. This review focuses on the rationale for the use of DOAC in patients with cirrhosis, the specific effects of the different DOAC (as assessed by in vitro and in vivo pharmacokinetic and pharmacodynamic studies), as well as clinical outcomes in patients with cirrhosis on DOAC.","container-title":"JHEP Reports","DOI":"10.1016/j.jhepr.2024.101116","ISSN":"2589-5559","issue":"8","journalAbbreviation":"JHEP Rep","page":"101116","PMID":"39100819","PMCID":"PMC11296254","source":"PubMed Central","title":"Direct oral anticoagulants in cirrhosis: Rationale and current evidence","title-short":"Direct oral anticoagulants in cirrhosis","volume":"6","author":[{"family":"Pereira Portela","given":"Cindy"},{"family":"Gautier","given":"Lucas A."},{"family":"Zermatten","given":"Maxime G."},{"family":"Fraga","given":"Montserrat"},{"family":"Moradpour","given":"Darius"},{"family":"Bertaggia Calderara","given":"Debora"},{"family":"Aliotta","given":"Alessandro"},{"family":"Veuthey","given":"Lucas"},{"family":"De Gottardi","given":"Andrea"},{"family":"Stirnimann","given":"Guido"},{"family":"Alberio","given":"Lorenzo"}],"issued":{"date-parts":[["2024",5,9]]}}}],"schema":"https://github.com/citation-style-language/schema/raw/master/csl-citation.json"} </w:instrText>
      </w:r>
      <w:r w:rsidR="00D67F8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[182]</w:t>
      </w:r>
      <w:r w:rsidR="00D67F8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Pr="00AD673F">
        <w:rPr>
          <w:rFonts w:ascii="Times New Roman" w:hAnsi="Times New Roman" w:cs="Times New Roman"/>
          <w:sz w:val="28"/>
          <w:szCs w:val="28"/>
          <w:lang w:bidi="ar-SA"/>
        </w:rPr>
        <w:t>Существенно, что нарушение функции почек может приводить к значительному удлинению периода полувыведения препарата, который в таких случаях варьирует от 15 до 35 часов, что требует обязательной коррекции дозы</w:t>
      </w:r>
      <w:r w:rsidR="00D67F8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{"citationID":"Hpto8IQ3","properties":{"unsorted":false,"formattedCitation":"[183]","plainCitation":"[183]","noteIndex":0},"citationItems":[{"id":82,"uris":["http://zotero.org/users/14784094/items/AHJW4GQU"],"itemData":{"id":82,"type":"article-journal","abstract":"Dabigatran etexilate is an oral direct thrombin inhibitor in clinical development for the prevention and treatment of thromboembolic disorders. Following oral administration, dabigatran etexilate is rapidly absorbed and converted into its active form, dabigatran. The aim of this study was to investigate the effect of renal impairment on the pharmacokinetics and pharmacodynamics of dabigatran following administration of a single oral dose of dabigatran etexilate in subjects with renal impairment (150 mg) or end-stage renal disease (ESRD) on maintenance haemodialysis (50 mg). This open-label, parallel-group, single-centre study enrolled 23 subjects with mild, moderate or severe renal impairment (creatinine clearance &gt;50 to &lt; or =80, &gt;30 to &lt; or =50 and &lt; or =30 mL/min, respectively), 6 patients with ESRD and 6 healthy subjects. Blood and urine samples were collected up to 96 hours after dosing for determination of dabigatran pharmacokinetic and pharmacodynamic parameters. Compared with the values in healthy subjects, the area under the plasma concentration-time curve from time zero to infinity (AUC(infinity)) values were 1.5-, 3.2- and 6.3-fold higher in subjects with mild, moderate and severe renal impairment. Changes in the maximum plasma concentration (C(max)) were modest, and the time to reach the C(max) was unchanged. In subjects with severe renal impairment, the mean terminal elimination half-life was doubled (28 hours vs 14 hours for control). The AUC for prolongation of pharmacodynamic parameters (the activated partial thromboplastin time and ecarin clotting time) increased in line with the pharmacokinetic changes. In patients with ESRD, the dose-normalized AUC(infinity) was approximately twice the value in the control group. Haemodialysis removed 62-68% of the dose. Dabigatran etexilate was well tolerated in all groups. Exposure to dabigatran is increased by renal impairment and correlates with the severity of renal dysfunction. A decrease in the dose and/or an increase in the administration interval in these patients may be appropriate. In patients with ESRD, dabigatran can be partly removed from the plasma by haemodialysis.","container-title":"Clinical Pharmacokinetics","DOI":"10.2165/11318170-000000000-00000","ISSN":"1179-1926","issue":"4","journalAbbreviation":"Clin Pharmacokinet","language":"eng","page":"259-268","PMID":"20214409","source":"PubMed","title":"Influence of renal impairment on the pharmacokinetics and pharmacodynamics of oral dabigatran etexilate: an open-label, parallel-group, single-centre study","title-short":"Influence of renal impairment on the pharmacokinetics and pharmacodynamics of oral dabigatran etexilate","volume":"49","author":[{"family":"Stangier","given":"Joachim"},{"family":"Rathgen","given":"Karin"},{"family":"Stähle","given":"Hildegard"},{"family":"Mazur","given":"Dago"}],"issued":{"date-parts":[["2010",4]]}}}],"schema":"https://github.com/citation-style-language/schema/raw/master/csl-citation.json"} </w:instrText>
      </w:r>
      <w:r w:rsidR="00D67F8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[183]</w:t>
      </w:r>
      <w:r w:rsidR="00D67F83">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r w:rsidR="004E7D03" w:rsidRPr="004E7D03">
        <w:rPr>
          <w:rFonts w:ascii="Times New Roman" w:hAnsi="Times New Roman" w:cs="Times New Roman"/>
          <w:sz w:val="28"/>
          <w:szCs w:val="28"/>
          <w:lang w:bidi="ar-SA"/>
        </w:rPr>
        <w:t xml:space="preserve">Клинические исследования выявили ряд значимых факторов, влияющих на плазменные концентрации </w:t>
      </w:r>
      <w:r w:rsidR="00D67F83">
        <w:rPr>
          <w:rFonts w:ascii="Times New Roman" w:hAnsi="Times New Roman" w:cs="Times New Roman"/>
          <w:sz w:val="28"/>
          <w:szCs w:val="28"/>
          <w:lang w:bidi="ar-SA"/>
        </w:rPr>
        <w:t>дабигатрана</w:t>
      </w:r>
      <w:r w:rsidR="004E7D03">
        <w:rPr>
          <w:rFonts w:ascii="Times New Roman" w:hAnsi="Times New Roman" w:cs="Times New Roman"/>
          <w:sz w:val="28"/>
          <w:szCs w:val="28"/>
          <w:lang w:bidi="ar-SA"/>
        </w:rPr>
        <w:t xml:space="preserve">. </w:t>
      </w:r>
      <w:r w:rsidR="004E7D03" w:rsidRPr="004E7D03">
        <w:rPr>
          <w:rFonts w:ascii="Times New Roman" w:hAnsi="Times New Roman" w:cs="Times New Roman"/>
          <w:sz w:val="28"/>
          <w:szCs w:val="28"/>
          <w:lang w:bidi="ar-SA"/>
        </w:rPr>
        <w:t>Так</w:t>
      </w:r>
      <w:r w:rsidR="00D67F83" w:rsidRPr="00D67F83">
        <w:rPr>
          <w:rFonts w:ascii="Times New Roman" w:hAnsi="Times New Roman" w:cs="Times New Roman"/>
          <w:sz w:val="28"/>
          <w:szCs w:val="28"/>
          <w:lang w:bidi="ar-SA"/>
        </w:rPr>
        <w:t>,</w:t>
      </w:r>
      <w:r w:rsidR="004E7D03" w:rsidRPr="004E7D03">
        <w:rPr>
          <w:rFonts w:ascii="Times New Roman" w:hAnsi="Times New Roman" w:cs="Times New Roman"/>
          <w:sz w:val="28"/>
          <w:szCs w:val="28"/>
          <w:lang w:bidi="ar-SA"/>
        </w:rPr>
        <w:t xml:space="preserve"> работа </w:t>
      </w:r>
      <w:r w:rsidR="00D67F83">
        <w:rPr>
          <w:rFonts w:ascii="Times New Roman" w:hAnsi="Times New Roman" w:cs="Times New Roman"/>
          <w:sz w:val="28"/>
          <w:szCs w:val="28"/>
          <w:lang w:val="en-US" w:bidi="ar-SA"/>
        </w:rPr>
        <w:t>Pare</w:t>
      </w:r>
      <w:r w:rsidR="00D67F83" w:rsidRPr="00D67F83">
        <w:rPr>
          <w:rFonts w:ascii="Times New Roman" w:hAnsi="Times New Roman" w:cs="Times New Roman"/>
          <w:sz w:val="28"/>
          <w:szCs w:val="28"/>
          <w:lang w:bidi="ar-SA"/>
        </w:rPr>
        <w:t xml:space="preserve"> </w:t>
      </w:r>
      <w:r w:rsidR="004E7D03" w:rsidRPr="004E7D03">
        <w:rPr>
          <w:rFonts w:ascii="Times New Roman" w:hAnsi="Times New Roman" w:cs="Times New Roman"/>
          <w:sz w:val="28"/>
          <w:szCs w:val="28"/>
          <w:lang w:bidi="ar-SA"/>
        </w:rPr>
        <w:t>и соавторов</w:t>
      </w:r>
      <w:r w:rsidR="00D67F83" w:rsidRPr="00D67F83">
        <w:rPr>
          <w:rFonts w:ascii="Times New Roman" w:hAnsi="Times New Roman" w:cs="Times New Roman"/>
          <w:sz w:val="28"/>
          <w:szCs w:val="28"/>
          <w:lang w:bidi="ar-SA"/>
        </w:rPr>
        <w:t xml:space="preserve"> (2013)</w:t>
      </w:r>
      <w:r w:rsidR="004E7D03" w:rsidRPr="004E7D03">
        <w:rPr>
          <w:rFonts w:ascii="Times New Roman" w:hAnsi="Times New Roman" w:cs="Times New Roman"/>
          <w:sz w:val="28"/>
          <w:szCs w:val="28"/>
          <w:lang w:bidi="ar-SA"/>
        </w:rPr>
        <w:t xml:space="preserve"> продемонстрировала,</w:t>
      </w:r>
      <w:r w:rsidR="00D67F83" w:rsidRPr="00D67F83">
        <w:rPr>
          <w:rFonts w:ascii="Times New Roman" w:hAnsi="Times New Roman" w:cs="Times New Roman"/>
          <w:sz w:val="28"/>
          <w:szCs w:val="28"/>
          <w:lang w:bidi="ar-SA"/>
        </w:rPr>
        <w:t xml:space="preserve"> </w:t>
      </w:r>
      <w:r w:rsidR="004E7D03" w:rsidRPr="004E7D03">
        <w:rPr>
          <w:rFonts w:ascii="Times New Roman" w:hAnsi="Times New Roman" w:cs="Times New Roman"/>
          <w:sz w:val="28"/>
          <w:szCs w:val="28"/>
          <w:lang w:bidi="ar-SA"/>
        </w:rPr>
        <w:t>что у пациентов в возрасте 75 лет и старше минимальная равновесная концентрация активного метаболита в плазме была в среднем на 68% выше</w:t>
      </w:r>
      <w:r w:rsidR="00D67F83" w:rsidRPr="00D67F83">
        <w:rPr>
          <w:rFonts w:ascii="Times New Roman" w:hAnsi="Times New Roman" w:cs="Times New Roman"/>
          <w:sz w:val="28"/>
          <w:szCs w:val="28"/>
          <w:lang w:bidi="ar-SA"/>
        </w:rPr>
        <w:t>,</w:t>
      </w:r>
      <w:r w:rsidR="004E7D03" w:rsidRPr="004E7D03">
        <w:rPr>
          <w:rFonts w:ascii="Times New Roman" w:hAnsi="Times New Roman" w:cs="Times New Roman"/>
          <w:sz w:val="28"/>
          <w:szCs w:val="28"/>
          <w:lang w:bidi="ar-SA"/>
        </w:rPr>
        <w:t xml:space="preserve"> а связанны</w:t>
      </w:r>
      <w:r w:rsidR="00D67F83">
        <w:rPr>
          <w:rFonts w:ascii="Times New Roman" w:hAnsi="Times New Roman" w:cs="Times New Roman"/>
          <w:sz w:val="28"/>
          <w:szCs w:val="28"/>
          <w:lang w:bidi="ar-SA"/>
        </w:rPr>
        <w:t>й</w:t>
      </w:r>
      <w:r w:rsidR="004E7D03" w:rsidRPr="004E7D03">
        <w:rPr>
          <w:rFonts w:ascii="Times New Roman" w:hAnsi="Times New Roman" w:cs="Times New Roman"/>
          <w:sz w:val="28"/>
          <w:szCs w:val="28"/>
          <w:lang w:bidi="ar-SA"/>
        </w:rPr>
        <w:t xml:space="preserve"> с этим риск</w:t>
      </w:r>
      <w:r w:rsidR="00D67F83">
        <w:rPr>
          <w:rFonts w:ascii="Times New Roman" w:hAnsi="Times New Roman" w:cs="Times New Roman"/>
          <w:sz w:val="28"/>
          <w:szCs w:val="28"/>
          <w:lang w:bidi="ar-SA"/>
        </w:rPr>
        <w:t xml:space="preserve"> геморра</w:t>
      </w:r>
      <w:r w:rsidR="004E7D03" w:rsidRPr="004E7D03">
        <w:rPr>
          <w:rFonts w:ascii="Times New Roman" w:hAnsi="Times New Roman" w:cs="Times New Roman"/>
          <w:sz w:val="28"/>
          <w:szCs w:val="28"/>
          <w:lang w:bidi="ar-SA"/>
        </w:rPr>
        <w:t>гических осложнений возрастал в 2</w:t>
      </w:r>
      <w:r w:rsidR="00D67F83">
        <w:rPr>
          <w:rFonts w:ascii="Times New Roman" w:hAnsi="Times New Roman" w:cs="Times New Roman"/>
          <w:sz w:val="28"/>
          <w:szCs w:val="28"/>
          <w:lang w:bidi="ar-SA"/>
        </w:rPr>
        <w:t>-</w:t>
      </w:r>
      <w:r w:rsidR="004E7D03" w:rsidRPr="004E7D03">
        <w:rPr>
          <w:rFonts w:ascii="Times New Roman" w:hAnsi="Times New Roman" w:cs="Times New Roman"/>
          <w:sz w:val="28"/>
          <w:szCs w:val="28"/>
          <w:lang w:bidi="ar-SA"/>
        </w:rPr>
        <w:t>3 раза по сравнению с более молодыми пациентами</w:t>
      </w:r>
      <w:r w:rsidR="00D67F83">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c2fptPek","properties":{"unsorted":false,"formattedCitation":"[184,185]","plainCitation":"[184,185]","noteIndex":0},"citationItems":[{"id":78,"uris":["http://zotero.org/users/14784094/items/9PXUWBN6"],"itemData":{"id":78,"type":"article-journal","abstract":"BACKGROUND: Dabigatran 150 and 110 mg twice a day and warfarin are effective for stroke prevention in atrial fibrillation. The purpose of this study was to compare their risks of bleeding in the Randomized Evaluation of Long-Term Anticoagulant Therapy (RE-LY) trial.\nMETHODS AND RESULTS: The RE-LY trial randomized 18 113 patients to receive dabigatran 110 or 150 mg twice a day or warfarin dose adjusted to an international normalized ratio of 2.0 to 3.0 for a median follow-up of 2.0 years. Compared with warfarin, dabigatran 110 mg twice a day was associated with a lower risk of major bleeding (2.87% versus 3.57%; P=0.002), whereas dabigatran 150 mg twice a day was associated with a similar risk of major bleeding (3.31% versus 3.57%; P=0.32). There was a significant treatment-by-age interaction, such that dabigatran 110 mg twice a day compared with warfarin was associated with a lower risk of major bleeding in patients aged &lt;75 years (1.89% versus 3.04%; P&lt;0.001) and a similar risk in those aged ≥75 years (4.43% versus 4.37%; P=0.89; P for interaction &lt;0.001), whereas dabigatran 150 mg twice a day compared with warfarin was associated with a lower risk of major bleeding in those aged &lt;75 years (2.12% versus 3.04%; P&lt;0.001) and a trend toward higher risk of major bleeding in those aged ≥75 years (5.10% versus 4.37%; P=0.07; P for interaction &lt;0.001). The interaction with age was evident for extracranial bleeding, but not for intracranial bleeding, with the risk of the latter being consistently reduced with dabigatran compared with warfarin irrespective of age.\nCONCLUSIONS: In patients with atrial fibrillation at risk for stroke, both doses of dabigatran compared with warfarin have lower risks of both intracranial and extracranial bleeding in patients aged &lt;75 years. In those aged ≥75 years, intracranial bleeding risk is lower but extracranial bleeding risk is similar or higher with both doses of dabigatran compared with warfarin.\nCLINICAL TRIAL REGISTRATION: http://www.clinicaltrials.gov. Unique identifier: NCT00262600.","container-title":"Circulation","DOI":"10.1161/CIRCULATIONAHA.110.004747","ISSN":"1524-4539","issue":"21","journalAbbreviation":"Circulation","language":"eng","page":"2363-2372","PMID":"21576658","source":"PubMed","title":"Risk of bleeding with 2 doses of dabigatran compared with warfarin in older and younger patients with atrial fibrillation: an analysis of the randomized evaluation of long-term anticoagulant therapy (RE-LY) trial","title-short":"Risk of bleeding with 2 doses of dabigatran compared with warfarin in older and younger patients with atrial fibrillation","volume":"123","author":[{"family":"Eikelboom","given":"John W."},{"family":"Wallentin","given":"Lars"},{"family":"Connolly","given":"Stuart J."},{"family":"Ezekowitz","given":"Mike"},{"family":"Healey","given":"Jeff S."},{"family":"Oldgren","given":"Jonas"},{"family":"Yang","given":"Sean"},{"family":"Alings","given":"Marco"},{"family":"Kaatz","given":"Scott"},{"family":"Hohnloser","given":"Stefan H."},{"family":"Diener","given":"Hans-Christoph"},{"family":"Franzosi","given":"Maria Grazia"},{"family":"Huber","given":"Kurt"},{"family":"Reilly","given":"Paul"},{"family":"Varrone","given":"Jeanne"},{"family":"Yusuf","given":"Salim"}],"issued":{"date-parts":[["2011",5,31]]}}},{"id":80,"uris":["http://zotero.org/users/14784094/items/Y5FWSNA3"],"itemData":{"id":80,"type":"article-journal","abstract":"Dabigatran is an oral thrombin inhibitor which has been approved in several countries as an alternative to vitamin-K-antagonists for the prevention of stroke or embolism in atrial fibrillation patients. Dabigatran is introduced into clinical practice, although many issues regarding this drug are still unclear, like laboratory monitoring, use in elderly patients, drug- and food-interactions and use in patients with renal insufficiency. Additionally, there is no antidote for dabigatran. Thus, aim of the present review is to give an overview of concerns and unresolved issues concerning dabigatran.","container-title":"Pharmaceuticals","DOI":"10.3390/ph5020155","ISSN":"1424-8247","issue":"2","journalAbbreviation":"Pharmaceuticals (Basel)","page":"155-168","PMID":"24288086","PMCID":"PMC3763635","source":"PubMed Central","title":"Concerns Regarding the Use of Dabigatran for Stroke Prevention in Atrial Fibrillation","volume":"5","author":[{"family":"Stöllberger","given":"Claudia"},{"family":"Finsterer","given":"Josef"}],"issued":{"date-parts":[["2012",2,3]]}}}],"schema":"https://github.com/citation-style-language/schema/raw/master/csl-citation.json"} </w:instrText>
      </w:r>
      <w:r w:rsidR="00D67F83">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[184,185]</w:t>
      </w:r>
      <w:r w:rsidR="00D67F83">
        <w:rPr>
          <w:rFonts w:ascii="Times New Roman" w:hAnsi="Times New Roman" w:cs="Times New Roman"/>
          <w:sz w:val="28"/>
          <w:szCs w:val="28"/>
          <w:lang w:bidi="ar-SA"/>
        </w:rPr>
        <w:fldChar w:fldCharType="end"/>
      </w:r>
      <w:r w:rsidR="004E7D03">
        <w:rPr>
          <w:rFonts w:ascii="Times New Roman" w:hAnsi="Times New Roman" w:cs="Times New Roman"/>
          <w:sz w:val="28"/>
          <w:szCs w:val="28"/>
          <w:lang w:bidi="ar-SA"/>
        </w:rPr>
        <w:t xml:space="preserve">. </w:t>
      </w:r>
      <w:r w:rsidR="004E7D03" w:rsidRPr="004E7D03">
        <w:rPr>
          <w:rFonts w:ascii="Times New Roman" w:hAnsi="Times New Roman" w:cs="Times New Roman"/>
          <w:sz w:val="28"/>
          <w:szCs w:val="28"/>
          <w:lang w:bidi="ar-SA"/>
        </w:rPr>
        <w:t>Дополнительными факторами</w:t>
      </w:r>
      <w:r w:rsidR="00D67F83" w:rsidRPr="00D67F83">
        <w:rPr>
          <w:rFonts w:ascii="Times New Roman" w:hAnsi="Times New Roman" w:cs="Times New Roman"/>
          <w:sz w:val="28"/>
          <w:szCs w:val="28"/>
          <w:lang w:bidi="ar-SA"/>
        </w:rPr>
        <w:t xml:space="preserve">, </w:t>
      </w:r>
      <w:r w:rsidR="004E7D03" w:rsidRPr="004E7D03">
        <w:rPr>
          <w:rFonts w:ascii="Times New Roman" w:hAnsi="Times New Roman" w:cs="Times New Roman"/>
          <w:sz w:val="28"/>
          <w:szCs w:val="28"/>
          <w:lang w:bidi="ar-SA"/>
        </w:rPr>
        <w:t xml:space="preserve"> ассоциированными с повышенными</w:t>
      </w:r>
      <w:r w:rsidR="00D67F83" w:rsidRPr="00D67F83">
        <w:rPr>
          <w:rFonts w:ascii="Times New Roman" w:hAnsi="Times New Roman" w:cs="Times New Roman"/>
          <w:sz w:val="28"/>
          <w:szCs w:val="28"/>
          <w:lang w:bidi="ar-SA"/>
        </w:rPr>
        <w:t xml:space="preserve"> </w:t>
      </w:r>
      <w:r w:rsidR="00D67F83">
        <w:rPr>
          <w:rFonts w:ascii="Times New Roman" w:hAnsi="Times New Roman" w:cs="Times New Roman"/>
          <w:sz w:val="28"/>
          <w:szCs w:val="28"/>
          <w:lang w:bidi="ar-SA"/>
        </w:rPr>
        <w:t>к</w:t>
      </w:r>
      <w:r w:rsidR="00D67F83" w:rsidRPr="00D67F83">
        <w:rPr>
          <w:rFonts w:ascii="Times New Roman" w:hAnsi="Times New Roman" w:cs="Times New Roman"/>
          <w:sz w:val="28"/>
          <w:szCs w:val="28"/>
          <w:lang w:bidi="ar-SA"/>
        </w:rPr>
        <w:t>онцентрациями, являются женский пол</w:t>
      </w:r>
      <w:r w:rsidR="00D67F83">
        <w:rPr>
          <w:rFonts w:ascii="Times New Roman" w:hAnsi="Times New Roman" w:cs="Times New Roman"/>
          <w:sz w:val="28"/>
          <w:szCs w:val="28"/>
          <w:lang w:bidi="ar-SA"/>
        </w:rPr>
        <w:t xml:space="preserve"> (</w:t>
      </w:r>
      <w:r w:rsidR="00D67F83">
        <w:rPr>
          <w:rFonts w:ascii="Times New Roman" w:hAnsi="Times New Roman" w:cs="Times New Roman"/>
          <w:sz w:val="28"/>
          <w:szCs w:val="28"/>
          <w:lang w:val="en-US" w:bidi="ar-SA"/>
        </w:rPr>
        <w:t>C</w:t>
      </w:r>
      <w:r w:rsidR="00D67F83" w:rsidRPr="00E2467A">
        <w:rPr>
          <w:rFonts w:ascii="Times New Roman" w:hAnsi="Times New Roman" w:cs="Times New Roman"/>
          <w:sz w:val="28"/>
          <w:szCs w:val="28"/>
          <w:vertAlign w:val="subscript"/>
          <w:lang w:val="en-US" w:bidi="ar-SA"/>
        </w:rPr>
        <w:t>min</w:t>
      </w:r>
      <w:r w:rsidR="00D67F83" w:rsidRPr="00D67F83">
        <w:rPr>
          <w:rFonts w:ascii="Times New Roman" w:hAnsi="Times New Roman" w:cs="Times New Roman"/>
          <w:sz w:val="28"/>
          <w:szCs w:val="28"/>
          <w:lang w:bidi="ar-SA"/>
        </w:rPr>
        <w:t xml:space="preserve"> на 30% выше, чем у мужчин</w:t>
      </w:r>
      <w:r w:rsidR="00D67F83">
        <w:rPr>
          <w:rFonts w:ascii="Times New Roman" w:hAnsi="Times New Roman" w:cs="Times New Roman"/>
          <w:sz w:val="28"/>
          <w:szCs w:val="28"/>
          <w:lang w:bidi="ar-SA"/>
        </w:rPr>
        <w:t>)</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{"citationID":"WjFc4ddu","properties":{"unsorted":false,"formattedCitation":"[186]","plainCitation":"[186]","noteIndex":0},"citationItems":[{"id":74,"uris":["http://zotero.org/users/14784094/items/4UKLI6PW"],"itemData":{"id":74,"type":"article-journal","abstract":"Objectives: To describe the sex and gender differences in the treatment initiation and in the socio-demographic and clinical characteristics of all patients initiating an oral anticoagulant (OAC), and the sex and gender differences in prescribed doses and adherence and persistence to the treatment of those receiving direct oral anticoagulants (DOAC). Material and methods: Cohort study including patients with non-valvular atrial ﬁbrillation (NVAF) who initiated OAC in 2011–2020. Data proceed from SIDIAP, Information System for Research in Primary Care, in Catalonia, Spain.\nResults: 123,250 people initiated OAC, 46.9% women and 53.1% men. Women were older and the clinical characteristics differed between genders. Women had higher risk of stroke than men at baseline, were more frequently underdosed with DOAC and discontinued the DOAC less frequently than men.\nConclusion: We described the dose adequacy of patients receiving DOAC, ﬁnding a high frequency of underdosing, and signiﬁcantly higher in women in comparison with men. Adherence was generally high, only with higher levels in women for rivaroxaban. Persistence during the ﬁrst year of treatment was also high in general, being signiﬁcantly more persistent women than men in the case of dabigatran and edoxaban. Dose inadequacy, lack of adherence and of persistence can result in less effective and safe treatments. It is necessary to conduct studies analysing sex and gender differences in health and disease.","container-title":"Frontiers in Pharmacology","DOI":"10.3389/fphar.2023.1110036","ISSN":"1663-9812","journalAbbreviation":"Front. Pharmacol.","language":"en","page":"1110036","source":"DOI.org (Crossref)","title":"Sex and gender differences in the use of oral anticoagulants for non-valvular atrial fibrillation: A population-based cohort study in primary health care in catalonia","title-short":"Sex and gender differences in the use of oral anticoagulants for non-valvular atrial fibrillation","volume":"14","author":[{"family":"Giner-Soriano","given":"Maria"},{"family":"Prat-Vallverdú","given":"Oriol"},{"family":"Ouchi","given":"Dan"},{"family":"Vilaplana-Carnerero","given":"Carles"},{"family":"Morros","given":"Rosa"}],"issued":{"date-parts":[["2023",2,7]]}}}],"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[186]</w:t>
      </w:r>
      <w:r w:rsidR="00346796">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xml:space="preserve"> и низкая масса тела (менее 50 кг)</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JaKA0ZTo","properties":{"unsorted":false,"formattedCitation":"[187]","plainCitation":"[187]","noteIndex":0},"citationItems":[{"id":448,"uris":["http://zotero.org/users/14784094/items/MQI5Y83M"],"itemData":{"id":448,"type":"article-journal","abstract":"Background/purpose: Dabigatran is effective in preventing ischemic stroke and systemic embolism in patients with atrial ﬁbrillation. Although the therapeutic window for dabigatran is wide, its pharmacokinetic properties can differ between speciﬁc populations. This study aimed to establish a real-life plasma dabigatran concentration database and investigate potential factors affecting this concentration in Asians.","container-title":"Journal of the Formosan Medical Association","DOI":"10.1016/j.jfma.2018.11.013","ISSN":"09296646","issue":"7","journalAbbreviation":"Journal of the Formosan Medical Association","language":"en","page":"1154-1160","source":"DOI.org (Crossref)","title":"Factors affecting serum concentration of dabigatran in Asian patients with non-valvular atrial fibrillation","volume":"118","author":[{"family":"Lin","given":"Shin-Yi"},{"family":"Tang","given":"Sung-Chun"},{"family":"Kuo","given":"Ching-Hua"},{"family":"Tsai","given":"Li-Kai"},{"family":"Yeh","given":"Shin-Joe"},{"family":"Shen","given":"Li-Jiuan"},{"family":"Jeng","given":"Jiann-Shing"}],"issued":{"date-parts":[["2019",7]]}}}],"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[187]</w:t>
      </w:r>
      <w:r w:rsidR="00346796">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при которой средняя концентрация препарата была на 21</w:t>
      </w:r>
      <w:r w:rsidR="00346796" w:rsidRPr="00346796">
        <w:rPr>
          <w:rFonts w:ascii="Times New Roman" w:hAnsi="Times New Roman" w:cs="Times New Roman"/>
          <w:sz w:val="28"/>
          <w:szCs w:val="28"/>
          <w:lang w:bidi="ar-SA"/>
        </w:rPr>
        <w:t xml:space="preserve">% </w:t>
      </w:r>
      <w:r w:rsidR="00D67F83" w:rsidRPr="00D67F83">
        <w:rPr>
          <w:rFonts w:ascii="Times New Roman" w:hAnsi="Times New Roman" w:cs="Times New Roman"/>
          <w:sz w:val="28"/>
          <w:szCs w:val="28"/>
          <w:lang w:bidi="ar-SA"/>
        </w:rPr>
        <w:t>выше, чем у пациентов с массой тела 50</w:t>
      </w:r>
      <w:r w:rsidR="00346796" w:rsidRP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100 кг, и на 53</w:t>
      </w:r>
      <w:r w:rsidR="00346796" w:rsidRP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выше, чем у пациентов с массой тела свыше 100 кг</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{"citationID":"3nFOVAss","properties":{"unsorted":false,"formattedCitation":"[188,189]","plainCitation":"[188,189]","noteIndex":0},"citationItems":[{"id":72,"uris":["http://zotero.org/users/14784094/items/JKTGNIU7"],"itemData":{"id":72,"type":"article-journal","abstract":"Data on the impact of morbid obesity (body mass index [BMI] ≥\n40 kg/m2) on the pharmacokinetics (PK), pharmacodynamics (PD) of\ndirect oral anticoagulants (DOACs) are relatively limited, making it difficult\nto design optimal dosing regimens in morbidly obese patients., To review literature on PK/PD profile, efficacy, and safety of DOACs in venous\nthromboembolism (VTE) and nonvalvular atrial fibrillation (AF) patients with\nmorbid obesity and make recommendations regarding optimal dosing regimens in\nthese patient populations., A detailed literature search was conducted (from inception to June 22, 2022) for\nrelevant articles involving PK/PD and clinical data on DOACs use in morbidly\nobese patients with VTE or AF, or healthy volunteers., A total of 28 studies were identified. DOAC-specific PK variations and clinical\noutcomes have been observed. Obesity may have a modest effect on PK/PD of\ndabigatran, apixaban, or rivaroxaban. Dabigatran was effective in AF patients\nwith morbid obesity but might increase the risk of gastrointestinal bleeding.\nStandard dosing of apixaban or rivaroxaban is effective and safe for VTE and AF\npatients with morbid obesity. Trough edoxaban concentration and anti-Xa activity\nwere similar in different BMI groups (18.5 to &gt;40 kg/m2), and\nstandard dosing of edoxaban may be effective and safe for AF patients., Current evidence suggests dabigatran should be used with caution in patients with\nAF as it might increase the risk of gastrointestinal bleeding; Standard dosing\nof apixaban or rivaroxaban can be used in VTE or AF patients; Standard dosing of\nedoxaban may be considered in AF patients.","container-title":"Clinical and Applied Thrombosis/Hemostasis","DOI":"10.1177/10760296231153638","ISSN":"1076-0296","journalAbbreviation":"Clin Appl Thromb Hemost","page":"10760296231153638","PMID":"36760080","PMCID":"PMC9943962","source":"PubMed Central","title":"Pharmacokinetics and Dosing Regimens of Direct Oral Anticoagulants in Morbidly Obese Patients: An Updated Literature Review","title-short":"Pharmacokinetics and Dosing Regimens of Direct Oral Anticoagulants in Morbidly Obese Patients","volume":"29","author":[{"family":"Zhao","given":"Ying"},{"family":"Guo","given":"Mingxing"},{"family":"Li","given":"Dandan"},{"family":"Xu","given":"Wanyi"},{"family":"Pan","given":"Chen"},{"family":"He","given":"Chaoran"},{"family":"Cui","given":"Xiangli"}],"issued":{"date-parts":[["2023",2,9]]}}},{"id":70,"uris":["http://zotero.org/users/14784094/items/ZRV23947"],"itemData":{"id":70,"type":"article-journal","abstract":"Patients at extremes of body weight are underrepresented in randomized controlled trials of direct-acting oral anticoagulants (DOACs). Therefore, their optimal anticoagulant treatment remains a topic of debate., The aim of this narrative review is to summarize the evidence on the pharmacokinetic and pharmacodynamic profile of DOACs for treating patients at extremes of body weight in venous thromboembolism (VTE) and in the prevention of cardioembolic stroke in nonvalvular atrial fibrillation (NVAF). A literature search was conducted in the main bibliographic databases, and the most relevant reviews and original articles on the topic were selected., Although data in these patient groups are limited, apixaban and rivaroxaban show a favorable pharmacokinetic and pharmacodynamic profile in obese VTE treatment and NVAF patients and, in the case of apixaban, also in underweight patients. In particular, these drugs demonstrated comparable efficacy and safety to standard therapy. Very few data were available for dabigatran and edoxaban; the latter drug was safer at a lower dose, mainly in underweight patients., \nOur findings are in line with the last International Society of Haemostasis and Thrombosis position paper and European Heart Rhythm Association 2021 practical guide, suggesting the use of apixaban and rivaroxaban in morbidly obese patients (&gt;120 kg or body mass index ≥40 kg/m\n2\n) and the reduced dosage of edoxaban in low-weight patients. Future studies should focus on large populations of patients at extremes of body weights to acquire more clinical and pharmacokinetic evidence on all available DOACs, especially those currently less investigated.","container-title":"TH Open: Companion Journal to Thrombosis and Haemostasis","DOI":"10.1055/s-0043-1776989","ISSN":"2567-3459","issue":"1","journalAbbreviation":"TH Open","page":"e31-e41","PMID":"38197017","PMCID":"PMC10774013","source":"PubMed Central","title":"Direct-Acting Oral Anticoagulants in patients at extremes of body weight: a review of pharmacological considerations and clinical implications","title-short":"Direct-Acting Oral Anticoagulants in patients at extremes of body weight","volume":"8","author":[{"family":"Talerico","given":"Rosa"},{"family":"Pola","given":"Roberto"},{"family":"Klok","given":"Frederikus Albertus"},{"family":"Huisman","given":"Menno Volkert"}],"issued":{"date-parts":[["2024",1,8]]}}}],"schema":"https://github.com/citation-style-language/schema/raw/master/csl-citation.json"}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[188,189]</w:t>
      </w:r>
      <w:r w:rsidR="00346796">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xml:space="preserve">. Эти наблюдения </w:t>
      </w:r>
      <w:r w:rsidR="00346796">
        <w:rPr>
          <w:rFonts w:ascii="Times New Roman" w:hAnsi="Times New Roman" w:cs="Times New Roman"/>
          <w:sz w:val="28"/>
          <w:szCs w:val="28"/>
          <w:lang w:bidi="ar-SA"/>
        </w:rPr>
        <w:t xml:space="preserve">о </w:t>
      </w:r>
      <w:r w:rsidR="00D67F83" w:rsidRPr="00D67F83">
        <w:rPr>
          <w:rFonts w:ascii="Times New Roman" w:hAnsi="Times New Roman" w:cs="Times New Roman"/>
          <w:sz w:val="28"/>
          <w:szCs w:val="28"/>
          <w:lang w:bidi="ar-SA"/>
        </w:rPr>
        <w:t xml:space="preserve">значимом влиянии возраста, клиренса креатинина, массы тела и пола на фармакокинетику </w:t>
      </w:r>
      <w:r w:rsidR="00346796">
        <w:rPr>
          <w:rFonts w:ascii="Times New Roman" w:hAnsi="Times New Roman" w:cs="Times New Roman"/>
          <w:sz w:val="28"/>
          <w:szCs w:val="28"/>
          <w:lang w:bidi="ar-SA"/>
        </w:rPr>
        <w:t>дабигатрана</w:t>
      </w:r>
      <w:r w:rsidR="00D67F83" w:rsidRPr="00D67F83">
        <w:rPr>
          <w:rFonts w:ascii="Times New Roman" w:hAnsi="Times New Roman" w:cs="Times New Roman"/>
          <w:sz w:val="28"/>
          <w:szCs w:val="28"/>
          <w:lang w:bidi="ar-SA"/>
        </w:rPr>
        <w:t xml:space="preserve"> были впоследствии подтверждены в анализе данных крупного исследования </w:t>
      </w:r>
      <w:r w:rsidR="00D67F83">
        <w:rPr>
          <w:rFonts w:ascii="Times New Roman" w:hAnsi="Times New Roman" w:cs="Times New Roman"/>
          <w:sz w:val="28"/>
          <w:szCs w:val="28"/>
          <w:lang w:val="en-US" w:bidi="ar-SA"/>
        </w:rPr>
        <w:t>RE</w:t>
      </w:r>
      <w:r w:rsidR="00D67F83" w:rsidRPr="00D67F83">
        <w:rPr>
          <w:rFonts w:ascii="Times New Roman" w:hAnsi="Times New Roman" w:cs="Times New Roman"/>
          <w:sz w:val="28"/>
          <w:szCs w:val="28"/>
          <w:lang w:bidi="ar-SA"/>
        </w:rPr>
        <w:t>-</w:t>
      </w:r>
      <w:r w:rsidR="00D67F83">
        <w:rPr>
          <w:rFonts w:ascii="Times New Roman" w:hAnsi="Times New Roman" w:cs="Times New Roman"/>
          <w:sz w:val="28"/>
          <w:szCs w:val="28"/>
          <w:lang w:val="en-US" w:bidi="ar-SA"/>
        </w:rPr>
        <w:t>LY</w:t>
      </w:r>
      <w:r w:rsidR="00D67F83" w:rsidRPr="00D67F83">
        <w:rPr>
          <w:rFonts w:ascii="Times New Roman" w:hAnsi="Times New Roman" w:cs="Times New Roman"/>
          <w:sz w:val="28"/>
          <w:szCs w:val="28"/>
          <w:lang w:bidi="ar-SA"/>
        </w:rPr>
        <w:t xml:space="preserve">, проведенного </w:t>
      </w:r>
      <w:r w:rsidR="00D67F83">
        <w:rPr>
          <w:rFonts w:ascii="Times New Roman" w:hAnsi="Times New Roman" w:cs="Times New Roman"/>
          <w:sz w:val="28"/>
          <w:szCs w:val="28"/>
          <w:lang w:val="en-US" w:bidi="ar-SA"/>
        </w:rPr>
        <w:t>Dimatteo</w:t>
      </w:r>
      <w:r w:rsidR="00D67F83" w:rsidRPr="00D67F83">
        <w:rPr>
          <w:rFonts w:ascii="Times New Roman" w:hAnsi="Times New Roman" w:cs="Times New Roman"/>
          <w:sz w:val="28"/>
          <w:szCs w:val="28"/>
          <w:lang w:bidi="ar-SA"/>
        </w:rPr>
        <w:t xml:space="preserve"> в 2016 году</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{"citationID":"YCWZjZ7B","properties":{"unsorted":false,"formattedCitation":"[18]","plainCitation":"[18]","noteIndex":0},"citationItems":[{"id":740,"uris":["http://zotero.org/users/14784094/items/L23HNCYG"],"itemData":{"id":740,"type":"article-journal","abstract":"Introduction: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w:t>
      </w:r>
      <w:r w:rsidR="00346796">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xml:space="preserve">. Характерной особенностью </w:t>
      </w:r>
      <w:r w:rsidR="00346796">
        <w:rPr>
          <w:rFonts w:ascii="Times New Roman" w:hAnsi="Times New Roman" w:cs="Times New Roman"/>
          <w:sz w:val="28"/>
          <w:szCs w:val="28"/>
          <w:lang w:bidi="ar-SA"/>
        </w:rPr>
        <w:t>дабигатрана этексилата</w:t>
      </w:r>
      <w:r w:rsidR="00D67F83" w:rsidRPr="00D67F83">
        <w:rPr>
          <w:rFonts w:ascii="Times New Roman" w:hAnsi="Times New Roman" w:cs="Times New Roman"/>
          <w:sz w:val="28"/>
          <w:szCs w:val="28"/>
          <w:lang w:bidi="ar-SA"/>
        </w:rPr>
        <w:t xml:space="preserve"> является его низкая абсолютная биодоступность</w:t>
      </w:r>
      <w:r w:rsid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составляющая всего 3</w:t>
      </w:r>
      <w:r w:rsid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7%</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{"citationID":"wcPTaudJ","properties":{"unsorted":false,"formattedCitation":"[190]","plainCitation":"[190]","noteIndex":0},"citationItems":[{"id":69,"uris":["http://zotero.org/users/14784094/items/GGVRQY4U"],"itemData":{"id":69,"type":"article-journal","abstract":"Aim\nTo investigate the effect of the P-glycoprotein inhibitor verapamil on the pharmacokinetics and pharmacodynamics of dabigatran etexilate (DE).\n\nMethod\nIn this two part multiple crossover trial in 40 healthy subjects, DE 150 mg was given alone or with verapamil at different doses, duration of treatment (single vs. multiple dosing), formulations, and timings (before, concurrently or after DE). Primary pharmacokinetic endpoints were determined from concentrations of total dabigatran (unconjugated plus conjugated). Pharmacodynamic endpoints were determined from clotting time.\n\nResults\nThe greatest effect was observed with single dose verapamil 120 mg immediate release given 1 h before single dose DE. Geometric mean area under the plasma concentration curve [AUC(0,∞)] and maximum analyte concentration in the plasma (Cmax) were increased by 143% [90% confidence interval (CI) 91, 208] and 179% (90% CI 115, 262), respectively. The effect was reduced to a 71% and 91% increase in AUC and Cmax, respectively, when DE was administered with verapamil 240 mg extended release. After multiple verapamil dosing, DE AUC(0,∞) and Cmax increases were 54% and 63%, respectively. However, DE given 2 h before verapamil increased DE AUC(0,∞) and Cmax by &lt;20%. With regard to clotting prolongation, the dabigatran plasma concentration–effect relationship was generally not affected by the co-administration of verapamil. Concomitant administration of DE and verapamil did not reveal any unexpected safety findings.\n\nConclusion\nVerapamil increased DE bioavailability, likely due to inhibition of P-glycoprotein. Our results suggest that an interaction between verapamil and DE can be minimized if DE is administered 2 h prior to verapamil.","container-title":"British Journal of Clinical Pharmacology","DOI":"10.1111/j.1365-2125.2012.04453.x","ISSN":"0306-5251","issue":"4","journalAbbreviation":"Br J Clin Pharmacol","page":"1053-1062","PMID":"22946890","PMCID":"PMC3612723","source":"PubMed Central","title":"Oral bioavailability of dabigatran etexilate (Pradaxa®) after co-medication with verapamil in healthy subjects","volume":"75","author":[{"family":"Härtter","given":"Sebastian"},{"family":"Sennewald","given":"Regina"},{"family":"Nehmiz","given":"Gerhard"},{"family":"Reilly","given":"Paul"}],"issued":{"date-parts":[["2013",4]]}}}],"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[190]</w:t>
      </w:r>
      <w:r w:rsidR="00346796">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xml:space="preserve">. Значимую роль в этом играет активность </w:t>
      </w:r>
      <w:r w:rsidR="00346796">
        <w:rPr>
          <w:rFonts w:ascii="Times New Roman" w:hAnsi="Times New Roman" w:cs="Times New Roman"/>
          <w:sz w:val="28"/>
          <w:szCs w:val="28"/>
          <w:lang w:val="en-US" w:bidi="ar-SA"/>
        </w:rPr>
        <w:t>P</w:t>
      </w:r>
      <w:r w:rsidR="00346796" w:rsidRP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гликопротеина, кодируемого геном </w:t>
      </w:r>
      <w:r w:rsidR="00346796">
        <w:rPr>
          <w:rFonts w:ascii="Times New Roman" w:hAnsi="Times New Roman" w:cs="Times New Roman"/>
          <w:sz w:val="28"/>
          <w:szCs w:val="28"/>
          <w:lang w:val="en-US" w:bidi="ar-SA"/>
        </w:rPr>
        <w:t>ABCB</w:t>
      </w:r>
      <w:r w:rsidR="00346796" w:rsidRPr="00346796">
        <w:rPr>
          <w:rFonts w:ascii="Times New Roman" w:hAnsi="Times New Roman" w:cs="Times New Roman"/>
          <w:sz w:val="28"/>
          <w:szCs w:val="28"/>
          <w:lang w:bidi="ar-SA"/>
        </w:rPr>
        <w:t>1</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{"citationID":"f4IM1iQe","properties":{"unsorted":false,"formattedCitation":"[191]","plainCitation":"[191]","noteIndex":0},"citationItems":[{"id":572,"uris":["http://zotero.org/users/14784094/items/6ZM8HCKP"],"itemData":{"id":572,"type":"article-journal","abstract":"Dabigatran etexilate (DABE) is a clinical probe substrate for studying drug-drug interaction (DDI) through an intestinal P-glycoprotein (P-gp). A recent in vitro study, however, has suggested a potentially significant involvement of CYP3A-mediated oxidative metabolism of DABE and its intermediate monoester BIBR0951 in DDI following microdose administration of DABE. In this study, the relative significance of CYP3A- and P-gp-mediated pathways to the overall disposition of DABE has been explored using mechanistic physiologically based pharmacokinetic (PBPK) modeling approach. The developed PBPK model linked DABE with its 2 intermediate (BIBR0951 and BIBR1087) and active (dabigatran, DAB) metabolites, and with all relevant drug-specific properties known to date included. The model was successfully qualified against several datasets of DABE single/multiple dose pharmacokinetics and DDIs with CYP3A/P-gp inhibitors. Simulations using the qualified model supported that the intestinal CYP3A-mediated oxidation of BIBR0951, and not the gut P-gp-mediated efflux of DABE, was a key contributing factor to an observed difference in the DDI magnitude following the micro-versus therapeutic doses of DABE with clarithromycin. Both the saturable CYP3A-mediated metabolism of BIBR0951 and the solubility-limited DABE absorption contributed to the relatively modest nonlinearity in DAB exposure observed with increasing doses of DABE. Furthermore, the results suggested a limited role of the gut P-gp, but an appreciable, albeit small, contribution of gut CYP3A in mediating the DDIs following the therapeutic dose of DABE with dual CYP3A/P-gp inhibitors. Thus, a possibility exists for a varying extent of CYP3A involvement when using DABE as a clinical probe in the DDI assessment, across DABE dose levels.","container-title":"Frontiers in Pharmacology","DOI":"10.3389/fphar.2024.1356273","ISSN":"1663-9812","journalAbbreviation":"Front Pharmacol","page":"1356273","PMID":"38515840","PMCID":"PMC10955231","source":"PubMed Central","title":"Assessing the relative contribution of CYP3A-and P-gp-mediated pathways to the overall disposition and drug-drug interaction of dabigatran etexilate using a comprehensive mechanistic physiological-based pharmacokinetic model","volume":"15","author":[{"family":"Udomnilobol","given":"Udomsak"},{"family":"Dunkoksung","given":"Wilasinee"},{"family":"Sakares","given":"Watchara"},{"family":"Jianmongkol","given":"Suree"},{"family":"Prueksaritanont","given":"Thomayant"}],"issued":{"date-parts":[["2024",3,7]]}}}],"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[191]</w:t>
      </w:r>
      <w:r w:rsidR="00346796">
        <w:rPr>
          <w:rFonts w:ascii="Times New Roman" w:hAnsi="Times New Roman" w:cs="Times New Roman"/>
          <w:sz w:val="28"/>
          <w:szCs w:val="28"/>
          <w:lang w:bidi="ar-SA"/>
        </w:rPr>
        <w:fldChar w:fldCharType="end"/>
      </w:r>
      <w:r w:rsidR="00346796" w:rsidRPr="00346796">
        <w:rPr>
          <w:rFonts w:ascii="Times New Roman" w:hAnsi="Times New Roman" w:cs="Times New Roman"/>
          <w:sz w:val="28"/>
          <w:szCs w:val="28"/>
          <w:lang w:bidi="ar-SA"/>
        </w:rPr>
        <w:t xml:space="preserve">. </w:t>
      </w:r>
      <w:r w:rsidR="00346796">
        <w:rPr>
          <w:rFonts w:ascii="Times New Roman" w:hAnsi="Times New Roman" w:cs="Times New Roman"/>
          <w:sz w:val="28"/>
          <w:szCs w:val="28"/>
          <w:lang w:val="en-US" w:bidi="ar-SA"/>
        </w:rPr>
        <w:t>P</w:t>
      </w:r>
      <w:r w:rsidR="00346796" w:rsidRPr="00346796">
        <w:rPr>
          <w:rFonts w:ascii="Times New Roman" w:hAnsi="Times New Roman" w:cs="Times New Roman"/>
          <w:sz w:val="28"/>
          <w:szCs w:val="28"/>
          <w:lang w:bidi="ar-SA"/>
        </w:rPr>
        <w:t>-</w:t>
      </w:r>
      <w:r w:rsidR="00346796">
        <w:rPr>
          <w:rFonts w:ascii="Times New Roman" w:hAnsi="Times New Roman" w:cs="Times New Roman"/>
          <w:sz w:val="28"/>
          <w:szCs w:val="28"/>
          <w:lang w:val="en-US" w:bidi="ar-SA"/>
        </w:rPr>
        <w:t>gp</w:t>
      </w:r>
      <w:r w:rsidR="00346796" w:rsidRPr="00346796">
        <w:rPr>
          <w:rFonts w:ascii="Times New Roman" w:hAnsi="Times New Roman" w:cs="Times New Roman"/>
          <w:sz w:val="28"/>
          <w:szCs w:val="28"/>
          <w:lang w:bidi="ar-SA"/>
        </w:rPr>
        <w:t xml:space="preserve"> </w:t>
      </w:r>
      <w:r w:rsidR="00D67F83" w:rsidRPr="00D67F83">
        <w:rPr>
          <w:rFonts w:ascii="Times New Roman" w:hAnsi="Times New Roman" w:cs="Times New Roman"/>
          <w:sz w:val="28"/>
          <w:szCs w:val="28"/>
          <w:lang w:bidi="ar-SA"/>
        </w:rPr>
        <w:t xml:space="preserve">представляет собой </w:t>
      </w:r>
      <w:r w:rsidR="00346796">
        <w:rPr>
          <w:rFonts w:ascii="Times New Roman" w:hAnsi="Times New Roman" w:cs="Times New Roman"/>
          <w:sz w:val="28"/>
          <w:szCs w:val="28"/>
          <w:lang w:bidi="ar-SA"/>
        </w:rPr>
        <w:t>АТФ-</w:t>
      </w:r>
      <w:r w:rsidR="00D67F83" w:rsidRPr="00D67F83">
        <w:rPr>
          <w:rFonts w:ascii="Times New Roman" w:hAnsi="Times New Roman" w:cs="Times New Roman"/>
          <w:sz w:val="28"/>
          <w:szCs w:val="28"/>
          <w:lang w:bidi="ar-SA"/>
        </w:rPr>
        <w:t>зависимый трансм</w:t>
      </w:r>
      <w:r w:rsidR="00346796">
        <w:rPr>
          <w:rFonts w:ascii="Times New Roman" w:hAnsi="Times New Roman" w:cs="Times New Roman"/>
          <w:sz w:val="28"/>
          <w:szCs w:val="28"/>
          <w:lang w:bidi="ar-SA"/>
        </w:rPr>
        <w:t>ембранный</w:t>
      </w:r>
      <w:r w:rsidR="00D67F83" w:rsidRPr="00D67F83">
        <w:rPr>
          <w:rFonts w:ascii="Times New Roman" w:hAnsi="Times New Roman" w:cs="Times New Roman"/>
          <w:sz w:val="28"/>
          <w:szCs w:val="28"/>
          <w:lang w:bidi="ar-SA"/>
        </w:rPr>
        <w:t xml:space="preserve"> транспортный белок</w:t>
      </w:r>
      <w:r w:rsid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функционирующий как </w:t>
      </w:r>
      <w:r w:rsidR="00346796">
        <w:rPr>
          <w:rFonts w:ascii="Times New Roman" w:hAnsi="Times New Roman" w:cs="Times New Roman"/>
          <w:sz w:val="28"/>
          <w:szCs w:val="28"/>
          <w:lang w:bidi="ar-SA"/>
        </w:rPr>
        <w:t>эффлюксный</w:t>
      </w:r>
      <w:r w:rsidR="00D67F83" w:rsidRPr="00D67F83">
        <w:rPr>
          <w:rFonts w:ascii="Times New Roman" w:hAnsi="Times New Roman" w:cs="Times New Roman"/>
          <w:sz w:val="28"/>
          <w:szCs w:val="28"/>
          <w:lang w:bidi="ar-SA"/>
        </w:rPr>
        <w:t xml:space="preserve"> насос, которы</w:t>
      </w:r>
      <w:r w:rsidR="00346796">
        <w:rPr>
          <w:rFonts w:ascii="Times New Roman" w:hAnsi="Times New Roman" w:cs="Times New Roman"/>
          <w:sz w:val="28"/>
          <w:szCs w:val="28"/>
          <w:lang w:bidi="ar-SA"/>
        </w:rPr>
        <w:t>й</w:t>
      </w:r>
      <w:r w:rsidR="00D67F83" w:rsidRPr="00D67F83">
        <w:rPr>
          <w:rFonts w:ascii="Times New Roman" w:hAnsi="Times New Roman" w:cs="Times New Roman"/>
          <w:sz w:val="28"/>
          <w:szCs w:val="28"/>
          <w:lang w:bidi="ar-SA"/>
        </w:rPr>
        <w:t xml:space="preserve"> активно выводит субстраты (включая </w:t>
      </w:r>
      <w:r w:rsidR="00346796">
        <w:rPr>
          <w:rFonts w:ascii="Times New Roman" w:hAnsi="Times New Roman" w:cs="Times New Roman"/>
          <w:sz w:val="28"/>
          <w:szCs w:val="28"/>
          <w:lang w:bidi="ar-SA"/>
        </w:rPr>
        <w:t>дабигатрана этексилат)</w:t>
      </w:r>
      <w:r w:rsidR="00D67F83" w:rsidRPr="00D67F83">
        <w:rPr>
          <w:rFonts w:ascii="Times New Roman" w:hAnsi="Times New Roman" w:cs="Times New Roman"/>
          <w:sz w:val="28"/>
          <w:szCs w:val="28"/>
          <w:lang w:bidi="ar-SA"/>
        </w:rPr>
        <w:t xml:space="preserve"> из клеток слизистой оболочки кишечника обратно в просвет кишки, а также способствует их выведению через печень и почки</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sosj7r4x","properties":{"unsorted":false,"formattedCitation":"[192,193]","plainCitation":"[192,193]","noteIndex":0},"citationItems":[{"id":66,"uris":["http://zotero.org/users/14784094/items/WLSVKB7H"],"itemData":{"id":66,"type":"article-journal","abstract":"P-glycoprotein (P-gp) is an ATP-dependent efflux pump encoded by the MDR1 gene in humans, known to mediate multidrug resistance of neoplastic cells to cancer therapy. For several decades, P-gp inhibition has drawn many significant research efforts in an attempt to overcome this phenomenon. However, P-gp is also constitutively expressed in normal human epithelial tissues and, due to its broad substrate specificity, to its cellular polarized expression in many excretory and barrier tissues, and to its great efflux capacity, it can play a crucial role in limiting the absorption and distribution of harmful xenobiotics, by decreasing their intracellular accumulation. Such a defense mechanism can be of particular relevance at the intestinal level, by significantly reducing the intestinal absorption of the xenobiotic and, consequently, avoiding its access to the target organs. In this review, the current knowledge on this important efflux pump is summarized, and a new focus is brought on the therapeutic interest of inducing and/or activating P-gp for limiting the toxicity caused by its substrates. Several in vivo and in vitro studies validating the use of such a therapeutic strategy are discussed. An extensive literature search for reported P-gp inducers/activators and for the experimental models used in their characterization was conducted. Those studies demonstrate that effective antidotal pathways can be achieved by efficiently promoting the P-gp-mediated efflux of deleterious xenobiotics, resulting in a significant reduction in their intracellular levels and, consequently, in a significant reduction of their toxicity.","container-title":"Pharmacology &amp; Therapeutics","DOI":"10.1016/j.pharmthera.2014.11.013","ISSN":"1879-016X","journalAbbreviation":"Pharmacol Ther","language":"eng","page":"1-123","PMID":"25435018","source":"PubMed","title":"Modulation of P-glycoprotein efflux pump: induction and activation as a therapeutic strategy","title-short":"Modulation of P-glycoprotein efflux pump","volume":"149","author":[{"family":"Silva","given":"Renata"},{"family":"Vilas-Boas","given":"Vânia"},{"family":"Carmo","given":"Helena"},{"family":"Dinis-Oliveira","given":"Ricardo Jorge"},{"family":"Carvalho","given":"Félix"},{"family":"Lourdes Bastos","given":"Maria","non-dropping-particle":"de"},{"family":"Remião","given":"Fernando"}],"issued":{"date-parts":[["2015",5]]}}},{"id":67,"uris":["http://zotero.org/users/14784094/items/778ZJBEA"],"itemData":{"id":67,"type":"article-journal","abstract":"P-glycoprotein (P-gp) is an ATP-dependent drug pump that can transport a broad range of hydrophobic compounds out of the cell. The protein is clinically important because of its contribution to the phenomenon of multidrug resistance during AIDS/HIV and cancer chemotherapy. P-gp is a member of the ATP-binding cassette (ABC) family of proteins. It is a single polypeptide that contains two repeats joined by a linker region. Each repeat has a transmembrane domain consisting of six transmembrane segments followed by a hydrophilic domain containing the nucleotide-binding domain. In this mini-review, we discuss recent progress in determining the structure and mechanism of human P-glycoprotein.","container-title":"The Journal of Membrane Biology","DOI":"10.1007/s00232-005-0792-1","ISSN":"0022-2631","issue":"3","journalAbbreviation":"J Membr Biol","language":"eng","page":"173-185","PMID":"16456713","source":"PubMed","title":"Recent progress in understanding the mechanism of P-glycoprotein-mediated drug efflux","volume":"206","author":[{"family":"Loo","given":"T. W."},{"family":"Clarke","given":"D. M."}],"issued":{"date-parts":[["2005",8]]}}}],"schema":"https://github.com/citation-style-language/schema/raw/master/csl-citation.json"}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[192,193]</w:t>
      </w:r>
      <w:r w:rsidR="00346796">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xml:space="preserve">. Это ключевая роль </w:t>
      </w:r>
      <w:r w:rsidR="00346796">
        <w:rPr>
          <w:rFonts w:ascii="Times New Roman" w:hAnsi="Times New Roman" w:cs="Times New Roman"/>
          <w:sz w:val="28"/>
          <w:szCs w:val="28"/>
          <w:lang w:val="en-US" w:bidi="ar-SA"/>
        </w:rPr>
        <w:t>P</w:t>
      </w:r>
      <w:r w:rsidR="00346796" w:rsidRPr="00346796">
        <w:rPr>
          <w:rFonts w:ascii="Times New Roman" w:hAnsi="Times New Roman" w:cs="Times New Roman"/>
          <w:sz w:val="28"/>
          <w:szCs w:val="28"/>
          <w:lang w:bidi="ar-SA"/>
        </w:rPr>
        <w:t>-</w:t>
      </w:r>
      <w:r w:rsidR="00346796">
        <w:rPr>
          <w:rFonts w:ascii="Times New Roman" w:hAnsi="Times New Roman" w:cs="Times New Roman"/>
          <w:sz w:val="28"/>
          <w:szCs w:val="28"/>
          <w:lang w:val="en-US" w:bidi="ar-SA"/>
        </w:rPr>
        <w:t>gp</w:t>
      </w:r>
      <w:r w:rsidR="00346796" w:rsidRPr="00346796">
        <w:rPr>
          <w:rFonts w:ascii="Times New Roman" w:hAnsi="Times New Roman" w:cs="Times New Roman"/>
          <w:sz w:val="28"/>
          <w:szCs w:val="28"/>
          <w:lang w:bidi="ar-SA"/>
        </w:rPr>
        <w:t xml:space="preserve"> </w:t>
      </w:r>
      <w:r w:rsidR="00D67F83" w:rsidRPr="00D67F83">
        <w:rPr>
          <w:rFonts w:ascii="Times New Roman" w:hAnsi="Times New Roman" w:cs="Times New Roman"/>
          <w:sz w:val="28"/>
          <w:szCs w:val="28"/>
          <w:lang w:bidi="ar-SA"/>
        </w:rPr>
        <w:t>обуславливает высокий потенциал клинически значимых лекарственных взаимодействий</w:t>
      </w:r>
      <w:r w:rsidR="00346796">
        <w:rPr>
          <w:rFonts w:ascii="Times New Roman" w:hAnsi="Times New Roman" w:cs="Times New Roman"/>
          <w:sz w:val="28"/>
          <w:szCs w:val="28"/>
          <w:lang w:bidi="ar-SA"/>
        </w:rPr>
        <w:t xml:space="preserve"> дабигатрана</w:t>
      </w:r>
      <w:r w:rsidR="00D67F83" w:rsidRPr="00D67F83">
        <w:rPr>
          <w:rFonts w:ascii="Times New Roman" w:hAnsi="Times New Roman" w:cs="Times New Roman"/>
          <w:sz w:val="28"/>
          <w:szCs w:val="28"/>
          <w:lang w:bidi="ar-SA"/>
        </w:rPr>
        <w:t xml:space="preserve"> с ингибиторами и индукторами данного транспортера</w:t>
      </w:r>
      <w:r w:rsidR="0034679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vL8pghkF","properties":{"unsorted":false,"formattedCitation":"[194]","plainCitation":"[194]","noteIndex":0},"citationItems":[{"id":65,"uris":["http://zotero.org/users/14784094/items/ARASRG2H"],"itemData":{"id":65,"type":"article-journal","container-title":"Clinical Pharmacokinetics","DOI":"10.1007/s40262-025-01514-3","ISSN":"0312-5963, 1179-1926","journalAbbreviation":"Clin Pharmacokinet","language":"en","source":"DOI.org (Crossref)","title":"A Systematic Review and Classification of the Effects of P-glycoprotein Inhibitors and Inducers in Humans, Using Digoxin, Fexofenadine, and Dabigatran as Probe Drugs","URL":"https://link.springer.com/10.1007/s40262-025-01514-3","author":[{"family":"Coumau","given":"Claire"},{"family":"Csajka","given":"Chantal"}],"accessed":{"date-parts":[["2025",6,10]]},"issued":{"date-parts":[["2025",5,11]]}}}],"schema":"https://github.com/citation-style-language/schema/raw/master/csl-citation.json"} </w:instrText>
      </w:r>
      <w:r w:rsidR="0034679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[194]</w:t>
      </w:r>
      <w:r w:rsidR="00346796">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Сочетанн</w:t>
      </w:r>
      <w:r w:rsidR="00346796">
        <w:rPr>
          <w:rFonts w:ascii="Times New Roman" w:hAnsi="Times New Roman" w:cs="Times New Roman"/>
          <w:sz w:val="28"/>
          <w:szCs w:val="28"/>
          <w:lang w:bidi="ar-SA"/>
        </w:rPr>
        <w:t>о</w:t>
      </w:r>
      <w:r w:rsidR="00D67F83" w:rsidRPr="00D67F83">
        <w:rPr>
          <w:rFonts w:ascii="Times New Roman" w:hAnsi="Times New Roman" w:cs="Times New Roman"/>
          <w:sz w:val="28"/>
          <w:szCs w:val="28"/>
          <w:lang w:bidi="ar-SA"/>
        </w:rPr>
        <w:t>е применени</w:t>
      </w:r>
      <w:r w:rsidR="00346796">
        <w:rPr>
          <w:rFonts w:ascii="Times New Roman" w:hAnsi="Times New Roman" w:cs="Times New Roman"/>
          <w:sz w:val="28"/>
          <w:szCs w:val="28"/>
          <w:lang w:bidi="ar-SA"/>
        </w:rPr>
        <w:t>е</w:t>
      </w:r>
      <w:r w:rsidR="00D67F83" w:rsidRPr="00D67F83">
        <w:rPr>
          <w:rFonts w:ascii="Times New Roman" w:hAnsi="Times New Roman" w:cs="Times New Roman"/>
          <w:sz w:val="28"/>
          <w:szCs w:val="28"/>
          <w:lang w:bidi="ar-SA"/>
        </w:rPr>
        <w:t xml:space="preserve"> </w:t>
      </w:r>
      <w:r w:rsidR="00346796">
        <w:rPr>
          <w:rFonts w:ascii="Times New Roman" w:hAnsi="Times New Roman" w:cs="Times New Roman"/>
          <w:sz w:val="28"/>
          <w:szCs w:val="28"/>
          <w:lang w:bidi="ar-SA"/>
        </w:rPr>
        <w:t>дабигатрана</w:t>
      </w:r>
      <w:r w:rsidR="00D67F83" w:rsidRPr="00D67F83">
        <w:rPr>
          <w:rFonts w:ascii="Times New Roman" w:hAnsi="Times New Roman" w:cs="Times New Roman"/>
          <w:sz w:val="28"/>
          <w:szCs w:val="28"/>
          <w:lang w:bidi="ar-SA"/>
        </w:rPr>
        <w:t xml:space="preserve"> с мощными ингибиторами </w:t>
      </w:r>
      <w:r w:rsidR="00D67F83">
        <w:rPr>
          <w:rFonts w:ascii="Times New Roman" w:hAnsi="Times New Roman" w:cs="Times New Roman"/>
          <w:sz w:val="28"/>
          <w:szCs w:val="28"/>
          <w:lang w:val="en-US" w:bidi="ar-SA"/>
        </w:rPr>
        <w:t>P</w:t>
      </w:r>
      <w:r w:rsidR="00D67F83" w:rsidRPr="00D67F83">
        <w:rPr>
          <w:rFonts w:ascii="Times New Roman" w:hAnsi="Times New Roman" w:cs="Times New Roman"/>
          <w:sz w:val="28"/>
          <w:szCs w:val="28"/>
          <w:lang w:bidi="ar-SA"/>
        </w:rPr>
        <w:t>-</w:t>
      </w:r>
      <w:r w:rsidR="00D67F83">
        <w:rPr>
          <w:rFonts w:ascii="Times New Roman" w:hAnsi="Times New Roman" w:cs="Times New Roman"/>
          <w:sz w:val="28"/>
          <w:szCs w:val="28"/>
          <w:lang w:val="en-US" w:bidi="ar-SA"/>
        </w:rPr>
        <w:t>gp</w:t>
      </w:r>
      <w:r w:rsidR="00D67F83" w:rsidRPr="00D67F83">
        <w:rPr>
          <w:rFonts w:ascii="Times New Roman" w:hAnsi="Times New Roman" w:cs="Times New Roman"/>
          <w:sz w:val="28"/>
          <w:szCs w:val="28"/>
          <w:lang w:bidi="ar-SA"/>
        </w:rPr>
        <w:t xml:space="preserve"> (такими как верапамил</w:t>
      </w:r>
      <w:r w:rsid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никардипин</w:t>
      </w:r>
      <w:r w:rsidR="00346796">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карведилол, амиодарон, кетоконазол, </w:t>
      </w:r>
      <w:r w:rsidR="00CB7AE0">
        <w:rPr>
          <w:rFonts w:ascii="Times New Roman" w:hAnsi="Times New Roman" w:cs="Times New Roman"/>
          <w:sz w:val="28"/>
          <w:szCs w:val="28"/>
          <w:lang w:bidi="ar-SA"/>
        </w:rPr>
        <w:t>дронедарон</w:t>
      </w:r>
      <w:r w:rsidR="00D67F83" w:rsidRPr="00D67F83">
        <w:rPr>
          <w:rFonts w:ascii="Times New Roman" w:hAnsi="Times New Roman" w:cs="Times New Roman"/>
          <w:sz w:val="28"/>
          <w:szCs w:val="28"/>
          <w:lang w:bidi="ar-SA"/>
        </w:rPr>
        <w:t xml:space="preserve">) приводит к подавлению </w:t>
      </w:r>
      <w:r w:rsidR="00CB7AE0">
        <w:rPr>
          <w:rFonts w:ascii="Times New Roman" w:hAnsi="Times New Roman" w:cs="Times New Roman"/>
          <w:sz w:val="28"/>
          <w:szCs w:val="28"/>
          <w:lang w:bidi="ar-SA"/>
        </w:rPr>
        <w:t xml:space="preserve">эффлюкса </w:t>
      </w:r>
      <w:r w:rsidR="00D67F83" w:rsidRPr="00D67F83">
        <w:rPr>
          <w:rFonts w:ascii="Times New Roman" w:hAnsi="Times New Roman" w:cs="Times New Roman"/>
          <w:sz w:val="28"/>
          <w:szCs w:val="28"/>
          <w:lang w:bidi="ar-SA"/>
        </w:rPr>
        <w:t>препарата</w:t>
      </w:r>
      <w:r w:rsidR="00CB7AE0">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что клинически проявляется увеличением его системной экспозиции (</w:t>
      </w:r>
      <w:r w:rsidR="00D67F83">
        <w:rPr>
          <w:rFonts w:ascii="Times New Roman" w:hAnsi="Times New Roman" w:cs="Times New Roman"/>
          <w:sz w:val="28"/>
          <w:szCs w:val="28"/>
          <w:lang w:val="en-US" w:bidi="ar-SA"/>
        </w:rPr>
        <w:t>AUC</w:t>
      </w:r>
      <w:r w:rsidR="00D67F83" w:rsidRPr="00D67F83">
        <w:rPr>
          <w:rFonts w:ascii="Times New Roman" w:hAnsi="Times New Roman" w:cs="Times New Roman"/>
          <w:sz w:val="28"/>
          <w:szCs w:val="28"/>
          <w:lang w:bidi="ar-SA"/>
        </w:rPr>
        <w:t xml:space="preserve"> </w:t>
      </w:r>
      <w:r w:rsidR="00D67F83">
        <w:rPr>
          <w:rFonts w:ascii="Times New Roman" w:hAnsi="Times New Roman" w:cs="Times New Roman"/>
          <w:sz w:val="28"/>
          <w:szCs w:val="28"/>
          <w:lang w:bidi="ar-SA"/>
        </w:rPr>
        <w:t xml:space="preserve">и </w:t>
      </w:r>
      <w:r w:rsidR="00D67F83">
        <w:rPr>
          <w:rFonts w:ascii="Times New Roman" w:hAnsi="Times New Roman" w:cs="Times New Roman"/>
          <w:sz w:val="28"/>
          <w:szCs w:val="28"/>
          <w:lang w:val="en-US" w:bidi="ar-SA"/>
        </w:rPr>
        <w:t>C</w:t>
      </w:r>
      <w:r w:rsidR="00D67F83" w:rsidRPr="00E2467A">
        <w:rPr>
          <w:rFonts w:ascii="Times New Roman" w:hAnsi="Times New Roman" w:cs="Times New Roman"/>
          <w:sz w:val="28"/>
          <w:szCs w:val="28"/>
          <w:vertAlign w:val="subscript"/>
          <w:lang w:val="en-US" w:bidi="ar-SA"/>
        </w:rPr>
        <w:t>max</w:t>
      </w:r>
      <w:r w:rsidR="00D67F83" w:rsidRPr="00D67F83">
        <w:rPr>
          <w:rFonts w:ascii="Times New Roman" w:hAnsi="Times New Roman" w:cs="Times New Roman"/>
          <w:sz w:val="28"/>
          <w:szCs w:val="28"/>
          <w:lang w:bidi="ar-SA"/>
        </w:rPr>
        <w:t>) и повышает риск развития нежелательных явлений</w:t>
      </w:r>
      <w:r w:rsidR="00CB7AE0">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прежде всего кровотечений</w:t>
      </w:r>
      <w:r w:rsidR="00CB7AE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zrcMwdp","properties":{"unsorted":false,"formattedCitation":"[59,178,195]","plainCitation":"[59,178,195]","noteIndex":0},"citationItems":[{"id":665,"uris":["http://zotero.org/users/14784094/items/GQWCRYSU"],"itemData":{"id":665,"type":"article-journal","abstract":"Background Warfarin reduces the risk of stroke in patients with atrial fibrillation but increases the risk of hemorrhage and is difficult to use. Dabigatran is a new oral direct thrombin inhibitor.\nMethods In this noninferiority trial, we randomly assigned 18,113 patients who had atrial fibrillation and a risk of stroke to receive, in a blinded fashion, fixed doses of dabigatran — 110 mg or 150 mg twice daily — or, in an unblinded fashion, adjusted-dose warfarin. The median duration of the follow-up period was 2.0 years. The primary outcome was stroke or systemic embolism.\nResults Rates of the primary outcome were 1.69% per year in the warfarin group, as compared with 1.53% per year in the group that received 110 mg of dabigatran (relative risk with dabigatran, 0.91; 95% confidence interval [CI], 0.74 to 1.11; P&lt;0.001 for noninferiority) and 1.11% per year in the group that received 150 mg of dabigatran (relative risk, 0.66; 95% CI, 0.53 to 0.82; P&lt;0.001 for superiority). The rate of major bleeding was 3.36% per year in the warfarin group, as compared with 2.71% per year in the group receiving 110 mg of dabigatran (P = 0.003) and 3.11% per year in the group receiving 150 mg of dabigatran (P = 0.31). The rate of hemorrhagic stroke was 0.38% per year in the warfarin group, as compared with 0.12% per year with 110 mg of dabigatran (P&lt;0.001) and 0.10% per year with 150 mg of dabigatran (P&lt;0.001). The mortality rate was 4.13% per year in the warfarin group, as compared with 3.75% per year with 110 mg of dabigatran (P = 0.13) and 3.64% per year with 150 mg of dabigatran (P = 0.051).\nConclusions In patients with atrial fibrillation, dabigatran given at a dose of 110 mg was associated with rates of stroke and systemic embolism that were similar to those associated with warfarin, as well as lower rates of major hemorrhage. Dabigatran administered at a dose of 150 mg, as compared with warfarin, was associated with lower rates of stroke and systemic embolism but similar rates of major hemorrhage. (ClinicalTrials.gov number, NCT00262600.)","container-title":"New England Journal of Medicine","DOI":"10.1056/NEJMoa0905561","ISSN":"0028-4793, 1533-4406","issue":"12","journalAbbreviation":"N Engl J Med","language":"en","page":"1139-1151","source":"DOI.org (Crossref)","title":"Dabigatran versus Warfarin in Patients with Atrial Fibrillation","volume":"361","author":[{"family":"Connolly","given":"Stuart J."},{"family":"Ezekowitz","given":"Michael D."},{"family":"Yusuf","given":"Salim"},{"family":"Eikelboom","given":"John"},{"family":"Oldgren","given":"Jonas"},{"family":"Parekh","given":"Amit"},{"family":"Pogue","given":"Janice"},{"family":"Reilly","given":"Paul A."},{"family":"Themeles","given":"Ellison"},{"family":"Varrone","given":"Jeanne"},{"family":"Wang","given":"Susan"},{"family":"Alings","given":"Marco"},{"family":"Xavier","given":"Denis"},{"family":"Zhu","given":"Jun"},{"family":"Diaz","given":"Rafael"},{"family":"Lewis","given":"Basil S."},{"family":"Darius","given":"Harald"},{"family":"Diener","given":"Hans-Christoph"},{"family":"Joyner","given":"Campbell D."},{"family":"Wallentin","given":"Lars"}],"issued":{"date-parts":[["2009",9,17]]}}},{"id":88,"uris":["http://zotero.org/users/14784094/items/6M98XTF9"],"itemData":{"id":88,"type":"article-journal","abstract":"Dabigatran etexilate represents the first synthetic oral, reversible, direct inhibitor of thrombin with a very favorable biochemical and pharmacological profile that translates into clinical efficacy and safety. The increasing amount of clinical data being obtained with dabigatran etexilate shows promise in introducing a new era in oral anticoagulation. Eventually, this may result in the replacement of vitamin K antagonists with a newer, safer, more convenient, and reliable anticoagulation by direct thrombin inhibition.","container-title":"Arteriosclerosis, Thrombosis, and Vascular Biology","DOI":"10.1161/ATVBAHA.110.203604","ISSN":"1079-5642, 1524-4636","issue":"10","journalAbbreviation":"ATVB","language":"en","page":"1885-1889","source":"DOI.org (Crossref)","title":"Dabigatran: An Oral Novel Potent Reversible Nonpeptide Inhibitor of Thrombin","title-short":"Dabigatran","volume":"30","author":[{"family":"Eisert","given":"Wolfgang G."},{"family":"Hauel","given":"Norbert"},{"family":"Stangier","given":"Joachim"},{"family":"Wienen","given":"Wolfgang"},{"family":"Clemens","given":"Andreas"},{"family":"Van Ryn","given":"Joanne"}],"issued":{"date-parts":[["2010",10]]}}},{"id":676,"uris":["http://zotero.org/users/14784094/items/9NMYIVLT"],"itemData":{"id":676,"type":"article-journal","abstract":"The impact of moderate hepatic impairment on the pharmacokinetics (PK) and pharmacodynamics (PD) of dabigatran etexilate was evaluated in an open, parallel‐group study. Healthy volunteers (n = 12) and patients with hepatic impairment (Child‐Pugh classification B; n = 12) received a single oral dose of 150 mg dabigatran etexilate. The mean values for area under the concentration‐time curve, terminal half‐life, and renal clearance of dabigatran were comparable between patients with hepatic impairment and healthy volunteers. Conversion of the dabigatran intermediate BIBR1087 to active dabigatran was slower in patients with hepatic impairment, indicating that the liver is partly involved in bioconversion of dabigatran etexilate. However, total drug exposure was comparable between groups; therefore, this observation is of no clinical relevance with respect to the anticoagulant activity of dabigatran. The extent of dabigatran glucuronidation was unchanged by liver disease; glucuronidation capacity was maintained in moderate liver disease. The activated partial thromboplastin time, ecarin clotting time, and thrombin time relationships were essentially identical in both groups. This study shows that moderate hepatic impairment does not affect the PK/PD or safety profile of dabigatran. Therefore, patients with moderate hepatic impairment can be given dabigatran etexilate without the need for dose adjustment.","container-title":"The Journal of Clinical Pharmacology","DOI":"10.1177/0091270008324179","ISSN":"0091-2700, 1552-4604","issue":"12","journalAbbreviation":"The Journal of Clinical Pharma","language":"en","license":"http://onlinelibrary.wiley.com/termsAndConditions#vor","page":"1411-1419","source":"DOI.org (Crossref)","title":"Pharmacokinetics and Pharmacodynamics of Dabigatran Etexilate, an Oral Direct Thrombin Inhibitor, Are Not Affected by Moderate Hepatic Impairment","volume":"48","author":[{"family":"Stangier","given":"Joachim"},{"family":"Stähle","given":"Hildegard"},{"family":"Rathgen","given":"Karin"},{"family":"Roth","given":"Willy"},{"family":"Shakeri‐Nejad","given":"Kasra"}],"issued":{"date-parts":[["2008",12]]}}}],"schema":"https://github.com/citation-style-language/schema/raw/master/csl-citation.json"} </w:instrText>
      </w:r>
      <w:r w:rsidR="00CB7AE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[59,178,195]</w:t>
      </w:r>
      <w:r w:rsidR="00CB7AE0">
        <w:rPr>
          <w:rFonts w:ascii="Times New Roman" w:hAnsi="Times New Roman" w:cs="Times New Roman"/>
          <w:sz w:val="28"/>
          <w:szCs w:val="28"/>
          <w:lang w:bidi="ar-SA"/>
        </w:rPr>
        <w:fldChar w:fldCharType="end"/>
      </w:r>
      <w:r w:rsidR="00D67F83" w:rsidRPr="00D67F83">
        <w:rPr>
          <w:rFonts w:ascii="Times New Roman" w:hAnsi="Times New Roman" w:cs="Times New Roman"/>
          <w:sz w:val="28"/>
          <w:szCs w:val="28"/>
          <w:lang w:bidi="ar-SA"/>
        </w:rPr>
        <w:t xml:space="preserve">. Исследование </w:t>
      </w:r>
      <w:r w:rsidR="00D67F83">
        <w:rPr>
          <w:rFonts w:ascii="Times New Roman" w:hAnsi="Times New Roman" w:cs="Times New Roman"/>
          <w:sz w:val="28"/>
          <w:szCs w:val="28"/>
          <w:lang w:val="en-US" w:bidi="ar-SA"/>
        </w:rPr>
        <w:t>Bernier</w:t>
      </w:r>
      <w:r w:rsidR="00D67F83" w:rsidRPr="00D67F83">
        <w:rPr>
          <w:rFonts w:ascii="Times New Roman" w:hAnsi="Times New Roman" w:cs="Times New Roman"/>
          <w:sz w:val="28"/>
          <w:szCs w:val="28"/>
          <w:lang w:bidi="ar-SA"/>
        </w:rPr>
        <w:t xml:space="preserve"> и соавторов (2019) показал</w:t>
      </w:r>
      <w:r w:rsidR="00CB7AE0">
        <w:rPr>
          <w:rFonts w:ascii="Times New Roman" w:hAnsi="Times New Roman" w:cs="Times New Roman"/>
          <w:sz w:val="28"/>
          <w:szCs w:val="28"/>
          <w:lang w:bidi="ar-SA"/>
        </w:rPr>
        <w:t>о</w:t>
      </w:r>
      <w:r w:rsidR="00D67F83" w:rsidRPr="00D67F83">
        <w:rPr>
          <w:rFonts w:ascii="Times New Roman" w:hAnsi="Times New Roman" w:cs="Times New Roman"/>
          <w:sz w:val="28"/>
          <w:szCs w:val="28"/>
          <w:lang w:bidi="ar-SA"/>
        </w:rPr>
        <w:t>, что ч</w:t>
      </w:r>
      <w:r w:rsidR="00CB7AE0">
        <w:rPr>
          <w:rFonts w:ascii="Times New Roman" w:hAnsi="Times New Roman" w:cs="Times New Roman"/>
          <w:sz w:val="28"/>
          <w:szCs w:val="28"/>
          <w:lang w:bidi="ar-SA"/>
        </w:rPr>
        <w:t>а</w:t>
      </w:r>
      <w:r w:rsidR="00D67F83" w:rsidRPr="00D67F83">
        <w:rPr>
          <w:rFonts w:ascii="Times New Roman" w:hAnsi="Times New Roman" w:cs="Times New Roman"/>
          <w:sz w:val="28"/>
          <w:szCs w:val="28"/>
          <w:lang w:bidi="ar-SA"/>
        </w:rPr>
        <w:t>стота кровотечени</w:t>
      </w:r>
      <w:r w:rsidR="00CB7AE0">
        <w:rPr>
          <w:rFonts w:ascii="Times New Roman" w:hAnsi="Times New Roman" w:cs="Times New Roman"/>
          <w:sz w:val="28"/>
          <w:szCs w:val="28"/>
          <w:lang w:bidi="ar-SA"/>
        </w:rPr>
        <w:t>й</w:t>
      </w:r>
      <w:r w:rsidR="00D67F83" w:rsidRPr="00D67F83">
        <w:rPr>
          <w:rFonts w:ascii="Times New Roman" w:hAnsi="Times New Roman" w:cs="Times New Roman"/>
          <w:sz w:val="28"/>
          <w:szCs w:val="28"/>
          <w:lang w:bidi="ar-SA"/>
        </w:rPr>
        <w:t xml:space="preserve"> достигала 3</w:t>
      </w:r>
      <w:r w:rsidR="00CB7AE0">
        <w:rPr>
          <w:rFonts w:ascii="Times New Roman" w:hAnsi="Times New Roman" w:cs="Times New Roman"/>
          <w:sz w:val="28"/>
          <w:szCs w:val="28"/>
          <w:lang w:bidi="ar-SA"/>
        </w:rPr>
        <w:t>0,</w:t>
      </w:r>
      <w:r w:rsidR="00D67F83" w:rsidRPr="00D67F83">
        <w:rPr>
          <w:rFonts w:ascii="Times New Roman" w:hAnsi="Times New Roman" w:cs="Times New Roman"/>
          <w:sz w:val="28"/>
          <w:szCs w:val="28"/>
          <w:lang w:bidi="ar-SA"/>
        </w:rPr>
        <w:t>4</w:t>
      </w:r>
      <w:r w:rsidR="00CB7AE0">
        <w:rPr>
          <w:rFonts w:ascii="Times New Roman" w:hAnsi="Times New Roman" w:cs="Times New Roman"/>
          <w:sz w:val="28"/>
          <w:szCs w:val="28"/>
          <w:lang w:bidi="ar-SA"/>
        </w:rPr>
        <w:t xml:space="preserve">% </w:t>
      </w:r>
      <w:r w:rsidR="00D67F83" w:rsidRPr="00D67F83">
        <w:rPr>
          <w:rFonts w:ascii="Times New Roman" w:hAnsi="Times New Roman" w:cs="Times New Roman"/>
          <w:sz w:val="28"/>
          <w:szCs w:val="28"/>
          <w:lang w:bidi="ar-SA"/>
        </w:rPr>
        <w:t>среди пациентов</w:t>
      </w:r>
      <w:r w:rsidR="00CB7AE0">
        <w:rPr>
          <w:rFonts w:ascii="Times New Roman" w:hAnsi="Times New Roman" w:cs="Times New Roman"/>
          <w:sz w:val="28"/>
          <w:szCs w:val="28"/>
          <w:lang w:bidi="ar-SA"/>
        </w:rPr>
        <w:t>,</w:t>
      </w:r>
      <w:r w:rsidR="00D67F83" w:rsidRPr="00D67F83">
        <w:rPr>
          <w:rFonts w:ascii="Times New Roman" w:hAnsi="Times New Roman" w:cs="Times New Roman"/>
          <w:sz w:val="28"/>
          <w:szCs w:val="28"/>
          <w:lang w:bidi="ar-SA"/>
        </w:rPr>
        <w:t xml:space="preserve"> одновременно принимавших </w:t>
      </w:r>
      <w:r w:rsidR="00CB7AE0">
        <w:rPr>
          <w:rFonts w:ascii="Times New Roman" w:hAnsi="Times New Roman" w:cs="Times New Roman"/>
          <w:sz w:val="28"/>
          <w:szCs w:val="28"/>
          <w:lang w:bidi="ar-SA"/>
        </w:rPr>
        <w:t>дабигатран</w:t>
      </w:r>
      <w:r w:rsidR="00D67F83" w:rsidRPr="00D67F83">
        <w:rPr>
          <w:rFonts w:ascii="Times New Roman" w:hAnsi="Times New Roman" w:cs="Times New Roman"/>
          <w:sz w:val="28"/>
          <w:szCs w:val="28"/>
          <w:lang w:bidi="ar-SA"/>
        </w:rPr>
        <w:t xml:space="preserve"> и ингибиторы </w:t>
      </w:r>
      <w:r w:rsidR="00D67F83">
        <w:rPr>
          <w:rFonts w:ascii="Times New Roman" w:hAnsi="Times New Roman" w:cs="Times New Roman"/>
          <w:sz w:val="28"/>
          <w:szCs w:val="28"/>
          <w:lang w:val="en-US" w:bidi="ar-SA"/>
        </w:rPr>
        <w:t>P</w:t>
      </w:r>
      <w:r w:rsidR="00D67F83" w:rsidRPr="00D67F83">
        <w:rPr>
          <w:rFonts w:ascii="Times New Roman" w:hAnsi="Times New Roman" w:cs="Times New Roman"/>
          <w:sz w:val="28"/>
          <w:szCs w:val="28"/>
          <w:lang w:bidi="ar-SA"/>
        </w:rPr>
        <w:t>-</w:t>
      </w:r>
      <w:r w:rsidR="00D67F83">
        <w:rPr>
          <w:rFonts w:ascii="Times New Roman" w:hAnsi="Times New Roman" w:cs="Times New Roman"/>
          <w:sz w:val="28"/>
          <w:szCs w:val="28"/>
          <w:lang w:val="en-US" w:bidi="ar-SA"/>
        </w:rPr>
        <w:t>gp</w:t>
      </w:r>
      <w:r w:rsidR="00CB7AE0">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QIp4bADt","properties":{"unsorted":false,"formattedCitation":"[196]","plainCitation":"[196]","noteIndex":0},"citationItems":[{"id":63,"uris":["http://zotero.org/users/14784094/items/B6ZJX6UL"],"itemData":{"id":63,"type":"article-journal","abstract":"Background\nThe direct oral anticoagulant dabigatran does not require any routine therapeutic drug monitoring. Yet, concerns about possible drug interactions susceptible to increase its inherent bleeding risk, especially in very elderly patients, have been raised recently. The aim of our study was to evaluate to what extent the co-prescription of P-gp inhibitors with dabigatran may increase its plasma levels and lead to bleeding complications, in usual conditions of care of the very elderly.\n\nMethods\nFifty-eight patients over 85 years old with non valvular atrial fibrillation receiving dabigatran were included in a prospective cohort. Prescriptions were screened for the presence of P-gp inhibitors (Group A) or not (Group B).\n\nResults\nPatients from Group A had increased dabigatran mean plasma concentrations as compared with patients from Group B (A vs. B: 182.2 ± 147.3 vs. 93.7 ± 64.9 ng/mL). One third of the patients from Group A had dabigatran concentrations that were deemed “out of range” versus none in Group B (P = 0.05). This was associated with more frequent bleeding complications in Group A (A: 30.4%, B: 8.6%, P = 0.04).\n\nConclusion\nIn our cohort of very elderly patients, at least, the co-prescription of dabigatran with P-gp inhibitors in usual conditions of care resulted in higher dabigatran plasma concentrations and more frequent bleeding occurrences.","container-title":"Journal of Geriatric Cardiology : JGC","DOI":"10.11909/j.issn.1671-5411.2019.11.002","ISSN":"1671-5411","issue":"11","journalAbbreviation":"J Geriatr Cardiol","page":"806-811","PMID":"31853245","PMCID":"PMC6911799","source":"PubMed Central","title":"Major bleeding events in octagenarians associated with drug interactions between dabigatran and P-gp inhibitors","volume":"16","author":[{"family":"Bernier","given":"Marjorie"},{"family":"Lancrerot","given":"Sarah-Line"},{"family":"Rocher","given":"Fanny"},{"family":"Van-Obberghen","given":"Elise K"},{"family":"Olivier","given":"Pierre"},{"family":"Lavrut","given":"Thibaud"},{"family":"Parassol-Girard","given":"Nadège"},{"family":"Drici","given":"Milou-Daniel"}],"issued":{"date-parts":[["2019",11]]}}}],"schema":"https://github.com/citation-style-language/schema/raw/master/csl-citation.json"} </w:instrText>
      </w:r>
      <w:r w:rsidR="00CB7AE0">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[196]</w:t>
      </w:r>
      <w:r w:rsidR="00CB7AE0">
        <w:rPr>
          <w:rFonts w:ascii="Times New Roman" w:hAnsi="Times New Roman" w:cs="Times New Roman"/>
          <w:sz w:val="28"/>
          <w:szCs w:val="28"/>
          <w:lang w:val="en-US" w:bidi="ar-SA"/>
        </w:rPr>
        <w:fldChar w:fldCharType="end"/>
      </w:r>
      <w:r w:rsidR="00D67F83" w:rsidRPr="00D67F83">
        <w:rPr>
          <w:rFonts w:ascii="Times New Roman" w:hAnsi="Times New Roman" w:cs="Times New Roman"/>
          <w:sz w:val="28"/>
          <w:szCs w:val="28"/>
          <w:lang w:bidi="ar-SA"/>
        </w:rPr>
        <w:t>. Напротив,</w:t>
      </w:r>
      <w:r w:rsidR="008478DD" w:rsidRPr="008478DD">
        <w:rPr>
          <w:rFonts w:ascii="Times New Roman" w:hAnsi="Times New Roman" w:cs="Times New Roman"/>
          <w:sz w:val="28"/>
          <w:szCs w:val="28"/>
          <w:lang w:bidi="ar-SA"/>
        </w:rPr>
        <w:t xml:space="preserve"> применение с мощными индукторами </w:t>
      </w:r>
      <w:r w:rsidR="008478DD">
        <w:rPr>
          <w:rFonts w:ascii="Times New Roman" w:hAnsi="Times New Roman" w:cs="Times New Roman"/>
          <w:sz w:val="28"/>
          <w:szCs w:val="28"/>
          <w:lang w:val="en-US" w:bidi="ar-SA"/>
        </w:rPr>
        <w:t>P</w:t>
      </w:r>
      <w:r w:rsidR="008478DD" w:rsidRPr="008478DD">
        <w:rPr>
          <w:rFonts w:ascii="Times New Roman" w:hAnsi="Times New Roman" w:cs="Times New Roman"/>
          <w:sz w:val="28"/>
          <w:szCs w:val="28"/>
          <w:lang w:bidi="ar-SA"/>
        </w:rPr>
        <w:t>-</w:t>
      </w:r>
      <w:r w:rsidR="008478DD">
        <w:rPr>
          <w:rFonts w:ascii="Times New Roman" w:hAnsi="Times New Roman" w:cs="Times New Roman"/>
          <w:sz w:val="28"/>
          <w:szCs w:val="28"/>
          <w:lang w:val="en-US" w:bidi="ar-SA"/>
        </w:rPr>
        <w:t>gp</w:t>
      </w:r>
      <w:r w:rsidR="008478DD" w:rsidRPr="008478DD">
        <w:rPr>
          <w:rFonts w:ascii="Times New Roman" w:hAnsi="Times New Roman" w:cs="Times New Roman"/>
          <w:sz w:val="28"/>
          <w:szCs w:val="28"/>
          <w:lang w:bidi="ar-SA"/>
        </w:rPr>
        <w:t xml:space="preserve"> (рифампицин, карбамазепин, </w:t>
      </w:r>
      <w:r w:rsidR="00CB7AE0">
        <w:rPr>
          <w:rFonts w:ascii="Times New Roman" w:hAnsi="Times New Roman" w:cs="Times New Roman"/>
          <w:sz w:val="28"/>
          <w:szCs w:val="28"/>
          <w:lang w:bidi="ar-SA"/>
        </w:rPr>
        <w:t xml:space="preserve">фенитоин, </w:t>
      </w:r>
      <w:r w:rsidR="008478DD" w:rsidRPr="008478DD">
        <w:rPr>
          <w:rFonts w:ascii="Times New Roman" w:hAnsi="Times New Roman" w:cs="Times New Roman"/>
          <w:sz w:val="28"/>
          <w:szCs w:val="28"/>
          <w:lang w:bidi="ar-SA"/>
        </w:rPr>
        <w:t>зверобой продырявленный</w:t>
      </w:r>
      <w:r w:rsidR="00CB7AE0">
        <w:rPr>
          <w:rFonts w:ascii="Times New Roman" w:hAnsi="Times New Roman" w:cs="Times New Roman"/>
          <w:sz w:val="28"/>
          <w:szCs w:val="28"/>
          <w:lang w:bidi="ar-SA"/>
        </w:rPr>
        <w:t>,</w:t>
      </w:r>
      <w:r w:rsidR="008478DD" w:rsidRPr="008478DD">
        <w:rPr>
          <w:rFonts w:ascii="Times New Roman" w:hAnsi="Times New Roman" w:cs="Times New Roman"/>
          <w:sz w:val="28"/>
          <w:szCs w:val="28"/>
          <w:lang w:bidi="ar-SA"/>
        </w:rPr>
        <w:t xml:space="preserve"> морфин</w:t>
      </w:r>
      <w:r w:rsidR="00CB7AE0">
        <w:rPr>
          <w:rFonts w:ascii="Times New Roman" w:hAnsi="Times New Roman" w:cs="Times New Roman"/>
          <w:sz w:val="28"/>
          <w:szCs w:val="28"/>
          <w:lang w:bidi="ar-SA"/>
        </w:rPr>
        <w:t>,</w:t>
      </w:r>
      <w:r w:rsidR="008478DD" w:rsidRPr="008478DD">
        <w:rPr>
          <w:rFonts w:ascii="Times New Roman" w:hAnsi="Times New Roman" w:cs="Times New Roman"/>
          <w:sz w:val="28"/>
          <w:szCs w:val="28"/>
          <w:lang w:bidi="ar-SA"/>
        </w:rPr>
        <w:t xml:space="preserve"> ретиноиды) усиливает активность транспортера, ускоряя выведение </w:t>
      </w:r>
      <w:r w:rsidR="00CB7AE0">
        <w:rPr>
          <w:rFonts w:ascii="Times New Roman" w:hAnsi="Times New Roman" w:cs="Times New Roman"/>
          <w:sz w:val="28"/>
          <w:szCs w:val="28"/>
          <w:lang w:bidi="ar-SA"/>
        </w:rPr>
        <w:t>дабигатрана этексилата</w:t>
      </w:r>
      <w:r w:rsidR="008478DD" w:rsidRPr="008478DD">
        <w:rPr>
          <w:rFonts w:ascii="Times New Roman" w:hAnsi="Times New Roman" w:cs="Times New Roman"/>
          <w:sz w:val="28"/>
          <w:szCs w:val="28"/>
          <w:lang w:bidi="ar-SA"/>
        </w:rPr>
        <w:t xml:space="preserve"> и приводя к снижению его концентраци</w:t>
      </w:r>
      <w:r w:rsidR="00CB7AE0">
        <w:rPr>
          <w:rFonts w:ascii="Times New Roman" w:hAnsi="Times New Roman" w:cs="Times New Roman"/>
          <w:sz w:val="28"/>
          <w:szCs w:val="28"/>
          <w:lang w:bidi="ar-SA"/>
        </w:rPr>
        <w:t>й</w:t>
      </w:r>
      <w:r w:rsidR="008478DD" w:rsidRPr="008478DD">
        <w:rPr>
          <w:rFonts w:ascii="Times New Roman" w:hAnsi="Times New Roman" w:cs="Times New Roman"/>
          <w:sz w:val="28"/>
          <w:szCs w:val="28"/>
          <w:lang w:bidi="ar-SA"/>
        </w:rPr>
        <w:t xml:space="preserve"> в плазме</w:t>
      </w:r>
      <w:r w:rsidR="00CB7AE0">
        <w:rPr>
          <w:rFonts w:ascii="Times New Roman" w:hAnsi="Times New Roman" w:cs="Times New Roman"/>
          <w:sz w:val="28"/>
          <w:szCs w:val="28"/>
          <w:lang w:bidi="ar-SA"/>
        </w:rPr>
        <w:t>,</w:t>
      </w:r>
      <w:r w:rsidR="008478DD" w:rsidRPr="008478DD">
        <w:rPr>
          <w:rFonts w:ascii="Times New Roman" w:hAnsi="Times New Roman" w:cs="Times New Roman"/>
          <w:sz w:val="28"/>
          <w:szCs w:val="28"/>
          <w:lang w:bidi="ar-SA"/>
        </w:rPr>
        <w:t xml:space="preserve"> что может нивелировать антикоагулянтный эффект и повысить риск тр</w:t>
      </w:r>
      <w:r w:rsidR="00CB7AE0">
        <w:rPr>
          <w:rFonts w:ascii="Times New Roman" w:hAnsi="Times New Roman" w:cs="Times New Roman"/>
          <w:sz w:val="28"/>
          <w:szCs w:val="28"/>
          <w:lang w:bidi="ar-SA"/>
        </w:rPr>
        <w:t>омбо</w:t>
      </w:r>
      <w:r w:rsidR="008478DD" w:rsidRPr="008478DD">
        <w:rPr>
          <w:rFonts w:ascii="Times New Roman" w:hAnsi="Times New Roman" w:cs="Times New Roman"/>
          <w:sz w:val="28"/>
          <w:szCs w:val="28"/>
          <w:lang w:bidi="ar-SA"/>
        </w:rPr>
        <w:t>тических событий</w:t>
      </w:r>
      <w:r w:rsidR="00CB7AE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{"citationID":"THHRK8tl","properties":{"unsorted":false,"formattedCitation":"[195,197]","plainCitation":"[195,197]","noteIndex":0},"citationItems":[{"id":676,"uris":["http://zotero.org/users/14784094/items/9NMYIVLT"],"itemData":{"id":676,"type":"article-journal","abstract":"The impact of moderate hepatic impairment on the pharmacokinetics (PK) and pharmacodynamics (PD) of dabigatran etexilate was evaluated in an open, parallel‐group study. Healthy volunteers (n = 12) and patients with hepatic impairment (Child‐Pugh classification B; n = 12) received a single oral dose of 150 mg dabigatran etexilate. The mean values for area under the concentration‐time curve, terminal half‐life, and renal clearance of dabigatran were comparable between patients with hepatic impairment and healthy volunteers. Conversion of the dabigatran intermediate BIBR1087 to active dabigatran was slower in patients with hepatic impairment, indicating that the liver is partly involved in bioconversion of dabigatran etexilate. However, total drug exposure was comparable between groups; therefore, this observation is of no clinical relevance with respect to the anticoagulant activity of dabigatran. The extent of dabigatran glucuronidation was unchanged by liver disease; glucuronidation capacity was maintained in moderate liver disease. The activated partial thromboplastin time, ecarin clotting time, and thrombin time relationships were essentially identical in both groups. This study shows that moderate hepatic impairment does not affect the PK/PD or safety profile of dabigatran. Therefore, patients with moderate hepatic impairment can be given dabigatran etexilate without the need for dose adjustment.","container-title":"The Journal of Clinical Pharmacology","DOI":"10.1177/0091270008324179","ISSN":"0091-2700, 1552-4604","issue":"12","journalAbbreviation":"The Journal of Clinical Pharma","language":"en","license":"http://onlinelibrary.wiley.com/termsAndConditions#vor","page":"1411-1419","source":"DOI.org (Crossref)","title":"Pharmacokinetics and Pharmacodynamics of Dabigatran Etexilate, an Oral Direct Thrombin Inhibitor, Are Not Affected by Moderate Hepatic Impairment","volume":"48","author":[{"family":"Stangier","given":"Joachim"},{"family":"Stähle","given":"Hildegard"},{"family":"Rathgen","given":"Karin"},{"family":"Roth","given":"Willy"},{"family":"Shakeri‐Nejad","given":"Kasra"}],"issued":{"date-parts":[["2008",12]]}}},{"id":62,"uris":["http://zotero.org/users/14784094/items/7QTILRDU"],"itemData":{"id":62,"type":"article-journal","abstract":"Understanding transporter-mediated drug–drug interactions (DDIs) for investigational agents is important during drug development to assess DDI liability, its clinical relevance, and to determine appropriate DDI management strategies. P-glycoprotein (P-gp) is an efflux transporter that influences the pharmacokinetics (PK) of various compounds. Assessing transporter induction in vitro is challenging and is not always predictive of in vivo effects, and hence there is a need to consider clinical DDI studies; however, there is no clear guidance on when clinical evaluation of transporter induction is required. Furthermore, there is no proposed list of index transporter inducers to be used in clinical studies. This review evaluated DDI studies with known P-gp inducers to better understand the mechanism and site of P-gp induction, as well as the magnitude of induction effect on the exposure of P-gp substrates. Our review indicates that P-gp and cytochrome P450 (CYP450) enzymes are co-regulated via the pregnane xenobiotic receptor (PXR) and the constitutive androstane receptor (CAR). The magnitude of the decrease in substrate drug exposure by P-gp induction is generally less than that of CYP3A. Most P-gp inducers reduced total bioavailability with a minor impact on renal clearance, despite known expression of P-gp at the apical membrane of the kidney proximal tubules. Rifampin is the most potent P-gp inducer, resulting in an average reduction in substrate exposure ranging between 20 and 67%. For other inducers, the reduction in P-gp substrate exposure ranged from 12 to 42%. A lower reduction in exposure of the P-gp substrate was observed with a lower dose of the inducer and/or if the administration of the inducer and substrate was simultaneous, i.e. not staggered. These findings suggest that clinical evaluation of the impact of P-gp inducers on the PK of investigational agents that are substrates for P-gp might be warranted only for compounds with a relatively steep exposure–efficacy relationship.","container-title":"Clinical Pharmacokinetics","DOI":"10.1007/s40262-020-00867-1","ISSN":"0312-5963","issue":"6","journalAbbreviation":"Clin Pharmacokinet","page":"699-714","PMID":"32052379","PMCID":"PMC7292822","source":"PubMed Central","title":"Effect of P-glycoprotein (P-gp) Inducers on Exposure of P-gp Substrates: Review of Clinical Drug–Drug Interaction Studies","title-short":"Effect of P-glycoprotein (P-gp) Inducers on Exposure of P-gp Substrates","volume":"59","author":[{"family":"Elmeliegy","given":"Mohamed"},{"family":"Vourvahis","given":"Manoli"},{"family":"Guo","given":"Cen"},{"family":"Wang","given":"Diane D."}],"issued":{"date-parts":[["2020"]]}}}],"schema":"https://github.com/citation-style-language/schema/raw/master/csl-citation.json"} </w:instrText>
      </w:r>
      <w:r w:rsidR="00CB7AE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[195,197]</w:t>
      </w:r>
      <w:r w:rsidR="00CB7AE0">
        <w:rPr>
          <w:rFonts w:ascii="Times New Roman" w:hAnsi="Times New Roman" w:cs="Times New Roman"/>
          <w:sz w:val="28"/>
          <w:szCs w:val="28"/>
          <w:lang w:bidi="ar-SA"/>
        </w:rPr>
        <w:fldChar w:fldCharType="end"/>
      </w:r>
      <w:r w:rsidR="008478DD" w:rsidRPr="008478DD">
        <w:rPr>
          <w:rFonts w:ascii="Times New Roman" w:hAnsi="Times New Roman" w:cs="Times New Roman"/>
          <w:sz w:val="28"/>
          <w:szCs w:val="28"/>
          <w:lang w:bidi="ar-SA"/>
        </w:rPr>
        <w:t xml:space="preserve">. </w:t>
      </w:r>
    </w:p>
    <w:p w14:paraId="69EA9850" w14:textId="34A85BFE" w:rsidR="008478DD" w:rsidRPr="00CB7AE0" w:rsidRDefault="008478DD" w:rsidP="008D7CBD">
      <w:pPr>
        <w:pStyle w:val="LO-normal"/>
        <w:spacing w:after="0" w:line="240" w:lineRule="auto"/>
        <w:ind w:firstLine="567"/>
        <w:jc w:val="both"/>
        <w:rPr>
          <w:rFonts w:ascii="Times New Roman" w:hAnsi="Times New Roman" w:cs="Times New Roman"/>
          <w:i/>
          <w:iCs/>
          <w:sz w:val="28"/>
          <w:szCs w:val="28"/>
          <w:lang w:bidi="ar-SA"/>
        </w:rPr>
      </w:pPr>
      <w:r w:rsidRPr="00CB7AE0">
        <w:rPr>
          <w:rFonts w:ascii="Times New Roman" w:hAnsi="Times New Roman" w:cs="Times New Roman"/>
          <w:i/>
          <w:iCs/>
          <w:sz w:val="28"/>
          <w:szCs w:val="28"/>
          <w:lang w:bidi="ar-SA"/>
        </w:rPr>
        <w:t>Фармако</w:t>
      </w:r>
      <w:r w:rsidR="00CB7AE0" w:rsidRPr="00CB7AE0">
        <w:rPr>
          <w:rFonts w:ascii="Times New Roman" w:hAnsi="Times New Roman" w:cs="Times New Roman"/>
          <w:i/>
          <w:iCs/>
          <w:sz w:val="28"/>
          <w:szCs w:val="28"/>
          <w:lang w:bidi="ar-SA"/>
        </w:rPr>
        <w:t>генетические</w:t>
      </w:r>
      <w:r w:rsidRPr="00CB7AE0">
        <w:rPr>
          <w:rFonts w:ascii="Times New Roman" w:hAnsi="Times New Roman" w:cs="Times New Roman"/>
          <w:i/>
          <w:iCs/>
          <w:sz w:val="28"/>
          <w:szCs w:val="28"/>
          <w:lang w:bidi="ar-SA"/>
        </w:rPr>
        <w:t xml:space="preserve"> аспекты </w:t>
      </w:r>
      <w:r w:rsidR="00CB7AE0" w:rsidRPr="00CB7AE0">
        <w:rPr>
          <w:rFonts w:ascii="Times New Roman" w:hAnsi="Times New Roman" w:cs="Times New Roman"/>
          <w:i/>
          <w:iCs/>
          <w:sz w:val="28"/>
          <w:szCs w:val="28"/>
          <w:lang w:bidi="ar-SA"/>
        </w:rPr>
        <w:t>дабигат</w:t>
      </w:r>
      <w:r w:rsidRPr="00CB7AE0">
        <w:rPr>
          <w:rFonts w:ascii="Times New Roman" w:hAnsi="Times New Roman" w:cs="Times New Roman"/>
          <w:i/>
          <w:iCs/>
          <w:sz w:val="28"/>
          <w:szCs w:val="28"/>
          <w:lang w:bidi="ar-SA"/>
        </w:rPr>
        <w:t xml:space="preserve">рана: влияние полиморфизмов </w:t>
      </w:r>
      <w:r w:rsidRPr="00CB7AE0">
        <w:rPr>
          <w:rFonts w:ascii="Times New Roman" w:hAnsi="Times New Roman" w:cs="Times New Roman"/>
          <w:i/>
          <w:iCs/>
          <w:sz w:val="28"/>
          <w:szCs w:val="28"/>
          <w:lang w:val="en-US" w:bidi="ar-SA"/>
        </w:rPr>
        <w:t>ABCB</w:t>
      </w:r>
      <w:r w:rsidRPr="00CB7AE0">
        <w:rPr>
          <w:rFonts w:ascii="Times New Roman" w:hAnsi="Times New Roman" w:cs="Times New Roman"/>
          <w:i/>
          <w:iCs/>
          <w:sz w:val="28"/>
          <w:szCs w:val="28"/>
          <w:lang w:bidi="ar-SA"/>
        </w:rPr>
        <w:t>1</w:t>
      </w:r>
    </w:p>
    <w:p w14:paraId="729208F2" w14:textId="3A3E3EAE" w:rsidR="00AD673F" w:rsidRPr="00D137D9" w:rsidRDefault="00CB7AE0" w:rsidP="008D7CB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w:t>
      </w:r>
      <w:r w:rsidR="008478DD" w:rsidRPr="008478DD">
        <w:rPr>
          <w:rFonts w:ascii="Times New Roman" w:hAnsi="Times New Roman" w:cs="Times New Roman"/>
          <w:sz w:val="28"/>
          <w:szCs w:val="28"/>
          <w:lang w:bidi="ar-SA"/>
        </w:rPr>
        <w:t xml:space="preserve"> настоящее время в научной литературе описано более 1200 различных однонуклеотидных полиморфизмов гена </w:t>
      </w:r>
      <w:r w:rsidR="008478DD">
        <w:rPr>
          <w:rFonts w:ascii="Times New Roman" w:hAnsi="Times New Roman" w:cs="Times New Roman"/>
          <w:sz w:val="28"/>
          <w:szCs w:val="28"/>
          <w:lang w:val="en-US" w:bidi="ar-SA"/>
        </w:rPr>
        <w:t>ABCB</w:t>
      </w:r>
      <w:r w:rsidR="008478DD" w:rsidRPr="008478DD">
        <w:rPr>
          <w:rFonts w:ascii="Times New Roman" w:hAnsi="Times New Roman" w:cs="Times New Roman"/>
          <w:sz w:val="28"/>
          <w:szCs w:val="28"/>
          <w:lang w:bidi="ar-SA"/>
        </w:rPr>
        <w:t xml:space="preserve">1, кодирующего </w:t>
      </w:r>
      <w:r w:rsidR="008478DD">
        <w:rPr>
          <w:rFonts w:ascii="Times New Roman" w:hAnsi="Times New Roman" w:cs="Times New Roman"/>
          <w:sz w:val="28"/>
          <w:szCs w:val="28"/>
          <w:lang w:val="en-US" w:bidi="ar-SA"/>
        </w:rPr>
        <w:t>P</w:t>
      </w:r>
      <w:r w:rsidR="008478DD" w:rsidRPr="008478DD">
        <w:rPr>
          <w:rFonts w:ascii="Times New Roman" w:hAnsi="Times New Roman" w:cs="Times New Roman"/>
          <w:sz w:val="28"/>
          <w:szCs w:val="28"/>
          <w:lang w:bidi="ar-SA"/>
        </w:rPr>
        <w:t>-гликопротеин. Наибольший исследовательский интерес сосредоточен на вариантах</w:t>
      </w:r>
      <w:r w:rsidRPr="00CB7AE0">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CB7AE0">
        <w:rPr>
          <w:rFonts w:ascii="Times New Roman" w:hAnsi="Times New Roman" w:cs="Times New Roman"/>
          <w:sz w:val="28"/>
          <w:szCs w:val="28"/>
          <w:lang w:bidi="ar-SA"/>
        </w:rPr>
        <w:t xml:space="preserve">1128503 (1236 </w:t>
      </w:r>
      <w:r>
        <w:rPr>
          <w:rFonts w:ascii="Times New Roman" w:hAnsi="Times New Roman" w:cs="Times New Roman"/>
          <w:sz w:val="28"/>
          <w:szCs w:val="28"/>
          <w:lang w:val="en-US" w:bidi="ar-SA"/>
        </w:rPr>
        <w:t>C</w:t>
      </w:r>
      <w:r w:rsidRPr="00CB7AE0">
        <w:rPr>
          <w:rFonts w:ascii="Times New Roman" w:hAnsi="Times New Roman" w:cs="Times New Roman"/>
          <w:sz w:val="28"/>
          <w:szCs w:val="28"/>
          <w:lang w:bidi="ar-SA"/>
        </w:rPr>
        <w:t>&gt;</w:t>
      </w:r>
      <w:r>
        <w:rPr>
          <w:rFonts w:ascii="Times New Roman" w:hAnsi="Times New Roman" w:cs="Times New Roman"/>
          <w:sz w:val="28"/>
          <w:szCs w:val="28"/>
          <w:lang w:val="en-US" w:bidi="ar-SA"/>
        </w:rPr>
        <w:t>T</w:t>
      </w:r>
      <w:r w:rsidRPr="00CB7AE0">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CB7AE0">
        <w:rPr>
          <w:rFonts w:ascii="Times New Roman" w:hAnsi="Times New Roman" w:cs="Times New Roman"/>
          <w:sz w:val="28"/>
          <w:szCs w:val="28"/>
          <w:lang w:bidi="ar-SA"/>
        </w:rPr>
        <w:t xml:space="preserve">2032582 (2677 </w:t>
      </w:r>
      <w:r>
        <w:rPr>
          <w:rFonts w:ascii="Times New Roman" w:hAnsi="Times New Roman" w:cs="Times New Roman"/>
          <w:sz w:val="28"/>
          <w:szCs w:val="28"/>
          <w:lang w:val="en-US" w:bidi="ar-SA"/>
        </w:rPr>
        <w:t>G</w:t>
      </w:r>
      <w:r w:rsidRPr="00CB7AE0">
        <w:rPr>
          <w:rFonts w:ascii="Times New Roman" w:hAnsi="Times New Roman" w:cs="Times New Roman"/>
          <w:sz w:val="28"/>
          <w:szCs w:val="28"/>
          <w:lang w:bidi="ar-SA"/>
        </w:rPr>
        <w:t>&gt;</w:t>
      </w:r>
      <w:r>
        <w:rPr>
          <w:rFonts w:ascii="Times New Roman" w:hAnsi="Times New Roman" w:cs="Times New Roman"/>
          <w:sz w:val="28"/>
          <w:szCs w:val="28"/>
          <w:lang w:val="en-US" w:bidi="ar-SA"/>
        </w:rPr>
        <w:t>T</w:t>
      </w:r>
      <w:r w:rsidRPr="00CB7AE0">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CB7AE0">
        <w:rPr>
          <w:rFonts w:ascii="Times New Roman" w:hAnsi="Times New Roman" w:cs="Times New Roman"/>
          <w:sz w:val="28"/>
          <w:szCs w:val="28"/>
          <w:lang w:bidi="ar-SA"/>
        </w:rPr>
        <w:t xml:space="preserve">1045642 (3435 </w:t>
      </w:r>
      <w:r>
        <w:rPr>
          <w:rFonts w:ascii="Times New Roman" w:hAnsi="Times New Roman" w:cs="Times New Roman"/>
          <w:sz w:val="28"/>
          <w:szCs w:val="28"/>
          <w:lang w:val="en-US" w:bidi="ar-SA"/>
        </w:rPr>
        <w:t>C</w:t>
      </w:r>
      <w:r w:rsidRPr="00CB7AE0">
        <w:rPr>
          <w:rFonts w:ascii="Times New Roman" w:hAnsi="Times New Roman" w:cs="Times New Roman"/>
          <w:sz w:val="28"/>
          <w:szCs w:val="28"/>
          <w:lang w:bidi="ar-SA"/>
        </w:rPr>
        <w:t>&gt;</w:t>
      </w:r>
      <w:r>
        <w:rPr>
          <w:rFonts w:ascii="Times New Roman" w:hAnsi="Times New Roman" w:cs="Times New Roman"/>
          <w:sz w:val="28"/>
          <w:szCs w:val="28"/>
          <w:lang w:val="en-US" w:bidi="ar-SA"/>
        </w:rPr>
        <w:t>T</w:t>
      </w:r>
      <w:r w:rsidRPr="00CB7AE0">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rs</w:t>
      </w:r>
      <w:r w:rsidRPr="00CB7AE0">
        <w:rPr>
          <w:rFonts w:ascii="Times New Roman" w:hAnsi="Times New Roman" w:cs="Times New Roman"/>
          <w:sz w:val="28"/>
          <w:szCs w:val="28"/>
          <w:lang w:bidi="ar-SA"/>
        </w:rPr>
        <w:t>4148738 (</w:t>
      </w:r>
      <w:r>
        <w:rPr>
          <w:rFonts w:ascii="Times New Roman" w:hAnsi="Times New Roman" w:cs="Times New Roman"/>
          <w:sz w:val="28"/>
          <w:szCs w:val="28"/>
          <w:lang w:val="en-US" w:bidi="ar-SA"/>
        </w:rPr>
        <w:t>G</w:t>
      </w:r>
      <w:r w:rsidRPr="00CB7AE0">
        <w:rPr>
          <w:rFonts w:ascii="Times New Roman" w:hAnsi="Times New Roman" w:cs="Times New Roman"/>
          <w:sz w:val="28"/>
          <w:szCs w:val="28"/>
          <w:lang w:bidi="ar-SA"/>
        </w:rPr>
        <w:t>&gt;</w:t>
      </w:r>
      <w:r>
        <w:rPr>
          <w:rFonts w:ascii="Times New Roman" w:hAnsi="Times New Roman" w:cs="Times New Roman"/>
          <w:sz w:val="28"/>
          <w:szCs w:val="28"/>
          <w:lang w:val="en-US" w:bidi="ar-SA"/>
        </w:rPr>
        <w:t>A</w:t>
      </w:r>
      <w:r w:rsidRPr="00CB7AE0">
        <w:rPr>
          <w:rFonts w:ascii="Times New Roman" w:hAnsi="Times New Roman" w:cs="Times New Roman"/>
          <w:sz w:val="28"/>
          <w:szCs w:val="28"/>
          <w:lang w:bidi="ar-SA"/>
        </w:rPr>
        <w:t>)</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V22IxJWD","properties":{"unsorted":false,"formattedCitation":"[198,199]","plainCitation":"[198,199]","noteIndex":0},"citationItems":[{"id":701,"uris":["http://zotero.org/users/14784094/items/VPE5JM7S"],"itemData":{"id":701,"type":"article-journal","abstract":"Nowadays, direct oral anticoagulants (DOACs) are the ﬁrst-line anticoagulant strategy in patients with non-valvular atrial ﬁbrillation (NVAF). We aimed to identify the inﬂuence of polymorphisms of the genes encoding P-glycoprotein (ABCB1) and carboxylesterase 1 (CES1) on the variability of plasma concentrations of DOACs in Kazakhstani patients with NVAF. We analyzed polymorphisms rs4148738, rs1045642, rs2032582 and rs1128503 in ABCB1 and rs8192935, rs2244613 and rs71647871 CES1 genes and measured the plasma concentrations of dabigatran/apixaban and biochemical parameters in 150 Kazakhstani NVAF patients. Polymorphism rs8192935 in the CES1 gene (p = 0.04), BMI (p = 0.01) and APTT level (p = 0.01) were statistically signiﬁcant independent factors of trough plasma concentration of dabigatran. In contrast, polymorphisms rs4148738, rs1045642, rs2032582 and rs1128503 in ABCB1 and rs8192935, rs2244613 and rs71647871 CES1 genes did not show signiﬁcant inﬂuence on plasma concentrations of dabigatran/apixaban drugs (p &gt; 0.05). Patients with GG genotype (138.8 ± 100.1 ng/mL) had higher peak plasma concentration of dabigatran than with AA genotype (100.9 ± 59.6 ng/mL) and AG genotype (98.7 ± 72.3 ng/mL) (Kruskal–Wallis test, p = 0.25). Thus, CES1 rs8192935 is signiﬁcantly associated with plasma concentrations of dabigatran in Kazakhstani NVAF patients (p &lt; 0.05). The level of the plasma concentration shows that biotransformation of the dabigatran processed faster in individual carriers of GG genotype rs8192935 in the CES1 gene than with AA genotype.","container-title":"Genes","DOI":"10.3390/genes14061192","ISSN":"2073-4425","issue":"6","journalAbbreviation":"Genes","language":"en","license":"https://creativecommons.org/licenses/by/4.0/","page":"1192","source":"DOI.org (Crossref)","title":"The Distribution of the Genotypes of ABCB1 and CES1 Polymorphisms in Kazakhstani Patients with Atrial Fibrillation Treated with DOAC","volume":"14","author":[{"family":"Abdrakhmanov","given":"Ayan"},{"family":"Akilzhanova","given":"Ainur"},{"family":"Shaimerdinova","given":"Aizhan"},{"family":"Zhalbinova","given":"Madina"},{"family":"Tuyakova","given":"Gulnara"},{"family":"Abildinova","given":"Svetlana"},{"family":"Albayev","given":"Rustam"},{"family":"Ainabekova","given":"Bayan"},{"family":"Chinybayeva","given":"Assel"},{"family":"Suleimen","given":"Zhanasyl"},{"family":"Bekbossynova","given":"Makhabbat"}],"issued":{"date-parts":[["2023",5,29]]}}},{"id":600,"uris":["http://zotero.org/users/14784094/items/EAA3S3TB"],"itemData":{"id":600,"type":"article-journal","abstract":"Background:\nAllelic variants of genes encoding enzymes of the esterase system (CES1) and P-glycoprotein (ABCB1) can change the metabolism and pharmacokinetics of dabigatran. Therefore, they act as determining factors in the development of side effects, especially bleeding. We analyzed the genotype–phenotype relationship of ABCB1 (rs1045642, rs4148738, rs2032582, and rs1128503) and CES1 (rs8192935, rs71647871, and rs2244613) polymorphisms in patients with atrial fibrillation who had been treated with dabigatran.\n\nMethods:\nA total of 150 patients were recruited for this study. TaqMan technology was used for SNP genotyping.\n\nResults:\n Patients with the rs2244613 GG genotype had a lower concentration (55.27 ± 34.22 ng/ml) compared to those with the TT genotype (63.33 ± 52.25 ng/ml) (additive model, P = 0.000). Individuals with the rs8192935 AA genotype had a lower concentration (52.72 ± 30.45 ng/ml) compared to those with the GG genotype (79.78 ± 57 ng/ml) (additive model, P = 0.001). The APTT values among the different genotypes of the ABCB1 SNPs, rs4148738 and rs1045642, were significantly different (P = 0.035 and P = 0.024, respectively).\n\nConclusion:\nOur research demonstrates that the CES1 polymorphisms, rs8192935 and rs2244613, are associated with the pharmacodynamics and pharmacokinetics of dabigatran in the Kazakh subpopulation.","container-title":"Caspian Journal of Internal Medicine","DOI":"10.22088/cjim.15.3.499","ISSN":"2008-6164","issue":"3","journalAbbreviation":"Caspian J Intern Med","page":"499-508","PMID":"39011438","PMCID":"PMC11246689","source":"PubMed Central","title":"Genetic variants of ABCB1 and CES1 genes on dabigatran metabolism in the Kazakh population","volume":"15","author":[{"family":"Abdrakhmanov","given":"Ayan"},{"family":"Zholdybayeva","given":"Elena"},{"family":"Shaimerdinova","given":"Aizhana"},{"family":"Kulmambetova","given":"Gulmira"},{"family":"Abildinova","given":"Svetlana"},{"family":"Albayev","given":"Rustam"},{"family":"Tuyakova","given":"Gulnara"},{"family":"Rib","given":"Elena"},{"family":"Suleimen","given":"Zhanasyl"},{"family":"Abdrakhmanova","given":"Zhanar"},{"family":"Bekbossynova","given":"Makhabbat"}],"issued":{"date-parts":[["2024",8,1]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[198,199]</w:t>
      </w:r>
      <w:r>
        <w:rPr>
          <w:rFonts w:ascii="Times New Roman" w:hAnsi="Times New Roman" w:cs="Times New Roman"/>
          <w:sz w:val="28"/>
          <w:szCs w:val="28"/>
          <w:lang w:bidi="ar-SA"/>
        </w:rPr>
        <w:fldChar w:fldCharType="end"/>
      </w:r>
      <w:r w:rsidR="008478DD" w:rsidRPr="008478DD">
        <w:rPr>
          <w:rFonts w:ascii="Times New Roman" w:hAnsi="Times New Roman" w:cs="Times New Roman"/>
          <w:sz w:val="28"/>
          <w:szCs w:val="28"/>
          <w:lang w:bidi="ar-SA"/>
        </w:rPr>
        <w:t xml:space="preserve">. Комбинации полиморфизмов </w:t>
      </w:r>
      <w:r w:rsidR="00AD3C40">
        <w:rPr>
          <w:rFonts w:ascii="Times New Roman" w:hAnsi="Times New Roman" w:cs="Times New Roman"/>
          <w:sz w:val="28"/>
          <w:szCs w:val="28"/>
          <w:lang w:val="en-US" w:bidi="ar-SA"/>
        </w:rPr>
        <w:t>rs</w:t>
      </w:r>
      <w:r w:rsidR="00AD3C40" w:rsidRPr="00AD3C40">
        <w:rPr>
          <w:rFonts w:ascii="Times New Roman" w:hAnsi="Times New Roman" w:cs="Times New Roman"/>
          <w:sz w:val="28"/>
          <w:szCs w:val="28"/>
          <w:lang w:bidi="ar-SA"/>
        </w:rPr>
        <w:t xml:space="preserve">1128503, </w:t>
      </w:r>
      <w:r w:rsidR="00AD3C40">
        <w:rPr>
          <w:rFonts w:ascii="Times New Roman" w:hAnsi="Times New Roman" w:cs="Times New Roman"/>
          <w:sz w:val="28"/>
          <w:szCs w:val="28"/>
          <w:lang w:val="en-US" w:bidi="ar-SA"/>
        </w:rPr>
        <w:t>rs</w:t>
      </w:r>
      <w:r w:rsidR="00AD3C40" w:rsidRPr="00AD3C40">
        <w:rPr>
          <w:rFonts w:ascii="Times New Roman" w:hAnsi="Times New Roman" w:cs="Times New Roman"/>
          <w:sz w:val="28"/>
          <w:szCs w:val="28"/>
          <w:lang w:bidi="ar-SA"/>
        </w:rPr>
        <w:t xml:space="preserve">2032582 </w:t>
      </w:r>
      <w:r w:rsidR="00AD3C40">
        <w:rPr>
          <w:rFonts w:ascii="Times New Roman" w:hAnsi="Times New Roman" w:cs="Times New Roman"/>
          <w:sz w:val="28"/>
          <w:szCs w:val="28"/>
          <w:lang w:bidi="ar-SA"/>
        </w:rPr>
        <w:t xml:space="preserve">и </w:t>
      </w:r>
      <w:r w:rsidR="00AD3C40">
        <w:rPr>
          <w:rFonts w:ascii="Times New Roman" w:hAnsi="Times New Roman" w:cs="Times New Roman"/>
          <w:sz w:val="28"/>
          <w:szCs w:val="28"/>
          <w:lang w:val="en-US" w:bidi="ar-SA"/>
        </w:rPr>
        <w:t>rs</w:t>
      </w:r>
      <w:r w:rsidR="00AD3C40" w:rsidRPr="00AD3C40">
        <w:rPr>
          <w:rFonts w:ascii="Times New Roman" w:hAnsi="Times New Roman" w:cs="Times New Roman"/>
          <w:sz w:val="28"/>
          <w:szCs w:val="28"/>
          <w:lang w:bidi="ar-SA"/>
        </w:rPr>
        <w:t xml:space="preserve">1045642 </w:t>
      </w:r>
      <w:r w:rsidR="008478DD" w:rsidRPr="008478DD">
        <w:rPr>
          <w:rFonts w:ascii="Times New Roman" w:hAnsi="Times New Roman" w:cs="Times New Roman"/>
          <w:sz w:val="28"/>
          <w:szCs w:val="28"/>
          <w:lang w:bidi="ar-SA"/>
        </w:rPr>
        <w:t>формируют различные гаплотип</w:t>
      </w:r>
      <w:r w:rsidR="00AD3C40">
        <w:rPr>
          <w:rFonts w:ascii="Times New Roman" w:hAnsi="Times New Roman" w:cs="Times New Roman"/>
          <w:sz w:val="28"/>
          <w:szCs w:val="28"/>
          <w:lang w:bidi="ar-SA"/>
        </w:rPr>
        <w:t>ы,</w:t>
      </w:r>
      <w:r w:rsidR="008478DD" w:rsidRPr="008478DD">
        <w:rPr>
          <w:rFonts w:ascii="Times New Roman" w:hAnsi="Times New Roman" w:cs="Times New Roman"/>
          <w:sz w:val="28"/>
          <w:szCs w:val="28"/>
          <w:lang w:bidi="ar-SA"/>
        </w:rPr>
        <w:t xml:space="preserve"> включая</w:t>
      </w:r>
      <w:r w:rsidR="00AD3C40">
        <w:rPr>
          <w:rFonts w:ascii="Times New Roman" w:hAnsi="Times New Roman" w:cs="Times New Roman"/>
          <w:sz w:val="28"/>
          <w:szCs w:val="28"/>
          <w:lang w:bidi="ar-SA"/>
        </w:rPr>
        <w:t xml:space="preserve"> </w:t>
      </w:r>
      <w:r w:rsidR="00AD3C40">
        <w:rPr>
          <w:rFonts w:ascii="Times New Roman" w:hAnsi="Times New Roman" w:cs="Times New Roman"/>
          <w:sz w:val="28"/>
          <w:szCs w:val="28"/>
          <w:lang w:val="en-US" w:bidi="ar-SA"/>
        </w:rPr>
        <w:t>ABCB</w:t>
      </w:r>
      <w:r w:rsidR="00AD3C40" w:rsidRPr="00AD3C40">
        <w:rPr>
          <w:rFonts w:ascii="Times New Roman" w:hAnsi="Times New Roman" w:cs="Times New Roman"/>
          <w:sz w:val="28"/>
          <w:szCs w:val="28"/>
          <w:lang w:bidi="ar-SA"/>
        </w:rPr>
        <w:t xml:space="preserve">1*1, </w:t>
      </w:r>
      <w:r w:rsidR="00AD3C40">
        <w:rPr>
          <w:rFonts w:ascii="Times New Roman" w:hAnsi="Times New Roman" w:cs="Times New Roman"/>
          <w:sz w:val="28"/>
          <w:szCs w:val="28"/>
          <w:lang w:val="en-US" w:bidi="ar-SA"/>
        </w:rPr>
        <w:t>ABCB</w:t>
      </w:r>
      <w:r w:rsidR="00AD3C40" w:rsidRPr="00AD3C40">
        <w:rPr>
          <w:rFonts w:ascii="Times New Roman" w:hAnsi="Times New Roman" w:cs="Times New Roman"/>
          <w:sz w:val="28"/>
          <w:szCs w:val="28"/>
          <w:lang w:bidi="ar-SA"/>
        </w:rPr>
        <w:t xml:space="preserve">1*2 </w:t>
      </w:r>
      <w:r w:rsidR="00AD3C40">
        <w:rPr>
          <w:rFonts w:ascii="Times New Roman" w:hAnsi="Times New Roman" w:cs="Times New Roman"/>
          <w:sz w:val="28"/>
          <w:szCs w:val="28"/>
          <w:lang w:bidi="ar-SA"/>
        </w:rPr>
        <w:t xml:space="preserve">и </w:t>
      </w:r>
      <w:r w:rsidR="00AD3C40">
        <w:rPr>
          <w:rFonts w:ascii="Times New Roman" w:hAnsi="Times New Roman" w:cs="Times New Roman"/>
          <w:sz w:val="28"/>
          <w:szCs w:val="28"/>
          <w:lang w:val="en-US" w:bidi="ar-SA"/>
        </w:rPr>
        <w:t>ABCB</w:t>
      </w:r>
      <w:r w:rsidR="00AD3C40" w:rsidRPr="00AD3C40">
        <w:rPr>
          <w:rFonts w:ascii="Times New Roman" w:hAnsi="Times New Roman" w:cs="Times New Roman"/>
          <w:sz w:val="28"/>
          <w:szCs w:val="28"/>
          <w:lang w:bidi="ar-SA"/>
        </w:rPr>
        <w:t>1*13</w:t>
      </w:r>
      <w:r w:rsidR="00AD3C4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hAo1v5e","properties":{"unsorted":false,"formattedCitation":"[199]","plainCitation":"[199]","noteIndex":0},"citationItems":[{"id":600,"uris":["http://zotero.org/users/14784094/items/EAA3S3TB"],"itemData":{"id":600,"type":"article-journal","abstract":"Background:\nAllelic variants of genes encoding enzymes of the esterase system (CES1) and P-glycoprotein (ABCB1) can change the metabolism and pharmacokinetics of dabigatran. Therefore, they act as determining factors in the development of side effects, especially bleeding. We analyzed the genotype–phenotype relationship of ABCB1 (rs1045642, rs4148738, rs2032582, and rs1128503) and CES1 (rs8192935, rs71647871, and rs2244613) polymorphisms in patients with atrial fibrillation who had been treated with dabigatran.\n\nMethods:\nA total of 150 patients were recruited for this study. TaqMan technology was used for SNP genotyping.\n\nResults:\n Patients with the rs2244613 GG genotype had a lower concentration (55.27 ± 34.22 ng/ml) compared to those with the TT genotype (63.33 ± 52.25 ng/ml) (additive model, P = 0.000). Individuals with the rs8192935 AA genotype had a lower concentration (52.72 ± 30.45 ng/ml) compared to those with the GG genotype (79.78 ± 57 ng/ml) (additive model, P = 0.001). The APTT values among the different genotypes of the ABCB1 SNPs, rs4148738 and rs1045642, were significantly different (P = 0.035 and P = 0.024, respectively).\n\nConclusion:\nOur research demonstrates that the CES1 polymorphisms, rs8192935 and rs2244613, are associated with the pharmacodynamics and pharmacokinetics of dabigatran in the Kazakh subpopulation.","container-title":"Caspian Journal of Internal Medicine","DOI":"10.22088/cjim.15.3.499","ISSN":"2008-6164","issue":"3","journalAbbreviation":"Caspian J Intern Med","page":"499-508","PMID":"39011438","PMCID":"PMC11246689","source":"PubMed Central","title":"Genetic variants of ABCB1 and CES1 genes on dabigatran metabolism in the Kazakh population","volume":"15","author":[{"family":"Abdrakhmanov","given":"Ayan"},{"family":"Zholdybayeva","given":"Elena"},{"family":"Shaimerdinova","given":"Aizhana"},{"family":"Kulmambetova","given":"Gulmira"},{"family":"Abildinova","given":"Svetlana"},{"family":"Albayev","given":"Rustam"},{"family":"Tuyakova","given":"Gulnara"},{"family":"Rib","given":"Elena"},{"family":"Suleimen","given":"Zhanasyl"},{"family":"Abdrakhmanova","given":"Zhanar"},{"family":"Bekbossynova","given":"Makhabbat"}],"issued":{"date-parts":[["2024",8,1]]}}}],"schema":"https://github.com/citation-style-language/schema/raw/master/csl-citation.json"} </w:instrText>
      </w:r>
      <w:r w:rsidR="00AD3C4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[199]</w:t>
      </w:r>
      <w:r w:rsidR="00AD3C40">
        <w:rPr>
          <w:rFonts w:ascii="Times New Roman" w:hAnsi="Times New Roman" w:cs="Times New Roman"/>
          <w:sz w:val="28"/>
          <w:szCs w:val="28"/>
          <w:lang w:bidi="ar-SA"/>
        </w:rPr>
        <w:fldChar w:fldCharType="end"/>
      </w:r>
      <w:r w:rsidR="008478DD" w:rsidRPr="008478DD">
        <w:rPr>
          <w:rFonts w:ascii="Times New Roman" w:hAnsi="Times New Roman" w:cs="Times New Roman"/>
          <w:sz w:val="28"/>
          <w:szCs w:val="28"/>
          <w:lang w:bidi="ar-SA"/>
        </w:rPr>
        <w:t xml:space="preserve">. В рамках крупного исследования </w:t>
      </w:r>
      <w:r w:rsidR="008478DD">
        <w:rPr>
          <w:rFonts w:ascii="Times New Roman" w:hAnsi="Times New Roman" w:cs="Times New Roman"/>
          <w:sz w:val="28"/>
          <w:szCs w:val="28"/>
          <w:lang w:val="en-US" w:bidi="ar-SA"/>
        </w:rPr>
        <w:t>RE</w:t>
      </w:r>
      <w:r w:rsidR="008478DD" w:rsidRPr="008478DD">
        <w:rPr>
          <w:rFonts w:ascii="Times New Roman" w:hAnsi="Times New Roman" w:cs="Times New Roman"/>
          <w:sz w:val="28"/>
          <w:szCs w:val="28"/>
          <w:lang w:bidi="ar-SA"/>
        </w:rPr>
        <w:t>-</w:t>
      </w:r>
      <w:r w:rsidR="008478DD">
        <w:rPr>
          <w:rFonts w:ascii="Times New Roman" w:hAnsi="Times New Roman" w:cs="Times New Roman"/>
          <w:sz w:val="28"/>
          <w:szCs w:val="28"/>
          <w:lang w:val="en-US" w:bidi="ar-SA"/>
        </w:rPr>
        <w:t>LY</w:t>
      </w:r>
      <w:r w:rsidR="008478DD" w:rsidRPr="008478DD">
        <w:rPr>
          <w:rFonts w:ascii="Times New Roman" w:hAnsi="Times New Roman" w:cs="Times New Roman"/>
          <w:sz w:val="28"/>
          <w:szCs w:val="28"/>
          <w:lang w:bidi="ar-SA"/>
        </w:rPr>
        <w:t xml:space="preserve"> (2013)</w:t>
      </w:r>
      <w:r w:rsidR="00AD3C40" w:rsidRPr="00AD3C40">
        <w:rPr>
          <w:rFonts w:ascii="Times New Roman" w:hAnsi="Times New Roman" w:cs="Times New Roman"/>
          <w:sz w:val="28"/>
          <w:szCs w:val="28"/>
          <w:lang w:bidi="ar-SA"/>
        </w:rPr>
        <w:t xml:space="preserve">, </w:t>
      </w:r>
      <w:r w:rsidR="008478DD" w:rsidRPr="008478DD">
        <w:rPr>
          <w:rFonts w:ascii="Times New Roman" w:hAnsi="Times New Roman" w:cs="Times New Roman"/>
          <w:sz w:val="28"/>
          <w:szCs w:val="28"/>
          <w:lang w:bidi="ar-SA"/>
        </w:rPr>
        <w:t>включившего 1490 пациентов с фибрилляцией предсердий, было проведено генотипирование и оценка концентраци</w:t>
      </w:r>
      <w:r w:rsidR="00AD3C40">
        <w:rPr>
          <w:rFonts w:ascii="Times New Roman" w:hAnsi="Times New Roman" w:cs="Times New Roman"/>
          <w:sz w:val="28"/>
          <w:szCs w:val="28"/>
          <w:lang w:bidi="ar-SA"/>
        </w:rPr>
        <w:t>й</w:t>
      </w:r>
      <w:r w:rsidR="008478DD" w:rsidRPr="008478DD">
        <w:rPr>
          <w:rFonts w:ascii="Times New Roman" w:hAnsi="Times New Roman" w:cs="Times New Roman"/>
          <w:sz w:val="28"/>
          <w:szCs w:val="28"/>
          <w:lang w:bidi="ar-SA"/>
        </w:rPr>
        <w:t xml:space="preserve"> </w:t>
      </w:r>
      <w:r w:rsidR="00AD3C40">
        <w:rPr>
          <w:rFonts w:ascii="Times New Roman" w:hAnsi="Times New Roman" w:cs="Times New Roman"/>
          <w:sz w:val="28"/>
          <w:szCs w:val="28"/>
          <w:lang w:bidi="ar-SA"/>
        </w:rPr>
        <w:t>дабигатрана</w:t>
      </w:r>
      <w:r w:rsidR="00AD3C4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6ILZGNBd","properties":{"unsorted":false,"formattedCitation":"[19]","plainCitation":"[19]","noteIndex":0},"citationItems":[{"id":682,"uris":["http://zotero.org/users/14784094/items/L3TI6FF7"],"itemData":{"id":682,"type":"article-journal","abstract":"Background—Fixed-dose unmonitored treatment with dabigatran etexilate is effective and has a favorable safety profile in the prevention of stroke in atrial fibrillation patients compared with warfarin. We hypothesized that genetic variants could contribute to interindividual variability in blood concentrations of the active metabolite of dabigatran etexilate and influence the safety and efficacy of dabigatran.\nMethods and Results—We successfully conducted a genome-wide association study in 2944 Randomized Evaluation of Long-term Anticoagulation Therapy (RE-LY) participants. The CES1 single-nucleotide polymorphism rs2244613 was associated with trough concentrations, and the ABCB1 single-nucleotide polymorphism rs4148738 and the CES1 singlenucleotide polymorphism rs8192935 were associated with peak concentrations at genome-wide significance (P&lt;9×10−8) with a gene-dose effect. Each minor allele of the CES1 single-nucleotide polymorphism rs2244613 was associated with lower trough concentrations (15% decrease per allele; 95% confidence interval, 10–19; P=1.2×10−8) and a lower risk of any bleeding (odds ratio, 0.67; 95% confidence interval, 0.55–0.82; P=7×10−5) in dabigatran-treated participants, with a consistent but nonsignificant lower risk of major bleeding (odds ratio, 0.66; 95% confidence interval, 0.43–1.01). The interaction between treatment (warfarin versus all dabigatran) and carrier status was statistically significant (P=0.002), with carriers having less bleeding with dabigatran than warfarin (hazard ratio, 0.59; 95% confidence interval, 0.46–0.76; P=5.2×10−5) in contrast to no difference in noncarriers (hazard ratio, 0.96; 95% confidence interval, 0.81–1.14; P=0.65). There was no association with ischemic events, and neither rs4148738 nor rs8192935 was associated with bleeding or ischemic events.\nConclusions—Genome-wide association analysis identified that carriage of the CES1 rs2244613 minor allele occurred in 32.8% of patients in RE-LY and was associated with lower exposure to active dabigatran metabolite. The presence of the polymorphism was associated with a lower risk of bleeding.","container-title":"Circulation","DOI":"10.1161/CIRCULATIONAHA.112.001233","ISSN":"0009-7322, 1524-4539","issue":"13","journalAbbreviation":"Circulation","language":"en","page":"1404-1412","source":"DOI.org (Crossref)","title":"Genetic Determinants of Dabigatran Plasma Levels and Their Relation to Bleeding","volume":"127","author":[{"family":"Paré","given":"Guillaume"},{"family":"Eriksson","given":"Niclas"},{"family":"Lehr","given":"Thorsten"},{"family":"Connolly","given":"Stuart"},{"family":"Eikelboom","given":"John"},{"family":"Ezekowitz","given":"Michael D."},{"family":"Axelsson","given":"Tomas"},{"family":"Haertter","given":"Sebastian"},{"family":"Oldgren","given":"Jonas"},{"family":"Reilly","given":"Paul"},{"family":"Siegbahn","given":"Agneta"},{"family":"Syvanen","given":"Ann-Christine"},{"family":"Wadelius","given":"Claes"},{"family":"Wadelius","given":"Mia"},{"family":"Zimdahl-Gelling","given":"Heike"},{"family":"Yusuf","given":"Salim"},{"family":"Wallentin","given":"Lars"}],"issued":{"date-parts":[["2013",4,2]]}}}],"schema":"https://github.com/citation-style-language/schema/raw/master/csl-citation.json"} </w:instrText>
      </w:r>
      <w:r w:rsidR="00AD3C4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w:t>
      </w:r>
      <w:r w:rsidR="00AD3C40">
        <w:rPr>
          <w:rFonts w:ascii="Times New Roman" w:hAnsi="Times New Roman" w:cs="Times New Roman"/>
          <w:sz w:val="28"/>
          <w:szCs w:val="28"/>
          <w:lang w:bidi="ar-SA"/>
        </w:rPr>
        <w:fldChar w:fldCharType="end"/>
      </w:r>
      <w:r w:rsidR="008478DD" w:rsidRPr="008478DD">
        <w:rPr>
          <w:rFonts w:ascii="Times New Roman" w:hAnsi="Times New Roman" w:cs="Times New Roman"/>
          <w:sz w:val="28"/>
          <w:szCs w:val="28"/>
          <w:lang w:bidi="ar-SA"/>
        </w:rPr>
        <w:t xml:space="preserve">. Анализ выявил статистически значимую ассоциацию между наличием минорного аллея </w:t>
      </w:r>
      <w:r w:rsidR="008478DD">
        <w:rPr>
          <w:rFonts w:ascii="Times New Roman" w:hAnsi="Times New Roman" w:cs="Times New Roman"/>
          <w:sz w:val="28"/>
          <w:szCs w:val="28"/>
          <w:lang w:val="en-US" w:bidi="ar-SA"/>
        </w:rPr>
        <w:t>SNP</w:t>
      </w:r>
      <w:r w:rsidR="008478DD" w:rsidRPr="008478DD">
        <w:rPr>
          <w:rFonts w:ascii="Times New Roman" w:hAnsi="Times New Roman" w:cs="Times New Roman"/>
          <w:sz w:val="28"/>
          <w:szCs w:val="28"/>
          <w:lang w:bidi="ar-SA"/>
        </w:rPr>
        <w:t xml:space="preserve"> </w:t>
      </w:r>
      <w:r w:rsidR="008478DD">
        <w:rPr>
          <w:rFonts w:ascii="Times New Roman" w:hAnsi="Times New Roman" w:cs="Times New Roman"/>
          <w:sz w:val="28"/>
          <w:szCs w:val="28"/>
          <w:lang w:val="en-US" w:bidi="ar-SA"/>
        </w:rPr>
        <w:t>ABCB</w:t>
      </w:r>
      <w:r w:rsidR="008478DD" w:rsidRPr="008478DD">
        <w:rPr>
          <w:rFonts w:ascii="Times New Roman" w:hAnsi="Times New Roman" w:cs="Times New Roman"/>
          <w:sz w:val="28"/>
          <w:szCs w:val="28"/>
          <w:lang w:bidi="ar-SA"/>
        </w:rPr>
        <w:t>1</w:t>
      </w:r>
      <w:r w:rsidR="00AD3C40" w:rsidRPr="00AD3C40">
        <w:rPr>
          <w:rFonts w:ascii="Times New Roman" w:hAnsi="Times New Roman" w:cs="Times New Roman"/>
          <w:sz w:val="28"/>
          <w:szCs w:val="28"/>
          <w:lang w:bidi="ar-SA"/>
        </w:rPr>
        <w:t xml:space="preserve"> </w:t>
      </w:r>
      <w:r w:rsidR="00AD3C40">
        <w:rPr>
          <w:rFonts w:ascii="Times New Roman" w:hAnsi="Times New Roman" w:cs="Times New Roman"/>
          <w:sz w:val="28"/>
          <w:szCs w:val="28"/>
          <w:lang w:val="en-US" w:bidi="ar-SA"/>
        </w:rPr>
        <w:t>rs</w:t>
      </w:r>
      <w:r w:rsidR="00AD3C40" w:rsidRPr="00AD3C40">
        <w:rPr>
          <w:rFonts w:ascii="Times New Roman" w:hAnsi="Times New Roman" w:cs="Times New Roman"/>
          <w:sz w:val="28"/>
          <w:szCs w:val="28"/>
          <w:lang w:bidi="ar-SA"/>
        </w:rPr>
        <w:t>4148738</w:t>
      </w:r>
      <w:r w:rsidR="008478DD" w:rsidRPr="008478DD">
        <w:rPr>
          <w:rFonts w:ascii="Times New Roman" w:hAnsi="Times New Roman" w:cs="Times New Roman"/>
          <w:sz w:val="28"/>
          <w:szCs w:val="28"/>
          <w:lang w:bidi="ar-SA"/>
        </w:rPr>
        <w:t xml:space="preserve"> и увеличением пиковой концентрации</w:t>
      </w:r>
      <w:r w:rsidR="00AD3C40" w:rsidRPr="00AD3C40">
        <w:rPr>
          <w:rFonts w:ascii="Times New Roman" w:hAnsi="Times New Roman" w:cs="Times New Roman"/>
          <w:sz w:val="28"/>
          <w:szCs w:val="28"/>
          <w:lang w:bidi="ar-SA"/>
        </w:rPr>
        <w:t xml:space="preserve"> (</w:t>
      </w:r>
      <w:r w:rsidR="00AD3C40">
        <w:rPr>
          <w:rFonts w:ascii="Times New Roman" w:hAnsi="Times New Roman" w:cs="Times New Roman"/>
          <w:sz w:val="28"/>
          <w:szCs w:val="28"/>
          <w:lang w:val="en-US" w:bidi="ar-SA"/>
        </w:rPr>
        <w:t>C</w:t>
      </w:r>
      <w:r w:rsidR="00AD3C40" w:rsidRPr="00E2467A">
        <w:rPr>
          <w:rFonts w:ascii="Times New Roman" w:hAnsi="Times New Roman" w:cs="Times New Roman"/>
          <w:sz w:val="28"/>
          <w:szCs w:val="28"/>
          <w:vertAlign w:val="subscript"/>
          <w:lang w:val="en-US" w:bidi="ar-SA"/>
        </w:rPr>
        <w:t>max</w:t>
      </w:r>
      <w:r w:rsidR="00AD3C40" w:rsidRPr="00AD3C40">
        <w:rPr>
          <w:rFonts w:ascii="Times New Roman" w:hAnsi="Times New Roman" w:cs="Times New Roman"/>
          <w:sz w:val="28"/>
          <w:szCs w:val="28"/>
          <w:lang w:bidi="ar-SA"/>
        </w:rPr>
        <w:t>)</w:t>
      </w:r>
      <w:r w:rsidR="008478DD" w:rsidRPr="008478DD">
        <w:rPr>
          <w:rFonts w:ascii="Times New Roman" w:hAnsi="Times New Roman" w:cs="Times New Roman"/>
          <w:sz w:val="28"/>
          <w:szCs w:val="28"/>
          <w:lang w:bidi="ar-SA"/>
        </w:rPr>
        <w:t xml:space="preserve"> </w:t>
      </w:r>
      <w:r w:rsidR="00AD3C40">
        <w:rPr>
          <w:rFonts w:ascii="Times New Roman" w:hAnsi="Times New Roman" w:cs="Times New Roman"/>
          <w:sz w:val="28"/>
          <w:szCs w:val="28"/>
          <w:lang w:bidi="ar-SA"/>
        </w:rPr>
        <w:t xml:space="preserve">дабигатрана </w:t>
      </w:r>
      <w:r w:rsidR="008478DD" w:rsidRPr="008478DD">
        <w:rPr>
          <w:rFonts w:ascii="Times New Roman" w:hAnsi="Times New Roman" w:cs="Times New Roman"/>
          <w:sz w:val="28"/>
          <w:szCs w:val="28"/>
          <w:lang w:bidi="ar-SA"/>
        </w:rPr>
        <w:t>на 12%</w:t>
      </w:r>
      <w:r w:rsidR="00AD3C4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7bRFFRat","properties":{"unsorted":false,"formattedCitation":"[19]","plainCitation":"[19]","noteIndex":0},"citationItems":[{"id":682,"uris":["http://zotero.org/users/14784094/items/L3TI6FF7"],"itemData":{"id":682,"type":"article-journal","abstract":"Background—Fixed-dose unmonitored treatment with dabigatran etexilate is effective and has a favorable safety profile in the prevention of stroke in atrial fibrillation patients compared with warfarin. We hypothesized that genetic variants could contribute to interindividual variability in blood concentrations of the active metabolite of dabigatran etexilate and influence the safety and efficacy of dabigatran.\nMethods and Results—We successfully conducted a genome-wide association study in 2944 Randomized Evaluation of Long-term Anticoagulation Therapy (RE-LY) participants. The CES1 single-nucleotide polymorphism rs2244613 was associated with trough concentrations, and the ABCB1 single-nucleotide polymorphism rs4148738 and the CES1 singlenucleotide polymorphism rs8192935 were associated with peak concentrations at genome-wide significance (P&lt;9×10−8) with a gene-dose effect. Each minor allele of the CES1 single-nucleotide polymorphism rs2244613 was associated with lower trough concentrations (15% decrease per allele; 95% confidence interval, 10–19; P=1.2×10−8) and a lower risk of any bleeding (odds ratio, 0.67; 95% confidence interval, 0.55–0.82; P=7×10−5) in dabigatran-treated participants, with a consistent but nonsignificant lower risk of major bleeding (odds ratio, 0.66; 95% confidence interval, 0.43–1.01). The interaction between treatment (warfarin versus all dabigatran) and carrier status was statistically significant (P=0.002), with carriers having less bleeding with dabigatran than warfarin (hazard ratio, 0.59; 95% confidence interval, 0.46–0.76; P=5.2×10−5) in contrast to no difference in noncarriers (hazard ratio, 0.96; 95% confidence interval, 0.81–1.14; P=0.65). There was no association with ischemic events, and neither rs4148738 nor rs8192935 was associated with bleeding or ischemic events.\nConclusions—Genome-wide association analysis identified that carriage of the CES1 rs2244613 minor allele occurred in 32.8% of patients in RE-LY and was associated with lower exposure to active dabigatran metabolite. The presence of the polymorphism was associated with a lower risk of bleeding.","container-title":"Circulation","DOI":"10.1161/CIRCULATIONAHA.112.001233","ISSN":"0009-7322, 1524-4539","issue":"13","journalAbbreviation":"Circulation","language":"en","page":"1404-1412","source":"DOI.org (Crossref)","title":"Genetic Determinants of Dabigatran Plasma Levels and Their Relation to Bleeding","volume":"127","author":[{"family":"Paré","given":"Guillaume"},{"family":"Eriksson","given":"Niclas"},{"family":"Lehr","given":"Thorsten"},{"family":"Connolly","given":"Stuart"},{"family":"Eikelboom","given":"John"},{"family":"Ezekowitz","given":"Michael D."},{"family":"Axelsson","given":"Tomas"},{"family":"Haertter","given":"Sebastian"},{"family":"Oldgren","given":"Jonas"},{"family":"Reilly","given":"Paul"},{"family":"Siegbahn","given":"Agneta"},{"family":"Syvanen","given":"Ann-Christine"},{"family":"Wadelius","given":"Claes"},{"family":"Wadelius","given":"Mia"},{"family":"Zimdahl-Gelling","given":"Heike"},{"family":"Yusuf","given":"Salim"},{"family":"Wallentin","given":"Lars"}],"issued":{"date-parts":[["2013",4,2]]}}}],"schema":"https://github.com/citation-style-language/schema/raw/master/csl-citation.json"} </w:instrText>
      </w:r>
      <w:r w:rsidR="00AD3C4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w:t>
      </w:r>
      <w:r w:rsidR="00AD3C40">
        <w:rPr>
          <w:rFonts w:ascii="Times New Roman" w:hAnsi="Times New Roman" w:cs="Times New Roman"/>
          <w:sz w:val="28"/>
          <w:szCs w:val="28"/>
          <w:lang w:bidi="ar-SA"/>
        </w:rPr>
        <w:fldChar w:fldCharType="end"/>
      </w:r>
      <w:r w:rsidR="008478DD" w:rsidRPr="008478DD">
        <w:rPr>
          <w:rFonts w:ascii="Times New Roman" w:hAnsi="Times New Roman" w:cs="Times New Roman"/>
          <w:sz w:val="28"/>
          <w:szCs w:val="28"/>
          <w:lang w:bidi="ar-SA"/>
        </w:rPr>
        <w:t xml:space="preserve">. Однако результаты исследования </w:t>
      </w:r>
      <w:r w:rsidR="00AD3C40">
        <w:rPr>
          <w:rFonts w:ascii="Times New Roman" w:hAnsi="Times New Roman" w:cs="Times New Roman"/>
          <w:sz w:val="28"/>
          <w:szCs w:val="28"/>
          <w:lang w:val="en-US" w:bidi="ar-SA"/>
        </w:rPr>
        <w:t>Dimatteo</w:t>
      </w:r>
      <w:r w:rsidR="00AD3C40" w:rsidRPr="00AD3C40">
        <w:rPr>
          <w:rFonts w:ascii="Times New Roman" w:hAnsi="Times New Roman" w:cs="Times New Roman"/>
          <w:sz w:val="28"/>
          <w:szCs w:val="28"/>
          <w:lang w:bidi="ar-SA"/>
        </w:rPr>
        <w:t xml:space="preserve"> </w:t>
      </w:r>
      <w:r w:rsidR="008478DD" w:rsidRPr="008478DD">
        <w:rPr>
          <w:rFonts w:ascii="Times New Roman" w:hAnsi="Times New Roman" w:cs="Times New Roman"/>
          <w:sz w:val="28"/>
          <w:szCs w:val="28"/>
          <w:lang w:bidi="ar-SA"/>
        </w:rPr>
        <w:t>и соавторов</w:t>
      </w:r>
      <w:r w:rsidR="00AD3C40" w:rsidRPr="00AD3C40">
        <w:rPr>
          <w:rFonts w:ascii="Times New Roman" w:hAnsi="Times New Roman" w:cs="Times New Roman"/>
          <w:sz w:val="28"/>
          <w:szCs w:val="28"/>
          <w:lang w:bidi="ar-SA"/>
        </w:rPr>
        <w:t xml:space="preserve"> (2016)</w:t>
      </w:r>
      <w:r w:rsidR="008478DD" w:rsidRPr="008478DD">
        <w:rPr>
          <w:rFonts w:ascii="Times New Roman" w:hAnsi="Times New Roman" w:cs="Times New Roman"/>
          <w:sz w:val="28"/>
          <w:szCs w:val="28"/>
          <w:lang w:bidi="ar-SA"/>
        </w:rPr>
        <w:t>, проведенного на выборке из 92 пациентов европеоидн</w:t>
      </w:r>
      <w:r w:rsidR="00AD3C40">
        <w:rPr>
          <w:rFonts w:ascii="Times New Roman" w:hAnsi="Times New Roman" w:cs="Times New Roman"/>
          <w:sz w:val="28"/>
          <w:szCs w:val="28"/>
          <w:lang w:bidi="ar-SA"/>
        </w:rPr>
        <w:t xml:space="preserve">ой </w:t>
      </w:r>
      <w:r w:rsidR="008478DD" w:rsidRPr="008478DD">
        <w:rPr>
          <w:rFonts w:ascii="Times New Roman" w:hAnsi="Times New Roman" w:cs="Times New Roman"/>
          <w:sz w:val="28"/>
          <w:szCs w:val="28"/>
          <w:lang w:bidi="ar-SA"/>
        </w:rPr>
        <w:t xml:space="preserve">расы с </w:t>
      </w:r>
      <w:r w:rsidR="00AD3C40">
        <w:rPr>
          <w:rFonts w:ascii="Times New Roman" w:hAnsi="Times New Roman" w:cs="Times New Roman"/>
          <w:sz w:val="28"/>
          <w:szCs w:val="28"/>
          <w:lang w:bidi="ar-SA"/>
        </w:rPr>
        <w:t xml:space="preserve">ФП, не подтвердили значимого влияния полиморфизма </w:t>
      </w:r>
      <w:r w:rsidR="00AD3C40">
        <w:rPr>
          <w:rFonts w:ascii="Times New Roman" w:hAnsi="Times New Roman" w:cs="Times New Roman"/>
          <w:sz w:val="28"/>
          <w:szCs w:val="28"/>
          <w:lang w:val="en-US" w:bidi="ar-SA"/>
        </w:rPr>
        <w:t>rs</w:t>
      </w:r>
      <w:r w:rsidR="00AD3C40" w:rsidRPr="00AD3C40">
        <w:rPr>
          <w:rFonts w:ascii="Times New Roman" w:hAnsi="Times New Roman" w:cs="Times New Roman"/>
          <w:sz w:val="28"/>
          <w:szCs w:val="28"/>
          <w:lang w:bidi="ar-SA"/>
        </w:rPr>
        <w:t xml:space="preserve">4148738 </w:t>
      </w:r>
      <w:r w:rsidR="00AD3C40">
        <w:rPr>
          <w:rFonts w:ascii="Times New Roman" w:hAnsi="Times New Roman" w:cs="Times New Roman"/>
          <w:sz w:val="28"/>
          <w:szCs w:val="28"/>
          <w:lang w:bidi="ar-SA"/>
        </w:rPr>
        <w:t>на пиковые и минимальные концентрации дабигатрана в плазме крови</w:t>
      </w:r>
      <w:r w:rsidR="00AD3C4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{"citationID":"SQVaQBDl","properties":{"unsorted":false,"formattedCitation":"[18]","plainCitation":"[18]","noteIndex":0},"citationItems":[{"id":740,"uris":["http://zotero.org/users/14784094/items/L23HNCYG"],"itemData":{"id":740,"type":"article-journal","abstract":"Introduction: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schema":"https://github.com/citation-style-language/schema/raw/master/csl-citation.json"} </w:instrText>
      </w:r>
      <w:r w:rsidR="00AD3C4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w:t>
      </w:r>
      <w:r w:rsidR="00AD3C40">
        <w:rPr>
          <w:rFonts w:ascii="Times New Roman" w:hAnsi="Times New Roman" w:cs="Times New Roman"/>
          <w:sz w:val="28"/>
          <w:szCs w:val="28"/>
          <w:lang w:bidi="ar-SA"/>
        </w:rPr>
        <w:fldChar w:fldCharType="end"/>
      </w:r>
      <w:r w:rsidR="00AD3C40" w:rsidRPr="00AD3C40">
        <w:rPr>
          <w:rFonts w:ascii="Times New Roman" w:hAnsi="Times New Roman" w:cs="Times New Roman"/>
          <w:sz w:val="28"/>
          <w:szCs w:val="28"/>
          <w:lang w:bidi="ar-SA"/>
        </w:rPr>
        <w:t xml:space="preserve">. </w:t>
      </w:r>
      <w:r w:rsidR="00AD3C40">
        <w:rPr>
          <w:rFonts w:ascii="Times New Roman" w:hAnsi="Times New Roman" w:cs="Times New Roman"/>
          <w:sz w:val="28"/>
          <w:szCs w:val="28"/>
          <w:lang w:bidi="ar-SA"/>
        </w:rPr>
        <w:t xml:space="preserve">Противоречивость данных подчеркивается в работе </w:t>
      </w:r>
      <w:r w:rsidR="00323E64">
        <w:rPr>
          <w:rFonts w:ascii="Times New Roman" w:hAnsi="Times New Roman" w:cs="Times New Roman"/>
          <w:sz w:val="28"/>
          <w:szCs w:val="28"/>
          <w:lang w:bidi="ar-SA"/>
        </w:rPr>
        <w:t>Сычева</w:t>
      </w:r>
      <w:r w:rsidR="00AD3C40">
        <w:rPr>
          <w:rFonts w:ascii="Times New Roman" w:hAnsi="Times New Roman" w:cs="Times New Roman"/>
          <w:sz w:val="28"/>
          <w:szCs w:val="28"/>
          <w:lang w:bidi="ar-SA"/>
        </w:rPr>
        <w:t xml:space="preserve"> и коллег, где у 60 пациентов после тотального эндопротезирования коленного сустава анализировалось влияние </w:t>
      </w:r>
      <w:r w:rsidR="00AD3C40">
        <w:rPr>
          <w:rFonts w:ascii="Times New Roman" w:hAnsi="Times New Roman" w:cs="Times New Roman"/>
          <w:sz w:val="28"/>
          <w:szCs w:val="28"/>
          <w:lang w:val="en-US" w:bidi="ar-SA"/>
        </w:rPr>
        <w:t>SNP</w:t>
      </w:r>
      <w:r w:rsidR="00AD3C40" w:rsidRPr="00AD3C40">
        <w:rPr>
          <w:rFonts w:ascii="Times New Roman" w:hAnsi="Times New Roman" w:cs="Times New Roman"/>
          <w:sz w:val="28"/>
          <w:szCs w:val="28"/>
          <w:lang w:bidi="ar-SA"/>
        </w:rPr>
        <w:t xml:space="preserve"> </w:t>
      </w:r>
      <w:r w:rsidR="00AD3C40">
        <w:rPr>
          <w:rFonts w:ascii="Times New Roman" w:hAnsi="Times New Roman" w:cs="Times New Roman"/>
          <w:sz w:val="28"/>
          <w:szCs w:val="28"/>
          <w:lang w:val="en-US" w:bidi="ar-SA"/>
        </w:rPr>
        <w:t>ABCB</w:t>
      </w:r>
      <w:r w:rsidR="00AD3C40" w:rsidRPr="00AD3C40">
        <w:rPr>
          <w:rFonts w:ascii="Times New Roman" w:hAnsi="Times New Roman" w:cs="Times New Roman"/>
          <w:sz w:val="28"/>
          <w:szCs w:val="28"/>
          <w:lang w:bidi="ar-SA"/>
        </w:rPr>
        <w:t xml:space="preserve">1 </w:t>
      </w:r>
      <w:r w:rsidR="00AD3C40">
        <w:rPr>
          <w:rFonts w:ascii="Times New Roman" w:hAnsi="Times New Roman" w:cs="Times New Roman"/>
          <w:sz w:val="28"/>
          <w:szCs w:val="28"/>
          <w:lang w:val="en-US" w:bidi="ar-SA"/>
        </w:rPr>
        <w:t>rs</w:t>
      </w:r>
      <w:r w:rsidR="00AD3C40" w:rsidRPr="00AD3C40">
        <w:rPr>
          <w:rFonts w:ascii="Times New Roman" w:hAnsi="Times New Roman" w:cs="Times New Roman"/>
          <w:sz w:val="28"/>
          <w:szCs w:val="28"/>
          <w:lang w:bidi="ar-SA"/>
        </w:rPr>
        <w:t xml:space="preserve">1045642 </w:t>
      </w:r>
      <w:r w:rsidR="00AD3C40">
        <w:rPr>
          <w:rFonts w:ascii="Times New Roman" w:hAnsi="Times New Roman" w:cs="Times New Roman"/>
          <w:sz w:val="28"/>
          <w:szCs w:val="28"/>
          <w:lang w:bidi="ar-SA"/>
        </w:rPr>
        <w:t xml:space="preserve">и </w:t>
      </w:r>
      <w:r w:rsidR="00AD3C40">
        <w:rPr>
          <w:rFonts w:ascii="Times New Roman" w:hAnsi="Times New Roman" w:cs="Times New Roman"/>
          <w:sz w:val="28"/>
          <w:szCs w:val="28"/>
          <w:lang w:val="en-US" w:bidi="ar-SA"/>
        </w:rPr>
        <w:t>rs</w:t>
      </w:r>
      <w:r w:rsidR="00AD3C40" w:rsidRPr="00AD3C40">
        <w:rPr>
          <w:rFonts w:ascii="Times New Roman" w:hAnsi="Times New Roman" w:cs="Times New Roman"/>
          <w:sz w:val="28"/>
          <w:szCs w:val="28"/>
          <w:lang w:bidi="ar-SA"/>
        </w:rPr>
        <w:t xml:space="preserve">4148738 </w:t>
      </w:r>
      <w:r w:rsidR="00AD3C40">
        <w:rPr>
          <w:rFonts w:ascii="Times New Roman" w:hAnsi="Times New Roman" w:cs="Times New Roman"/>
          <w:sz w:val="28"/>
          <w:szCs w:val="28"/>
          <w:lang w:bidi="ar-SA"/>
        </w:rPr>
        <w:t>на фармакокинетические параметры дабигатрана</w:t>
      </w:r>
      <w:r w:rsidR="00AD3C40">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{"citationID":"xxH9QJvN","properties":{"unsorted":false,"formattedCitation":"[200]","plainCitation":"[200]","noteIndex":0},"citationItems":[{"id":60,"uris":["http://zotero.org/users/14784094/items/PUXWU9EF"],"itemData":{"id":60,"type":"article-journal","abstract":"BACKGROUND: Non-vitamin K oral anticoagulants (NOACs) are commonly used for prophylaxis of venous thromboembolism (VTE) in orthopedic patients. Despite known safety and high potency of NOACs, potential interactions of NOACs with genetic polymorphisms are poorly understood. Dabigatran etexilate is one of the most commonly prescribed direct thrombin inhibitors for the prevention of VTE. The objectives of this study were to assess the effect of ABCB1 (rs1045642 and rs4148738) and CES1 (rs2244613) polymorphisms on dabigatran pharmacokinetics in patients after total knee arthroplasty.\nPATIENTS AND METHODS: A total of 60 patients, aged 37-81 years, who underwent surgery for knee replacement have been included in the study. VTE prophylaxis was conducted via administration of dabigatran etexilate 220 mg once daily. Genotyping for carrier state of polymorphic variants such as rs1045642 and rs4148738 of the ABCB1 gene and rs2244613 of the CES1 gene was carried out using real-time polymerase chain reaction (PCR). We also measured the peak and trough concentrations of plasma dabigatran by using high-performance liquid chromatography (HPLC).\nRESULTS: Our study revealed that TT genotype of rs1045642 polymorphism of the ABCB1 gene was associated with higher dabigatran equilibrium peak concentrations and the higher risk of bleeding than the presence of CC genotype (p&lt;0.008). There was no statistically significant genotype-dependent difference in the trough concentrations between rs1045642 and rs4148738 of the ABCB1 gene and rs2244613 of the CES1 gene.\nCONCLUSION: Our findings indicate that the polymorphisms of ABCB1 rs1045642 may have a prominent contribution to the safety of dabigatran in patients after knee surgery. Moreover, TT genotype may be associated with the higher risk of hemorrhagic complications in this population. There were no influence of polymorphism of ABCB1 rs4148738 and CES1 rs2244613 on dabigatran peak and through concentrations. Larger studies are needed to confirm our observations.","container-title":"Pharmacogenomics and Personalized Medicine","DOI":"10.2147/PGPM.S169277","ISSN":"1178-7066","journalAbbreviation":"Pharmgenomics Pers Med","language":"eng","page":"127-137","PMID":"30100750","PMCID":"PMC6064159","source":"PubMed","title":"The impact of ABCB1 (rs1045642 and rs4148738) and CES1 (rs2244613) gene polymorphisms on dabigatran equilibrium peak concentration in patients after total knee arthroplasty","volume":"11","author":[{"family":"Sychev","given":"Dmitriy Alekseevich"},{"family":"Levanov","given":"Alexander Nikolaevich"},{"family":"Shelekhova","given":"Tatiana Vladimirovna"},{"family":"Bochkov","given":"Pavel Olegovich"},{"family":"Denisenko","given":"Natalia Pavlovna"},{"family":"Ryzhikova","given":"Kristina Anatolyevna"},{"family":"Mirzaev","given":"Karin Badavievich"},{"family":"Grishina","given":"Elena Anatolyevna"},{"family":"Gavrilov","given":"Mikhail Alekseevich"},{"family":"Ramenskaya","given":"Galina Vladislavovna"},{"family":"Kozlov","given":"Aleksei Vladimirovich"},{"family":"Bogoslovsky","given":"Tanya"}],"issued":{"date-parts":[["2018"]]}}}],"schema":"https://github.com/citation-style-language/schema/raw/master/csl-citation.json"} </w:instrText>
      </w:r>
      <w:r w:rsidR="00AD3C40">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[200]</w:t>
      </w:r>
      <w:r w:rsidR="00AD3C40">
        <w:rPr>
          <w:rFonts w:ascii="Times New Roman" w:hAnsi="Times New Roman" w:cs="Times New Roman"/>
          <w:sz w:val="28"/>
          <w:szCs w:val="28"/>
          <w:lang w:bidi="ar-SA"/>
        </w:rPr>
        <w:fldChar w:fldCharType="end"/>
      </w:r>
      <w:r w:rsidR="00AD3C40" w:rsidRPr="001703A6">
        <w:rPr>
          <w:rFonts w:ascii="Times New Roman" w:hAnsi="Times New Roman" w:cs="Times New Roman"/>
          <w:sz w:val="28"/>
          <w:szCs w:val="28"/>
          <w:lang w:bidi="ar-SA"/>
        </w:rPr>
        <w:t xml:space="preserve">. </w:t>
      </w:r>
      <w:r w:rsidR="001703A6" w:rsidRPr="001703A6">
        <w:rPr>
          <w:rFonts w:ascii="Times New Roman" w:hAnsi="Times New Roman" w:cs="Times New Roman"/>
          <w:sz w:val="28"/>
          <w:szCs w:val="28"/>
          <w:lang w:bidi="ar-SA"/>
        </w:rPr>
        <w:t xml:space="preserve">Исследователи установили, что генотип </w:t>
      </w:r>
      <w:r w:rsidR="001703A6">
        <w:rPr>
          <w:rFonts w:ascii="Times New Roman" w:hAnsi="Times New Roman" w:cs="Times New Roman"/>
          <w:sz w:val="28"/>
          <w:szCs w:val="28"/>
          <w:lang w:val="en-US" w:bidi="ar-SA"/>
        </w:rPr>
        <w:t>TT</w:t>
      </w:r>
      <w:r w:rsidR="001703A6" w:rsidRPr="001703A6">
        <w:rPr>
          <w:rFonts w:ascii="Times New Roman" w:hAnsi="Times New Roman" w:cs="Times New Roman"/>
          <w:sz w:val="28"/>
          <w:szCs w:val="28"/>
          <w:lang w:bidi="ar-SA"/>
        </w:rPr>
        <w:t xml:space="preserve"> по </w:t>
      </w:r>
      <w:r w:rsidR="001703A6">
        <w:rPr>
          <w:rFonts w:ascii="Times New Roman" w:hAnsi="Times New Roman" w:cs="Times New Roman"/>
          <w:sz w:val="28"/>
          <w:szCs w:val="28"/>
          <w:lang w:val="en-US" w:bidi="ar-SA"/>
        </w:rPr>
        <w:t>SNP</w:t>
      </w:r>
      <w:r w:rsidR="001703A6" w:rsidRP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val="en-US" w:bidi="ar-SA"/>
        </w:rPr>
        <w:t>ABCB</w:t>
      </w:r>
      <w:r w:rsidR="001703A6" w:rsidRPr="001703A6">
        <w:rPr>
          <w:rFonts w:ascii="Times New Roman" w:hAnsi="Times New Roman" w:cs="Times New Roman"/>
          <w:sz w:val="28"/>
          <w:szCs w:val="28"/>
          <w:lang w:bidi="ar-SA"/>
        </w:rPr>
        <w:t xml:space="preserve">1 </w:t>
      </w:r>
      <w:r w:rsidR="001703A6">
        <w:rPr>
          <w:rFonts w:ascii="Times New Roman" w:hAnsi="Times New Roman" w:cs="Times New Roman"/>
          <w:sz w:val="28"/>
          <w:szCs w:val="28"/>
          <w:lang w:val="en-US" w:bidi="ar-SA"/>
        </w:rPr>
        <w:t>rs</w:t>
      </w:r>
      <w:r w:rsidR="001703A6" w:rsidRPr="001703A6">
        <w:rPr>
          <w:rFonts w:ascii="Times New Roman" w:hAnsi="Times New Roman" w:cs="Times New Roman"/>
          <w:sz w:val="28"/>
          <w:szCs w:val="28"/>
          <w:lang w:bidi="ar-SA"/>
        </w:rPr>
        <w:t xml:space="preserve">1045642 ассоциировался с более высокими пиковыми концентрациями </w:t>
      </w:r>
      <w:r w:rsidR="001703A6">
        <w:rPr>
          <w:rFonts w:ascii="Times New Roman" w:hAnsi="Times New Roman" w:cs="Times New Roman"/>
          <w:sz w:val="28"/>
          <w:szCs w:val="28"/>
          <w:lang w:bidi="ar-SA"/>
        </w:rPr>
        <w:t>дабигатрана</w:t>
      </w:r>
      <w:r w:rsidR="001703A6" w:rsidRPr="001703A6">
        <w:rPr>
          <w:rFonts w:ascii="Times New Roman" w:hAnsi="Times New Roman" w:cs="Times New Roman"/>
          <w:sz w:val="28"/>
          <w:szCs w:val="28"/>
          <w:lang w:bidi="ar-SA"/>
        </w:rPr>
        <w:t xml:space="preserve"> и повышенным риском геморрагических событий по сравнению с генотипом </w:t>
      </w:r>
      <w:r w:rsidR="001703A6">
        <w:rPr>
          <w:rFonts w:ascii="Times New Roman" w:hAnsi="Times New Roman" w:cs="Times New Roman"/>
          <w:sz w:val="28"/>
          <w:szCs w:val="28"/>
          <w:lang w:val="en-US" w:bidi="ar-SA"/>
        </w:rPr>
        <w:t>CC</w:t>
      </w:r>
      <w:r w:rsidR="001703A6">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{"citationID":"R7BfSCvS","properties":{"unsorted":false,"formattedCitation":"[200]","plainCitation":"[200]","noteIndex":0},"citationItems":[{"id":60,"uris":["http://zotero.org/users/14784094/items/PUXWU9EF"],"itemData":{"id":60,"type":"article-journal","abstract":"BACKGROUND: Non-vitamin K oral anticoagulants (NOACs) are commonly used for prophylaxis of venous thromboembolism (VTE) in orthopedic patients. Despite known safety and high potency of NOACs, potential interactions of NOACs with genetic polymorphisms are poorly understood. Dabigatran etexilate is one of the most commonly prescribed direct thrombin inhibitors for the prevention of VTE. The objectives of this study were to assess the effect of ABCB1 (rs1045642 and rs4148738) and CES1 (rs2244613) polymorphisms on dabigatran pharmacokinetics in patients after total knee arthroplasty.\nPATIENTS AND METHODS: A total of 60 patients, aged 37-81 years, who underwent surgery for knee replacement have been included in the study. VTE prophylaxis was conducted via administration of dabigatran etexilate 220 mg once daily. Genotyping for carrier state of polymorphic variants such as rs1045642 and rs4148738 of the ABCB1 gene and rs2244613 of the CES1 gene was carried out using real-time polymerase chain reaction (PCR). We also measured the peak and trough concentrations of plasma dabigatran by using high-performance liquid chromatography (HPLC).\nRESULTS: Our study revealed that TT genotype of rs1045642 polymorphism of the ABCB1 gene was associated with higher dabigatran equilibrium peak concentrations and the higher risk of bleeding than the presence of CC genotype (p&lt;0.008). There was no statistically significant genotype-dependent difference in the trough concentrations between rs1045642 and rs4148738 of the ABCB1 gene and rs2244613 of the CES1 gene.\nCONCLUSION: Our findings indicate that the polymorphisms of ABCB1 rs1045642 may have a prominent contribution to the safety of dabigatran in patients after knee surgery. Moreover, TT genotype may be associated with the higher risk of hemorrhagic complications in this population. There were no influence of polymorphism of ABCB1 rs4148738 and CES1 rs2244613 on dabigatran peak and through concentrations. Larger studies are needed to confirm our observations.","container-title":"Pharmacogenomics and Personalized Medicine","DOI":"10.2147/PGPM.S169277","ISSN":"1178-7066","journalAbbreviation":"Pharmgenomics Pers Med","language":"eng","page":"127-137","PMID":"30100750","PMCID":"PMC6064159","source":"PubMed","title":"The impact of ABCB1 (rs1045642 and rs4148738) and CES1 (rs2244613) gene polymorphisms on dabigatran equilibrium peak concentration in patients after total knee arthroplasty","volume":"11","author":[{"family":"Sychev","given":"Dmitriy Alekseevich"},{"family":"Levanov","given":"Alexander Nikolaevich"},{"family":"Shelekhova","given":"Tatiana Vladimirovna"},{"family":"Bochkov","given":"Pavel Olegovich"},{"family":"Denisenko","given":"Natalia Pavlovna"},{"family":"Ryzhikova","given":"Kristina Anatolyevna"},{"family":"Mirzaev","given":"Karin Badavievich"},{"family":"Grishina","given":"Elena Anatolyevna"},{"family":"Gavrilov","given":"Mikhail Alekseevich"},{"family":"Ramenskaya","given":"Galina Vladislavovna"},{"family":"Kozlov","given":"Aleksei Vladimirovich"},{"family":"Bogoslovsky","given":"Tanya"}],"issued":{"date-parts":[["2018"]]}}}],"schema":"https://github.com/citation-style-language/schema/raw/master/csl-citation.json"} </w:instrText>
      </w:r>
      <w:r w:rsidR="001703A6">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[200]</w:t>
      </w:r>
      <w:r w:rsidR="001703A6">
        <w:rPr>
          <w:rFonts w:ascii="Times New Roman" w:hAnsi="Times New Roman" w:cs="Times New Roman"/>
          <w:sz w:val="28"/>
          <w:szCs w:val="28"/>
          <w:lang w:val="en-US" w:bidi="ar-SA"/>
        </w:rPr>
        <w:fldChar w:fldCharType="end"/>
      </w:r>
      <w:r w:rsidR="001703A6" w:rsidRPr="001703A6">
        <w:rPr>
          <w:rFonts w:ascii="Times New Roman" w:hAnsi="Times New Roman" w:cs="Times New Roman"/>
          <w:sz w:val="28"/>
          <w:szCs w:val="28"/>
          <w:lang w:bidi="ar-SA"/>
        </w:rPr>
        <w:t xml:space="preserve">. В то же время, для полиморфизма </w:t>
      </w:r>
      <w:r w:rsidR="001703A6">
        <w:rPr>
          <w:rFonts w:ascii="Times New Roman" w:hAnsi="Times New Roman" w:cs="Times New Roman"/>
          <w:sz w:val="28"/>
          <w:szCs w:val="28"/>
          <w:lang w:val="en-US" w:bidi="ar-SA"/>
        </w:rPr>
        <w:t>rs</w:t>
      </w:r>
      <w:r w:rsidR="001703A6" w:rsidRPr="001703A6">
        <w:rPr>
          <w:rFonts w:ascii="Times New Roman" w:hAnsi="Times New Roman" w:cs="Times New Roman"/>
          <w:sz w:val="28"/>
          <w:szCs w:val="28"/>
          <w:lang w:bidi="ar-SA"/>
        </w:rPr>
        <w:t>4148738 значимой связи с изменением ни пиковых, н</w:t>
      </w:r>
      <w:r w:rsidR="00AC6F44">
        <w:rPr>
          <w:rFonts w:ascii="Times New Roman" w:hAnsi="Times New Roman" w:cs="Times New Roman"/>
          <w:sz w:val="28"/>
          <w:szCs w:val="28"/>
          <w:lang w:val="kk-KZ" w:bidi="ar-SA"/>
        </w:rPr>
        <w:t xml:space="preserve">и </w:t>
      </w:r>
      <w:r w:rsidR="001703A6" w:rsidRPr="001703A6">
        <w:rPr>
          <w:rFonts w:ascii="Times New Roman" w:hAnsi="Times New Roman" w:cs="Times New Roman"/>
          <w:sz w:val="28"/>
          <w:szCs w:val="28"/>
          <w:lang w:bidi="ar-SA"/>
        </w:rPr>
        <w:t>минимальных концентраци</w:t>
      </w:r>
      <w:r w:rsidR="001703A6">
        <w:rPr>
          <w:rFonts w:ascii="Times New Roman" w:hAnsi="Times New Roman" w:cs="Times New Roman"/>
          <w:sz w:val="28"/>
          <w:szCs w:val="28"/>
          <w:lang w:bidi="ar-SA"/>
        </w:rPr>
        <w:t>й</w:t>
      </w:r>
      <w:r w:rsidR="001703A6" w:rsidRP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bidi="ar-SA"/>
        </w:rPr>
        <w:t>дабигатрана</w:t>
      </w:r>
      <w:r w:rsidR="001703A6" w:rsidRPr="001703A6">
        <w:rPr>
          <w:rFonts w:ascii="Times New Roman" w:hAnsi="Times New Roman" w:cs="Times New Roman"/>
          <w:sz w:val="28"/>
          <w:szCs w:val="28"/>
          <w:lang w:bidi="ar-SA"/>
        </w:rPr>
        <w:t xml:space="preserve"> обнаружено не было</w:t>
      </w:r>
      <w:r w:rsidR="001703A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{"citationID":"g8jauM0Q","properties":{"unsorted":false,"formattedCitation":"[200]","plainCitation":"[200]","noteIndex":0},"citationItems":[{"id":60,"uris":["http://zotero.org/users/14784094/items/PUXWU9EF"],"itemData":{"id":60,"type":"article-journal","abstract":"BACKGROUND: Non-vitamin K oral anticoagulants (NOACs) are commonly used for prophylaxis of venous thromboembolism (VTE) in orthopedic patients. Despite known safety and high potency of NOACs, potential interactions of NOACs with genetic polymorphisms are poorly understood. Dabigatran etexilate is one of the most commonly prescribed direct thrombin inhibitors for the prevention of VTE. The objectives of this study were to assess the effect of ABCB1 (rs1045642 and rs4148738) and CES1 (rs2244613) polymorphisms on dabigatran pharmacokinetics in patients after total knee arthroplasty.\nPATIENTS AND METHODS: A total of 60 patients, aged 37-81 years, who underwent surgery for knee replacement have been included in the study. VTE prophylaxis was conducted via administration of dabigatran etexilate 220 mg once daily. Genotyping for carrier state of polymorphic variants such as rs1045642 and rs4148738 of the ABCB1 gene and rs2244613 of the CES1 gene was carried out using real-time polymerase chain reaction (PCR). We also measured the peak and trough concentrations of plasma dabigatran by using high-performance liquid chromatography (HPLC).\nRESULTS: Our study revealed that TT genotype of rs1045642 polymorphism of the ABCB1 gene was associated with higher dabigatran equilibrium peak concentrations and the higher risk of bleeding than the presence of CC genotype (p&lt;0.008). There was no statistically significant genotype-dependent difference in the trough concentrations between rs1045642 and rs4148738 of the ABCB1 gene and rs2244613 of the CES1 gene.\nCONCLUSION: Our findings indicate that the polymorphisms of ABCB1 rs1045642 may have a prominent contribution to the safety of dabigatran in patients after knee surgery. Moreover, TT genotype may be associated with the higher risk of hemorrhagic complications in this population. There were no influence of polymorphism of ABCB1 rs4148738 and CES1 rs2244613 on dabigatran peak and through concentrations. Larger studies are needed to confirm our observations.","container-title":"Pharmacogenomics and Personalized Medicine","DOI":"10.2147/PGPM.S169277","ISSN":"1178-7066","journalAbbreviation":"Pharmgenomics Pers Med","language":"eng","page":"127-137","PMID":"30100750","PMCID":"PMC6064159","source":"PubMed","title":"The impact of ABCB1 (rs1045642 and rs4148738) and CES1 (rs2244613) gene polymorphisms on dabigatran equilibrium peak concentration in patients after total knee arthroplasty","volume":"11","author":[{"family":"Sychev","given":"Dmitriy Alekseevich"},{"family":"Levanov","given":"Alexander Nikolaevich"},{"family":"Shelekhova","given":"Tatiana Vladimirovna"},{"family":"Bochkov","given":"Pavel Olegovich"},{"family":"Denisenko","given":"Natalia Pavlovna"},{"family":"Ryzhikova","given":"Kristina Anatolyevna"},{"family":"Mirzaev","given":"Karin Badavievich"},{"family":"Grishina","given":"Elena Anatolyevna"},{"family":"Gavrilov","given":"Mikhail Alekseevich"},{"family":"Ramenskaya","given":"Galina Vladislavovna"},{"family":"Kozlov","given":"Aleksei Vladimirovich"},{"family":"Bogoslovsky","given":"Tanya"}],"issued":{"date-parts":[["2018"]]}}}],"schema":"https://github.com/citation-style-language/schema/raw/master/csl-citation.json"} </w:instrText>
      </w:r>
      <w:r w:rsidR="001703A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[200]</w:t>
      </w:r>
      <w:r w:rsidR="001703A6">
        <w:rPr>
          <w:rFonts w:ascii="Times New Roman" w:hAnsi="Times New Roman" w:cs="Times New Roman"/>
          <w:sz w:val="28"/>
          <w:szCs w:val="28"/>
          <w:lang w:bidi="ar-SA"/>
        </w:rPr>
        <w:fldChar w:fldCharType="end"/>
      </w:r>
      <w:r w:rsidR="001703A6" w:rsidRPr="001703A6">
        <w:rPr>
          <w:rFonts w:ascii="Times New Roman" w:hAnsi="Times New Roman" w:cs="Times New Roman"/>
          <w:sz w:val="28"/>
          <w:szCs w:val="28"/>
          <w:lang w:bidi="ar-SA"/>
        </w:rPr>
        <w:t xml:space="preserve">. Отсутствие существенных различий </w:t>
      </w:r>
      <w:r w:rsidR="001703A6">
        <w:rPr>
          <w:rFonts w:ascii="Times New Roman" w:hAnsi="Times New Roman" w:cs="Times New Roman"/>
          <w:sz w:val="28"/>
          <w:szCs w:val="28"/>
          <w:lang w:bidi="ar-SA"/>
        </w:rPr>
        <w:t xml:space="preserve">в </w:t>
      </w:r>
      <w:r w:rsidR="001703A6" w:rsidRPr="001703A6">
        <w:rPr>
          <w:rFonts w:ascii="Times New Roman" w:hAnsi="Times New Roman" w:cs="Times New Roman"/>
          <w:sz w:val="28"/>
          <w:szCs w:val="28"/>
          <w:lang w:bidi="ar-SA"/>
        </w:rPr>
        <w:t>фармакокинетике</w:t>
      </w:r>
      <w:r w:rsidR="001703A6">
        <w:rPr>
          <w:rFonts w:ascii="Times New Roman" w:hAnsi="Times New Roman" w:cs="Times New Roman"/>
          <w:sz w:val="28"/>
          <w:szCs w:val="28"/>
          <w:lang w:bidi="ar-SA"/>
        </w:rPr>
        <w:t xml:space="preserve"> дабигатрана </w:t>
      </w:r>
      <w:r w:rsidR="001703A6" w:rsidRPr="001703A6">
        <w:rPr>
          <w:rFonts w:ascii="Times New Roman" w:hAnsi="Times New Roman" w:cs="Times New Roman"/>
          <w:sz w:val="28"/>
          <w:szCs w:val="28"/>
          <w:lang w:bidi="ar-SA"/>
        </w:rPr>
        <w:t>среди носителей различных генотипов</w:t>
      </w:r>
      <w:r w:rsid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val="en-US" w:bidi="ar-SA"/>
        </w:rPr>
        <w:t>SNP</w:t>
      </w:r>
      <w:r w:rsidR="001703A6" w:rsidRP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val="en-US" w:bidi="ar-SA"/>
        </w:rPr>
        <w:t>ABCB</w:t>
      </w:r>
      <w:r w:rsidR="001703A6" w:rsidRPr="001703A6">
        <w:rPr>
          <w:rFonts w:ascii="Times New Roman" w:hAnsi="Times New Roman" w:cs="Times New Roman"/>
          <w:sz w:val="28"/>
          <w:szCs w:val="28"/>
          <w:lang w:bidi="ar-SA"/>
        </w:rPr>
        <w:t>1</w:t>
      </w:r>
      <w:r w:rsid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val="en-US" w:bidi="ar-SA"/>
        </w:rPr>
        <w:t>rs</w:t>
      </w:r>
      <w:r w:rsidR="001703A6" w:rsidRPr="001703A6">
        <w:rPr>
          <w:rFonts w:ascii="Times New Roman" w:hAnsi="Times New Roman" w:cs="Times New Roman"/>
          <w:sz w:val="28"/>
          <w:szCs w:val="28"/>
          <w:lang w:bidi="ar-SA"/>
        </w:rPr>
        <w:t xml:space="preserve">4148738 </w:t>
      </w:r>
      <w:r w:rsidR="001703A6">
        <w:rPr>
          <w:rFonts w:ascii="Times New Roman" w:hAnsi="Times New Roman" w:cs="Times New Roman"/>
          <w:sz w:val="28"/>
          <w:szCs w:val="28"/>
          <w:lang w:bidi="ar-SA"/>
        </w:rPr>
        <w:t xml:space="preserve">и </w:t>
      </w:r>
      <w:r w:rsidR="001703A6">
        <w:rPr>
          <w:rFonts w:ascii="Times New Roman" w:hAnsi="Times New Roman" w:cs="Times New Roman"/>
          <w:sz w:val="28"/>
          <w:szCs w:val="28"/>
          <w:lang w:val="en-US" w:bidi="ar-SA"/>
        </w:rPr>
        <w:t>rs</w:t>
      </w:r>
      <w:r w:rsidR="001703A6" w:rsidRPr="001703A6">
        <w:rPr>
          <w:rFonts w:ascii="Times New Roman" w:hAnsi="Times New Roman" w:cs="Times New Roman"/>
          <w:sz w:val="28"/>
          <w:szCs w:val="28"/>
          <w:lang w:bidi="ar-SA"/>
        </w:rPr>
        <w:t xml:space="preserve">1045642 было также зафиксировано в исследовании </w:t>
      </w:r>
      <w:r w:rsidR="001703A6">
        <w:rPr>
          <w:rFonts w:ascii="Times New Roman" w:hAnsi="Times New Roman" w:cs="Times New Roman"/>
          <w:sz w:val="28"/>
          <w:szCs w:val="28"/>
          <w:lang w:val="en-US" w:bidi="ar-SA"/>
        </w:rPr>
        <w:t>Qiuyi</w:t>
      </w:r>
      <w:r w:rsidR="001703A6" w:rsidRP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val="en-US" w:bidi="ar-SA"/>
        </w:rPr>
        <w:t>Ji</w:t>
      </w:r>
      <w:r w:rsidR="001703A6" w:rsidRP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bidi="ar-SA"/>
        </w:rPr>
        <w:t>и</w:t>
      </w:r>
      <w:r w:rsidR="001703A6" w:rsidRPr="001703A6">
        <w:rPr>
          <w:rFonts w:ascii="Times New Roman" w:hAnsi="Times New Roman" w:cs="Times New Roman"/>
          <w:sz w:val="28"/>
          <w:szCs w:val="28"/>
          <w:lang w:bidi="ar-SA"/>
        </w:rPr>
        <w:t xml:space="preserve"> соавторов</w:t>
      </w:r>
      <w:r w:rsidR="001703A6">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{"citationID":"wXAVcB6H","properties":{"unsorted":false,"formattedCitation":"[201]","plainCitation":"[201]","noteIndex":0},"citationItems":[{"id":738,"uris":["http://zotero.org/users/14784094/items/Y6GEF6C3"],"itemData":{"id":738,"type":"article-journal","abstract":"Methods We conducted a prospective study and enrolled NVAF patients treated with dabigatran. Blood samples were obtained from each patient and used for genotyping and determination of plasma dabigatran concentration(PDC) and coagulation parameters including activated partial thromboplastin time(APTT) and thrombin time(TT). Patients’ demographics and clinical outcomes from scheduled follow-up visits were all recorded. Statistical analysis was performed to identify the impact of genetic polymorphisms on the PK/PD and bleeding risk of dabigatran.\nResults A total of 198 patients were included in analysis. For the ABCB1 polymorphisms rs4148738 and rs1045642, no significant association was found with dabigatran PK/PD. For the CES1 polymorphism rs8192935, the minor allele(C) was associated with increased trough PDCs(ANOVA: P&lt;0.001; CC vs. TT genotype, P&lt;0.001; CT vs. TT genotype, P=0.014) and with APTT values at trough level(P=0.015). For the CES1 polymorphism rs2244613, the minor allele(A) carriers had higher levels of trough PDC than non-carriers (ANOVA: P&lt;0.001; AA vs. CC genotype, P&lt;0.001; CA vs. CC genotype, P=0.004) and increased risk for minor bleeding(P=0.034; OR=2.71, 95% CI 1.05-7.00).\nConclusions Our study indicated that the minor allele(C) on the CES1 SNP rs8192935 was associated with PDCs and APTT values at trough level. The minor allele(A) on the CES1 SNP rs2244613 was associated with increased trough PDCs and higher risk for minor bleeding in NVAF patients treated with dabigatran.","container-title":"British Journal of Clinical Pharmacology","DOI":"10.1111/bcp.14646","ISSN":"0306-5251, 1365-2125","issue":"5","journalAbbreviation":"Brit J Clinical Pharma","language":"en","license":"http://onlinelibrary.wiley.com/termsAndConditions#vor","page":"2247-2255","source":"DOI.org (Crossref)","title":"The impact of &lt;i&gt;ABCB1&lt;/i&gt; and &lt;i&gt;CES1&lt;/i&gt; polymorphisms on dabigatran pharmacokinetics and pharmacodynamics in patients with atrial fibrillation","volume":"87","author":[{"family":"Ji","given":"Qiuyi"},{"family":"Zhang","given":"Chunyu"},{"family":"Xu","given":"Qing"},{"family":"Wang","given":"Zi"},{"family":"Li","given":"Xiaoye"},{"family":"Lv","given":"Qianzhou"}],"issued":{"date-parts":[["2021",5]]}}}],"schema":"https://github.com/citation-style-language/schema/raw/master/csl-citation.json"} </w:instrText>
      </w:r>
      <w:r w:rsidR="001703A6">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[201]</w:t>
      </w:r>
      <w:r w:rsidR="001703A6">
        <w:rPr>
          <w:rFonts w:ascii="Times New Roman" w:hAnsi="Times New Roman" w:cs="Times New Roman"/>
          <w:sz w:val="28"/>
          <w:szCs w:val="28"/>
          <w:lang w:bidi="ar-SA"/>
        </w:rPr>
        <w:fldChar w:fldCharType="end"/>
      </w:r>
      <w:r w:rsidR="001703A6" w:rsidRPr="001703A6">
        <w:rPr>
          <w:rFonts w:ascii="Times New Roman" w:hAnsi="Times New Roman" w:cs="Times New Roman"/>
          <w:sz w:val="28"/>
          <w:szCs w:val="28"/>
          <w:lang w:bidi="ar-SA"/>
        </w:rPr>
        <w:t>. Интересно, что в этой работе ч</w:t>
      </w:r>
      <w:r w:rsidR="001703A6">
        <w:rPr>
          <w:rFonts w:ascii="Times New Roman" w:hAnsi="Times New Roman" w:cs="Times New Roman"/>
          <w:sz w:val="28"/>
          <w:szCs w:val="28"/>
          <w:lang w:bidi="ar-SA"/>
        </w:rPr>
        <w:t>а</w:t>
      </w:r>
      <w:r w:rsidR="001703A6" w:rsidRPr="001703A6">
        <w:rPr>
          <w:rFonts w:ascii="Times New Roman" w:hAnsi="Times New Roman" w:cs="Times New Roman"/>
          <w:sz w:val="28"/>
          <w:szCs w:val="28"/>
          <w:lang w:bidi="ar-SA"/>
        </w:rPr>
        <w:t>стота кровотечений у носителей минорного алле</w:t>
      </w:r>
      <w:r w:rsidR="001703A6">
        <w:rPr>
          <w:rFonts w:ascii="Times New Roman" w:hAnsi="Times New Roman" w:cs="Times New Roman"/>
          <w:sz w:val="28"/>
          <w:szCs w:val="28"/>
          <w:lang w:bidi="ar-SA"/>
        </w:rPr>
        <w:t xml:space="preserve">ля </w:t>
      </w:r>
      <w:r w:rsidR="001703A6">
        <w:rPr>
          <w:rFonts w:ascii="Times New Roman" w:hAnsi="Times New Roman" w:cs="Times New Roman"/>
          <w:sz w:val="28"/>
          <w:szCs w:val="28"/>
          <w:lang w:val="en-US" w:bidi="ar-SA"/>
        </w:rPr>
        <w:t>SNP</w:t>
      </w:r>
      <w:r w:rsidR="001703A6" w:rsidRP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val="en-US" w:bidi="ar-SA"/>
        </w:rPr>
        <w:t>ABCB</w:t>
      </w:r>
      <w:r w:rsidR="001703A6" w:rsidRPr="001703A6">
        <w:rPr>
          <w:rFonts w:ascii="Times New Roman" w:hAnsi="Times New Roman" w:cs="Times New Roman"/>
          <w:sz w:val="28"/>
          <w:szCs w:val="28"/>
          <w:lang w:bidi="ar-SA"/>
        </w:rPr>
        <w:t xml:space="preserve">1 </w:t>
      </w:r>
      <w:r w:rsidR="001703A6">
        <w:rPr>
          <w:rFonts w:ascii="Times New Roman" w:hAnsi="Times New Roman" w:cs="Times New Roman"/>
          <w:sz w:val="28"/>
          <w:szCs w:val="28"/>
          <w:lang w:val="en-US" w:bidi="ar-SA"/>
        </w:rPr>
        <w:t>rs</w:t>
      </w:r>
      <w:r w:rsidR="001703A6" w:rsidRPr="001703A6">
        <w:rPr>
          <w:rFonts w:ascii="Times New Roman" w:hAnsi="Times New Roman" w:cs="Times New Roman"/>
          <w:sz w:val="28"/>
          <w:szCs w:val="28"/>
          <w:lang w:bidi="ar-SA"/>
        </w:rPr>
        <w:t xml:space="preserve">1045642 </w:t>
      </w:r>
      <w:r w:rsidR="001703A6">
        <w:rPr>
          <w:rFonts w:ascii="Times New Roman" w:hAnsi="Times New Roman" w:cs="Times New Roman"/>
          <w:sz w:val="28"/>
          <w:szCs w:val="28"/>
          <w:lang w:val="en-US" w:bidi="ar-SA"/>
        </w:rPr>
        <w:t>c</w:t>
      </w:r>
      <w:r w:rsidR="001703A6" w:rsidRPr="001703A6">
        <w:rPr>
          <w:rFonts w:ascii="Times New Roman" w:hAnsi="Times New Roman" w:cs="Times New Roman"/>
          <w:sz w:val="28"/>
          <w:szCs w:val="28"/>
          <w:lang w:bidi="ar-SA"/>
        </w:rPr>
        <w:t xml:space="preserve">оставила 15,3%, тогда как у пациентов без этого аллеля </w:t>
      </w:r>
      <w:r w:rsidR="001703A6">
        <w:rPr>
          <w:rFonts w:ascii="Times New Roman" w:hAnsi="Times New Roman" w:cs="Times New Roman"/>
          <w:sz w:val="28"/>
          <w:szCs w:val="28"/>
          <w:lang w:bidi="ar-SA"/>
        </w:rPr>
        <w:t>–</w:t>
      </w:r>
      <w:r w:rsidR="001703A6" w:rsidRPr="001703A6">
        <w:rPr>
          <w:rFonts w:ascii="Times New Roman" w:hAnsi="Times New Roman" w:cs="Times New Roman"/>
          <w:sz w:val="28"/>
          <w:szCs w:val="28"/>
          <w:lang w:bidi="ar-SA"/>
        </w:rPr>
        <w:t xml:space="preserve"> 13,8%. Дополнительные данные</w:t>
      </w:r>
      <w:r w:rsidR="001703A6">
        <w:rPr>
          <w:rFonts w:ascii="Times New Roman" w:hAnsi="Times New Roman" w:cs="Times New Roman"/>
          <w:sz w:val="28"/>
          <w:szCs w:val="28"/>
          <w:lang w:bidi="ar-SA"/>
        </w:rPr>
        <w:t xml:space="preserve">, </w:t>
      </w:r>
      <w:r w:rsidR="001703A6" w:rsidRPr="001703A6">
        <w:rPr>
          <w:rFonts w:ascii="Times New Roman" w:hAnsi="Times New Roman" w:cs="Times New Roman"/>
          <w:sz w:val="28"/>
          <w:szCs w:val="28"/>
          <w:lang w:bidi="ar-SA"/>
        </w:rPr>
        <w:t xml:space="preserve">указывающие на отсутствие клинически значимого эффекта, представлены в работе </w:t>
      </w:r>
      <w:r w:rsidR="001703A6">
        <w:rPr>
          <w:rFonts w:ascii="Times New Roman" w:hAnsi="Times New Roman" w:cs="Times New Roman"/>
          <w:sz w:val="28"/>
          <w:szCs w:val="28"/>
          <w:lang w:val="en-US" w:bidi="ar-SA"/>
        </w:rPr>
        <w:t>B</w:t>
      </w:r>
      <w:r w:rsidR="001703A6" w:rsidRPr="001703A6">
        <w:rPr>
          <w:rFonts w:ascii="Times New Roman" w:hAnsi="Times New Roman" w:cs="Times New Roman"/>
          <w:sz w:val="28"/>
          <w:szCs w:val="28"/>
          <w:lang w:bidi="ar-SA"/>
        </w:rPr>
        <w:t>.</w:t>
      </w:r>
      <w:r w:rsidR="001703A6">
        <w:rPr>
          <w:rFonts w:ascii="Times New Roman" w:hAnsi="Times New Roman" w:cs="Times New Roman"/>
          <w:sz w:val="28"/>
          <w:szCs w:val="28"/>
          <w:lang w:val="en-US" w:bidi="ar-SA"/>
        </w:rPr>
        <w:t>Cosmi</w:t>
      </w:r>
      <w:r w:rsidR="001703A6" w:rsidRPr="001703A6">
        <w:rPr>
          <w:rFonts w:ascii="Times New Roman" w:hAnsi="Times New Roman" w:cs="Times New Roman"/>
          <w:sz w:val="28"/>
          <w:szCs w:val="28"/>
          <w:lang w:bidi="ar-SA"/>
        </w:rPr>
        <w:t xml:space="preserve"> и коллег</w:t>
      </w:r>
      <w:r w:rsidR="001703A6">
        <w:rPr>
          <w:rFonts w:ascii="Times New Roman" w:hAnsi="Times New Roman" w:cs="Times New Roman"/>
          <w:sz w:val="28"/>
          <w:szCs w:val="28"/>
          <w:lang w:bidi="ar-SA"/>
        </w:rPr>
        <w:t xml:space="preserve"> (2019), </w:t>
      </w:r>
      <w:r w:rsidR="001703A6" w:rsidRPr="001703A6">
        <w:rPr>
          <w:rFonts w:ascii="Times New Roman" w:hAnsi="Times New Roman" w:cs="Times New Roman"/>
          <w:sz w:val="28"/>
          <w:szCs w:val="28"/>
          <w:lang w:bidi="ar-SA"/>
        </w:rPr>
        <w:t>где полиморфизм</w:t>
      </w:r>
      <w:r w:rsidR="001703A6">
        <w:rPr>
          <w:rFonts w:ascii="Times New Roman" w:hAnsi="Times New Roman" w:cs="Times New Roman"/>
          <w:sz w:val="28"/>
          <w:szCs w:val="28"/>
          <w:lang w:bidi="ar-SA"/>
        </w:rPr>
        <w:t xml:space="preserve"> </w:t>
      </w:r>
      <w:r w:rsidR="001703A6">
        <w:rPr>
          <w:rFonts w:ascii="Times New Roman" w:hAnsi="Times New Roman" w:cs="Times New Roman"/>
          <w:sz w:val="28"/>
          <w:szCs w:val="28"/>
          <w:lang w:val="en-US" w:bidi="ar-SA"/>
        </w:rPr>
        <w:t>ABCB</w:t>
      </w:r>
      <w:r w:rsidR="001703A6" w:rsidRPr="001703A6">
        <w:rPr>
          <w:rFonts w:ascii="Times New Roman" w:hAnsi="Times New Roman" w:cs="Times New Roman"/>
          <w:sz w:val="28"/>
          <w:szCs w:val="28"/>
          <w:lang w:bidi="ar-SA"/>
        </w:rPr>
        <w:t xml:space="preserve">1 </w:t>
      </w:r>
      <w:r w:rsidR="001703A6">
        <w:rPr>
          <w:rFonts w:ascii="Times New Roman" w:hAnsi="Times New Roman" w:cs="Times New Roman"/>
          <w:sz w:val="28"/>
          <w:szCs w:val="28"/>
          <w:lang w:val="en-US" w:bidi="ar-SA"/>
        </w:rPr>
        <w:t>rs</w:t>
      </w:r>
      <w:r w:rsidR="001703A6" w:rsidRPr="001703A6">
        <w:rPr>
          <w:rFonts w:ascii="Times New Roman" w:hAnsi="Times New Roman" w:cs="Times New Roman"/>
          <w:sz w:val="28"/>
          <w:szCs w:val="28"/>
          <w:lang w:bidi="ar-SA"/>
        </w:rPr>
        <w:t xml:space="preserve">4148738 ассоциировался со снижением пиковых концентраций </w:t>
      </w:r>
      <w:r w:rsidR="001703A6">
        <w:rPr>
          <w:rFonts w:ascii="Times New Roman" w:hAnsi="Times New Roman" w:cs="Times New Roman"/>
          <w:sz w:val="28"/>
          <w:szCs w:val="28"/>
          <w:lang w:bidi="ar-SA"/>
        </w:rPr>
        <w:t xml:space="preserve">дабигатрана </w:t>
      </w:r>
      <w:r w:rsidR="001703A6" w:rsidRPr="001703A6">
        <w:rPr>
          <w:rFonts w:ascii="Times New Roman" w:hAnsi="Times New Roman" w:cs="Times New Roman"/>
          <w:sz w:val="28"/>
          <w:szCs w:val="28"/>
          <w:lang w:bidi="ar-SA"/>
        </w:rPr>
        <w:t>без существенного влияния на клинические исходы</w:t>
      </w:r>
      <w:r w:rsidR="00B00B6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{"citationID":"Q8BE0qZB","properties":{"unsorted":false,"formattedCitation":"[202]","plainCitation":"[202]","noteIndex":0},"citationItems":[{"id":741,"uris":["http://zotero.org/users/14784094/items/KADK438F"],"itemData":{"id":741,"type":"article-journal","abstract":"Background and Aim: Direct oral anticoagulants (DOACs, i.e dabigatran, rivaroxaban, apixaban) can be administered in fixed doses without laboratory monitoring, however pharmacokinetic and pharmacodynamic characteristics indicate that clinical, demographic and pharmacogenetic factors can influence DOAC antithrombotic efficacy. The aim of this study was to establish the inter-individual variability of DOAC plasma concentrations and influence of ABCB1 rs4148738 polymorphism on DOAC plasma levels.","container-title":"Journal of Cardiology and Therapeutics","DOI":"10.12970/2311-052X.2019.07.02","ISSN":"2311052X","issue":"1","journalAbbreviation":"J. Cardiol. Therap.","language":"en","page":"8-14","source":"DOI.org (Crossref)","title":"Observational Study of the Inter-Individual Variability of the Plasma Concentrations of Direct Oral Anticoagulants (Dabigatran, Rivaroxaban, Apixaban) and the Effect of rs4148738 Polymorphism of ABCB1","volume":"7","author":[{"literal":"Dept Angiology and Blood Coagulation, Department of Specialty, Diagnostics and Experimental Medicine, University of Bologna, Bologna, Italy"},{"family":"Cosmi","given":"Benilde"},{"family":"Salomone","given":"Luisa"},{"family":"Cini","given":"Michela"},{"family":"Guazzaloca","given":"Giuliana"},{"family":"Legnani","given":"Cristina"}],"issued":{"date-parts":[["2019",12,26]]}}}],"schema":"https://github.com/citation-style-language/schema/raw/master/csl-citation.json"} </w:instrText>
      </w:r>
      <w:r w:rsidR="00B00B6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[202]</w:t>
      </w:r>
      <w:r w:rsidR="00B00B67">
        <w:rPr>
          <w:rFonts w:ascii="Times New Roman" w:hAnsi="Times New Roman" w:cs="Times New Roman"/>
          <w:sz w:val="28"/>
          <w:szCs w:val="28"/>
          <w:lang w:bidi="ar-SA"/>
        </w:rPr>
        <w:fldChar w:fldCharType="end"/>
      </w:r>
      <w:r w:rsidR="001703A6" w:rsidRPr="001703A6">
        <w:rPr>
          <w:rFonts w:ascii="Times New Roman" w:hAnsi="Times New Roman" w:cs="Times New Roman"/>
          <w:sz w:val="28"/>
          <w:szCs w:val="28"/>
          <w:lang w:bidi="ar-SA"/>
        </w:rPr>
        <w:t>.</w:t>
      </w:r>
      <w:r w:rsidR="00B00B67" w:rsidRPr="00B00B67">
        <w:rPr>
          <w:rFonts w:ascii="Times New Roman" w:hAnsi="Times New Roman" w:cs="Times New Roman"/>
          <w:sz w:val="28"/>
          <w:szCs w:val="28"/>
          <w:lang w:bidi="ar-SA"/>
        </w:rPr>
        <w:t xml:space="preserve"> Исследовани</w:t>
      </w:r>
      <w:r w:rsidR="00B00B67">
        <w:rPr>
          <w:rFonts w:ascii="Times New Roman" w:hAnsi="Times New Roman" w:cs="Times New Roman"/>
          <w:sz w:val="28"/>
          <w:szCs w:val="28"/>
          <w:lang w:bidi="ar-SA"/>
        </w:rPr>
        <w:t xml:space="preserve">е Гуэн-Тибо </w:t>
      </w:r>
      <w:r w:rsidR="00B00B67" w:rsidRPr="00B00B67">
        <w:rPr>
          <w:rFonts w:ascii="Times New Roman" w:hAnsi="Times New Roman" w:cs="Times New Roman"/>
          <w:sz w:val="28"/>
          <w:szCs w:val="28"/>
          <w:lang w:bidi="ar-SA"/>
        </w:rPr>
        <w:t xml:space="preserve">и </w:t>
      </w:r>
      <w:r w:rsidR="00B00B67">
        <w:rPr>
          <w:rFonts w:ascii="Times New Roman" w:hAnsi="Times New Roman" w:cs="Times New Roman"/>
          <w:sz w:val="28"/>
          <w:szCs w:val="28"/>
          <w:lang w:bidi="ar-SA"/>
        </w:rPr>
        <w:t>со</w:t>
      </w:r>
      <w:r w:rsidR="00B00B67" w:rsidRPr="00B00B67">
        <w:rPr>
          <w:rFonts w:ascii="Times New Roman" w:hAnsi="Times New Roman" w:cs="Times New Roman"/>
          <w:sz w:val="28"/>
          <w:szCs w:val="28"/>
          <w:lang w:bidi="ar-SA"/>
        </w:rPr>
        <w:t>авторов</w:t>
      </w:r>
      <w:r w:rsidR="00B00B67">
        <w:rPr>
          <w:rFonts w:ascii="Times New Roman" w:hAnsi="Times New Roman" w:cs="Times New Roman"/>
          <w:sz w:val="28"/>
          <w:szCs w:val="28"/>
          <w:lang w:bidi="ar-SA"/>
        </w:rPr>
        <w:t xml:space="preserve"> (2017), </w:t>
      </w:r>
      <w:r w:rsidR="00B00B67" w:rsidRPr="00B00B67">
        <w:rPr>
          <w:rFonts w:ascii="Times New Roman" w:hAnsi="Times New Roman" w:cs="Times New Roman"/>
          <w:sz w:val="28"/>
          <w:szCs w:val="28"/>
          <w:lang w:bidi="ar-SA"/>
        </w:rPr>
        <w:t>включивш</w:t>
      </w:r>
      <w:r w:rsidR="00B00B67">
        <w:rPr>
          <w:rFonts w:ascii="Times New Roman" w:hAnsi="Times New Roman" w:cs="Times New Roman"/>
          <w:sz w:val="28"/>
          <w:szCs w:val="28"/>
          <w:lang w:bidi="ar-SA"/>
        </w:rPr>
        <w:t xml:space="preserve">ее 60 </w:t>
      </w:r>
      <w:r w:rsidR="00B00B67" w:rsidRPr="00B00B67">
        <w:rPr>
          <w:rFonts w:ascii="Times New Roman" w:hAnsi="Times New Roman" w:cs="Times New Roman"/>
          <w:sz w:val="28"/>
          <w:szCs w:val="28"/>
          <w:lang w:bidi="ar-SA"/>
        </w:rPr>
        <w:t xml:space="preserve">здоровых добровольцев европеоидной расы с определенными генотипами полиморфизмов </w:t>
      </w:r>
      <w:r w:rsidR="00B00B67">
        <w:rPr>
          <w:rFonts w:ascii="Times New Roman" w:hAnsi="Times New Roman" w:cs="Times New Roman"/>
          <w:sz w:val="28"/>
          <w:szCs w:val="28"/>
          <w:lang w:val="en-US" w:bidi="ar-SA"/>
        </w:rPr>
        <w:t>rs</w:t>
      </w:r>
      <w:r w:rsidR="00B00B67" w:rsidRPr="00B00B67">
        <w:rPr>
          <w:rFonts w:ascii="Times New Roman" w:hAnsi="Times New Roman" w:cs="Times New Roman"/>
          <w:sz w:val="28"/>
          <w:szCs w:val="28"/>
          <w:lang w:bidi="ar-SA"/>
        </w:rPr>
        <w:t xml:space="preserve">2032582 и </w:t>
      </w:r>
      <w:r w:rsidR="00B00B67">
        <w:rPr>
          <w:rFonts w:ascii="Times New Roman" w:hAnsi="Times New Roman" w:cs="Times New Roman"/>
          <w:sz w:val="28"/>
          <w:szCs w:val="28"/>
          <w:lang w:val="en-US" w:bidi="ar-SA"/>
        </w:rPr>
        <w:t>rs</w:t>
      </w:r>
      <w:r w:rsidR="00B00B67" w:rsidRPr="00B00B67">
        <w:rPr>
          <w:rFonts w:ascii="Times New Roman" w:hAnsi="Times New Roman" w:cs="Times New Roman"/>
          <w:sz w:val="28"/>
          <w:szCs w:val="28"/>
          <w:lang w:bidi="ar-SA"/>
        </w:rPr>
        <w:t xml:space="preserve">1045642 гена </w:t>
      </w:r>
      <w:r w:rsidR="00B00B67">
        <w:rPr>
          <w:rFonts w:ascii="Times New Roman" w:hAnsi="Times New Roman" w:cs="Times New Roman"/>
          <w:sz w:val="28"/>
          <w:szCs w:val="28"/>
          <w:lang w:val="en-US" w:bidi="ar-SA"/>
        </w:rPr>
        <w:t>ABCB</w:t>
      </w:r>
      <w:r w:rsidR="00B00B67" w:rsidRPr="00B00B67">
        <w:rPr>
          <w:rFonts w:ascii="Times New Roman" w:hAnsi="Times New Roman" w:cs="Times New Roman"/>
          <w:sz w:val="28"/>
          <w:szCs w:val="28"/>
          <w:lang w:bidi="ar-SA"/>
        </w:rPr>
        <w:t xml:space="preserve">1, было посвящено влиянию кларитромицина (мощного ингибитора </w:t>
      </w:r>
      <w:r w:rsidR="00B00B67">
        <w:rPr>
          <w:rFonts w:ascii="Times New Roman" w:hAnsi="Times New Roman" w:cs="Times New Roman"/>
          <w:sz w:val="28"/>
          <w:szCs w:val="28"/>
          <w:lang w:val="en-US" w:bidi="ar-SA"/>
        </w:rPr>
        <w:t>P</w:t>
      </w:r>
      <w:r w:rsidR="00B00B67" w:rsidRPr="00B00B67">
        <w:rPr>
          <w:rFonts w:ascii="Times New Roman" w:hAnsi="Times New Roman" w:cs="Times New Roman"/>
          <w:sz w:val="28"/>
          <w:szCs w:val="28"/>
          <w:lang w:bidi="ar-SA"/>
        </w:rPr>
        <w:t>-</w:t>
      </w:r>
      <w:r w:rsidR="00B00B67">
        <w:rPr>
          <w:rFonts w:ascii="Times New Roman" w:hAnsi="Times New Roman" w:cs="Times New Roman"/>
          <w:sz w:val="28"/>
          <w:szCs w:val="28"/>
          <w:lang w:val="en-US" w:bidi="ar-SA"/>
        </w:rPr>
        <w:t>gp</w:t>
      </w:r>
      <w:r w:rsidR="00B00B67" w:rsidRPr="00B00B67">
        <w:rPr>
          <w:rFonts w:ascii="Times New Roman" w:hAnsi="Times New Roman" w:cs="Times New Roman"/>
          <w:sz w:val="28"/>
          <w:szCs w:val="28"/>
          <w:lang w:bidi="ar-SA"/>
        </w:rPr>
        <w:t xml:space="preserve"> и </w:t>
      </w:r>
      <w:r w:rsidR="00B00B67">
        <w:rPr>
          <w:rFonts w:ascii="Times New Roman" w:hAnsi="Times New Roman" w:cs="Times New Roman"/>
          <w:sz w:val="28"/>
          <w:szCs w:val="28"/>
          <w:lang w:val="en-US" w:bidi="ar-SA"/>
        </w:rPr>
        <w:t>CYP</w:t>
      </w:r>
      <w:r w:rsidR="00B00B67" w:rsidRPr="00B00B67">
        <w:rPr>
          <w:rFonts w:ascii="Times New Roman" w:hAnsi="Times New Roman" w:cs="Times New Roman"/>
          <w:sz w:val="28"/>
          <w:szCs w:val="28"/>
          <w:lang w:bidi="ar-SA"/>
        </w:rPr>
        <w:t>3</w:t>
      </w:r>
      <w:r w:rsidR="00B00B67">
        <w:rPr>
          <w:rFonts w:ascii="Times New Roman" w:hAnsi="Times New Roman" w:cs="Times New Roman"/>
          <w:sz w:val="28"/>
          <w:szCs w:val="28"/>
          <w:lang w:val="en-US" w:bidi="ar-SA"/>
        </w:rPr>
        <w:t>A</w:t>
      </w:r>
      <w:r w:rsidR="00B00B67" w:rsidRPr="00B00B67">
        <w:rPr>
          <w:rFonts w:ascii="Times New Roman" w:hAnsi="Times New Roman" w:cs="Times New Roman"/>
          <w:sz w:val="28"/>
          <w:szCs w:val="28"/>
          <w:lang w:bidi="ar-SA"/>
        </w:rPr>
        <w:t>4) на фармакокинетику</w:t>
      </w:r>
      <w:r w:rsidR="00B00B67">
        <w:rPr>
          <w:rFonts w:ascii="Times New Roman" w:hAnsi="Times New Roman" w:cs="Times New Roman"/>
          <w:sz w:val="28"/>
          <w:szCs w:val="28"/>
          <w:lang w:bidi="ar-SA"/>
        </w:rPr>
        <w:t xml:space="preserve"> дабигатрана</w:t>
      </w:r>
      <w:r w:rsidR="00B00B6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{"citationID":"abDf8gJn","properties":{"unsorted":false,"formattedCitation":"[159]","plainCitation":"[159]","noteIndex":0},"citationItems":[{"id":111,"uris":["http://zotero.org/users/14784094/items/LR7XBNVL"],"itemData":{"id":111,"type":"article-journal","abstract":"Essentials Rivaroxaban and dabigatran are substrates of the P-glycoprotein (P-gp) encoded by the ABCB1 gene. We tested the effect of ABCB1 polymorphisms and of a P-gp inhibitor on both drugs' pharmacokinetics. The ABCB1 genotype was not a clinically relevant determinant of both drugs' pharmacokinetics. Administration of P-gp inhibitors with dabigatran or rivaroxaban should be exercised with caution.\nSUMMARY: Background The direct oral anticoagulants (DOACs) dabigatran and rivaroxaban are both substrates of the P-glycoprotein (P-gp) transporter, encoded by the ABCB1 gene. Rivaroxaban is metabolized by cytochrome P450 A4 (CYP3A4). Interindividual variability in DOAC exposure and frequent P-gp-associated drug-drug interactions have been described in patients. Objective To assess the influence of ABCB1 polymorphisms on the pharmacokinetics of dabigatran and rivaroxaban, associated or not with clarithromycin, a P-gp and CYP3A4 inhibitor. Methods Sixty healthy male volunteers, selected according to ABCB1 genotype (20 homozygous mutated, 20 heterozygous mutated, and 20 wild-type for haplotype 2677-3435), were included in this randomized, two-center, crossover study. All received sequentially a single dose of dabigatran etexilate (300 mg) and rivaroxaban (40 mg) associated or not with clarithromycin. Peak plasma concentration and area under the curve (AUC) were compared across the three ABCB1 genotypes. The effect of clarithromycin on dabigatran or rivaroxaban pharmacokinetics was assessed. Results Interindividual coefficients of variation for AUC were 77% for dabigatran and 51% for rivaroxaban. ABCB1 genotype did not significantly affect drug pharmacokinetics: AUC ratios between mutant-allele carriers and wild-type volunteers were 1.27 (95% confidence interval [CI] 0.84-1.92) and 1.20 (95% CI 0.96-1.51) for dabigatran and rivaroxaban, respectively. Clarithromycin coadministration led to a two-fold increase in both drugs' AUC, irrespective of ABCB1 genotype: ratios of geometric means were 2.0 (95% CI 1.15-3.60) and 1.94 (95% CI 1.42-2.63) for dabigatran and rivaroxaban, respectively. Conclusions ABCB1 genotype is not a significant determinant of interindividual variability in dabigatran and rivaroxaban pharmacokinetics. The levels of one drug did not predict the levels of the other. Coadministration of a P-gp/CYP3A4 inhibitor with dabigatran or rivaroxaban may warrant caution in patients at risk of overexposure.","container-title":"Journal of thrombosis and haemostasis: JTH","DOI":"10.1111/jth.13577","ISSN":"1538-7836","issue":"2","journalAbbreviation":"J Thromb Haemost","language":"eng","page":"273-283","PMID":"27893182","source":"PubMed","title":"Interindividual variability in dabigatran and rivaroxaban exposure: contribution of ABCB1 genetic polymorphisms and interaction with clarithromycin","title-short":"Interindividual variability in dabigatran and rivaroxaban exposure","volume":"15","author":[{"family":"Gouin-Thibault","given":"I."},{"family":"Delavenne","given":"X."},{"family":"Blanchard","given":"A."},{"family":"Siguret","given":"V."},{"family":"Salem","given":"J. E."},{"family":"Narjoz","given":"C."},{"family":"Gaussem","given":"P."},{"family":"Beaune","given":"P."},{"family":"Funck-Brentano","given":"C."},{"family":"Azizi","given":"M."},{"family":"Mismetti","given":"P."},{"family":"Loriot","given":"M. A."}],"issued":{"date-parts":[["2017",2]]}}}],"schema":"https://github.com/citation-style-language/schema/raw/master/csl-citation.json"} </w:instrText>
      </w:r>
      <w:r w:rsidR="00B00B6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[159]</w:t>
      </w:r>
      <w:r w:rsidR="00B00B67">
        <w:rPr>
          <w:rFonts w:ascii="Times New Roman" w:hAnsi="Times New Roman" w:cs="Times New Roman"/>
          <w:sz w:val="28"/>
          <w:szCs w:val="28"/>
          <w:lang w:bidi="ar-SA"/>
        </w:rPr>
        <w:fldChar w:fldCharType="end"/>
      </w:r>
      <w:r w:rsidR="00B00B67" w:rsidRPr="00B00B67">
        <w:rPr>
          <w:rFonts w:ascii="Times New Roman" w:hAnsi="Times New Roman" w:cs="Times New Roman"/>
          <w:sz w:val="28"/>
          <w:szCs w:val="28"/>
          <w:lang w:bidi="ar-SA"/>
        </w:rPr>
        <w:t xml:space="preserve">. Результаты показали, что генотип </w:t>
      </w:r>
      <w:r w:rsidR="00B00B67">
        <w:rPr>
          <w:rFonts w:ascii="Times New Roman" w:hAnsi="Times New Roman" w:cs="Times New Roman"/>
          <w:sz w:val="28"/>
          <w:szCs w:val="28"/>
          <w:lang w:val="en-US" w:bidi="ar-SA"/>
        </w:rPr>
        <w:t>ABCB</w:t>
      </w:r>
      <w:r w:rsidR="00B00B67" w:rsidRPr="00B00B67">
        <w:rPr>
          <w:rFonts w:ascii="Times New Roman" w:hAnsi="Times New Roman" w:cs="Times New Roman"/>
          <w:sz w:val="28"/>
          <w:szCs w:val="28"/>
          <w:lang w:bidi="ar-SA"/>
        </w:rPr>
        <w:t xml:space="preserve">1 сам по себе не оказывал значимого влияния на параметры фармакокинетики </w:t>
      </w:r>
      <w:r w:rsidR="00B00B67">
        <w:rPr>
          <w:rFonts w:ascii="Times New Roman" w:hAnsi="Times New Roman" w:cs="Times New Roman"/>
          <w:sz w:val="28"/>
          <w:szCs w:val="28"/>
          <w:lang w:bidi="ar-SA"/>
        </w:rPr>
        <w:t>дабигатрана</w:t>
      </w:r>
      <w:r w:rsidR="00B00B6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{"citationID":"MCqk2Bw3","properties":{"unsorted":false,"formattedCitation":"[159]","plainCitation":"[159]","noteIndex":0},"citationItems":[{"id":111,"uris":["http://zotero.org/users/14784094/items/LR7XBNVL"],"itemData":{"id":111,"type":"article-journal","abstract":"Essentials Rivaroxaban and dabigatran are substrates of the P-glycoprotein (P-gp) encoded by the ABCB1 gene. We tested the effect of ABCB1 polymorphisms and of a P-gp inhibitor on both drugs' pharmacokinetics. The ABCB1 genotype was not a clinically relevant determinant of both drugs' pharmacokinetics. Administration of P-gp inhibitors with dabigatran or rivaroxaban should be exercised with caution.\nSUMMARY: Background The direct oral anticoagulants (DOACs) dabigatran and rivaroxaban are both substrates of the P-glycoprotein (P-gp) transporter, encoded by the ABCB1 gene. Rivaroxaban is metabolized by cytochrome P450 A4 (CYP3A4). Interindividual variability in DOAC exposure and frequent P-gp-associated drug-drug interactions have been described in patients. Objective To assess the influence of ABCB1 polymorphisms on the pharmacokinetics of dabigatran and rivaroxaban, associated or not with clarithromycin, a P-gp and CYP3A4 inhibitor. Methods Sixty healthy male volunteers, selected according to ABCB1 genotype (20 homozygous mutated, 20 heterozygous mutated, and 20 wild-type for haplotype 2677-3435), were included in this randomized, two-center, crossover study. All received sequentially a single dose of dabigatran etexilate (300 mg) and rivaroxaban (40 mg) associated or not with clarithromycin. Peak plasma concentration and area under the curve (AUC) were compared across the three ABCB1 genotypes. The effect of clarithromycin on dabigatran or rivaroxaban pharmacokinetics was assessed. Results Interindividual coefficients of variation for AUC were 77% for dabigatran and 51% for rivaroxaban. ABCB1 genotype did not significantly affect drug pharmacokinetics: AUC ratios between mutant-allele carriers and wild-type volunteers were 1.27 (95% confidence interval [CI] 0.84-1.92) and 1.20 (95% CI 0.96-1.51) for dabigatran and rivaroxaban, respectively. Clarithromycin coadministration led to a two-fold increase in both drugs' AUC, irrespective of ABCB1 genotype: ratios of geometric means were 2.0 (95% CI 1.15-3.60) and 1.94 (95% CI 1.42-2.63) for dabigatran and rivaroxaban, respectively. Conclusions ABCB1 genotype is not a significant determinant of interindividual variability in dabigatran and rivaroxaban pharmacokinetics. The levels of one drug did not predict the levels of the other. Coadministration of a P-gp/CYP3A4 inhibitor with dabigatran or rivaroxaban may warrant caution in patients at risk of overexposure.","container-title":"Journal of thrombosis and haemostasis: JTH","DOI":"10.1111/jth.13577","ISSN":"1538-7836","issue":"2","journalAbbreviation":"J Thromb Haemost","language":"eng","page":"273-283","PMID":"27893182","source":"PubMed","title":"Interindividual variability in dabigatran and rivaroxaban exposure: contribution of ABCB1 genetic polymorphisms and interaction with clarithromycin","title-short":"Interindividual variability in dabigatran and rivaroxaban exposure","volume":"15","author":[{"family":"Gouin-Thibault","given":"I."},{"family":"Delavenne","given":"X."},{"family":"Blanchard","given":"A."},{"family":"Siguret","given":"V."},{"family":"Salem","given":"J. E."},{"family":"Narjoz","given":"C."},{"family":"Gaussem","given":"P."},{"family":"Beaune","given":"P."},{"family":"Funck-Brentano","given":"C."},{"family":"Azizi","given":"M."},{"family":"Mismetti","given":"P."},{"family":"Loriot","given":"M. A."}],"issued":{"date-parts":[["2017",2]]}}}],"schema":"https://github.com/citation-style-language/schema/raw/master/csl-citation.json"} </w:instrText>
      </w:r>
      <w:r w:rsidR="00B00B6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[159]</w:t>
      </w:r>
      <w:r w:rsidR="00B00B67">
        <w:rPr>
          <w:rFonts w:ascii="Times New Roman" w:hAnsi="Times New Roman" w:cs="Times New Roman"/>
          <w:sz w:val="28"/>
          <w:szCs w:val="28"/>
          <w:lang w:bidi="ar-SA"/>
        </w:rPr>
        <w:fldChar w:fldCharType="end"/>
      </w:r>
      <w:r w:rsidR="00B00B67" w:rsidRPr="00B00B67">
        <w:rPr>
          <w:rFonts w:ascii="Times New Roman" w:hAnsi="Times New Roman" w:cs="Times New Roman"/>
          <w:sz w:val="28"/>
          <w:szCs w:val="28"/>
          <w:lang w:bidi="ar-SA"/>
        </w:rPr>
        <w:t xml:space="preserve">. Ключевым выводом стало наблюдение, что введение кларитромицина приводило к двукратному увеличению площади под кривой </w:t>
      </w:r>
      <w:r w:rsidR="00B00B67">
        <w:rPr>
          <w:rFonts w:ascii="Times New Roman" w:hAnsi="Times New Roman" w:cs="Times New Roman"/>
          <w:sz w:val="28"/>
          <w:szCs w:val="28"/>
          <w:lang w:bidi="ar-SA"/>
        </w:rPr>
        <w:t>«</w:t>
      </w:r>
      <w:r w:rsidR="00B00B67" w:rsidRPr="00B00B67">
        <w:rPr>
          <w:rFonts w:ascii="Times New Roman" w:hAnsi="Times New Roman" w:cs="Times New Roman"/>
          <w:sz w:val="28"/>
          <w:szCs w:val="28"/>
          <w:lang w:bidi="ar-SA"/>
        </w:rPr>
        <w:t>концентрация</w:t>
      </w:r>
      <w:r w:rsidR="00B00B67">
        <w:rPr>
          <w:rFonts w:ascii="Times New Roman" w:hAnsi="Times New Roman" w:cs="Times New Roman"/>
          <w:sz w:val="28"/>
          <w:szCs w:val="28"/>
          <w:lang w:bidi="ar-SA"/>
        </w:rPr>
        <w:t>-</w:t>
      </w:r>
      <w:r w:rsidR="00B00B67" w:rsidRPr="00B00B67">
        <w:rPr>
          <w:rFonts w:ascii="Times New Roman" w:hAnsi="Times New Roman" w:cs="Times New Roman"/>
          <w:sz w:val="28"/>
          <w:szCs w:val="28"/>
          <w:lang w:bidi="ar-SA"/>
        </w:rPr>
        <w:t>время</w:t>
      </w:r>
      <w:r w:rsidR="00B00B67">
        <w:rPr>
          <w:rFonts w:ascii="Times New Roman" w:hAnsi="Times New Roman" w:cs="Times New Roman"/>
          <w:sz w:val="28"/>
          <w:szCs w:val="28"/>
          <w:lang w:bidi="ar-SA"/>
        </w:rPr>
        <w:t xml:space="preserve">» </w:t>
      </w:r>
      <w:r w:rsidR="00B00B67" w:rsidRPr="00B00B67">
        <w:rPr>
          <w:rFonts w:ascii="Times New Roman" w:hAnsi="Times New Roman" w:cs="Times New Roman"/>
          <w:sz w:val="28"/>
          <w:szCs w:val="28"/>
          <w:lang w:bidi="ar-SA"/>
        </w:rPr>
        <w:t>(</w:t>
      </w:r>
      <w:r w:rsidR="00B00B67">
        <w:rPr>
          <w:rFonts w:ascii="Times New Roman" w:hAnsi="Times New Roman" w:cs="Times New Roman"/>
          <w:sz w:val="28"/>
          <w:szCs w:val="28"/>
          <w:lang w:val="en-US" w:bidi="ar-SA"/>
        </w:rPr>
        <w:t>AUC</w:t>
      </w:r>
      <w:r w:rsidR="00B00B67" w:rsidRPr="00B00B67">
        <w:rPr>
          <w:rFonts w:ascii="Times New Roman" w:hAnsi="Times New Roman" w:cs="Times New Roman"/>
          <w:sz w:val="28"/>
          <w:szCs w:val="28"/>
          <w:lang w:bidi="ar-SA"/>
        </w:rPr>
        <w:t xml:space="preserve">) </w:t>
      </w:r>
      <w:r w:rsidR="00B00B67">
        <w:rPr>
          <w:rFonts w:ascii="Times New Roman" w:hAnsi="Times New Roman" w:cs="Times New Roman"/>
          <w:sz w:val="28"/>
          <w:szCs w:val="28"/>
          <w:lang w:bidi="ar-SA"/>
        </w:rPr>
        <w:t xml:space="preserve">дабигатрана, </w:t>
      </w:r>
      <w:r w:rsidR="00B00B67" w:rsidRPr="00B00B67">
        <w:rPr>
          <w:rFonts w:ascii="Times New Roman" w:hAnsi="Times New Roman" w:cs="Times New Roman"/>
          <w:sz w:val="28"/>
          <w:szCs w:val="28"/>
          <w:lang w:bidi="ar-SA"/>
        </w:rPr>
        <w:t xml:space="preserve">причем этот эффект был независим от генотипа </w:t>
      </w:r>
      <w:r w:rsidR="00B00B67">
        <w:rPr>
          <w:rFonts w:ascii="Times New Roman" w:hAnsi="Times New Roman" w:cs="Times New Roman"/>
          <w:sz w:val="28"/>
          <w:szCs w:val="28"/>
          <w:lang w:val="en-US" w:bidi="ar-SA"/>
        </w:rPr>
        <w:t>ABCB</w:t>
      </w:r>
      <w:r w:rsidR="00B00B67" w:rsidRPr="00B00B67">
        <w:rPr>
          <w:rFonts w:ascii="Times New Roman" w:hAnsi="Times New Roman" w:cs="Times New Roman"/>
          <w:sz w:val="28"/>
          <w:szCs w:val="28"/>
          <w:lang w:bidi="ar-SA"/>
        </w:rPr>
        <w:t>1 обследуем</w:t>
      </w:r>
      <w:r w:rsidR="00B00B67">
        <w:rPr>
          <w:rFonts w:ascii="Times New Roman" w:hAnsi="Times New Roman" w:cs="Times New Roman"/>
          <w:sz w:val="28"/>
          <w:szCs w:val="28"/>
          <w:lang w:bidi="ar-SA"/>
        </w:rPr>
        <w:t>ых</w:t>
      </w:r>
      <w:r w:rsidR="00B00B6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{"citationID":"N1aqEiS1","properties":{"unsorted":false,"formattedCitation":"[159]","plainCitation":"[159]","noteIndex":0},"citationItems":[{"id":111,"uris":["http://zotero.org/users/14784094/items/LR7XBNVL"],"itemData":{"id":111,"type":"article-journal","abstract":"Essentials Rivaroxaban and dabigatran are substrates of the P-glycoprotein (P-gp) encoded by the ABCB1 gene. We tested the effect of ABCB1 polymorphisms and of a P-gp inhibitor on both drugs' pharmacokinetics. The ABCB1 genotype was not a clinically relevant determinant of both drugs' pharmacokinetics. Administration of P-gp inhibitors with dabigatran or rivaroxaban should be exercised with caution.\nSUMMARY: Background The direct oral anticoagulants (DOACs) dabigatran and rivaroxaban are both substrates of the P-glycoprotein (P-gp) transporter, encoded by the ABCB1 gene. Rivaroxaban is metabolized by cytochrome P450 A4 (CYP3A4). Interindividual variability in DOAC exposure and frequent P-gp-associated drug-drug interactions have been described in patients. Objective To assess the influence of ABCB1 polymorphisms on the pharmacokinetics of dabigatran and rivaroxaban, associated or not with clarithromycin, a P-gp and CYP3A4 inhibitor. Methods Sixty healthy male volunteers, selected according to ABCB1 genotype (20 homozygous mutated, 20 heterozygous mutated, and 20 wild-type for haplotype 2677-3435), were included in this randomized, two-center, crossover study. All received sequentially a single dose of dabigatran etexilate (300 mg) and rivaroxaban (40 mg) associated or not with clarithromycin. Peak plasma concentration and area under the curve (AUC) were compared across the three ABCB1 genotypes. The effect of clarithromycin on dabigatran or rivaroxaban pharmacokinetics was assessed. Results Interindividual coefficients of variation for AUC were 77% for dabigatran and 51% for rivaroxaban. ABCB1 genotype did not significantly affect drug pharmacokinetics: AUC ratios between mutant-allele carriers and wild-type volunteers were 1.27 (95% confidence interval [CI] 0.84-1.92) and 1.20 (95% CI 0.96-1.51) for dabigatran and rivaroxaban, respectively. Clarithromycin coadministration led to a two-fold increase in both drugs' AUC, irrespective of ABCB1 genotype: ratios of geometric means were 2.0 (95% CI 1.15-3.60) and 1.94 (95% CI 1.42-2.63) for dabigatran and rivaroxaban, respectively. Conclusions ABCB1 genotype is not a significant determinant of interindividual variability in dabigatran and rivaroxaban pharmacokinetics. The levels of one drug did not predict the levels of the other. Coadministration of a P-gp/CYP3A4 inhibitor with dabigatran or rivaroxaban may warrant caution in patients at risk of overexposure.","container-title":"Journal of thrombosis and haemostasis: JTH","DOI":"10.1111/jth.13577","ISSN":"1538-7836","issue":"2","journalAbbreviation":"J Thromb Haemost","language":"eng","page":"273-283","PMID":"27893182","source":"PubMed","title":"Interindividual variability in dabigatran and rivaroxaban exposure: contribution of ABCB1 genetic polymorphisms and interaction with clarithromycin","title-short":"Interindividual variability in dabigatran and rivaroxaban exposure","volume":"15","author":[{"family":"Gouin-Thibault","given":"I."},{"family":"Delavenne","given":"X."},{"family":"Blanchard","given":"A."},{"family":"Siguret","given":"V."},{"family":"Salem","given":"J. E."},{"family":"Narjoz","given":"C."},{"family":"Gaussem","given":"P."},{"family":"Beaune","given":"P."},{"family":"Funck-Brentano","given":"C."},{"family":"Azizi","given":"M."},{"family":"Mismetti","given":"P."},{"family":"Loriot","given":"M. A."}],"issued":{"date-parts":[["2017",2]]}}}],"schema":"https://github.com/citation-style-language/schema/raw/master/csl-citation.json"} </w:instrText>
      </w:r>
      <w:r w:rsidR="00B00B6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[159]</w:t>
      </w:r>
      <w:r w:rsidR="00B00B67">
        <w:rPr>
          <w:rFonts w:ascii="Times New Roman" w:hAnsi="Times New Roman" w:cs="Times New Roman"/>
          <w:sz w:val="28"/>
          <w:szCs w:val="28"/>
          <w:lang w:bidi="ar-SA"/>
        </w:rPr>
        <w:fldChar w:fldCharType="end"/>
      </w:r>
      <w:r w:rsidR="00B00B67" w:rsidRPr="00B00B67">
        <w:rPr>
          <w:rFonts w:ascii="Times New Roman" w:hAnsi="Times New Roman" w:cs="Times New Roman"/>
          <w:sz w:val="28"/>
          <w:szCs w:val="28"/>
          <w:lang w:bidi="ar-SA"/>
        </w:rPr>
        <w:t>. Противоречивые данные относительно ассоциации с риском кровотечений получен</w:t>
      </w:r>
      <w:r w:rsidR="00AC6F44">
        <w:rPr>
          <w:rFonts w:ascii="Times New Roman" w:hAnsi="Times New Roman" w:cs="Times New Roman"/>
          <w:sz w:val="28"/>
          <w:szCs w:val="28"/>
          <w:lang w:val="kk-KZ" w:bidi="ar-SA"/>
        </w:rPr>
        <w:t>о</w:t>
      </w:r>
      <w:r w:rsidR="00B00B67" w:rsidRPr="00B00B67">
        <w:rPr>
          <w:rFonts w:ascii="Times New Roman" w:hAnsi="Times New Roman" w:cs="Times New Roman"/>
          <w:sz w:val="28"/>
          <w:szCs w:val="28"/>
          <w:lang w:bidi="ar-SA"/>
        </w:rPr>
        <w:t xml:space="preserve"> в работе </w:t>
      </w:r>
      <w:r w:rsidR="00B00B67">
        <w:rPr>
          <w:rFonts w:ascii="Times New Roman" w:hAnsi="Times New Roman" w:cs="Times New Roman"/>
          <w:sz w:val="28"/>
          <w:szCs w:val="28"/>
          <w:lang w:val="en-US" w:bidi="ar-SA"/>
        </w:rPr>
        <w:t>Rosian</w:t>
      </w:r>
      <w:r w:rsidR="00B00B67" w:rsidRPr="00B00B67">
        <w:rPr>
          <w:rFonts w:ascii="Times New Roman" w:hAnsi="Times New Roman" w:cs="Times New Roman"/>
          <w:sz w:val="28"/>
          <w:szCs w:val="28"/>
          <w:lang w:bidi="ar-SA"/>
        </w:rPr>
        <w:t xml:space="preserve"> </w:t>
      </w:r>
      <w:r w:rsidR="00AC6F44">
        <w:rPr>
          <w:rFonts w:ascii="Times New Roman" w:hAnsi="Times New Roman" w:cs="Times New Roman"/>
          <w:sz w:val="28"/>
          <w:szCs w:val="28"/>
          <w:lang w:val="kk-KZ" w:bidi="ar-SA"/>
        </w:rPr>
        <w:t>и коллег</w:t>
      </w:r>
      <w:r w:rsidR="00AC6F44">
        <w:rPr>
          <w:rFonts w:ascii="Times New Roman" w:hAnsi="Times New Roman" w:cs="Times New Roman"/>
          <w:sz w:val="28"/>
          <w:szCs w:val="28"/>
          <w:lang w:val="kk-KZ" w:bidi="ar-SA"/>
        </w:rPr>
        <w:fldChar w:fldCharType="begin"/>
      </w:r>
      <w:r w:rsidR="00AC4691">
        <w:rPr>
          <w:rFonts w:ascii="Times New Roman" w:hAnsi="Times New Roman" w:cs="Times New Roman"/>
          <w:sz w:val="28"/>
          <w:szCs w:val="28"/>
          <w:lang w:val="kk-KZ" w:bidi="ar-SA"/>
        </w:rPr>
        <w:instrText xml:space="preserve"> ADDIN ZOTERO_ITEM CSL_CITATION {"citationID":"0z7PYvYs","properties":{"unsorted":false,"formattedCitation":"[203]","plainCitation":"[203]","noteIndex":0},"citationItems":[{"id":737,"uris":["http://zotero.org/users/14784094/items/GV8L5895"],"itemData":{"id":737,"type":"article-journal","abstract":"(1) Background: The approach of bleeding complications in patients treated with non-vitamin K oral anticoagulants (NOACs) represents an important issue in clinical practice. Both dabigatran and apixaban are substrates for P-glycoprotein and, therefore, ABCB1 gene variations may be useful in individualizing NOACs treatment, especially in high-risk patients. (2) Methods: ABCB1 rs1045642 and rs4148738 were determined in 218 atrial fibrillation patients treated with dabigatran or apixaban (70.94 ± 9.04 years; 51.83% men). (3) Results: Non-major bleeding appeared in 7.34% NOACs–treated patients. The logistic tested models based on the four genetic models revealed no significant association between the variant genotype of two ABCB1 SNPs and the risk of bleeding (p &gt; 0.05). Among the four two-locus haplotypes, TA and CA haplotypes had the highest frequency in NOACs-treated patients with bleeding, involving a possible positive association with the susceptibility of bleeding complications (OR = 1.04 and OR = 1.91, respectively). The logistic model found no significant association of estimated haplotypes with bleeding (p &gt; 0.05) except for the TG haplotype which had a trend toward statistical significance (p = 0.092). Among the risk factors for bleeding, only age &gt; 70 years and stroke/TIA showed a tendency toward statistical significance. (4) Conclusions: We found no significant associations between the studied ABCB1 variant genotypes with non-major bleeding risk in NOACs-treated patients. A trend of association between TG haplotype with bleeding risk was observed, implying a protective role of this haplotype against bleeding in patients treated with dabigatran or apixaban.","container-title":"Journal of Personalized Medicine","DOI":"10.3390/jpm10030133","ISSN":"2075-4426","issue":"3","journalAbbreviation":"JPM","language":"en","license":"https://creativecommons.org/licenses/by/4.0/","page":"133","source":"DOI.org (Crossref)","title":"An Exploratory Association Analysis of ABCB1 rs1045642 and ABCB1 rs4148738 with Non-Major Bleeding Risk in Atrial Fibrillation Patients Treated with Dabigatran or Apixaban","volume":"10","author":[{"family":"Roşian","given":"Adela-Nicoleta"},{"family":"Iancu","given":"Mihaela"},{"family":"Trifa","given":"Adrian Pavel"},{"family":"Roşian","given":"Ştefan Horia"},{"family":"Mada","given":"Cristina"},{"family":"Gocan","given":"Cornelia Paula"},{"family":"Niţă","given":"Teodora"},{"family":"Istratoaie","given":"Sabina"},{"family":"Boarescu","given":"Paul-Mihai"},{"family":"Buzoianu","given":"Anca Dana"}],"issued":{"date-parts":[["2020",9,18]]}}}],"schema":"https://github.com/citation-style-language/schema/raw/master/csl-citation.json"} </w:instrText>
      </w:r>
      <w:r w:rsidR="00AC6F44">
        <w:rPr>
          <w:rFonts w:ascii="Times New Roman" w:hAnsi="Times New Roman" w:cs="Times New Roman"/>
          <w:sz w:val="28"/>
          <w:szCs w:val="28"/>
          <w:lang w:val="kk-KZ" w:bidi="ar-SA"/>
        </w:rPr>
        <w:fldChar w:fldCharType="separate"/>
      </w:r>
      <w:r w:rsidR="00AC4691">
        <w:rPr>
          <w:rFonts w:ascii="Times New Roman" w:eastAsiaTheme="minorHAnsi" w:hAnsi="Times New Roman" w:cs="Times New Roman"/>
          <w:sz w:val="28"/>
          <w:szCs w:val="24"/>
          <w:lang w:eastAsia="en-US"/>
          <w14:ligatures w14:val="standardContextual"/>
        </w:rPr>
        <w:t>[203]</w:t>
      </w:r>
      <w:r w:rsidR="00AC6F44">
        <w:rPr>
          <w:rFonts w:ascii="Times New Roman" w:hAnsi="Times New Roman" w:cs="Times New Roman"/>
          <w:sz w:val="28"/>
          <w:szCs w:val="28"/>
          <w:lang w:val="kk-KZ" w:bidi="ar-SA"/>
        </w:rPr>
        <w:fldChar w:fldCharType="end"/>
      </w:r>
      <w:r w:rsidR="00AC6F44" w:rsidRPr="00AC6F44">
        <w:rPr>
          <w:rFonts w:ascii="Times New Roman" w:hAnsi="Times New Roman" w:cs="Times New Roman"/>
          <w:sz w:val="28"/>
          <w:szCs w:val="28"/>
          <w:lang w:bidi="ar-SA"/>
        </w:rPr>
        <w:t xml:space="preserve">. Среди 218 пациентов европеоидной расы, получавших </w:t>
      </w:r>
      <w:r w:rsidR="00AC6F44">
        <w:rPr>
          <w:rFonts w:ascii="Times New Roman" w:hAnsi="Times New Roman" w:cs="Times New Roman"/>
          <w:sz w:val="28"/>
          <w:szCs w:val="28"/>
          <w:lang w:val="kk-KZ" w:bidi="ar-SA"/>
        </w:rPr>
        <w:t>дабигатран</w:t>
      </w:r>
      <w:r w:rsidR="00AC6F44" w:rsidRPr="00AC6F44">
        <w:rPr>
          <w:rFonts w:ascii="Times New Roman" w:hAnsi="Times New Roman" w:cs="Times New Roman"/>
          <w:sz w:val="28"/>
          <w:szCs w:val="28"/>
          <w:lang w:bidi="ar-SA"/>
        </w:rPr>
        <w:t>, было установлено</w:t>
      </w:r>
      <w:r w:rsidR="00AC6F44">
        <w:rPr>
          <w:rFonts w:ascii="Times New Roman" w:hAnsi="Times New Roman" w:cs="Times New Roman"/>
          <w:sz w:val="28"/>
          <w:szCs w:val="28"/>
          <w:lang w:val="kk-KZ" w:bidi="ar-SA"/>
        </w:rPr>
        <w:t xml:space="preserve">, </w:t>
      </w:r>
      <w:r w:rsidR="00AC6F44" w:rsidRPr="00AC6F44">
        <w:rPr>
          <w:rFonts w:ascii="Times New Roman" w:hAnsi="Times New Roman" w:cs="Times New Roman"/>
          <w:sz w:val="28"/>
          <w:szCs w:val="28"/>
          <w:lang w:bidi="ar-SA"/>
        </w:rPr>
        <w:t>что 75% пациентов</w:t>
      </w:r>
      <w:r w:rsidR="00AC6F44">
        <w:rPr>
          <w:rFonts w:ascii="Times New Roman" w:hAnsi="Times New Roman" w:cs="Times New Roman"/>
          <w:sz w:val="28"/>
          <w:szCs w:val="28"/>
          <w:lang w:bidi="ar-SA"/>
        </w:rPr>
        <w:t>,</w:t>
      </w:r>
      <w:r w:rsidR="00AC6F44" w:rsidRPr="00AC6F44">
        <w:rPr>
          <w:rFonts w:ascii="Times New Roman" w:hAnsi="Times New Roman" w:cs="Times New Roman"/>
          <w:sz w:val="28"/>
          <w:szCs w:val="28"/>
          <w:lang w:bidi="ar-SA"/>
        </w:rPr>
        <w:t xml:space="preserve"> перенесших кровотечени</w:t>
      </w:r>
      <w:r w:rsidR="00AC6F44">
        <w:rPr>
          <w:rFonts w:ascii="Times New Roman" w:hAnsi="Times New Roman" w:cs="Times New Roman"/>
          <w:sz w:val="28"/>
          <w:szCs w:val="28"/>
          <w:lang w:bidi="ar-SA"/>
        </w:rPr>
        <w:t>я</w:t>
      </w:r>
      <w:r w:rsidR="00AC6F44" w:rsidRPr="00AC6F44">
        <w:rPr>
          <w:rFonts w:ascii="Times New Roman" w:hAnsi="Times New Roman" w:cs="Times New Roman"/>
          <w:sz w:val="28"/>
          <w:szCs w:val="28"/>
          <w:lang w:bidi="ar-SA"/>
        </w:rPr>
        <w:t>, являлись носителями генотипа</w:t>
      </w:r>
      <w:r w:rsidR="00AC6F44">
        <w:rPr>
          <w:rFonts w:ascii="Times New Roman" w:hAnsi="Times New Roman" w:cs="Times New Roman"/>
          <w:sz w:val="28"/>
          <w:szCs w:val="28"/>
          <w:lang w:bidi="ar-SA"/>
        </w:rPr>
        <w:t xml:space="preserve"> </w:t>
      </w:r>
      <w:r w:rsidR="00AC6F44">
        <w:rPr>
          <w:rFonts w:ascii="Times New Roman" w:hAnsi="Times New Roman" w:cs="Times New Roman"/>
          <w:sz w:val="28"/>
          <w:szCs w:val="28"/>
          <w:lang w:val="en-US" w:bidi="ar-SA"/>
        </w:rPr>
        <w:t>GA</w:t>
      </w:r>
      <w:r w:rsidR="00AC6F44" w:rsidRPr="00AC6F44">
        <w:rPr>
          <w:rFonts w:ascii="Times New Roman" w:hAnsi="Times New Roman" w:cs="Times New Roman"/>
          <w:sz w:val="28"/>
          <w:szCs w:val="28"/>
          <w:lang w:bidi="ar-SA"/>
        </w:rPr>
        <w:t xml:space="preserve"> или </w:t>
      </w:r>
      <w:r w:rsidR="00AC6F44">
        <w:rPr>
          <w:rFonts w:ascii="Times New Roman" w:hAnsi="Times New Roman" w:cs="Times New Roman"/>
          <w:sz w:val="28"/>
          <w:szCs w:val="28"/>
          <w:lang w:val="en-US" w:bidi="ar-SA"/>
        </w:rPr>
        <w:t>AA</w:t>
      </w:r>
      <w:r w:rsidR="00AC6F44" w:rsidRPr="00AC6F44">
        <w:rPr>
          <w:rFonts w:ascii="Times New Roman" w:hAnsi="Times New Roman" w:cs="Times New Roman"/>
          <w:sz w:val="28"/>
          <w:szCs w:val="28"/>
          <w:lang w:bidi="ar-SA"/>
        </w:rPr>
        <w:t xml:space="preserve"> по полиморфизму </w:t>
      </w:r>
      <w:r w:rsidR="00AC6F44">
        <w:rPr>
          <w:rFonts w:ascii="Times New Roman" w:hAnsi="Times New Roman" w:cs="Times New Roman"/>
          <w:sz w:val="28"/>
          <w:szCs w:val="28"/>
          <w:lang w:val="en-US" w:bidi="ar-SA"/>
        </w:rPr>
        <w:t>rs</w:t>
      </w:r>
      <w:r w:rsidR="00AC6F44" w:rsidRPr="00AC6F44">
        <w:rPr>
          <w:rFonts w:ascii="Times New Roman" w:hAnsi="Times New Roman" w:cs="Times New Roman"/>
          <w:sz w:val="28"/>
          <w:szCs w:val="28"/>
          <w:lang w:bidi="ar-SA"/>
        </w:rPr>
        <w:t xml:space="preserve">4148738, и 75% были носителями генотипа </w:t>
      </w:r>
      <w:r w:rsidR="00AC6F44">
        <w:rPr>
          <w:rFonts w:ascii="Times New Roman" w:hAnsi="Times New Roman" w:cs="Times New Roman"/>
          <w:sz w:val="28"/>
          <w:szCs w:val="28"/>
          <w:lang w:val="en-US" w:bidi="ar-SA"/>
        </w:rPr>
        <w:t>CT</w:t>
      </w:r>
      <w:r w:rsidR="00AC6F44" w:rsidRPr="00AC6F44">
        <w:rPr>
          <w:rFonts w:ascii="Times New Roman" w:hAnsi="Times New Roman" w:cs="Times New Roman"/>
          <w:sz w:val="28"/>
          <w:szCs w:val="28"/>
          <w:lang w:bidi="ar-SA"/>
        </w:rPr>
        <w:t xml:space="preserve"> или </w:t>
      </w:r>
      <w:r w:rsidR="00AC6F44">
        <w:rPr>
          <w:rFonts w:ascii="Times New Roman" w:hAnsi="Times New Roman" w:cs="Times New Roman"/>
          <w:sz w:val="28"/>
          <w:szCs w:val="28"/>
          <w:lang w:val="en-US" w:bidi="ar-SA"/>
        </w:rPr>
        <w:t>TT</w:t>
      </w:r>
      <w:r w:rsidR="00AC6F44" w:rsidRPr="00AC6F44">
        <w:rPr>
          <w:rFonts w:ascii="Times New Roman" w:hAnsi="Times New Roman" w:cs="Times New Roman"/>
          <w:sz w:val="28"/>
          <w:szCs w:val="28"/>
          <w:lang w:bidi="ar-SA"/>
        </w:rPr>
        <w:t xml:space="preserve"> по </w:t>
      </w:r>
      <w:r w:rsidR="00AC6F44">
        <w:rPr>
          <w:rFonts w:ascii="Times New Roman" w:hAnsi="Times New Roman" w:cs="Times New Roman"/>
          <w:sz w:val="28"/>
          <w:szCs w:val="28"/>
          <w:lang w:val="en-US" w:bidi="ar-SA"/>
        </w:rPr>
        <w:t>rs</w:t>
      </w:r>
      <w:r w:rsidR="00AC6F44" w:rsidRPr="00AC6F44">
        <w:rPr>
          <w:rFonts w:ascii="Times New Roman" w:hAnsi="Times New Roman" w:cs="Times New Roman"/>
          <w:sz w:val="28"/>
          <w:szCs w:val="28"/>
          <w:lang w:bidi="ar-SA"/>
        </w:rPr>
        <w:t>1045642</w:t>
      </w:r>
      <w:r w:rsidR="00AC6F4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{"citationID":"OkljudGw","properties":{"unsorted":false,"formattedCitation":"[203]","plainCitation":"[203]","noteIndex":0},"citationItems":[{"id":737,"uris":["http://zotero.org/users/14784094/items/GV8L5895"],"itemData":{"id":737,"type":"article-journal","abstract":"(1) Background: The approach of bleeding complications in patients treated with non-vitamin K oral anticoagulants (NOACs) represents an important issue in clinical practice. Both dabigatran and apixaban are substrates for P-glycoprotein and, therefore, ABCB1 gene variations may be useful in individualizing NOACs treatment, especially in high-risk patients. (2) Methods: ABCB1 rs1045642 and rs4148738 were determined in 218 atrial fibrillation patients treated with dabigatran or apixaban (70.94 ± 9.04 years; 51.83% men). (3) Results: Non-major bleeding appeared in 7.34% NOACs–treated patients. The logistic tested models based on the four genetic models revealed no significant association between the variant genotype of two ABCB1 SNPs and the risk of bleeding (p &gt; 0.05). Among the four two-locus haplotypes, TA and CA haplotypes had the highest frequency in NOACs-treated patients with bleeding, involving a possible positive association with the susceptibility of bleeding complications (OR = 1.04 and OR = 1.91, respectively). The logistic model found no significant association of estimated haplotypes with bleeding (p &gt; 0.05) except for the TG haplotype which had a trend toward statistical significance (p = 0.092). Among the risk factors for bleeding, only age &gt; 70 years and stroke/TIA showed a tendency toward statistical significance. (4) Conclusions: We found no significant associations between the studied ABCB1 variant genotypes with non-major bleeding risk in NOACs-treated patients. A trend of association between TG haplotype with bleeding risk was observed, implying a protective role of this haplotype against bleeding in patients treated with dabigatran or apixaban.","container-title":"Journal of Personalized Medicine","DOI":"10.3390/jpm10030133","ISSN":"2075-4426","issue":"3","journalAbbreviation":"JPM","language":"en","license":"https://creativecommons.org/licenses/by/4.0/","page":"133","source":"DOI.org (Crossref)","title":"An Exploratory Association Analysis of ABCB1 rs1045642 and ABCB1 rs4148738 with Non-Major Bleeding Risk in Atrial Fibrillation Patients Treated with Dabigatran or Apixaban","volume":"10","author":[{"family":"Roşian","given":"Adela-Nicoleta"},{"family":"Iancu","given":"Mihaela"},{"family":"Trifa","given":"Adrian Pavel"},{"family":"Roşian","given":"Ştefan Horia"},{"family":"Mada","given":"Cristina"},{"family":"Gocan","given":"Cornelia Paula"},{"family":"Niţă","given":"Teodora"},{"family":"Istratoaie","given":"Sabina"},{"family":"Boarescu","given":"Paul-Mihai"},{"family":"Buzoianu","given":"Anca Dana"}],"issued":{"date-parts":[["2020",9,18]]}}}],"schema":"https://github.com/citation-style-language/schema/raw/master/csl-citation.json"} </w:instrText>
      </w:r>
      <w:r w:rsidR="00AC6F4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[203]</w:t>
      </w:r>
      <w:r w:rsidR="00AC6F44">
        <w:rPr>
          <w:rFonts w:ascii="Times New Roman" w:hAnsi="Times New Roman" w:cs="Times New Roman"/>
          <w:sz w:val="28"/>
          <w:szCs w:val="28"/>
          <w:lang w:bidi="ar-SA"/>
        </w:rPr>
        <w:fldChar w:fldCharType="end"/>
      </w:r>
      <w:r w:rsidR="00AC6F44" w:rsidRPr="00AC6F44">
        <w:rPr>
          <w:rFonts w:ascii="Times New Roman" w:hAnsi="Times New Roman" w:cs="Times New Roman"/>
          <w:sz w:val="28"/>
          <w:szCs w:val="28"/>
          <w:lang w:bidi="ar-SA"/>
        </w:rPr>
        <w:t xml:space="preserve">. Аналогичная тенденция подтверждена в исследовании </w:t>
      </w:r>
      <w:r w:rsidR="009F0877" w:rsidRPr="00AC6F44">
        <w:rPr>
          <w:rFonts w:ascii="Times New Roman" w:hAnsi="Times New Roman" w:cs="Times New Roman"/>
          <w:sz w:val="28"/>
          <w:szCs w:val="28"/>
          <w:lang w:bidi="ar-SA"/>
        </w:rPr>
        <w:t>Сычева</w:t>
      </w:r>
      <w:r w:rsidR="00AC6F44" w:rsidRPr="00AC6F44">
        <w:rPr>
          <w:rFonts w:ascii="Times New Roman" w:hAnsi="Times New Roman" w:cs="Times New Roman"/>
          <w:sz w:val="28"/>
          <w:szCs w:val="28"/>
          <w:lang w:bidi="ar-SA"/>
        </w:rPr>
        <w:t xml:space="preserve"> и соавторов, где вариант генотипа </w:t>
      </w:r>
      <w:r w:rsidR="00AC6F44">
        <w:rPr>
          <w:rFonts w:ascii="Times New Roman" w:hAnsi="Times New Roman" w:cs="Times New Roman"/>
          <w:sz w:val="28"/>
          <w:szCs w:val="28"/>
          <w:lang w:val="en-US" w:bidi="ar-SA"/>
        </w:rPr>
        <w:t>rs</w:t>
      </w:r>
      <w:r w:rsidR="00AC6F44" w:rsidRPr="00AC6F44">
        <w:rPr>
          <w:rFonts w:ascii="Times New Roman" w:hAnsi="Times New Roman" w:cs="Times New Roman"/>
          <w:sz w:val="28"/>
          <w:szCs w:val="28"/>
          <w:lang w:bidi="ar-SA"/>
        </w:rPr>
        <w:t>1045642 (</w:t>
      </w:r>
      <w:r w:rsidR="00AC6F44">
        <w:rPr>
          <w:rFonts w:ascii="Times New Roman" w:hAnsi="Times New Roman" w:cs="Times New Roman"/>
          <w:sz w:val="28"/>
          <w:szCs w:val="28"/>
          <w:lang w:val="en-US" w:bidi="ar-SA"/>
        </w:rPr>
        <w:t>C</w:t>
      </w:r>
      <w:r w:rsidR="00AC6F44" w:rsidRPr="00AC6F44">
        <w:rPr>
          <w:rFonts w:ascii="Times New Roman" w:hAnsi="Times New Roman" w:cs="Times New Roman"/>
          <w:sz w:val="28"/>
          <w:szCs w:val="28"/>
          <w:lang w:bidi="ar-SA"/>
        </w:rPr>
        <w:t>&gt;</w:t>
      </w:r>
      <w:r w:rsidR="00AC6F44">
        <w:rPr>
          <w:rFonts w:ascii="Times New Roman" w:hAnsi="Times New Roman" w:cs="Times New Roman"/>
          <w:sz w:val="28"/>
          <w:szCs w:val="28"/>
          <w:lang w:val="en-US" w:bidi="ar-SA"/>
        </w:rPr>
        <w:t>T</w:t>
      </w:r>
      <w:r w:rsidR="00AC6F44" w:rsidRPr="00AC6F44">
        <w:rPr>
          <w:rFonts w:ascii="Times New Roman" w:hAnsi="Times New Roman" w:cs="Times New Roman"/>
          <w:sz w:val="28"/>
          <w:szCs w:val="28"/>
          <w:lang w:bidi="ar-SA"/>
        </w:rPr>
        <w:t>) чаще выявлялся у пациентов с эпизодами кровотечений</w:t>
      </w:r>
      <w:r w:rsidR="00AC6F4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{"citationID":"MLRgruGc","properties":{"unsorted":false,"formattedCitation":"[204]","plainCitation":"[204]","noteIndex":0},"citationItems":[{"id":56,"uris":["http://zotero.org/users/14784094/items/PCV46EQZ"],"itemData":{"id":56,"type":"article-journal","abstract":"Oral anticoagulants are widely used to prevent thromboembolic events in patients following total knee arthroplasty [1]. The genetic characteristics of patients affect the efficacy and safety of anticoagulants [2]. Dabigatran etexilate is a direct inhibitor of thrombin used as a prophylaxis of venous thromboembolic events (VTE) in Europe and Russia. [3]. This study evaluated the impact of ABCB1 and CES1 genetic polymorphisms on the peak and residual dabigatran concentration in orthopedic patients. Material and methods: A total of 30 patients aged 43 to 77 years following knee joint replacement were enrolled in the study. All patients received dabigatran etexilate at a dose of 220 mg/day for the prevention of VTEO. ABCB1 and CES1 genetic polymorphism genotyping was performed by real-time polymerase chain reaction (PCR). The peak and residual concentrations of dabigatran were determined by high-performance liquid chromatography (HPLC). Results: It was found that the ТТ genotype of the MDR1 gene С3435Т polymorphism is associated with a higher peak concentration of dabigatran than the CC genotype (p &lt;0.1). Statistically significant results for CES1 gene rs2244613 polymorphism were obtained in patients younger than 60 years (p &lt;0.05). The analysis of the haplotypes combination in two polymorphisms showed that the most common haplotype combination CC (rs1045642) ABCB1/CT (rs2244613) CES1 was significantly associated with a higher peak concentration of dabigatran compared to the rest of haplotype combinations (p = 0.002). Conclusions: The examination of a cohort of patients receiving dabigatran for the prevention of VTE during the period of large joints arthroplasty showed that SNPs C3435T ABCB1 and rs2244613 CES1 could play an important role in changing dabigatran concentrations. No data suggestive of the impact of SNP ABCB1 rs4148738 on the peak concentration of dabigatran were received.","container-title":"Atherothrombosis Journal","DOI":"10.21518/2307-1109-2018-1-122-130","ISSN":"2307-1109","issue":"1","journalAbbreviation":"Aterotromboz","language":"ru","page":"122-130","source":"DOI.org (Crossref)","title":"IMPACT OF ABCB1 AND CES1 GENETIC POLYMORPHISMS ON TROUGH STEADY-STATE DABIGATRAN CONCENTRATIONS IN PATIENTS AFTER ENDOPROSTHESIS OF KNIFE JOIN","author":[{"family":"Sychev","given":"D. A."},{"family":"Levanov","given":"A. N."},{"family":"Shelekhova","given":"T. V."},{"family":"Bochkov","given":"P. O."},{"family":"Denisenko","given":"N. Р."},{"family":"Ryzhikova","given":"K. A."},{"family":"Mirzaev","given":"K. В."},{"family":"Grishina","given":"E. A."},{"family":"Gavrilov","given":"M. A."}],"issued":{"date-parts":[["2018",5,20]]}}}],"schema":"https://github.com/citation-style-language/schema/raw/master/csl-citation.json"} </w:instrText>
      </w:r>
      <w:r w:rsidR="00AC6F4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[204]</w:t>
      </w:r>
      <w:r w:rsidR="00AC6F44">
        <w:rPr>
          <w:rFonts w:ascii="Times New Roman" w:hAnsi="Times New Roman" w:cs="Times New Roman"/>
          <w:sz w:val="28"/>
          <w:szCs w:val="28"/>
          <w:lang w:bidi="ar-SA"/>
        </w:rPr>
        <w:fldChar w:fldCharType="end"/>
      </w:r>
      <w:r w:rsidR="00AC6F44" w:rsidRPr="00AC6F44">
        <w:rPr>
          <w:rFonts w:ascii="Times New Roman" w:hAnsi="Times New Roman" w:cs="Times New Roman"/>
          <w:sz w:val="28"/>
          <w:szCs w:val="28"/>
          <w:lang w:bidi="ar-SA"/>
        </w:rPr>
        <w:t>. Однако крупн</w:t>
      </w:r>
      <w:r w:rsidR="00AC6F44">
        <w:rPr>
          <w:rFonts w:ascii="Times New Roman" w:hAnsi="Times New Roman" w:cs="Times New Roman"/>
          <w:sz w:val="28"/>
          <w:szCs w:val="28"/>
          <w:lang w:bidi="ar-SA"/>
        </w:rPr>
        <w:t>о</w:t>
      </w:r>
      <w:r w:rsidR="00AC6F44" w:rsidRPr="00AC6F44">
        <w:rPr>
          <w:rFonts w:ascii="Times New Roman" w:hAnsi="Times New Roman" w:cs="Times New Roman"/>
          <w:sz w:val="28"/>
          <w:szCs w:val="28"/>
          <w:lang w:bidi="ar-SA"/>
        </w:rPr>
        <w:t>е исследовани</w:t>
      </w:r>
      <w:r w:rsidR="00AC6F44">
        <w:rPr>
          <w:rFonts w:ascii="Times New Roman" w:hAnsi="Times New Roman" w:cs="Times New Roman"/>
          <w:sz w:val="28"/>
          <w:szCs w:val="28"/>
          <w:lang w:bidi="ar-SA"/>
        </w:rPr>
        <w:t xml:space="preserve">е </w:t>
      </w:r>
      <w:r w:rsidR="009F0877" w:rsidRPr="009F0877">
        <w:rPr>
          <w:rFonts w:ascii="Times New Roman" w:hAnsi="Times New Roman" w:cs="Times New Roman"/>
          <w:sz w:val="28"/>
          <w:szCs w:val="28"/>
          <w:lang w:val="en-US" w:bidi="ar-SA"/>
        </w:rPr>
        <w:t>L</w:t>
      </w:r>
      <w:r w:rsidR="009F0877">
        <w:rPr>
          <w:rFonts w:ascii="Times New Roman" w:hAnsi="Times New Roman" w:cs="Times New Roman"/>
          <w:sz w:val="28"/>
          <w:szCs w:val="28"/>
          <w:lang w:val="en-US" w:bidi="ar-SA"/>
        </w:rPr>
        <w:t>ahteenmaki</w:t>
      </w:r>
      <w:r w:rsidR="009F0877" w:rsidRPr="009F0877">
        <w:rPr>
          <w:rFonts w:ascii="Times New Roman" w:hAnsi="Times New Roman" w:cs="Times New Roman"/>
          <w:sz w:val="28"/>
          <w:szCs w:val="28"/>
          <w:lang w:bidi="ar-SA"/>
        </w:rPr>
        <w:t xml:space="preserve"> </w:t>
      </w:r>
      <w:r w:rsidR="00AC6F44" w:rsidRPr="00AC6F44">
        <w:rPr>
          <w:rFonts w:ascii="Times New Roman" w:hAnsi="Times New Roman" w:cs="Times New Roman"/>
          <w:sz w:val="28"/>
          <w:szCs w:val="28"/>
          <w:lang w:bidi="ar-SA"/>
        </w:rPr>
        <w:t>и соавторов</w:t>
      </w:r>
      <w:r w:rsidR="009F0877">
        <w:rPr>
          <w:rFonts w:ascii="Times New Roman" w:hAnsi="Times New Roman" w:cs="Times New Roman"/>
          <w:sz w:val="28"/>
          <w:szCs w:val="28"/>
          <w:lang w:bidi="ar-SA"/>
        </w:rPr>
        <w:t xml:space="preserve"> (2021)</w:t>
      </w:r>
      <w:r w:rsidR="00AC6F44" w:rsidRPr="00AC6F44">
        <w:rPr>
          <w:rFonts w:ascii="Times New Roman" w:hAnsi="Times New Roman" w:cs="Times New Roman"/>
          <w:sz w:val="28"/>
          <w:szCs w:val="28"/>
          <w:lang w:bidi="ar-SA"/>
        </w:rPr>
        <w:t>, проанализировавш</w:t>
      </w:r>
      <w:r w:rsidR="009F0877">
        <w:rPr>
          <w:rFonts w:ascii="Times New Roman" w:hAnsi="Times New Roman" w:cs="Times New Roman"/>
          <w:sz w:val="28"/>
          <w:szCs w:val="28"/>
          <w:lang w:bidi="ar-SA"/>
        </w:rPr>
        <w:t>е</w:t>
      </w:r>
      <w:r w:rsidR="00AC6F44" w:rsidRPr="00AC6F44">
        <w:rPr>
          <w:rFonts w:ascii="Times New Roman" w:hAnsi="Times New Roman" w:cs="Times New Roman"/>
          <w:sz w:val="28"/>
          <w:szCs w:val="28"/>
          <w:lang w:bidi="ar-SA"/>
        </w:rPr>
        <w:t>е данные 1806 пациентов</w:t>
      </w:r>
      <w:r w:rsidR="009F0877">
        <w:rPr>
          <w:rFonts w:ascii="Times New Roman" w:hAnsi="Times New Roman" w:cs="Times New Roman"/>
          <w:sz w:val="28"/>
          <w:szCs w:val="28"/>
          <w:lang w:bidi="ar-SA"/>
        </w:rPr>
        <w:t>,</w:t>
      </w:r>
      <w:r w:rsidR="00AC6F44" w:rsidRPr="00AC6F44">
        <w:rPr>
          <w:rFonts w:ascii="Times New Roman" w:hAnsi="Times New Roman" w:cs="Times New Roman"/>
          <w:sz w:val="28"/>
          <w:szCs w:val="28"/>
          <w:lang w:bidi="ar-SA"/>
        </w:rPr>
        <w:t xml:space="preserve"> получавших </w:t>
      </w:r>
      <w:r w:rsidR="009F0877">
        <w:rPr>
          <w:rFonts w:ascii="Times New Roman" w:hAnsi="Times New Roman" w:cs="Times New Roman"/>
          <w:sz w:val="28"/>
          <w:szCs w:val="28"/>
          <w:lang w:bidi="ar-SA"/>
        </w:rPr>
        <w:t xml:space="preserve">дабигатран, ривароксабан и апиксабан </w:t>
      </w:r>
      <w:r w:rsidR="00AC6F44" w:rsidRPr="00AC6F44">
        <w:rPr>
          <w:rFonts w:ascii="Times New Roman" w:hAnsi="Times New Roman" w:cs="Times New Roman"/>
          <w:sz w:val="28"/>
          <w:szCs w:val="28"/>
          <w:lang w:bidi="ar-SA"/>
        </w:rPr>
        <w:t xml:space="preserve">(включая 340 </w:t>
      </w:r>
      <w:r w:rsidR="009F0877">
        <w:rPr>
          <w:rFonts w:ascii="Times New Roman" w:hAnsi="Times New Roman" w:cs="Times New Roman"/>
          <w:sz w:val="28"/>
          <w:szCs w:val="28"/>
          <w:lang w:bidi="ar-SA"/>
        </w:rPr>
        <w:t>на дабигатране</w:t>
      </w:r>
      <w:r w:rsidR="00AC6F44" w:rsidRPr="00AC6F44">
        <w:rPr>
          <w:rFonts w:ascii="Times New Roman" w:hAnsi="Times New Roman" w:cs="Times New Roman"/>
          <w:sz w:val="28"/>
          <w:szCs w:val="28"/>
          <w:lang w:bidi="ar-SA"/>
        </w:rPr>
        <w:t>), не выявило значимого влияния изученных полиморфизмов</w:t>
      </w:r>
      <w:r w:rsidR="009F0877">
        <w:rPr>
          <w:rFonts w:ascii="Times New Roman" w:hAnsi="Times New Roman" w:cs="Times New Roman"/>
          <w:sz w:val="28"/>
          <w:szCs w:val="28"/>
          <w:lang w:bidi="ar-SA"/>
        </w:rPr>
        <w:t xml:space="preserve"> </w:t>
      </w:r>
      <w:r w:rsidR="009F0877">
        <w:rPr>
          <w:rFonts w:ascii="Times New Roman" w:hAnsi="Times New Roman" w:cs="Times New Roman"/>
          <w:sz w:val="28"/>
          <w:szCs w:val="28"/>
          <w:lang w:val="en-US" w:bidi="ar-SA"/>
        </w:rPr>
        <w:t>ABCB</w:t>
      </w:r>
      <w:r w:rsidR="009F0877" w:rsidRPr="009F0877">
        <w:rPr>
          <w:rFonts w:ascii="Times New Roman" w:hAnsi="Times New Roman" w:cs="Times New Roman"/>
          <w:sz w:val="28"/>
          <w:szCs w:val="28"/>
          <w:lang w:bidi="ar-SA"/>
        </w:rPr>
        <w:t>1 (</w:t>
      </w:r>
      <w:r w:rsidR="009F0877">
        <w:rPr>
          <w:rFonts w:ascii="Times New Roman" w:hAnsi="Times New Roman" w:cs="Times New Roman"/>
          <w:sz w:val="28"/>
          <w:szCs w:val="28"/>
          <w:lang w:val="en-US" w:bidi="ar-SA"/>
        </w:rPr>
        <w:t>rs</w:t>
      </w:r>
      <w:r w:rsidR="009F0877" w:rsidRPr="009F0877">
        <w:rPr>
          <w:rFonts w:ascii="Times New Roman" w:hAnsi="Times New Roman" w:cs="Times New Roman"/>
          <w:sz w:val="28"/>
          <w:szCs w:val="28"/>
          <w:lang w:bidi="ar-SA"/>
        </w:rPr>
        <w:t xml:space="preserve">1045642, </w:t>
      </w:r>
      <w:r w:rsidR="009F0877">
        <w:rPr>
          <w:rFonts w:ascii="Times New Roman" w:hAnsi="Times New Roman" w:cs="Times New Roman"/>
          <w:sz w:val="28"/>
          <w:szCs w:val="28"/>
          <w:lang w:val="en-US" w:bidi="ar-SA"/>
        </w:rPr>
        <w:t>rs</w:t>
      </w:r>
      <w:r w:rsidR="009F0877" w:rsidRPr="009F0877">
        <w:rPr>
          <w:rFonts w:ascii="Times New Roman" w:hAnsi="Times New Roman" w:cs="Times New Roman"/>
          <w:sz w:val="28"/>
          <w:szCs w:val="28"/>
          <w:lang w:bidi="ar-SA"/>
        </w:rPr>
        <w:t xml:space="preserve">2032582, </w:t>
      </w:r>
      <w:r w:rsidR="009F0877">
        <w:rPr>
          <w:rFonts w:ascii="Times New Roman" w:hAnsi="Times New Roman" w:cs="Times New Roman"/>
          <w:sz w:val="28"/>
          <w:szCs w:val="28"/>
          <w:lang w:val="en-US" w:bidi="ar-SA"/>
        </w:rPr>
        <w:t>rs</w:t>
      </w:r>
      <w:r w:rsidR="009F0877" w:rsidRPr="009F0877">
        <w:rPr>
          <w:rFonts w:ascii="Times New Roman" w:hAnsi="Times New Roman" w:cs="Times New Roman"/>
          <w:sz w:val="28"/>
          <w:szCs w:val="28"/>
          <w:lang w:bidi="ar-SA"/>
        </w:rPr>
        <w:t xml:space="preserve">4148738, </w:t>
      </w:r>
      <w:r w:rsidR="009F0877">
        <w:rPr>
          <w:rFonts w:ascii="Times New Roman" w:hAnsi="Times New Roman" w:cs="Times New Roman"/>
          <w:sz w:val="28"/>
          <w:szCs w:val="28"/>
          <w:lang w:val="en-US" w:bidi="ar-SA"/>
        </w:rPr>
        <w:t>rs</w:t>
      </w:r>
      <w:r w:rsidR="009F0877" w:rsidRPr="009F0877">
        <w:rPr>
          <w:rFonts w:ascii="Times New Roman" w:hAnsi="Times New Roman" w:cs="Times New Roman"/>
          <w:sz w:val="28"/>
          <w:szCs w:val="28"/>
          <w:lang w:bidi="ar-SA"/>
        </w:rPr>
        <w:t>1128503)</w:t>
      </w:r>
      <w:r w:rsidR="00AC6F44" w:rsidRPr="00AC6F44">
        <w:rPr>
          <w:rFonts w:ascii="Times New Roman" w:hAnsi="Times New Roman" w:cs="Times New Roman"/>
          <w:sz w:val="28"/>
          <w:szCs w:val="28"/>
          <w:lang w:bidi="ar-SA"/>
        </w:rPr>
        <w:t xml:space="preserve"> на риск развития тромбоэмболических или геморрагических осложнений у пациентов</w:t>
      </w:r>
      <w:r w:rsidR="009F0877" w:rsidRPr="009F0877">
        <w:rPr>
          <w:rFonts w:ascii="Times New Roman" w:hAnsi="Times New Roman" w:cs="Times New Roman"/>
          <w:sz w:val="28"/>
          <w:szCs w:val="28"/>
          <w:lang w:bidi="ar-SA"/>
        </w:rPr>
        <w:t>,</w:t>
      </w:r>
      <w:r w:rsidR="00AC6F44" w:rsidRPr="00AC6F44">
        <w:rPr>
          <w:rFonts w:ascii="Times New Roman" w:hAnsi="Times New Roman" w:cs="Times New Roman"/>
          <w:sz w:val="28"/>
          <w:szCs w:val="28"/>
          <w:lang w:bidi="ar-SA"/>
        </w:rPr>
        <w:t xml:space="preserve"> принимавших </w:t>
      </w:r>
      <w:r w:rsidR="009F0877">
        <w:rPr>
          <w:rFonts w:ascii="Times New Roman" w:hAnsi="Times New Roman" w:cs="Times New Roman"/>
          <w:sz w:val="28"/>
          <w:szCs w:val="28"/>
          <w:lang w:bidi="ar-SA"/>
        </w:rPr>
        <w:t>дабигатран</w:t>
      </w:r>
      <w:r w:rsidR="009F087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{"citationID":"QkcImbmw","properties":{"unsorted":false,"formattedCitation":"[205]","plainCitation":"[205]","noteIndex":0},"citationItems":[{"id":55,"uris":["http://zotero.org/users/14784094/items/F3CG3MNM"],"itemData":{"id":55,"type":"article-journal","abstract":"This study aimed to analyze associations between genetic variants and the occurrence of clinical outcomes in dabigatran, apixaban, and rivaroxaban users. This was a retrospective real-world study linking genotype data of three Finnish biobanks with national register data on drug dispensations and healthcare encounters. We investigated several single-nucleotide variants (SNVs) in the ABCG2, ABCB1, CES1, and CYP3A5 genes potentially associated with bleeding or thromboembolic events in direct oral anticoagulant (DOAC) users based on earlier research. We used Cox regression models to compare the incidence of clinical outcomes between carriers and noncarriers of the SNVs or haplotypes. In total, 1,806 patients on apixaban, dabigatran, or rivaroxaban were studied. The ABCB1 c.3435C&gt;T (p.Ile1145=, rs1045642) SNV (hazard ratio (HR) 0.42, 95% confidence interval (CI), 0.18-0.98, P = 0.044) and 1236T-2677T-3435T (rs1128503-rs2032582-rs1045642) haplotype (HR 0.44, 95% CI, 0.20-0.95, P = 0.036) were associated with a reduced risk for thromboembolic outcomes, and the 1236C-2677G-3435C (HR 2.55, 95% CI, 1.03-6.36, P = 0.044) and 1236T-2677G-3435C (HR 5.88, 95% CI, 2.35-14.72, P &lt; 0.001) haplotypes with an increased risk for thromboembolic outcomes in rivaroxaban users. The ABCB1 c.2482-2236G&gt;A (rs4148738) SNV associated with a lower risk for bleeding events (HR 0.37, 95% CI, 0.16-0.89, P = 0.025) in apixaban users. ABCB1 variants are potential factors affecting thromboembolic events in rivaroxaban users and bleeding events in apixaban users. Studies with larger numbers of patients are warranted for comprehensive assessment of the pharmacogenetic associations of DOACs and their relevance for clinical practice.","container-title":"Clinical Pharmacology and Therapeutics","DOI":"10.1002/cpt.2316","ISSN":"1532-6535","issue":"3","journalAbbreviation":"Clin Pharmacol Ther","language":"eng","page":"768-776","PMID":"34043814","source":"PubMed","title":"Pharmacogenetics of Bleeding and Thromboembolic Events in Direct Oral Anticoagulant Users","volume":"110","author":[{"family":"Lähteenmäki","given":"Jaakko"},{"family":"Vuorinen","given":"Anna-Leena"},{"family":"Pajula","given":"Juha"},{"family":"Harno","given":"Kari"},{"family":"Lehto","given":"Mika"},{"family":"Niemi","given":"Mikko"},{"family":"Gils","given":"Mark","non-dropping-particle":"van"}],"issued":{"date-parts":[["2021",9]]}}}],"schema":"https://github.com/citation-style-language/schema/raw/master/csl-citation.json"} </w:instrText>
      </w:r>
      <w:r w:rsidR="009F087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[205]</w:t>
      </w:r>
      <w:r w:rsidR="009F0877">
        <w:rPr>
          <w:rFonts w:ascii="Times New Roman" w:hAnsi="Times New Roman" w:cs="Times New Roman"/>
          <w:sz w:val="28"/>
          <w:szCs w:val="28"/>
          <w:lang w:bidi="ar-SA"/>
        </w:rPr>
        <w:fldChar w:fldCharType="end"/>
      </w:r>
      <w:r w:rsidR="00AC6F44" w:rsidRPr="00AC6F44">
        <w:rPr>
          <w:rFonts w:ascii="Times New Roman" w:hAnsi="Times New Roman" w:cs="Times New Roman"/>
          <w:sz w:val="28"/>
          <w:szCs w:val="28"/>
          <w:lang w:bidi="ar-SA"/>
        </w:rPr>
        <w:t>. Работа</w:t>
      </w:r>
      <w:r w:rsidR="009F0877" w:rsidRPr="009F0877">
        <w:rPr>
          <w:rFonts w:ascii="Times New Roman" w:hAnsi="Times New Roman" w:cs="Times New Roman"/>
          <w:sz w:val="28"/>
          <w:szCs w:val="28"/>
          <w:lang w:bidi="ar-SA"/>
        </w:rPr>
        <w:t xml:space="preserve"> </w:t>
      </w:r>
      <w:r w:rsidR="009F0877">
        <w:rPr>
          <w:rFonts w:ascii="Times New Roman" w:hAnsi="Times New Roman" w:cs="Times New Roman"/>
          <w:sz w:val="28"/>
          <w:szCs w:val="28"/>
          <w:lang w:val="en-US" w:bidi="ar-SA"/>
        </w:rPr>
        <w:t>Liu</w:t>
      </w:r>
      <w:r w:rsidR="00AC6F44" w:rsidRPr="00AC6F44">
        <w:rPr>
          <w:rFonts w:ascii="Times New Roman" w:hAnsi="Times New Roman" w:cs="Times New Roman"/>
          <w:sz w:val="28"/>
          <w:szCs w:val="28"/>
          <w:lang w:bidi="ar-SA"/>
        </w:rPr>
        <w:t xml:space="preserve"> и соавторов </w:t>
      </w:r>
      <w:r w:rsidR="009F0877" w:rsidRPr="009F0877">
        <w:rPr>
          <w:rFonts w:ascii="Times New Roman" w:hAnsi="Times New Roman" w:cs="Times New Roman"/>
          <w:sz w:val="28"/>
          <w:szCs w:val="28"/>
          <w:lang w:bidi="ar-SA"/>
        </w:rPr>
        <w:t xml:space="preserve">(2021) </w:t>
      </w:r>
      <w:r w:rsidR="00AC6F44" w:rsidRPr="00AC6F44">
        <w:rPr>
          <w:rFonts w:ascii="Times New Roman" w:hAnsi="Times New Roman" w:cs="Times New Roman"/>
          <w:sz w:val="28"/>
          <w:szCs w:val="28"/>
          <w:lang w:bidi="ar-SA"/>
        </w:rPr>
        <w:t>также не обнаружила связи между полиморфизмами</w:t>
      </w:r>
      <w:r w:rsidR="009F0877" w:rsidRPr="009F0877">
        <w:rPr>
          <w:rFonts w:ascii="Times New Roman" w:hAnsi="Times New Roman" w:cs="Times New Roman"/>
          <w:sz w:val="28"/>
          <w:szCs w:val="28"/>
          <w:lang w:bidi="ar-SA"/>
        </w:rPr>
        <w:t xml:space="preserve"> </w:t>
      </w:r>
      <w:r w:rsidR="009F0877">
        <w:rPr>
          <w:rFonts w:ascii="Times New Roman" w:hAnsi="Times New Roman" w:cs="Times New Roman"/>
          <w:sz w:val="28"/>
          <w:szCs w:val="28"/>
          <w:lang w:val="en-US" w:bidi="ar-SA"/>
        </w:rPr>
        <w:t>ABCB</w:t>
      </w:r>
      <w:r w:rsidR="009F0877" w:rsidRPr="009F0877">
        <w:rPr>
          <w:rFonts w:ascii="Times New Roman" w:hAnsi="Times New Roman" w:cs="Times New Roman"/>
          <w:sz w:val="28"/>
          <w:szCs w:val="28"/>
          <w:lang w:bidi="ar-SA"/>
        </w:rPr>
        <w:t xml:space="preserve">1 </w:t>
      </w:r>
      <w:r w:rsidR="009F0877">
        <w:rPr>
          <w:rFonts w:ascii="Times New Roman" w:hAnsi="Times New Roman" w:cs="Times New Roman"/>
          <w:sz w:val="28"/>
          <w:szCs w:val="28"/>
          <w:lang w:val="en-US" w:bidi="ar-SA"/>
        </w:rPr>
        <w:t>rs</w:t>
      </w:r>
      <w:r w:rsidR="009F0877" w:rsidRPr="009F0877">
        <w:rPr>
          <w:rFonts w:ascii="Times New Roman" w:hAnsi="Times New Roman" w:cs="Times New Roman"/>
          <w:sz w:val="28"/>
          <w:szCs w:val="28"/>
          <w:lang w:bidi="ar-SA"/>
        </w:rPr>
        <w:t xml:space="preserve">2032582, </w:t>
      </w:r>
      <w:r w:rsidR="009F0877">
        <w:rPr>
          <w:rFonts w:ascii="Times New Roman" w:hAnsi="Times New Roman" w:cs="Times New Roman"/>
          <w:sz w:val="28"/>
          <w:szCs w:val="28"/>
          <w:lang w:val="en-US" w:bidi="ar-SA"/>
        </w:rPr>
        <w:t>rs</w:t>
      </w:r>
      <w:r w:rsidR="009F0877" w:rsidRPr="009F0877">
        <w:rPr>
          <w:rFonts w:ascii="Times New Roman" w:hAnsi="Times New Roman" w:cs="Times New Roman"/>
          <w:sz w:val="28"/>
          <w:szCs w:val="28"/>
          <w:lang w:bidi="ar-SA"/>
        </w:rPr>
        <w:t xml:space="preserve">4148738, </w:t>
      </w:r>
      <w:r w:rsidR="009F0877">
        <w:rPr>
          <w:rFonts w:ascii="Times New Roman" w:hAnsi="Times New Roman" w:cs="Times New Roman"/>
          <w:sz w:val="28"/>
          <w:szCs w:val="28"/>
          <w:lang w:val="en-US" w:bidi="ar-SA"/>
        </w:rPr>
        <w:t>rs</w:t>
      </w:r>
      <w:r w:rsidR="009F0877" w:rsidRPr="009F0877">
        <w:rPr>
          <w:rFonts w:ascii="Times New Roman" w:hAnsi="Times New Roman" w:cs="Times New Roman"/>
          <w:sz w:val="28"/>
          <w:szCs w:val="28"/>
          <w:lang w:bidi="ar-SA"/>
        </w:rPr>
        <w:t>1045642</w:t>
      </w:r>
      <w:r w:rsidR="00AC6F44" w:rsidRPr="00AC6F44">
        <w:rPr>
          <w:rFonts w:ascii="Times New Roman" w:hAnsi="Times New Roman" w:cs="Times New Roman"/>
          <w:sz w:val="28"/>
          <w:szCs w:val="28"/>
          <w:lang w:bidi="ar-SA"/>
        </w:rPr>
        <w:t xml:space="preserve"> и фармакокинетикой </w:t>
      </w:r>
      <w:r w:rsidR="009F0877">
        <w:rPr>
          <w:rFonts w:ascii="Times New Roman" w:hAnsi="Times New Roman" w:cs="Times New Roman"/>
          <w:sz w:val="28"/>
          <w:szCs w:val="28"/>
          <w:lang w:bidi="ar-SA"/>
        </w:rPr>
        <w:t xml:space="preserve">дабигатрана </w:t>
      </w:r>
      <w:r w:rsidR="00AC6F44" w:rsidRPr="00AC6F44">
        <w:rPr>
          <w:rFonts w:ascii="Times New Roman" w:hAnsi="Times New Roman" w:cs="Times New Roman"/>
          <w:sz w:val="28"/>
          <w:szCs w:val="28"/>
          <w:lang w:bidi="ar-SA"/>
        </w:rPr>
        <w:t>у здоровых добровольцев</w:t>
      </w:r>
      <w:r w:rsidR="009F0877">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{"citationID":"DE1UyYrw","properties":{"unsorted":false,"formattedCitation":"[206]","plainCitation":"[206]","noteIndex":0},"citationItems":[{"id":735,"uris":["http://zotero.org/users/14784094/items/BFIV9P2X"],"itemData":{"id":735,"type":"article-journal","abstract":"Dabigatran is a novel direct oral anticoagulant agent, whose plasma concentration is closely related to bleeding risk. Genetic polymorphisms can affect the level of plasma dabigatran. The purpose of this study was to understand the relationship between dabigatranrelated genes and the plasma level of dabigatran in healthy Chinese subjects after taking a single oral dose. This study was performed with a single-center, single-dose, randomized, open-label, and four-period crossover trial design under both fasting and fed conditions. A total of 106 eligible healthy subjects were enrolled in the study and 104 were genotyped. One-way analysis of variance (ANOVA) was used to compare pharmacokinetic parameters among different genotypes and linear regression was applied to explore the multiplicative interaction between variables. In this study, we found that the genotype frequencies of CES1 rs2244613 and CES1 rs8192935 were significantly different between Chinese and Caucasians, but the genotype frequencies of ABCB1 rs1045642 and ABCB1 rs4148738 were similar in both populations. CES1 rs8192935 were associated with the peak concentra­ tion of dabigatran. There was no significant gender difference in the exposure level of dabigatran. Furthermore, food significantly delayed the absorption of dabigatran but had little effect on Cmax and AUC0-∞.","container-title":"Pharmacogenomics and Personalized Medicine","DOI":"10.2147/PGPM.S291723","ISSN":"1178-7066","journalAbbreviation":"PGPM","language":"en","license":"http://creativecommons.org/licenses/by-nc/3.0/","page":"477-485","source":"DOI.org (Crossref)","title":"The Impact of ABCB1 and CES1 Polymorphisms on Dabigatran Pharmacokinetics in Healthy Chinese Subjects","volume":"Volume 14","author":[{"family":"Liu","given":"Yue"},{"family":"Yang","given":"Chenguang"},{"family":"Qi","given":"Wenyuan"},{"family":"Pei","given":"Zuowei"},{"family":"Xue","given":"Wei"},{"family":"Zhu","given":"Huolan"},{"family":"Dong","given":"Min"},{"family":"Guo","given":"Ying"},{"family":"Cong","given":"Duanduan"},{"family":"Wang","given":"Fang"}],"issued":{"date-parts":[["2021",4]]}}}],"schema":"https://github.com/citation-style-language/schema/raw/master/csl-citation.json"} </w:instrText>
      </w:r>
      <w:r w:rsidR="009F0877">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[206]</w:t>
      </w:r>
      <w:r w:rsidR="009F0877">
        <w:rPr>
          <w:rFonts w:ascii="Times New Roman" w:hAnsi="Times New Roman" w:cs="Times New Roman"/>
          <w:sz w:val="28"/>
          <w:szCs w:val="28"/>
          <w:lang w:bidi="ar-SA"/>
        </w:rPr>
        <w:fldChar w:fldCharType="end"/>
      </w:r>
      <w:r w:rsidR="00AC6F44" w:rsidRPr="00AC6F44">
        <w:rPr>
          <w:rFonts w:ascii="Times New Roman" w:hAnsi="Times New Roman" w:cs="Times New Roman"/>
          <w:sz w:val="28"/>
          <w:szCs w:val="28"/>
          <w:lang w:bidi="ar-SA"/>
        </w:rPr>
        <w:t xml:space="preserve">. </w:t>
      </w:r>
    </w:p>
    <w:p w14:paraId="7F8609DF" w14:textId="36214B68" w:rsidR="009F0877" w:rsidRPr="009F0877" w:rsidRDefault="009F0877" w:rsidP="008D7CBD">
      <w:pPr>
        <w:pStyle w:val="LO-normal"/>
        <w:spacing w:after="0" w:line="240" w:lineRule="auto"/>
        <w:ind w:firstLine="567"/>
        <w:jc w:val="both"/>
        <w:rPr>
          <w:rFonts w:ascii="Times New Roman" w:hAnsi="Times New Roman" w:cs="Times New Roman"/>
          <w:i/>
          <w:iCs/>
          <w:sz w:val="28"/>
          <w:szCs w:val="28"/>
          <w:lang w:bidi="ar-SA"/>
        </w:rPr>
      </w:pPr>
      <w:r w:rsidRPr="009F0877">
        <w:rPr>
          <w:rFonts w:ascii="Times New Roman" w:hAnsi="Times New Roman" w:cs="Times New Roman"/>
          <w:i/>
          <w:iCs/>
          <w:sz w:val="28"/>
          <w:szCs w:val="28"/>
          <w:lang w:bidi="ar-SA"/>
        </w:rPr>
        <w:t xml:space="preserve">Генетические полиморфизмы </w:t>
      </w:r>
      <w:r w:rsidRPr="009F0877">
        <w:rPr>
          <w:rFonts w:ascii="Times New Roman" w:hAnsi="Times New Roman" w:cs="Times New Roman"/>
          <w:i/>
          <w:iCs/>
          <w:sz w:val="28"/>
          <w:szCs w:val="28"/>
          <w:lang w:val="en-US" w:bidi="ar-SA"/>
        </w:rPr>
        <w:t>CES</w:t>
      </w:r>
      <w:r w:rsidRPr="009F0877">
        <w:rPr>
          <w:rFonts w:ascii="Times New Roman" w:hAnsi="Times New Roman" w:cs="Times New Roman"/>
          <w:i/>
          <w:iCs/>
          <w:sz w:val="28"/>
          <w:szCs w:val="28"/>
          <w:lang w:bidi="ar-SA"/>
        </w:rPr>
        <w:t>1 и их влияние на дабигатран</w:t>
      </w:r>
    </w:p>
    <w:p w14:paraId="36843ACA" w14:textId="485DC612" w:rsidR="009F0877" w:rsidRPr="00D137D9" w:rsidRDefault="009F0877" w:rsidP="008D7CBD">
      <w:pPr>
        <w:pStyle w:val="LO-normal"/>
        <w:spacing w:after="0" w:line="240" w:lineRule="auto"/>
        <w:ind w:firstLine="567"/>
        <w:jc w:val="both"/>
        <w:rPr>
          <w:rFonts w:ascii="Times New Roman" w:hAnsi="Times New Roman" w:cs="Times New Roman"/>
          <w:sz w:val="28"/>
          <w:szCs w:val="28"/>
          <w:lang w:bidi="ar-SA"/>
        </w:rPr>
      </w:pPr>
      <w:r w:rsidRPr="009F0877">
        <w:rPr>
          <w:rFonts w:ascii="Times New Roman" w:hAnsi="Times New Roman" w:cs="Times New Roman"/>
          <w:sz w:val="28"/>
          <w:szCs w:val="28"/>
          <w:lang w:bidi="ar-SA"/>
        </w:rPr>
        <w:t xml:space="preserve">Ген </w:t>
      </w:r>
      <w:r>
        <w:rPr>
          <w:rFonts w:ascii="Times New Roman" w:hAnsi="Times New Roman" w:cs="Times New Roman"/>
          <w:sz w:val="28"/>
          <w:szCs w:val="28"/>
          <w:lang w:val="en-US" w:bidi="ar-SA"/>
        </w:rPr>
        <w:t>CES</w:t>
      </w:r>
      <w:r w:rsidRPr="009F0877">
        <w:rPr>
          <w:rFonts w:ascii="Times New Roman" w:hAnsi="Times New Roman" w:cs="Times New Roman"/>
          <w:sz w:val="28"/>
          <w:szCs w:val="28"/>
          <w:lang w:bidi="ar-SA"/>
        </w:rPr>
        <w:t>1, кодирующий карбоксил</w:t>
      </w:r>
      <w:r>
        <w:rPr>
          <w:rFonts w:ascii="Times New Roman" w:hAnsi="Times New Roman" w:cs="Times New Roman"/>
          <w:sz w:val="28"/>
          <w:szCs w:val="28"/>
          <w:lang w:bidi="ar-SA"/>
        </w:rPr>
        <w:t>этеразу 1 (</w:t>
      </w:r>
      <w:r w:rsidR="0006621D" w:rsidRPr="0006621D">
        <w:rPr>
          <w:rFonts w:ascii="Times New Roman" w:hAnsi="Times New Roman" w:cs="Times New Roman"/>
          <w:sz w:val="28"/>
          <w:szCs w:val="28"/>
          <w:lang w:bidi="ar-SA"/>
        </w:rPr>
        <w:t>основной фермент</w:t>
      </w:r>
      <w:r w:rsidR="0006621D">
        <w:rPr>
          <w:rFonts w:ascii="Times New Roman" w:hAnsi="Times New Roman" w:cs="Times New Roman"/>
          <w:sz w:val="28"/>
          <w:szCs w:val="28"/>
          <w:lang w:bidi="ar-SA"/>
        </w:rPr>
        <w:t xml:space="preserve">, </w:t>
      </w:r>
      <w:r w:rsidR="0006621D" w:rsidRPr="0006621D">
        <w:rPr>
          <w:rFonts w:ascii="Times New Roman" w:hAnsi="Times New Roman" w:cs="Times New Roman"/>
          <w:sz w:val="28"/>
          <w:szCs w:val="28"/>
          <w:lang w:bidi="ar-SA"/>
        </w:rPr>
        <w:t>активирующи</w:t>
      </w:r>
      <w:r w:rsidR="0006621D">
        <w:rPr>
          <w:rFonts w:ascii="Times New Roman" w:hAnsi="Times New Roman" w:cs="Times New Roman"/>
          <w:sz w:val="28"/>
          <w:szCs w:val="28"/>
          <w:lang w:bidi="ar-SA"/>
        </w:rPr>
        <w:t xml:space="preserve">й </w:t>
      </w:r>
      <w:r w:rsidR="0006621D" w:rsidRPr="0006621D">
        <w:rPr>
          <w:rFonts w:ascii="Times New Roman" w:hAnsi="Times New Roman" w:cs="Times New Roman"/>
          <w:sz w:val="28"/>
          <w:szCs w:val="28"/>
          <w:lang w:bidi="ar-SA"/>
        </w:rPr>
        <w:t>пролекарств</w:t>
      </w:r>
      <w:r w:rsidR="0006621D">
        <w:rPr>
          <w:rFonts w:ascii="Times New Roman" w:hAnsi="Times New Roman" w:cs="Times New Roman"/>
          <w:sz w:val="28"/>
          <w:szCs w:val="28"/>
          <w:lang w:bidi="ar-SA"/>
        </w:rPr>
        <w:t>о</w:t>
      </w:r>
      <w:r w:rsidR="0006621D" w:rsidRPr="0006621D">
        <w:rPr>
          <w:rFonts w:ascii="Times New Roman" w:hAnsi="Times New Roman" w:cs="Times New Roman"/>
          <w:sz w:val="28"/>
          <w:szCs w:val="28"/>
          <w:lang w:bidi="ar-SA"/>
        </w:rPr>
        <w:t xml:space="preserve"> </w:t>
      </w:r>
      <w:r w:rsidR="0006621D">
        <w:rPr>
          <w:rFonts w:ascii="Times New Roman" w:hAnsi="Times New Roman" w:cs="Times New Roman"/>
          <w:sz w:val="28"/>
          <w:szCs w:val="28"/>
          <w:lang w:bidi="ar-SA"/>
        </w:rPr>
        <w:t>дабигатрана этексилат</w:t>
      </w:r>
      <w:r>
        <w:rPr>
          <w:rFonts w:ascii="Times New Roman" w:hAnsi="Times New Roman" w:cs="Times New Roman"/>
          <w:sz w:val="28"/>
          <w:szCs w:val="28"/>
          <w:lang w:bidi="ar-SA"/>
        </w:rPr>
        <w:t>)</w:t>
      </w:r>
      <w:r w:rsidR="0006621D">
        <w:rPr>
          <w:rFonts w:ascii="Times New Roman" w:hAnsi="Times New Roman" w:cs="Times New Roman"/>
          <w:sz w:val="28"/>
          <w:szCs w:val="28"/>
          <w:lang w:bidi="ar-SA"/>
        </w:rPr>
        <w:t>, х</w:t>
      </w:r>
      <w:r w:rsidR="0006621D" w:rsidRPr="0006621D">
        <w:rPr>
          <w:rFonts w:ascii="Times New Roman" w:hAnsi="Times New Roman" w:cs="Times New Roman"/>
          <w:sz w:val="28"/>
          <w:szCs w:val="28"/>
          <w:lang w:bidi="ar-SA"/>
        </w:rPr>
        <w:t>арактеризуется высокой степенью полиморфизма</w:t>
      </w:r>
      <w:r w:rsidR="0006621D">
        <w:rPr>
          <w:rFonts w:ascii="Times New Roman" w:hAnsi="Times New Roman" w:cs="Times New Roman"/>
          <w:sz w:val="28"/>
          <w:szCs w:val="28"/>
          <w:lang w:bidi="ar-SA"/>
        </w:rPr>
        <w:t xml:space="preserve"> - </w:t>
      </w:r>
      <w:r w:rsidR="0006621D" w:rsidRPr="0006621D">
        <w:rPr>
          <w:rFonts w:ascii="Times New Roman" w:hAnsi="Times New Roman" w:cs="Times New Roman"/>
          <w:sz w:val="28"/>
          <w:szCs w:val="28"/>
          <w:lang w:bidi="ar-SA"/>
        </w:rPr>
        <w:t>описано более 2000 различных</w:t>
      </w:r>
      <w:r w:rsidRPr="009F0877">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SNP</w:t>
      </w:r>
      <w:r w:rsidR="0006621D">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{"citationID":"jGzNkaee","properties":{"unsorted":false,"formattedCitation":"[14]","plainCitation":"[14]","noteIndex":0},"citationItems":[{"id":248,"uris":["http://zotero.org/users/14784094/items/3QLQY7JC"],"itemData":{"id":248,"type":"article-journal","abstract":"Direct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P."}],"issued":{"date-parts":[["2019",1,17]]}}}],"schema":"https://github.com/citation-style-language/schema/raw/master/csl-citation.json"} </w:instrText>
      </w:r>
      <w:r w:rsidR="0006621D">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[14]</w:t>
      </w:r>
      <w:r w:rsidR="0006621D">
        <w:rPr>
          <w:rFonts w:ascii="Times New Roman" w:hAnsi="Times New Roman" w:cs="Times New Roman"/>
          <w:sz w:val="28"/>
          <w:szCs w:val="28"/>
          <w:lang w:val="en-US" w:bidi="ar-SA"/>
        </w:rPr>
        <w:fldChar w:fldCharType="end"/>
      </w:r>
      <w:r w:rsidR="0006621D">
        <w:rPr>
          <w:rFonts w:ascii="Times New Roman" w:hAnsi="Times New Roman" w:cs="Times New Roman"/>
          <w:sz w:val="28"/>
          <w:szCs w:val="28"/>
          <w:lang w:val="en-US" w:bidi="ar-SA"/>
        </w:rPr>
        <w:t xml:space="preserve">. </w:t>
      </w:r>
      <w:r w:rsidR="0006621D" w:rsidRPr="0006621D">
        <w:rPr>
          <w:rFonts w:ascii="Times New Roman" w:hAnsi="Times New Roman" w:cs="Times New Roman"/>
          <w:sz w:val="28"/>
          <w:szCs w:val="28"/>
          <w:lang w:bidi="ar-SA"/>
        </w:rPr>
        <w:t>Наиболее изученным генетическим вариантом этого гена является</w:t>
      </w:r>
      <w:r w:rsidR="0006621D">
        <w:rPr>
          <w:rFonts w:ascii="Times New Roman" w:hAnsi="Times New Roman" w:cs="Times New Roman"/>
          <w:sz w:val="28"/>
          <w:szCs w:val="28"/>
          <w:lang w:val="en-US" w:bidi="ar-SA"/>
        </w:rPr>
        <w:t xml:space="preserve"> SNP rs2244613</w:t>
      </w:r>
      <w:r w:rsidR="0006621D">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val="en-US" w:bidi="ar-SA"/>
        </w:rPr>
        <w:instrText xml:space="preserve"> ADDIN ZOTERO_ITEM CSL_CITATION {"citationID":"H1jqap55","properties":{"unsorted":false,"formattedCitation":"[207]","plainCitation":"[207]","noteIndex":0},"citationItems":[{"id":734,"uris":["http://zotero.org/users/14784094/items/CPBPSFCR"],"itemData":{"id":734,"type":"article-journal","abstract":"Objective\n              \n                To date, the influence of the carboxylesterase 1 (\n                CES1\n                ) rs2244613 genotype on the pharmacokinetics (PKs) and safety of dabigatran remains controversial. Hence, a systematic review was performed to study the association between\n                CES1\n                rs2244613 genotype and the PKs and safety of dabigatran and\n                CES1\n                relative expression.\n              \n            \n            \n              Methods\n              \n                In addition to the three English databases (Web of Science, PubMed, and Embase), two Chinese databases (CNKI and Wanfang) were thoroughly revised. The mean differences (MD) and corresponding 95% confidence intervals (CI) were applied to evaluate the differences in PKs between the\n                CES1\n                rs2244613 genotype. Odds ratio (OR) was used to study the risk for bleeding events between the\n                CES1\n                rs2244613 genotypes. Subsequent expression quantitative trait loci (eQTL) analyses were performed to evaluate genotype-specific expressions in human tissues.\n              \n            \n            \n              Results\n              \n                Ten studies (\n                n\n                = 2,777) were included.\n                CES1\n                rs2244613 G allele carriers exhibited significantly lower dabigatran trough concentrations compared to T allele carriers (MD: −8.00 ng/mL; 95% CI: −15.08 to −0.92;\n                p\n                = 0.03). The risk for bleeding events was significantly lower in carriers of the G allele compared to T allele carriers (OR: 0.65; 95% CI: 0.44–0.96;\n                p\n                = 0.03). Subsequent eQTL analysis showed significant genome-wide expressions in two human tissues, whole blood (\n                p\n                = 5.1 × 10\n                –10\n                ) and liver (\n                p\n                = 6.2 × 10\n                –43\n                ).\n              \n            \n            \n              Conclusion\n              \n                Our meta-analysis indicated a definite relation between the\n             </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CES</w:instrText>
      </w:r>
      <w:r w:rsidR="00AC4691" w:rsidRPr="00496E24">
        <w:rPr>
          <w:rFonts w:ascii="Times New Roman" w:hAnsi="Times New Roman" w:cs="Times New Roman"/>
          <w:sz w:val="28"/>
          <w:szCs w:val="28"/>
          <w:lang w:bidi="ar-SA"/>
        </w:rPr>
        <w:instrText>1\</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rs</w:instrText>
      </w:r>
      <w:r w:rsidR="00AC4691" w:rsidRPr="00496E24">
        <w:rPr>
          <w:rFonts w:ascii="Times New Roman" w:hAnsi="Times New Roman" w:cs="Times New Roman"/>
          <w:sz w:val="28"/>
          <w:szCs w:val="28"/>
          <w:lang w:bidi="ar-SA"/>
        </w:rPr>
        <w:instrText xml:space="preserve">2244613 </w:instrText>
      </w:r>
      <w:r w:rsidR="00AC4691">
        <w:rPr>
          <w:rFonts w:ascii="Times New Roman" w:hAnsi="Times New Roman" w:cs="Times New Roman"/>
          <w:sz w:val="28"/>
          <w:szCs w:val="28"/>
          <w:lang w:val="en-US" w:bidi="ar-SA"/>
        </w:rPr>
        <w:instrText>genotype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tolerability</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variations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or</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pharmacokinetic</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fluctuations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carriers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allele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showed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higher</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dabigatran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concentrations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therefore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they</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would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benefit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from</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dose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reduction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Systematic</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review</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registration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https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inplasy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com</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inplasy</w:instrText>
      </w:r>
      <w:r w:rsidR="00AC4691" w:rsidRPr="00496E24">
        <w:rPr>
          <w:rFonts w:ascii="Times New Roman" w:hAnsi="Times New Roman" w:cs="Times New Roman"/>
          <w:sz w:val="28"/>
          <w:szCs w:val="28"/>
          <w:lang w:bidi="ar-SA"/>
        </w:rPr>
        <w:instrText>-2022-6-0027/\</w:instrText>
      </w:r>
      <w:r w:rsidR="00AC4691">
        <w:rPr>
          <w:rFonts w:ascii="Times New Roman" w:hAnsi="Times New Roman" w:cs="Times New Roman"/>
          <w:sz w:val="28"/>
          <w:szCs w:val="28"/>
          <w:lang w:val="en-US" w:bidi="ar-SA"/>
        </w:rPr>
        <w:instrText>n</w:instrText>
      </w:r>
      <w:r w:rsidR="00AC4691" w:rsidRPr="00496E24">
        <w:rPr>
          <w:rFonts w:ascii="Times New Roman" w:hAnsi="Times New Roman" w:cs="Times New Roman"/>
          <w:sz w:val="28"/>
          <w:szCs w:val="28"/>
          <w:lang w:bidi="ar-SA"/>
        </w:rPr>
        <w:instrText xml:space="preserve">                ], </w:instrText>
      </w:r>
      <w:r w:rsidR="00AC4691">
        <w:rPr>
          <w:rFonts w:ascii="Times New Roman" w:hAnsi="Times New Roman" w:cs="Times New Roman"/>
          <w:sz w:val="28"/>
          <w:szCs w:val="28"/>
          <w:lang w:val="en-US" w:bidi="ar-SA"/>
        </w:rPr>
        <w:instrText>identifier</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NPLASY</w:instrText>
      </w:r>
      <w:r w:rsidR="00AC4691" w:rsidRPr="00496E24">
        <w:rPr>
          <w:rFonts w:ascii="Times New Roman" w:hAnsi="Times New Roman" w:cs="Times New Roman"/>
          <w:sz w:val="28"/>
          <w:szCs w:val="28"/>
          <w:lang w:bidi="ar-SA"/>
        </w:rPr>
        <w:instrText>202260027].","</w:instrText>
      </w:r>
      <w:r w:rsidR="00AC4691">
        <w:rPr>
          <w:rFonts w:ascii="Times New Roman" w:hAnsi="Times New Roman" w:cs="Times New Roman"/>
          <w:sz w:val="28"/>
          <w:szCs w:val="28"/>
          <w:lang w:val="en-US" w:bidi="ar-SA"/>
        </w:rPr>
        <w:instrText>container</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title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Frontiers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in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Cardiovascular</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Medicine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DOI</w:instrText>
      </w:r>
      <w:r w:rsidR="00AC4691" w:rsidRPr="00496E24">
        <w:rPr>
          <w:rFonts w:ascii="Times New Roman" w:hAnsi="Times New Roman" w:cs="Times New Roman"/>
          <w:sz w:val="28"/>
          <w:szCs w:val="28"/>
          <w:lang w:bidi="ar-SA"/>
        </w:rPr>
        <w:instrText>":"10.3389/</w:instrText>
      </w:r>
      <w:r w:rsidR="00AC4691">
        <w:rPr>
          <w:rFonts w:ascii="Times New Roman" w:hAnsi="Times New Roman" w:cs="Times New Roman"/>
          <w:sz w:val="28"/>
          <w:szCs w:val="28"/>
          <w:lang w:val="en-US" w:bidi="ar-SA"/>
        </w:rPr>
        <w:instrText>fcvm</w:instrText>
      </w:r>
      <w:r w:rsidR="00AC4691" w:rsidRPr="00496E24">
        <w:rPr>
          <w:rFonts w:ascii="Times New Roman" w:hAnsi="Times New Roman" w:cs="Times New Roman"/>
          <w:sz w:val="28"/>
          <w:szCs w:val="28"/>
          <w:lang w:bidi="ar-SA"/>
        </w:rPr>
        <w:instrText>.2022.959916","</w:instrText>
      </w:r>
      <w:r w:rsidR="00AC4691">
        <w:rPr>
          <w:rFonts w:ascii="Times New Roman" w:hAnsi="Times New Roman" w:cs="Times New Roman"/>
          <w:sz w:val="28"/>
          <w:szCs w:val="28"/>
          <w:lang w:val="en-US" w:bidi="ar-SA"/>
        </w:rPr>
        <w:instrText>ISSN</w:instrText>
      </w:r>
      <w:r w:rsidR="00AC4691" w:rsidRPr="00496E24">
        <w:rPr>
          <w:rFonts w:ascii="Times New Roman" w:hAnsi="Times New Roman" w:cs="Times New Roman"/>
          <w:sz w:val="28"/>
          <w:szCs w:val="28"/>
          <w:lang w:bidi="ar-SA"/>
        </w:rPr>
        <w:instrText>":"2297-055</w:instrText>
      </w:r>
      <w:r w:rsidR="00AC4691">
        <w:rPr>
          <w:rFonts w:ascii="Times New Roman" w:hAnsi="Times New Roman" w:cs="Times New Roman"/>
          <w:sz w:val="28"/>
          <w:szCs w:val="28"/>
          <w:lang w:val="en-US" w:bidi="ar-SA"/>
        </w:rPr>
        <w:instrText>X</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journalAbbreviation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Front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Cardiovasc</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Med</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language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page</w:instrText>
      </w:r>
      <w:r w:rsidR="00AC4691" w:rsidRPr="00496E24">
        <w:rPr>
          <w:rFonts w:ascii="Times New Roman" w:hAnsi="Times New Roman" w:cs="Times New Roman"/>
          <w:sz w:val="28"/>
          <w:szCs w:val="28"/>
          <w:lang w:bidi="ar-SA"/>
        </w:rPr>
        <w:instrText>":"959916","</w:instrText>
      </w:r>
      <w:r w:rsidR="00AC4691">
        <w:rPr>
          <w:rFonts w:ascii="Times New Roman" w:hAnsi="Times New Roman" w:cs="Times New Roman"/>
          <w:sz w:val="28"/>
          <w:szCs w:val="28"/>
          <w:lang w:val="en-US" w:bidi="ar-SA"/>
        </w:rPr>
        <w:instrText>source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DOI</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org</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Crossref</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title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Association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between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CES</w:instrText>
      </w:r>
      <w:r w:rsidR="00AC4691" w:rsidRPr="00496E24">
        <w:rPr>
          <w:rFonts w:ascii="Times New Roman" w:hAnsi="Times New Roman" w:cs="Times New Roman"/>
          <w:sz w:val="28"/>
          <w:szCs w:val="28"/>
          <w:lang w:bidi="ar-SA"/>
        </w:rPr>
        <w:instrText xml:space="preserve">1 </w:instrText>
      </w:r>
      <w:r w:rsidR="00AC4691">
        <w:rPr>
          <w:rFonts w:ascii="Times New Roman" w:hAnsi="Times New Roman" w:cs="Times New Roman"/>
          <w:sz w:val="28"/>
          <w:szCs w:val="28"/>
          <w:lang w:val="en-US" w:bidi="ar-SA"/>
        </w:rPr>
        <w:instrText>rs</w:instrText>
      </w:r>
      <w:r w:rsidR="00AC4691" w:rsidRPr="00496E24">
        <w:rPr>
          <w:rFonts w:ascii="Times New Roman" w:hAnsi="Times New Roman" w:cs="Times New Roman"/>
          <w:sz w:val="28"/>
          <w:szCs w:val="28"/>
          <w:lang w:bidi="ar-SA"/>
        </w:rPr>
        <w:instrText xml:space="preserve">2244613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pharmacokinetics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safety</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dabigatran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Meta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analysis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quantitative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trait</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loci</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analysis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title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short</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Association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between</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CES</w:instrText>
      </w:r>
      <w:r w:rsidR="00AC4691" w:rsidRPr="00496E24">
        <w:rPr>
          <w:rFonts w:ascii="Times New Roman" w:hAnsi="Times New Roman" w:cs="Times New Roman"/>
          <w:sz w:val="28"/>
          <w:szCs w:val="28"/>
          <w:lang w:bidi="ar-SA"/>
        </w:rPr>
        <w:instrText xml:space="preserve">1 </w:instrText>
      </w:r>
      <w:r w:rsidR="00AC4691">
        <w:rPr>
          <w:rFonts w:ascii="Times New Roman" w:hAnsi="Times New Roman" w:cs="Times New Roman"/>
          <w:sz w:val="28"/>
          <w:szCs w:val="28"/>
          <w:lang w:val="en-US" w:bidi="ar-SA"/>
        </w:rPr>
        <w:instrText>rs</w:instrText>
      </w:r>
      <w:r w:rsidR="00AC4691" w:rsidRPr="00496E24">
        <w:rPr>
          <w:rFonts w:ascii="Times New Roman" w:hAnsi="Times New Roman" w:cs="Times New Roman"/>
          <w:sz w:val="28"/>
          <w:szCs w:val="28"/>
          <w:lang w:bidi="ar-SA"/>
        </w:rPr>
        <w:instrText xml:space="preserve">2244613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the</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pharmacokinetics</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and</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safety</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of</w:instrText>
      </w:r>
      <w:r w:rsidR="00AC4691" w:rsidRPr="00496E24">
        <w:rPr>
          <w:rFonts w:ascii="Times New Roman" w:hAnsi="Times New Roman" w:cs="Times New Roman"/>
          <w:sz w:val="28"/>
          <w:szCs w:val="28"/>
          <w:lang w:bidi="ar-SA"/>
        </w:rPr>
        <w:instrText xml:space="preserve"> </w:instrText>
      </w:r>
      <w:r w:rsidR="00AC4691">
        <w:rPr>
          <w:rFonts w:ascii="Times New Roman" w:hAnsi="Times New Roman" w:cs="Times New Roman"/>
          <w:sz w:val="28"/>
          <w:szCs w:val="28"/>
          <w:lang w:val="en-US" w:bidi="ar-SA"/>
        </w:rPr>
        <w:instrText>dabigatran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volume</w:instrText>
      </w:r>
      <w:r w:rsidR="00AC4691" w:rsidRPr="00496E24">
        <w:rPr>
          <w:rFonts w:ascii="Times New Roman" w:hAnsi="Times New Roman" w:cs="Times New Roman"/>
          <w:sz w:val="28"/>
          <w:szCs w:val="28"/>
          <w:lang w:bidi="ar-SA"/>
        </w:rPr>
        <w:instrText>":"9","</w:instrText>
      </w:r>
      <w:r w:rsidR="00AC4691">
        <w:rPr>
          <w:rFonts w:ascii="Times New Roman" w:hAnsi="Times New Roman" w:cs="Times New Roman"/>
          <w:sz w:val="28"/>
          <w:szCs w:val="28"/>
          <w:lang w:val="en-US" w:bidi="ar-SA"/>
        </w:rPr>
        <w:instrText>author</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Li</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Haobo</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Zhang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Zhu</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Weng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Haoyi</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Qiu</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Yuting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Zubiaur</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Pablo</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Zhang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Yu</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Guohui</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Yang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Peiran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Vuorinen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Anna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Leena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Zuo</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Xianbo</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Zhai</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Zhenguo</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family</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Wang</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given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Chen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issued</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date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parts</w:instrText>
      </w:r>
      <w:r w:rsidR="00AC4691" w:rsidRPr="00496E24">
        <w:rPr>
          <w:rFonts w:ascii="Times New Roman" w:hAnsi="Times New Roman" w:cs="Times New Roman"/>
          <w:sz w:val="28"/>
          <w:szCs w:val="28"/>
          <w:lang w:bidi="ar-SA"/>
        </w:rPr>
        <w:instrText>":[["2022",8,4]]}}}],"</w:instrText>
      </w:r>
      <w:r w:rsidR="00AC4691">
        <w:rPr>
          <w:rFonts w:ascii="Times New Roman" w:hAnsi="Times New Roman" w:cs="Times New Roman"/>
          <w:sz w:val="28"/>
          <w:szCs w:val="28"/>
          <w:lang w:val="en-US" w:bidi="ar-SA"/>
        </w:rPr>
        <w:instrText>schema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https</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github</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com</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citation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style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language</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schema</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raw</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master</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csl</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citation</w:instrText>
      </w:r>
      <w:r w:rsidR="00AC4691" w:rsidRPr="00496E24">
        <w:rPr>
          <w:rFonts w:ascii="Times New Roman" w:hAnsi="Times New Roman" w:cs="Times New Roman"/>
          <w:sz w:val="28"/>
          <w:szCs w:val="28"/>
          <w:lang w:bidi="ar-SA"/>
        </w:rPr>
        <w:instrText>.</w:instrText>
      </w:r>
      <w:r w:rsidR="00AC4691">
        <w:rPr>
          <w:rFonts w:ascii="Times New Roman" w:hAnsi="Times New Roman" w:cs="Times New Roman"/>
          <w:sz w:val="28"/>
          <w:szCs w:val="28"/>
          <w:lang w:val="en-US" w:bidi="ar-SA"/>
        </w:rPr>
        <w:instrText>json</w:instrText>
      </w:r>
      <w:r w:rsidR="00AC4691" w:rsidRPr="00496E24">
        <w:rPr>
          <w:rFonts w:ascii="Times New Roman" w:hAnsi="Times New Roman" w:cs="Times New Roman"/>
          <w:sz w:val="28"/>
          <w:szCs w:val="28"/>
          <w:lang w:bidi="ar-SA"/>
        </w:rPr>
        <w:instrText xml:space="preserve">"} </w:instrText>
      </w:r>
      <w:r w:rsidR="0006621D">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[207]</w:t>
      </w:r>
      <w:r w:rsidR="0006621D">
        <w:rPr>
          <w:rFonts w:ascii="Times New Roman" w:hAnsi="Times New Roman" w:cs="Times New Roman"/>
          <w:sz w:val="28"/>
          <w:szCs w:val="28"/>
          <w:lang w:val="en-US" w:bidi="ar-SA"/>
        </w:rPr>
        <w:fldChar w:fldCharType="end"/>
      </w:r>
      <w:r w:rsidR="0006621D" w:rsidRPr="0006621D">
        <w:rPr>
          <w:rFonts w:ascii="Times New Roman" w:hAnsi="Times New Roman" w:cs="Times New Roman"/>
          <w:sz w:val="28"/>
          <w:szCs w:val="28"/>
          <w:lang w:bidi="ar-SA"/>
        </w:rPr>
        <w:t xml:space="preserve">. В рамках исследования </w:t>
      </w:r>
      <w:r w:rsidR="0006621D">
        <w:rPr>
          <w:rFonts w:ascii="Times New Roman" w:hAnsi="Times New Roman" w:cs="Times New Roman"/>
          <w:sz w:val="28"/>
          <w:szCs w:val="28"/>
          <w:lang w:val="en-US" w:bidi="ar-SA"/>
        </w:rPr>
        <w:t>RE</w:t>
      </w:r>
      <w:r w:rsidR="0006621D" w:rsidRPr="0006621D">
        <w:rPr>
          <w:rFonts w:ascii="Times New Roman" w:hAnsi="Times New Roman" w:cs="Times New Roman"/>
          <w:sz w:val="28"/>
          <w:szCs w:val="28"/>
          <w:lang w:bidi="ar-SA"/>
        </w:rPr>
        <w:t>-</w:t>
      </w:r>
      <w:r w:rsidR="0006621D">
        <w:rPr>
          <w:rFonts w:ascii="Times New Roman" w:hAnsi="Times New Roman" w:cs="Times New Roman"/>
          <w:sz w:val="28"/>
          <w:szCs w:val="28"/>
          <w:lang w:val="en-US" w:bidi="ar-SA"/>
        </w:rPr>
        <w:t>LY</w:t>
      </w:r>
      <w:r w:rsidR="0006621D" w:rsidRPr="0006621D">
        <w:rPr>
          <w:rFonts w:ascii="Times New Roman" w:hAnsi="Times New Roman" w:cs="Times New Roman"/>
          <w:sz w:val="28"/>
          <w:szCs w:val="28"/>
          <w:lang w:bidi="ar-SA"/>
        </w:rPr>
        <w:t xml:space="preserve"> было установлено, что 32,8% пациентов являлись носителями полиморфизма </w:t>
      </w:r>
      <w:r w:rsidR="0006621D">
        <w:rPr>
          <w:rFonts w:ascii="Times New Roman" w:hAnsi="Times New Roman" w:cs="Times New Roman"/>
          <w:sz w:val="28"/>
          <w:szCs w:val="28"/>
          <w:lang w:val="en-US" w:bidi="ar-SA"/>
        </w:rPr>
        <w:t>CES</w:t>
      </w:r>
      <w:r w:rsidR="0006621D" w:rsidRPr="0006621D">
        <w:rPr>
          <w:rFonts w:ascii="Times New Roman" w:hAnsi="Times New Roman" w:cs="Times New Roman"/>
          <w:sz w:val="28"/>
          <w:szCs w:val="28"/>
          <w:lang w:bidi="ar-SA"/>
        </w:rPr>
        <w:t xml:space="preserve">1 </w:t>
      </w:r>
      <w:r w:rsidR="0006621D">
        <w:rPr>
          <w:rFonts w:ascii="Times New Roman" w:hAnsi="Times New Roman" w:cs="Times New Roman"/>
          <w:sz w:val="28"/>
          <w:szCs w:val="28"/>
          <w:lang w:val="en-US" w:bidi="ar-SA"/>
        </w:rPr>
        <w:t>rs</w:t>
      </w:r>
      <w:r w:rsidR="0006621D" w:rsidRPr="0006621D">
        <w:rPr>
          <w:rFonts w:ascii="Times New Roman" w:hAnsi="Times New Roman" w:cs="Times New Roman"/>
          <w:sz w:val="28"/>
          <w:szCs w:val="28"/>
          <w:lang w:bidi="ar-SA"/>
        </w:rPr>
        <w:t>2244613 (29,4% - гетерозиготы, 3,4% - гомозиготы)</w:t>
      </w:r>
      <w:r w:rsidR="0006621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JRJzmbs","properties":{"unsorted":false,"formattedCitation":"[19]","plainCitation":"[19]","noteIndex":0},"citationItems":[{"id":682,"uris":["http://zotero.org/users/14784094/items/L3TI6FF7"],"itemData":{"id":682,"type":"article-journal","abstract":"Background—Fixed-dose unmonitored treatment with dabigatran etexilate is effective and has a favorable safety profile in the prevention of stroke in atrial fibrillation patients compared with warfarin. We hypothesized that genetic variants could contribute to interindividual variability in blood concentrations of the active metabolite of dabigatran etexilate and influence the safety and efficacy of dabigatran.\nMethods and Results—We successfully conducted a genome-wide association study in 2944 Randomized Evaluation of Long-term Anticoagulation Therapy (RE-LY) participants. The CES1 single-nucleotide polymorphism rs2244613 was associated with trough concentrations, and the ABCB1 single-nucleotide polymorphism rs4148738 and the CES1 singlenucleotide polymorphism rs8192935 were associated with peak concentrations at genome-wide significance (P&lt;9×10−8) with a gene-dose effect. Each minor allele of the CES1 single-nucleotide polymorphism rs2244613 was associated with lower trough concentrations (15% decrease per allele; 95% confidence interval, 10–19; P=1.2×10−8) and a lower risk of any bleeding (odds ratio, 0.67; 95% confidence interval, 0.55–0.82; P=7×10−5) in dabigatran-treated participants, with a consistent but nonsignificant lower risk of major bleeding (odds ratio, 0.66; 95% confidence interval, 0.43–1.01). The interaction between treatment (warfarin versus all dabigatran) and carrier status was statistically significant (P=0.002), with carriers having less bleeding with dabigatran than warfarin (hazard ratio, 0.59; 95% confidence interval, 0.46–0.76; P=5.2×10−5) in contrast to no difference in noncarriers (hazard ratio, 0.96; 95% confidence interval, 0.81–1.14; P=0.65). There was no association with ischemic events, and neither rs4148738 nor rs8192935 was associated with bleeding or ischemic events.\nConclusions—Genome-wide association analysis identified that carriage of the CES1 rs2244613 minor allele occurred in 32.8% of patients in RE-LY and was associated with lower exposure to active dabigatran metabolite. The presence of the polymorphism was associated with a lower risk of bleeding.","container-title":"Circulation","DOI":"10.1161/CIRCULATIONAHA.112.001233","ISSN":"0009-7322, 1524-4539","issue":"13","journalAbbreviation":"Circulation","language":"en","page":"1404-1412","source":"DOI.org (Crossref)","title":"Genetic Determinants of Dabigatran Plasma Levels and Their Relation to Bleeding","volume":"127","author":[{"family":"Paré","given":"Guillaume"},{"family":"Eriksson","given":"Niclas"},{"family":"Lehr","given":"Thorsten"},{"family":"Connolly","given":"Stuart"},{"family":"Eikelboom","given":"John"},{"family":"Ezekowitz","given":"Michael D."},{"family":"Axelsson","given":"Tomas"},{"family":"Haertter","given":"Sebastian"},{"family":"Oldgren","given":"Jonas"},{"family":"Reilly","given":"Paul"},{"family":"Siegbahn","given":"Agneta"},{"family":"Syvanen","given":"Ann-Christine"},{"family":"Wadelius","given":"Claes"},{"family":"Wadelius","given":"Mia"},{"family":"Zimdahl-Gelling","given":"Heike"},{"family":"Yusuf","given":"Salim"},{"family":"Wallentin","given":"Lars"}],"issued":{"date-parts":[["2013",4,2]]}}}],"schema":"https://github.com/citation-style-language/schema/raw/master/csl-citation.json"} </w:instrText>
      </w:r>
      <w:r w:rsidR="0006621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w:t>
      </w:r>
      <w:r w:rsidR="0006621D">
        <w:rPr>
          <w:rFonts w:ascii="Times New Roman" w:hAnsi="Times New Roman" w:cs="Times New Roman"/>
          <w:sz w:val="28"/>
          <w:szCs w:val="28"/>
          <w:lang w:bidi="ar-SA"/>
        </w:rPr>
        <w:fldChar w:fldCharType="end"/>
      </w:r>
      <w:r w:rsidR="0006621D" w:rsidRPr="0006621D">
        <w:rPr>
          <w:rFonts w:ascii="Times New Roman" w:hAnsi="Times New Roman" w:cs="Times New Roman"/>
          <w:sz w:val="28"/>
          <w:szCs w:val="28"/>
          <w:lang w:bidi="ar-SA"/>
        </w:rPr>
        <w:t>. Наличие этого полиморфизма коррелировало со снижением концентраци</w:t>
      </w:r>
      <w:r w:rsidR="0006621D">
        <w:rPr>
          <w:rFonts w:ascii="Times New Roman" w:hAnsi="Times New Roman" w:cs="Times New Roman"/>
          <w:sz w:val="28"/>
          <w:szCs w:val="28"/>
          <w:lang w:bidi="ar-SA"/>
        </w:rPr>
        <w:t xml:space="preserve">й дабигатрана </w:t>
      </w:r>
      <w:r w:rsidR="0006621D" w:rsidRPr="0006621D">
        <w:rPr>
          <w:rFonts w:ascii="Times New Roman" w:hAnsi="Times New Roman" w:cs="Times New Roman"/>
          <w:sz w:val="28"/>
          <w:szCs w:val="28"/>
          <w:lang w:bidi="ar-SA"/>
        </w:rPr>
        <w:t>в плазме крови</w:t>
      </w:r>
      <w:r w:rsidR="0006621D">
        <w:rPr>
          <w:rFonts w:ascii="Times New Roman" w:hAnsi="Times New Roman" w:cs="Times New Roman"/>
          <w:sz w:val="28"/>
          <w:szCs w:val="28"/>
          <w:lang w:bidi="ar-SA"/>
        </w:rPr>
        <w:t xml:space="preserve">. </w:t>
      </w:r>
      <w:r w:rsidR="0006621D" w:rsidRPr="0006621D">
        <w:rPr>
          <w:rFonts w:ascii="Times New Roman" w:hAnsi="Times New Roman" w:cs="Times New Roman"/>
          <w:sz w:val="28"/>
          <w:szCs w:val="28"/>
          <w:lang w:bidi="ar-SA"/>
        </w:rPr>
        <w:t>У гетерозиготных носителей минорного аллеля</w:t>
      </w:r>
      <w:r w:rsidR="0006621D">
        <w:rPr>
          <w:rFonts w:ascii="Times New Roman" w:hAnsi="Times New Roman" w:cs="Times New Roman"/>
          <w:sz w:val="28"/>
          <w:szCs w:val="28"/>
          <w:lang w:bidi="ar-SA"/>
        </w:rPr>
        <w:t xml:space="preserve"> </w:t>
      </w:r>
      <w:r w:rsidR="0006621D">
        <w:rPr>
          <w:rFonts w:ascii="Times New Roman" w:hAnsi="Times New Roman" w:cs="Times New Roman"/>
          <w:sz w:val="28"/>
          <w:szCs w:val="28"/>
          <w:lang w:val="en-US" w:bidi="ar-SA"/>
        </w:rPr>
        <w:t>C</w:t>
      </w:r>
      <w:r w:rsidR="0006621D" w:rsidRPr="0006621D">
        <w:rPr>
          <w:rFonts w:ascii="Times New Roman" w:hAnsi="Times New Roman" w:cs="Times New Roman"/>
          <w:sz w:val="28"/>
          <w:szCs w:val="28"/>
          <w:lang w:bidi="ar-SA"/>
        </w:rPr>
        <w:t xml:space="preserve"> </w:t>
      </w:r>
      <w:r w:rsidR="0006621D">
        <w:rPr>
          <w:rFonts w:ascii="Times New Roman" w:hAnsi="Times New Roman" w:cs="Times New Roman"/>
          <w:sz w:val="28"/>
          <w:szCs w:val="28"/>
          <w:lang w:val="en-US" w:bidi="ar-SA"/>
        </w:rPr>
        <w:t>rs</w:t>
      </w:r>
      <w:r w:rsidR="0006621D" w:rsidRPr="0006621D">
        <w:rPr>
          <w:rFonts w:ascii="Times New Roman" w:hAnsi="Times New Roman" w:cs="Times New Roman"/>
          <w:sz w:val="28"/>
          <w:szCs w:val="28"/>
          <w:lang w:bidi="ar-SA"/>
        </w:rPr>
        <w:t>2244613 равновесное пиковая концентрация была на 15% ниже, а у гомозигот (</w:t>
      </w:r>
      <w:r w:rsidR="0006621D">
        <w:rPr>
          <w:rFonts w:ascii="Times New Roman" w:hAnsi="Times New Roman" w:cs="Times New Roman"/>
          <w:sz w:val="28"/>
          <w:szCs w:val="28"/>
          <w:lang w:val="en-US" w:bidi="ar-SA"/>
        </w:rPr>
        <w:t>CC</w:t>
      </w:r>
      <w:r w:rsidR="0006621D" w:rsidRPr="0006621D">
        <w:rPr>
          <w:rFonts w:ascii="Times New Roman" w:hAnsi="Times New Roman" w:cs="Times New Roman"/>
          <w:sz w:val="28"/>
          <w:szCs w:val="28"/>
          <w:lang w:bidi="ar-SA"/>
        </w:rPr>
        <w:t>) - на 28% ниже по сравнению с пациентами, не имеющими этого алле</w:t>
      </w:r>
      <w:r w:rsidR="0006621D">
        <w:rPr>
          <w:rFonts w:ascii="Times New Roman" w:hAnsi="Times New Roman" w:cs="Times New Roman"/>
          <w:sz w:val="28"/>
          <w:szCs w:val="28"/>
          <w:lang w:bidi="ar-SA"/>
        </w:rPr>
        <w:t>ля</w:t>
      </w:r>
      <w:r w:rsidR="0006621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bKUS2xeQ","properties":{"unsorted":false,"formattedCitation":"[19]","plainCitation":"[19]","noteIndex":0},"citationItems":[{"id":682,"uris":["http://zotero.org/users/14784094/items/L3TI6FF7"],"itemData":{"id":682,"type":"article-journal","abstract":"Background—Fixed-dose unmonitored treatment with dabigatran etexilate is effective and has a favorable safety profile in the prevention of stroke in atrial fibrillation patients compared with warfarin. We hypothesized that genetic variants could contribute to interindividual variability in blood concentrations of the active metabolite of dabigatran etexilate and influence the safety and efficacy of dabigatran.\nMethods and Results—We successfully conducted a genome-wide association study in 2944 Randomized Evaluation of Long-term Anticoagulation Therapy (RE-LY) participants. The CES1 single-nucleotide polymorphism rs2244613 was associated with trough concentrations, and the ABCB1 single-nucleotide polymorphism rs4148738 and the CES1 singlenucleotide polymorphism rs8192935 were associated with peak concentrations at genome-wide significance (P&lt;9×10−8) with a gene-dose effect. Each minor allele of the CES1 single-nucleotide polymorphism rs2244613 was associated with lower trough concentrations (15% decrease per allele; 95% confidence interval, 10–19; P=1.2×10−8) and a lower risk of any bleeding (odds ratio, 0.67; 95% confidence interval, 0.55–0.82; P=7×10−5) in dabigatran-treated participants, with a consistent but nonsignificant lower risk of major bleeding (odds ratio, 0.66; 95% confidence interval, 0.43–1.01). The interaction between treatment (warfarin versus all dabigatran) and carrier status was statistically significant (P=0.002), with carriers having less bleeding with dabigatran than warfarin (hazard ratio, 0.59; 95% confidence interval, 0.46–0.76; P=5.2×10−5) in contrast to no difference in noncarriers (hazard ratio, 0.96; 95% confidence interval, 0.81–1.14; P=0.65). There was no association with ischemic events, and neither rs4148738 nor rs8192935 was associated with bleeding or ischemic events.\nConclusions—Genome-wide association analysis identified that carriage of the CES1 rs2244613 minor allele occurred in 32.8% of patients in RE-LY and was associated with lower exposure to active dabigatran metabolite. The presence of the polymorphism was associated with a lower risk of bleeding.","container-title":"Circulation","DOI":"10.1161/CIRCULATIONAHA.112.001233","ISSN":"0009-7322, 1524-4539","issue":"13","journalAbbreviation":"Circulation","language":"en","page":"1404-1412","source":"DOI.org (Crossref)","title":"Genetic Determinants of Dabigatran Plasma Levels and Their Relation to Bleeding","volume":"127","author":[{"family":"Paré","given":"Guillaume"},{"family":"Eriksson","given":"Niclas"},{"family":"Lehr","given":"Thorsten"},{"family":"Connolly","given":"Stuart"},{"family":"Eikelboom","given":"John"},{"family":"Ezekowitz","given":"Michael D."},{"family":"Axelsson","given":"Tomas"},{"family":"Haertter","given":"Sebastian"},{"family":"Oldgren","given":"Jonas"},{"family":"Reilly","given":"Paul"},{"family":"Siegbahn","given":"Agneta"},{"family":"Syvanen","given":"Ann-Christine"},{"family":"Wadelius","given":"Claes"},{"family":"Wadelius","given":"Mia"},{"family":"Zimdahl-Gelling","given":"Heike"},{"family":"Yusuf","given":"Salim"},{"family":"Wallentin","given":"Lars"}],"issued":{"date-parts":[["2013",4,2]]}}}],"schema":"https://github.com/citation-style-language/schema/raw/master/csl-citation.json"} </w:instrText>
      </w:r>
      <w:r w:rsidR="0006621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w:t>
      </w:r>
      <w:r w:rsidR="0006621D">
        <w:rPr>
          <w:rFonts w:ascii="Times New Roman" w:hAnsi="Times New Roman" w:cs="Times New Roman"/>
          <w:sz w:val="28"/>
          <w:szCs w:val="28"/>
          <w:lang w:bidi="ar-SA"/>
        </w:rPr>
        <w:fldChar w:fldCharType="end"/>
      </w:r>
      <w:r w:rsidR="0006621D" w:rsidRPr="0006621D">
        <w:rPr>
          <w:rFonts w:ascii="Times New Roman" w:hAnsi="Times New Roman" w:cs="Times New Roman"/>
          <w:sz w:val="28"/>
          <w:szCs w:val="28"/>
          <w:lang w:bidi="ar-SA"/>
        </w:rPr>
        <w:t xml:space="preserve">. Носительство другого полиморфизма - </w:t>
      </w:r>
      <w:r w:rsidR="0006621D">
        <w:rPr>
          <w:rFonts w:ascii="Times New Roman" w:hAnsi="Times New Roman" w:cs="Times New Roman"/>
          <w:sz w:val="28"/>
          <w:szCs w:val="28"/>
          <w:lang w:bidi="ar-SA"/>
        </w:rPr>
        <w:t>с</w:t>
      </w:r>
      <w:r w:rsidR="0006621D" w:rsidRPr="0006621D">
        <w:rPr>
          <w:rFonts w:ascii="Times New Roman" w:hAnsi="Times New Roman" w:cs="Times New Roman"/>
          <w:sz w:val="28"/>
          <w:szCs w:val="28"/>
          <w:lang w:bidi="ar-SA"/>
        </w:rPr>
        <w:t>.257+885</w:t>
      </w:r>
      <w:r w:rsidR="0006621D">
        <w:rPr>
          <w:rFonts w:ascii="Times New Roman" w:hAnsi="Times New Roman" w:cs="Times New Roman"/>
          <w:sz w:val="28"/>
          <w:szCs w:val="28"/>
          <w:lang w:val="en-US" w:bidi="ar-SA"/>
        </w:rPr>
        <w:t>T</w:t>
      </w:r>
      <w:r w:rsidR="0006621D" w:rsidRPr="0006621D">
        <w:rPr>
          <w:rFonts w:ascii="Times New Roman" w:hAnsi="Times New Roman" w:cs="Times New Roman"/>
          <w:sz w:val="28"/>
          <w:szCs w:val="28"/>
          <w:lang w:bidi="ar-SA"/>
        </w:rPr>
        <w:t>&gt;</w:t>
      </w:r>
      <w:r w:rsidR="0006621D">
        <w:rPr>
          <w:rFonts w:ascii="Times New Roman" w:hAnsi="Times New Roman" w:cs="Times New Roman"/>
          <w:sz w:val="28"/>
          <w:szCs w:val="28"/>
          <w:lang w:val="en-US" w:bidi="ar-SA"/>
        </w:rPr>
        <w:t>C</w:t>
      </w:r>
      <w:r w:rsidR="0006621D" w:rsidRPr="0006621D">
        <w:rPr>
          <w:rFonts w:ascii="Times New Roman" w:hAnsi="Times New Roman" w:cs="Times New Roman"/>
          <w:sz w:val="28"/>
          <w:szCs w:val="28"/>
          <w:lang w:bidi="ar-SA"/>
        </w:rPr>
        <w:t xml:space="preserve"> (</w:t>
      </w:r>
      <w:r w:rsidR="0006621D">
        <w:rPr>
          <w:rFonts w:ascii="Times New Roman" w:hAnsi="Times New Roman" w:cs="Times New Roman"/>
          <w:sz w:val="28"/>
          <w:szCs w:val="28"/>
          <w:lang w:val="en-US" w:bidi="ar-SA"/>
        </w:rPr>
        <w:t>rs</w:t>
      </w:r>
      <w:r w:rsidR="0006621D" w:rsidRPr="0006621D">
        <w:rPr>
          <w:rFonts w:ascii="Times New Roman" w:hAnsi="Times New Roman" w:cs="Times New Roman"/>
          <w:sz w:val="28"/>
          <w:szCs w:val="28"/>
          <w:lang w:bidi="ar-SA"/>
        </w:rPr>
        <w:t>8192935) ассоциировал</w:t>
      </w:r>
      <w:r w:rsidR="0006621D">
        <w:rPr>
          <w:rFonts w:ascii="Times New Roman" w:hAnsi="Times New Roman" w:cs="Times New Roman"/>
          <w:sz w:val="28"/>
          <w:szCs w:val="28"/>
          <w:lang w:bidi="ar-SA"/>
        </w:rPr>
        <w:t>о</w:t>
      </w:r>
      <w:r w:rsidR="0006621D" w:rsidRPr="0006621D">
        <w:rPr>
          <w:rFonts w:ascii="Times New Roman" w:hAnsi="Times New Roman" w:cs="Times New Roman"/>
          <w:sz w:val="28"/>
          <w:szCs w:val="28"/>
          <w:lang w:bidi="ar-SA"/>
        </w:rPr>
        <w:t xml:space="preserve">сь со снижением </w:t>
      </w:r>
      <w:r w:rsidR="0006621D">
        <w:rPr>
          <w:rFonts w:ascii="Times New Roman" w:hAnsi="Times New Roman" w:cs="Times New Roman"/>
          <w:sz w:val="28"/>
          <w:szCs w:val="28"/>
          <w:lang w:val="en-US" w:bidi="ar-SA"/>
        </w:rPr>
        <w:t>C</w:t>
      </w:r>
      <w:r w:rsidR="0006621D" w:rsidRPr="00E2467A">
        <w:rPr>
          <w:rFonts w:ascii="Times New Roman" w:hAnsi="Times New Roman" w:cs="Times New Roman"/>
          <w:sz w:val="28"/>
          <w:szCs w:val="28"/>
          <w:vertAlign w:val="subscript"/>
          <w:lang w:val="en-US" w:bidi="ar-SA"/>
        </w:rPr>
        <w:t>ssmax</w:t>
      </w:r>
      <w:r w:rsidR="0006621D">
        <w:rPr>
          <w:rFonts w:ascii="Times New Roman" w:hAnsi="Times New Roman" w:cs="Times New Roman"/>
          <w:sz w:val="28"/>
          <w:szCs w:val="28"/>
          <w:lang w:bidi="ar-SA"/>
        </w:rPr>
        <w:t xml:space="preserve"> </w:t>
      </w:r>
      <w:r w:rsidR="0006621D" w:rsidRPr="0006621D">
        <w:rPr>
          <w:rFonts w:ascii="Times New Roman" w:hAnsi="Times New Roman" w:cs="Times New Roman"/>
          <w:sz w:val="28"/>
          <w:szCs w:val="28"/>
          <w:lang w:bidi="ar-SA"/>
        </w:rPr>
        <w:t>активного метаболита</w:t>
      </w:r>
      <w:r w:rsidR="0006621D">
        <w:rPr>
          <w:rFonts w:ascii="Times New Roman" w:hAnsi="Times New Roman" w:cs="Times New Roman"/>
          <w:sz w:val="28"/>
          <w:szCs w:val="28"/>
          <w:lang w:bidi="ar-SA"/>
        </w:rPr>
        <w:t xml:space="preserve"> дабигатрана </w:t>
      </w:r>
      <w:r w:rsidR="0006621D" w:rsidRPr="0006621D">
        <w:rPr>
          <w:rFonts w:ascii="Times New Roman" w:hAnsi="Times New Roman" w:cs="Times New Roman"/>
          <w:sz w:val="28"/>
          <w:szCs w:val="28"/>
          <w:lang w:bidi="ar-SA"/>
        </w:rPr>
        <w:t>на 12</w:t>
      </w:r>
      <w:r w:rsidR="0006621D">
        <w:rPr>
          <w:rFonts w:ascii="Times New Roman" w:hAnsi="Times New Roman" w:cs="Times New Roman"/>
          <w:sz w:val="28"/>
          <w:szCs w:val="28"/>
          <w:lang w:bidi="ar-SA"/>
        </w:rPr>
        <w:t xml:space="preserve">%, </w:t>
      </w:r>
      <w:r w:rsidR="0006621D" w:rsidRPr="0006621D">
        <w:rPr>
          <w:rFonts w:ascii="Times New Roman" w:hAnsi="Times New Roman" w:cs="Times New Roman"/>
          <w:sz w:val="28"/>
          <w:szCs w:val="28"/>
          <w:lang w:bidi="ar-SA"/>
        </w:rPr>
        <w:t>однако не влияло на минимальную равновесную концентрацию.</w:t>
      </w:r>
      <w:r w:rsidR="0006621D">
        <w:rPr>
          <w:rFonts w:ascii="Times New Roman" w:hAnsi="Times New Roman" w:cs="Times New Roman"/>
          <w:sz w:val="28"/>
          <w:szCs w:val="28"/>
          <w:lang w:bidi="ar-SA"/>
        </w:rPr>
        <w:t xml:space="preserve"> </w:t>
      </w:r>
      <w:r w:rsidR="0006621D" w:rsidRPr="0006621D">
        <w:rPr>
          <w:rFonts w:ascii="Times New Roman" w:hAnsi="Times New Roman" w:cs="Times New Roman"/>
          <w:sz w:val="28"/>
          <w:szCs w:val="28"/>
          <w:lang w:bidi="ar-SA"/>
        </w:rPr>
        <w:t>Важным клиническим наблюдением стало снижение риска развития</w:t>
      </w:r>
      <w:r w:rsidR="0006621D">
        <w:rPr>
          <w:rFonts w:ascii="Times New Roman" w:hAnsi="Times New Roman" w:cs="Times New Roman"/>
          <w:sz w:val="28"/>
          <w:szCs w:val="28"/>
          <w:lang w:bidi="ar-SA"/>
        </w:rPr>
        <w:t xml:space="preserve"> «</w:t>
      </w:r>
      <w:r w:rsidR="0006621D" w:rsidRPr="0006621D">
        <w:rPr>
          <w:rFonts w:ascii="Times New Roman" w:hAnsi="Times New Roman" w:cs="Times New Roman"/>
          <w:sz w:val="28"/>
          <w:szCs w:val="28"/>
          <w:lang w:bidi="ar-SA"/>
        </w:rPr>
        <w:t>больших</w:t>
      </w:r>
      <w:r w:rsidR="0006621D">
        <w:rPr>
          <w:rFonts w:ascii="Times New Roman" w:hAnsi="Times New Roman" w:cs="Times New Roman"/>
          <w:sz w:val="28"/>
          <w:szCs w:val="28"/>
          <w:lang w:bidi="ar-SA"/>
        </w:rPr>
        <w:t xml:space="preserve">» </w:t>
      </w:r>
      <w:r w:rsidR="0006621D" w:rsidRPr="0006621D">
        <w:rPr>
          <w:rFonts w:ascii="Times New Roman" w:hAnsi="Times New Roman" w:cs="Times New Roman"/>
          <w:sz w:val="28"/>
          <w:szCs w:val="28"/>
          <w:lang w:bidi="ar-SA"/>
        </w:rPr>
        <w:t>кровотечений у носителей полиморфизма</w:t>
      </w:r>
      <w:r w:rsidR="0006621D">
        <w:rPr>
          <w:rFonts w:ascii="Times New Roman" w:hAnsi="Times New Roman" w:cs="Times New Roman"/>
          <w:sz w:val="28"/>
          <w:szCs w:val="28"/>
          <w:lang w:bidi="ar-SA"/>
        </w:rPr>
        <w:t xml:space="preserve"> </w:t>
      </w:r>
      <w:r w:rsidR="0006621D">
        <w:rPr>
          <w:rFonts w:ascii="Times New Roman" w:hAnsi="Times New Roman" w:cs="Times New Roman"/>
          <w:sz w:val="28"/>
          <w:szCs w:val="28"/>
          <w:lang w:val="en-US" w:bidi="ar-SA"/>
        </w:rPr>
        <w:t>rs</w:t>
      </w:r>
      <w:r w:rsidR="0006621D" w:rsidRPr="0006621D">
        <w:rPr>
          <w:rFonts w:ascii="Times New Roman" w:hAnsi="Times New Roman" w:cs="Times New Roman"/>
          <w:sz w:val="28"/>
          <w:szCs w:val="28"/>
          <w:lang w:bidi="ar-SA"/>
        </w:rPr>
        <w:t xml:space="preserve">2244613, в то время как носительство </w:t>
      </w:r>
      <w:r w:rsidR="0006621D">
        <w:rPr>
          <w:rFonts w:ascii="Times New Roman" w:hAnsi="Times New Roman" w:cs="Times New Roman"/>
          <w:sz w:val="28"/>
          <w:szCs w:val="28"/>
          <w:lang w:val="en-US" w:bidi="ar-SA"/>
        </w:rPr>
        <w:t>rs</w:t>
      </w:r>
      <w:r w:rsidR="0006621D" w:rsidRPr="0006621D">
        <w:rPr>
          <w:rFonts w:ascii="Times New Roman" w:hAnsi="Times New Roman" w:cs="Times New Roman"/>
          <w:sz w:val="28"/>
          <w:szCs w:val="28"/>
          <w:lang w:bidi="ar-SA"/>
        </w:rPr>
        <w:t>8192935 не оказывала в значимого влияния на риск кровотечений</w:t>
      </w:r>
      <w:r w:rsidR="0006621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{"citationID":"FanfgYBG","properties":{"unsorted":false,"formattedCitation":"[18]","plainCitation":"[18]","noteIndex":0},"citationItems":[{"id":740,"uris":["http://zotero.org/users/14784094/items/L23HNCYG"],"itemData":{"id":740,"type":"article-journal","abstract":"Introduction: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schema":"https://github.com/citation-style-language/schema/raw/master/csl-citation.json"} </w:instrText>
      </w:r>
      <w:r w:rsidR="0006621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w:t>
      </w:r>
      <w:r w:rsidR="0006621D">
        <w:rPr>
          <w:rFonts w:ascii="Times New Roman" w:hAnsi="Times New Roman" w:cs="Times New Roman"/>
          <w:sz w:val="28"/>
          <w:szCs w:val="28"/>
          <w:lang w:bidi="ar-SA"/>
        </w:rPr>
        <w:fldChar w:fldCharType="end"/>
      </w:r>
      <w:r w:rsidR="00EE0F1B" w:rsidRPr="00EE0F1B">
        <w:rPr>
          <w:rFonts w:ascii="Times New Roman" w:hAnsi="Times New Roman" w:cs="Times New Roman"/>
          <w:sz w:val="28"/>
          <w:szCs w:val="28"/>
          <w:lang w:bidi="ar-SA"/>
        </w:rPr>
        <w:t>. В исследовани</w:t>
      </w:r>
      <w:r w:rsidR="00EE0F1B">
        <w:rPr>
          <w:rFonts w:ascii="Times New Roman" w:hAnsi="Times New Roman" w:cs="Times New Roman"/>
          <w:sz w:val="28"/>
          <w:szCs w:val="28"/>
          <w:lang w:bidi="ar-SA"/>
        </w:rPr>
        <w:t>и</w:t>
      </w:r>
      <w:r w:rsidR="00EE0F1B" w:rsidRPr="00EE0F1B">
        <w:rPr>
          <w:rFonts w:ascii="Times New Roman" w:hAnsi="Times New Roman" w:cs="Times New Roman"/>
          <w:sz w:val="28"/>
          <w:szCs w:val="28"/>
          <w:lang w:bidi="ar-SA"/>
        </w:rPr>
        <w:t xml:space="preserve"> </w:t>
      </w:r>
      <w:r w:rsidR="00EE0F1B">
        <w:rPr>
          <w:rFonts w:ascii="Times New Roman" w:hAnsi="Times New Roman" w:cs="Times New Roman"/>
          <w:sz w:val="28"/>
          <w:szCs w:val="28"/>
          <w:lang w:bidi="ar-SA"/>
        </w:rPr>
        <w:t>С</w:t>
      </w:r>
      <w:r w:rsidR="00EE0F1B" w:rsidRPr="00EE0F1B">
        <w:rPr>
          <w:rFonts w:ascii="Times New Roman" w:hAnsi="Times New Roman" w:cs="Times New Roman"/>
          <w:sz w:val="28"/>
          <w:szCs w:val="28"/>
          <w:lang w:bidi="ar-SA"/>
        </w:rPr>
        <w:t>ычева и соавторов анализ равновесных пиковых концентраций</w:t>
      </w:r>
      <w:r w:rsidR="00EE0F1B">
        <w:rPr>
          <w:rFonts w:ascii="Times New Roman" w:hAnsi="Times New Roman" w:cs="Times New Roman"/>
          <w:sz w:val="28"/>
          <w:szCs w:val="28"/>
          <w:lang w:bidi="ar-SA"/>
        </w:rPr>
        <w:t xml:space="preserve"> дабигатрана н</w:t>
      </w:r>
      <w:r w:rsidR="00EE0F1B" w:rsidRPr="00EE0F1B">
        <w:rPr>
          <w:rFonts w:ascii="Times New Roman" w:hAnsi="Times New Roman" w:cs="Times New Roman"/>
          <w:sz w:val="28"/>
          <w:szCs w:val="28"/>
          <w:lang w:bidi="ar-SA"/>
        </w:rPr>
        <w:t>е выявил существенных различий в отношении полиморфизма</w:t>
      </w:r>
      <w:r w:rsidR="00EE0F1B">
        <w:rPr>
          <w:rFonts w:ascii="Times New Roman" w:hAnsi="Times New Roman" w:cs="Times New Roman"/>
          <w:sz w:val="28"/>
          <w:szCs w:val="28"/>
          <w:lang w:bidi="ar-SA"/>
        </w:rPr>
        <w:t xml:space="preserve"> </w:t>
      </w:r>
      <w:r w:rsidR="00EE0F1B">
        <w:rPr>
          <w:rFonts w:ascii="Times New Roman" w:hAnsi="Times New Roman" w:cs="Times New Roman"/>
          <w:sz w:val="28"/>
          <w:szCs w:val="28"/>
          <w:lang w:val="en-US" w:bidi="ar-SA"/>
        </w:rPr>
        <w:t>rs</w:t>
      </w:r>
      <w:r w:rsidR="00EE0F1B" w:rsidRPr="00EE0F1B">
        <w:rPr>
          <w:rFonts w:ascii="Times New Roman" w:hAnsi="Times New Roman" w:cs="Times New Roman"/>
          <w:sz w:val="28"/>
          <w:szCs w:val="28"/>
          <w:lang w:bidi="ar-SA"/>
        </w:rPr>
        <w:t xml:space="preserve">2244613 гена </w:t>
      </w:r>
      <w:r w:rsidR="00EE0F1B">
        <w:rPr>
          <w:rFonts w:ascii="Times New Roman" w:hAnsi="Times New Roman" w:cs="Times New Roman"/>
          <w:sz w:val="28"/>
          <w:szCs w:val="28"/>
          <w:lang w:val="en-US" w:bidi="ar-SA"/>
        </w:rPr>
        <w:t>CES</w:t>
      </w:r>
      <w:r w:rsidR="00EE0F1B" w:rsidRPr="00EE0F1B">
        <w:rPr>
          <w:rFonts w:ascii="Times New Roman" w:hAnsi="Times New Roman" w:cs="Times New Roman"/>
          <w:sz w:val="28"/>
          <w:szCs w:val="28"/>
          <w:lang w:bidi="ar-SA"/>
        </w:rPr>
        <w:t>1</w:t>
      </w:r>
      <w:r w:rsidR="00EE0F1B">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{"citationID":"ygztfEmV","properties":{"unsorted":false,"formattedCitation":"[200]","plainCitation":"[200]","noteIndex":0},"citationItems":[{"id":60,"uris":["http://zotero.org/users/14784094/items/PUXWU9EF"],"itemData":{"id":60,"type":"article-journal","abstract":"BACKGROUND: Non-vitamin K oral anticoagulants (NOACs) are commonly used for prophylaxis of venous thromboembolism (VTE) in orthopedic patients. Despite known safety and high potency of NOACs, potential interactions of NOACs with genetic polymorphisms are poorly understood. Dabigatran etexilate is one of the most commonly prescribed direct thrombin inhibitors for the prevention of VTE. The objectives of this study were to assess the effect of ABCB1 (rs1045642 and rs4148738) and CES1 (rs2244613) polymorphisms on dabigatran pharmacokinetics in patients after total knee arthroplasty.\nPATIENTS AND METHODS: A total of 60 patients, aged 37-81 years, who underwent surgery for knee replacement have been included in the study. VTE prophylaxis was conducted via administration of dabigatran etexilate 220 mg once daily. Genotyping for carrier state of polymorphic variants such as rs1045642 and rs4148738 of the ABCB1 gene and rs2244613 of the CES1 gene was carried out using real-time polymerase chain reaction (PCR). We also measured the peak and trough concentrations of plasma dabigatran by using high-performance liquid chromatography (HPLC).\nRESULTS: Our study revealed that TT genotype of rs1045642 polymorphism of the ABCB1 gene was associated with higher dabigatran equilibrium peak concentrations and the higher risk of bleeding than the presence of CC genotype (p&lt;0.008). There was no statistically significant genotype-dependent difference in the trough concentrations between rs1045642 and rs4148738 of the ABCB1 gene and rs2244613 of the CES1 gene.\nCONCLUSION: Our findings indicate that the polymorphisms of ABCB1 rs1045642 may have a prominent contribution to the safety of dabigatran in patients after knee surgery. Moreover, TT genotype may be associated with the higher risk of hemorrhagic complications in this population. There were no influence of polymorphism of ABCB1 rs4148738 and CES1 rs2244613 on dabigatran peak and through concentrations. Larger studies are needed to confirm our observations.","container-title":"Pharmacogenomics and Personalized Medicine","DOI":"10.2147/PGPM.S169277","ISSN":"1178-7066","journalAbbreviation":"Pharmgenomics Pers Med","language":"eng","page":"127-137","PMID":"30100750","PMCID":"PMC6064159","source":"PubMed","title":"The impact of ABCB1 (rs1045642 and rs4148738) and CES1 (rs2244613) gene polymorphisms on dabigatran equilibrium peak concentration in patients after total knee arthroplasty","volume":"11","author":[{"family":"Sychev","given":"Dmitriy Alekseevich"},{"family":"Levanov","given":"Alexander Nikolaevich"},{"family":"Shelekhova","given":"Tatiana Vladimirovna"},{"family":"Bochkov","given":"Pavel Olegovich"},{"family":"Denisenko","given":"Natalia Pavlovna"},{"family":"Ryzhikova","given":"Kristina Anatolyevna"},{"family":"Mirzaev","given":"Karin Badavievich"},{"family":"Grishina","given":"Elena Anatolyevna"},{"family":"Gavrilov","given":"Mikhail Alekseevich"},{"family":"Ramenskaya","given":"Galina Vladislavovna"},{"family":"Kozlov","given":"Aleksei Vladimirovich"},{"family":"Bogoslovsky","given":"Tanya"}],"issued":{"date-parts":[["2018"]]}}}],"schema":"https://github.com/citation-style-language/schema/raw/master/csl-citation.json"} </w:instrText>
      </w:r>
      <w:r w:rsidR="00EE0F1B">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[200]</w:t>
      </w:r>
      <w:r w:rsidR="00EE0F1B">
        <w:rPr>
          <w:rFonts w:ascii="Times New Roman" w:hAnsi="Times New Roman" w:cs="Times New Roman"/>
          <w:sz w:val="28"/>
          <w:szCs w:val="28"/>
          <w:lang w:bidi="ar-SA"/>
        </w:rPr>
        <w:fldChar w:fldCharType="end"/>
      </w:r>
      <w:r w:rsidR="00EE0F1B" w:rsidRPr="00EE0F1B">
        <w:rPr>
          <w:rFonts w:ascii="Times New Roman" w:hAnsi="Times New Roman" w:cs="Times New Roman"/>
          <w:sz w:val="28"/>
          <w:szCs w:val="28"/>
          <w:lang w:bidi="ar-SA"/>
        </w:rPr>
        <w:t>. Исследовани</w:t>
      </w:r>
      <w:r w:rsidR="00EE0F1B">
        <w:rPr>
          <w:rFonts w:ascii="Times New Roman" w:hAnsi="Times New Roman" w:cs="Times New Roman"/>
          <w:sz w:val="28"/>
          <w:szCs w:val="28"/>
          <w:lang w:bidi="ar-SA"/>
        </w:rPr>
        <w:t xml:space="preserve">е </w:t>
      </w:r>
      <w:r w:rsidR="00EE0F1B">
        <w:rPr>
          <w:rFonts w:ascii="Times New Roman" w:hAnsi="Times New Roman" w:cs="Times New Roman"/>
          <w:sz w:val="28"/>
          <w:szCs w:val="28"/>
          <w:lang w:val="en-US" w:bidi="ar-SA"/>
        </w:rPr>
        <w:t>Qiuyi</w:t>
      </w:r>
      <w:r w:rsidR="00EE0F1B" w:rsidRPr="00EE0F1B">
        <w:rPr>
          <w:rFonts w:ascii="Times New Roman" w:hAnsi="Times New Roman" w:cs="Times New Roman"/>
          <w:sz w:val="28"/>
          <w:szCs w:val="28"/>
          <w:lang w:bidi="ar-SA"/>
        </w:rPr>
        <w:t xml:space="preserve"> </w:t>
      </w:r>
      <w:r w:rsidR="00EE0F1B">
        <w:rPr>
          <w:rFonts w:ascii="Times New Roman" w:hAnsi="Times New Roman" w:cs="Times New Roman"/>
          <w:sz w:val="28"/>
          <w:szCs w:val="28"/>
          <w:lang w:val="en-US" w:bidi="ar-SA"/>
        </w:rPr>
        <w:t>Ji</w:t>
      </w:r>
      <w:r w:rsidR="00EE0F1B">
        <w:rPr>
          <w:rFonts w:ascii="Times New Roman" w:hAnsi="Times New Roman" w:cs="Times New Roman"/>
          <w:sz w:val="28"/>
          <w:szCs w:val="28"/>
          <w:lang w:bidi="ar-SA"/>
        </w:rPr>
        <w:t xml:space="preserve"> </w:t>
      </w:r>
      <w:r w:rsidR="00EE0F1B" w:rsidRPr="00EE0F1B">
        <w:rPr>
          <w:rFonts w:ascii="Times New Roman" w:hAnsi="Times New Roman" w:cs="Times New Roman"/>
          <w:sz w:val="28"/>
          <w:szCs w:val="28"/>
          <w:lang w:bidi="ar-SA"/>
        </w:rPr>
        <w:t>и соавторов продемонстрировал</w:t>
      </w:r>
      <w:r w:rsidR="00EE0F1B">
        <w:rPr>
          <w:rFonts w:ascii="Times New Roman" w:hAnsi="Times New Roman" w:cs="Times New Roman"/>
          <w:sz w:val="28"/>
          <w:szCs w:val="28"/>
          <w:lang w:bidi="ar-SA"/>
        </w:rPr>
        <w:t xml:space="preserve">о, </w:t>
      </w:r>
      <w:r w:rsidR="00EE0F1B" w:rsidRPr="00EE0F1B">
        <w:rPr>
          <w:rFonts w:ascii="Times New Roman" w:hAnsi="Times New Roman" w:cs="Times New Roman"/>
          <w:sz w:val="28"/>
          <w:szCs w:val="28"/>
          <w:lang w:bidi="ar-SA"/>
        </w:rPr>
        <w:t xml:space="preserve">что полиморфизмы </w:t>
      </w:r>
      <w:r w:rsidR="00EE0F1B">
        <w:rPr>
          <w:rFonts w:ascii="Times New Roman" w:hAnsi="Times New Roman" w:cs="Times New Roman"/>
          <w:sz w:val="28"/>
          <w:szCs w:val="28"/>
          <w:lang w:val="en-US" w:bidi="ar-SA"/>
        </w:rPr>
        <w:t>CES</w:t>
      </w:r>
      <w:r w:rsidR="00EE0F1B" w:rsidRPr="00EE0F1B">
        <w:rPr>
          <w:rFonts w:ascii="Times New Roman" w:hAnsi="Times New Roman" w:cs="Times New Roman"/>
          <w:sz w:val="28"/>
          <w:szCs w:val="28"/>
          <w:lang w:bidi="ar-SA"/>
        </w:rPr>
        <w:t xml:space="preserve">1 </w:t>
      </w:r>
      <w:r w:rsidR="00EE0F1B">
        <w:rPr>
          <w:rFonts w:ascii="Times New Roman" w:hAnsi="Times New Roman" w:cs="Times New Roman"/>
          <w:sz w:val="28"/>
          <w:szCs w:val="28"/>
          <w:lang w:val="en-US" w:bidi="ar-SA"/>
        </w:rPr>
        <w:t>rs</w:t>
      </w:r>
      <w:r w:rsidR="00EE0F1B" w:rsidRPr="00EE0F1B">
        <w:rPr>
          <w:rFonts w:ascii="Times New Roman" w:hAnsi="Times New Roman" w:cs="Times New Roman"/>
          <w:sz w:val="28"/>
          <w:szCs w:val="28"/>
          <w:lang w:bidi="ar-SA"/>
        </w:rPr>
        <w:t xml:space="preserve">8192935 и </w:t>
      </w:r>
      <w:r w:rsidR="00EE0F1B">
        <w:rPr>
          <w:rFonts w:ascii="Times New Roman" w:hAnsi="Times New Roman" w:cs="Times New Roman"/>
          <w:sz w:val="28"/>
          <w:szCs w:val="28"/>
          <w:lang w:val="en-US" w:bidi="ar-SA"/>
        </w:rPr>
        <w:t>rs</w:t>
      </w:r>
      <w:r w:rsidR="00EE0F1B" w:rsidRPr="00EE0F1B">
        <w:rPr>
          <w:rFonts w:ascii="Times New Roman" w:hAnsi="Times New Roman" w:cs="Times New Roman"/>
          <w:sz w:val="28"/>
          <w:szCs w:val="28"/>
          <w:lang w:bidi="ar-SA"/>
        </w:rPr>
        <w:t>2244613 способные изменять фармакокинетику</w:t>
      </w:r>
      <w:r w:rsidR="00EE0F1B">
        <w:rPr>
          <w:rFonts w:ascii="Times New Roman" w:hAnsi="Times New Roman" w:cs="Times New Roman"/>
          <w:sz w:val="28"/>
          <w:szCs w:val="28"/>
          <w:lang w:bidi="ar-SA"/>
        </w:rPr>
        <w:t xml:space="preserve"> дабигатрана</w:t>
      </w:r>
      <w:r w:rsidR="00EE0F1B">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{"citationID":"IRt3NuF8","properties":{"unsorted":false,"formattedCitation":"[201]","plainCitation":"[201]","noteIndex":0},"citationItems":[{"id":738,"uris":["http://zotero.org/users/14784094/items/Y6GEF6C3"],"itemData":{"id":738,"type":"article-journal","abstract":"Methods We conducted a prospective study and enrolled NVAF patients treated with dabigatran. Blood samples were obtained from each patient and used for genotyping and determination of plasma dabigatran concentration(PDC) and coagulation parameters including activated partial thromboplastin time(APTT) and thrombin time(TT). Patients’ demographics and clinical outcomes from scheduled follow-up visits were all recorded. Statistical analysis was performed to identify the impact of genetic polymorphisms on the PK/PD and bleeding risk of dabigatran.\nResults A total of 198 patients were included in analysis. For the ABCB1 polymorphisms rs4148738 and rs1045642, no significant association was found with dabigatran PK/PD. For the CES1 polymorphism rs8192935, the minor allele(C) was associated with increased trough PDCs(ANOVA: P&lt;0.001; CC vs. TT genotype, P&lt;0.001; CT vs. TT genotype, P=0.014) and with APTT values at trough level(P=0.015). For the CES1 polymorphism rs2244613, the minor allele(A) carriers had higher levels of trough PDC than non-carriers (ANOVA: P&lt;0.001; AA vs. CC genotype, P&lt;0.001; CA vs. CC genotype, P=0.004) and increased risk for minor bleeding(P=0.034; OR=2.71, 95% CI 1.05-7.00).\nConclusions Our study indicated that the minor allele(C) on the CES1 SNP rs8192935 was associated with PDCs and APTT values at trough level. The minor allele(A) on the CES1 SNP rs2244613 was associated with increased trough PDCs and higher risk for minor bleeding in NVAF patients treated with dabigatran.","container-title":"British Journal of Clinical Pharmacology","DOI":"10.1111/bcp.14646","ISSN":"0306-5251, 1365-2125","issue":"5","journalAbbreviation":"Brit J Clinical Pharma","language":"en","license":"http://onlinelibrary.wiley.com/termsAndConditions#vor","page":"2247-2255","source":"DOI.org (Crossref)","title":"The impact of &lt;i&gt;ABCB1&lt;/i&gt; and &lt;i&gt;CES1&lt;/i&gt; polymorphisms on dabigatran pharmacokinetics and pharmacodynamics in patients with atrial fibrillation","volume":"87","author":[{"family":"Ji","given":"Qiuyi"},{"family":"Zhang","given":"Chunyu"},{"family":"Xu","given":"Qing"},{"family":"Wang","given":"Zi"},{"family":"Li","given":"Xiaoye"},{"family":"Lv","given":"Qianzhou"}],"issued":{"date-parts":[["2021",5]]}}}],"schema":"https://github.com/citation-style-language/schema/raw/master/csl-citation.json"} </w:instrText>
      </w:r>
      <w:r w:rsidR="00EE0F1B">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[201]</w:t>
      </w:r>
      <w:r w:rsidR="00EE0F1B">
        <w:rPr>
          <w:rFonts w:ascii="Times New Roman" w:hAnsi="Times New Roman" w:cs="Times New Roman"/>
          <w:sz w:val="28"/>
          <w:szCs w:val="28"/>
          <w:lang w:bidi="ar-SA"/>
        </w:rPr>
        <w:fldChar w:fldCharType="end"/>
      </w:r>
      <w:r w:rsidR="00EE0F1B" w:rsidRPr="00EE0F1B">
        <w:rPr>
          <w:rFonts w:ascii="Times New Roman" w:hAnsi="Times New Roman" w:cs="Times New Roman"/>
          <w:sz w:val="28"/>
          <w:szCs w:val="28"/>
          <w:lang w:bidi="ar-SA"/>
        </w:rPr>
        <w:t xml:space="preserve">. При этом генотип </w:t>
      </w:r>
      <w:r w:rsidR="00EE0F1B">
        <w:rPr>
          <w:rFonts w:ascii="Times New Roman" w:hAnsi="Times New Roman" w:cs="Times New Roman"/>
          <w:sz w:val="28"/>
          <w:szCs w:val="28"/>
          <w:lang w:val="en-US" w:bidi="ar-SA"/>
        </w:rPr>
        <w:t>CA</w:t>
      </w:r>
      <w:r w:rsidR="00EE0F1B" w:rsidRPr="00EE0F1B">
        <w:rPr>
          <w:rFonts w:ascii="Times New Roman" w:hAnsi="Times New Roman" w:cs="Times New Roman"/>
          <w:sz w:val="28"/>
          <w:szCs w:val="28"/>
          <w:lang w:bidi="ar-SA"/>
        </w:rPr>
        <w:t xml:space="preserve"> или </w:t>
      </w:r>
      <w:r w:rsidR="00EE0F1B">
        <w:rPr>
          <w:rFonts w:ascii="Times New Roman" w:hAnsi="Times New Roman" w:cs="Times New Roman"/>
          <w:sz w:val="28"/>
          <w:szCs w:val="28"/>
          <w:lang w:val="en-US" w:bidi="ar-SA"/>
        </w:rPr>
        <w:t>AA</w:t>
      </w:r>
      <w:r w:rsidR="00EE0F1B" w:rsidRPr="00EE0F1B">
        <w:rPr>
          <w:rFonts w:ascii="Times New Roman" w:hAnsi="Times New Roman" w:cs="Times New Roman"/>
          <w:sz w:val="28"/>
          <w:szCs w:val="28"/>
          <w:lang w:bidi="ar-SA"/>
        </w:rPr>
        <w:t xml:space="preserve"> по </w:t>
      </w:r>
      <w:r w:rsidR="00EE0F1B">
        <w:rPr>
          <w:rFonts w:ascii="Times New Roman" w:hAnsi="Times New Roman" w:cs="Times New Roman"/>
          <w:sz w:val="28"/>
          <w:szCs w:val="28"/>
          <w:lang w:val="en-US" w:bidi="ar-SA"/>
        </w:rPr>
        <w:t>rs</w:t>
      </w:r>
      <w:r w:rsidR="00EE0F1B" w:rsidRPr="00EE0F1B">
        <w:rPr>
          <w:rFonts w:ascii="Times New Roman" w:hAnsi="Times New Roman" w:cs="Times New Roman"/>
          <w:sz w:val="28"/>
          <w:szCs w:val="28"/>
          <w:lang w:bidi="ar-SA"/>
        </w:rPr>
        <w:t>2244613 был связан с более высоким риском небольших кровотечения у пациентов, получающих</w:t>
      </w:r>
      <w:r w:rsidR="00EE0F1B">
        <w:rPr>
          <w:rFonts w:ascii="Times New Roman" w:hAnsi="Times New Roman" w:cs="Times New Roman"/>
          <w:sz w:val="28"/>
          <w:szCs w:val="28"/>
          <w:lang w:bidi="ar-SA"/>
        </w:rPr>
        <w:t xml:space="preserve"> дабигатран</w:t>
      </w:r>
      <w:r w:rsidR="00EE0F1B">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{"citationID":"rvGnKCVn","properties":{"unsorted":false,"formattedCitation":"[201]","plainCitation":"[201]","noteIndex":0},"citationItems":[{"id":738,"uris":["http://zotero.org/users/14784094/items/Y6GEF6C3"],"itemData":{"id":738,"type":"article-journal","abstract":"Methods We conducted a prospective study and enrolled NVAF patients treated with dabigatran. Blood samples were obtained from each patient and used for genotyping and determination of plasma dabigatran concentration(PDC) and coagulation parameters including activated partial thromboplastin time(APTT) and thrombin time(TT). Patients’ demographics and clinical outcomes from scheduled follow-up visits were all recorded. Statistical analysis was performed to identify the impact of genetic polymorphisms on the PK/PD and bleeding risk of dabigatran.\nResults A total of 198 patients were included in analysis. For the ABCB1 polymorphisms rs4148738 and rs1045642, no significant association was found with dabigatran PK/PD. For the CES1 polymorphism rs8192935, the minor allele(C) was associated with increased trough PDCs(ANOVA: P&lt;0.001; CC vs. TT genotype, P&lt;0.001; CT vs. TT genotype, P=0.014) and with APTT values at trough level(P=0.015). For the CES1 polymorphism rs2244613, the minor allele(A) carriers had higher levels of trough PDC than non-carriers (ANOVA: P&lt;0.001; AA vs. CC genotype, P&lt;0.001; CA vs. CC genotype, P=0.004) and increased risk for minor bleeding(P=0.034; OR=2.71, 95% CI 1.05-7.00).\nConclusions Our study indicated that the minor allele(C) on the CES1 SNP rs8192935 was associated with PDCs and APTT values at trough level. The minor allele(A) on the CES1 SNP rs2244613 was associated with increased trough PDCs and higher risk for minor bleeding in NVAF patients treated with dabigatran.","container-title":"British Journal of Clinical Pharmacology","DOI":"10.1111/bcp.14646","ISSN":"0306-5251, 1365-2125","issue":"5","journalAbbreviation":"Brit J Clinical Pharma","language":"en","license":"http://onlinelibrary.wiley.com/termsAndConditions#vor","page":"2247-2255","source":"DOI.org (Crossref)","title":"The impact of &lt;i&gt;ABCB1&lt;/i&gt; and &lt;i&gt;CES1&lt;/i&gt; polymorphisms on dabigatran pharmacokinetics and pharmacodynamics in patients with atrial fibrillation","volume":"87","author":[{"family":"Ji","given":"Qiuyi"},{"family":"Zhang","given":"Chunyu"},{"family":"Xu","given":"Qing"},{"family":"Wang","given":"Zi"},{"family":"Li","given":"Xiaoye"},{"family":"Lv","given":"Qianzhou"}],"issued":{"date-parts":[["2021",5]]}}}],"schema":"https://github.com/citation-style-language/schema/raw/master/csl-citation.json"} </w:instrText>
      </w:r>
      <w:r w:rsidR="00EE0F1B">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[201]</w:t>
      </w:r>
      <w:r w:rsidR="00EE0F1B">
        <w:rPr>
          <w:rFonts w:ascii="Times New Roman" w:hAnsi="Times New Roman" w:cs="Times New Roman"/>
          <w:sz w:val="28"/>
          <w:szCs w:val="28"/>
          <w:lang w:bidi="ar-SA"/>
        </w:rPr>
        <w:fldChar w:fldCharType="end"/>
      </w:r>
      <w:r w:rsidR="00EE0F1B" w:rsidRPr="00EE0F1B">
        <w:rPr>
          <w:rFonts w:ascii="Times New Roman" w:hAnsi="Times New Roman" w:cs="Times New Roman"/>
          <w:sz w:val="28"/>
          <w:szCs w:val="28"/>
          <w:lang w:bidi="ar-SA"/>
        </w:rPr>
        <w:t xml:space="preserve">. Отмечены выраженные этнические различия в частоте носительства: процент гомозигот по генотипу </w:t>
      </w:r>
      <w:r w:rsidR="00EE0F1B">
        <w:rPr>
          <w:rFonts w:ascii="Times New Roman" w:hAnsi="Times New Roman" w:cs="Times New Roman"/>
          <w:sz w:val="28"/>
          <w:szCs w:val="28"/>
          <w:lang w:val="en-US" w:bidi="ar-SA"/>
        </w:rPr>
        <w:t>AA</w:t>
      </w:r>
      <w:r w:rsidR="00EE0F1B" w:rsidRPr="00EE0F1B">
        <w:rPr>
          <w:rFonts w:ascii="Times New Roman" w:hAnsi="Times New Roman" w:cs="Times New Roman"/>
          <w:sz w:val="28"/>
          <w:szCs w:val="28"/>
          <w:lang w:bidi="ar-SA"/>
        </w:rPr>
        <w:t xml:space="preserve"> </w:t>
      </w:r>
      <w:r w:rsidR="00EE0F1B">
        <w:rPr>
          <w:rFonts w:ascii="Times New Roman" w:hAnsi="Times New Roman" w:cs="Times New Roman"/>
          <w:sz w:val="28"/>
          <w:szCs w:val="28"/>
          <w:lang w:val="en-US" w:bidi="ar-SA"/>
        </w:rPr>
        <w:t>CES</w:t>
      </w:r>
      <w:r w:rsidR="00EE0F1B" w:rsidRPr="00EE0F1B">
        <w:rPr>
          <w:rFonts w:ascii="Times New Roman" w:hAnsi="Times New Roman" w:cs="Times New Roman"/>
          <w:sz w:val="28"/>
          <w:szCs w:val="28"/>
          <w:lang w:bidi="ar-SA"/>
        </w:rPr>
        <w:t xml:space="preserve">1 </w:t>
      </w:r>
      <w:r w:rsidR="00EE0F1B">
        <w:rPr>
          <w:rFonts w:ascii="Times New Roman" w:hAnsi="Times New Roman" w:cs="Times New Roman"/>
          <w:sz w:val="28"/>
          <w:szCs w:val="28"/>
          <w:lang w:val="en-US" w:bidi="ar-SA"/>
        </w:rPr>
        <w:t>rs</w:t>
      </w:r>
      <w:r w:rsidR="00EE0F1B" w:rsidRPr="00EE0F1B">
        <w:rPr>
          <w:rFonts w:ascii="Times New Roman" w:hAnsi="Times New Roman" w:cs="Times New Roman"/>
          <w:sz w:val="28"/>
          <w:szCs w:val="28"/>
          <w:lang w:bidi="ar-SA"/>
        </w:rPr>
        <w:t>2244613 составил 39,4% среди китайского населения и 58,6% среди европеоидов</w:t>
      </w:r>
      <w:r w:rsidR="00EE0F1B">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{"citationID":"y3kgA124","properties":{"unsorted":false,"formattedCitation":"[208]","plainCitation":"[208]","noteIndex":0},"citationItems":[{"id":692,"uris":["http://zotero.org/users/14784094/items/DXGKX737"],"itemData":{"id":692,"type":"article-journal","abstract":"Aim\n              . A meta-analysis of studies on the CES1 gene c.1168-33A&gt;C polymorphism (rs2244613) carriage influence on the equilibrium concentration and the risk of bleeding during dabigatran taking.\n            \n            \n              Material and methods\n              . The search was carried out in the Russian Science Citation Index, Google Academy, Medline PubMed, Embase databases. The meta-analysis included patients who according to the indications (atrial fibrillation, stroke, joint orthopedic surgery) were prescribed dabigatran in various doses. The association was identified in rs2244613 allele C carriers (genotypes AC and CC) and non-carriers (genotype AA). Quantitative synthesis was performed using OpenMetaAnalyst software. In statistical analysis the fixed effects model was used to estimate the influence of the allele C carriage on the any bleeding frequency and the random effects model was used to estimate the influence on the equilibrium plasma concentration level of dabigatran. The homogeneity of the analyzed studies was verified by Cochrane Q-test.\n            \n            \n              Results\n              . The analysis resulted in selection of 5 works matching all meta-analysis inclusion/exclusion criteria. All selected works included 2030 patients in total. The carriage of the rs2246613 allele C was associated with reduction of risk of any bleeding during dabigatran taking (risk ratio [RR] 0.732, 95% confidence interval [CI] 0.629-0.851; p&lt;0.001). The heterogeneity test did not reveal any reliable differences between the study results (Q=2.183; p=0.535). The level of equilibrium residual concentration of dabigatran was not statistically significant lower for the carriers of C allele of the rs2244613 (mean difference -69.324, 95%CI -236.687-98.039; p=0.417). This might be related to the small sample size and the number of studies included in the meta-analysis. The heterogeneity test did not reveal statistically significant differences between studies (Q=0.388; I2=0%, p=0.534).\n            \n            \n              Conclusion\n              . The carriage of minor C allelic variant of rs2244613 reduces the risk of any bleeding during dabigatran taking, however, no significant association with decrease in dabigatran concentration was found.","container-title":"Rational Pharmacotherapy in Cardiology","DOI":"10.20996/1819-6446-2020-10-09","ISSN":"2225-3653, 1819-6446","issue":"5","journalAbbreviation":"Racionalʹnaâ farmakoterapiâ v kardiologii","language":"ru","license":"https://www.rpcardio.com/jour/about/editorialPolicies#openAccessPolicy","page":"699-705","source":"DOI.org (Crossref)","title":"The CES1 Gene rs2244613 Minor Allele Impact on the Safety Profile of Dabigatran Etexilate: Meta-Analysis","title-short":"The CES1 Gene rs2244613 Minor Allele Impact on the Safety Profile of Dabigatran Etexilate","volume":"16","author":[{"family":"Abdullaev","given":"S. P."},{"family":"Mirzaev","given":"K. B."},{"family":"Bochkov","given":"P. O."},{"family":"Sychev","given":"I. N."},{"family":"Sychev","given":"D. A."}],"issued":{"date-parts":[["2020",11,4]]}}}],"schema":"https://github.com/citation-style-language/schema/raw/master/csl-citation.json"} </w:instrText>
      </w:r>
      <w:r w:rsidR="00EE0F1B">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[208]</w:t>
      </w:r>
      <w:r w:rsidR="00EE0F1B">
        <w:rPr>
          <w:rFonts w:ascii="Times New Roman" w:hAnsi="Times New Roman" w:cs="Times New Roman"/>
          <w:sz w:val="28"/>
          <w:szCs w:val="28"/>
          <w:lang w:bidi="ar-SA"/>
        </w:rPr>
        <w:fldChar w:fldCharType="end"/>
      </w:r>
      <w:r w:rsidR="00EE0F1B" w:rsidRPr="00EE0F1B">
        <w:rPr>
          <w:rFonts w:ascii="Times New Roman" w:hAnsi="Times New Roman" w:cs="Times New Roman"/>
          <w:sz w:val="28"/>
          <w:szCs w:val="28"/>
          <w:lang w:bidi="ar-SA"/>
        </w:rPr>
        <w:t xml:space="preserve">. Исследование </w:t>
      </w:r>
      <w:r w:rsidR="00EE0F1B">
        <w:rPr>
          <w:rFonts w:ascii="Times New Roman" w:hAnsi="Times New Roman" w:cs="Times New Roman"/>
          <w:sz w:val="28"/>
          <w:szCs w:val="28"/>
          <w:lang w:val="en-US" w:bidi="ar-SA"/>
        </w:rPr>
        <w:t>Shi</w:t>
      </w:r>
      <w:r w:rsidR="00EE0F1B" w:rsidRPr="00EE0F1B">
        <w:rPr>
          <w:rFonts w:ascii="Times New Roman" w:hAnsi="Times New Roman" w:cs="Times New Roman"/>
          <w:sz w:val="28"/>
          <w:szCs w:val="28"/>
          <w:lang w:bidi="ar-SA"/>
        </w:rPr>
        <w:t xml:space="preserve"> </w:t>
      </w:r>
      <w:r w:rsidR="00EE0F1B">
        <w:rPr>
          <w:rFonts w:ascii="Times New Roman" w:hAnsi="Times New Roman" w:cs="Times New Roman"/>
          <w:sz w:val="28"/>
          <w:szCs w:val="28"/>
          <w:lang w:val="en-US" w:bidi="ar-SA"/>
        </w:rPr>
        <w:t>et</w:t>
      </w:r>
      <w:r w:rsidR="00EE0F1B" w:rsidRPr="00EE0F1B">
        <w:rPr>
          <w:rFonts w:ascii="Times New Roman" w:hAnsi="Times New Roman" w:cs="Times New Roman"/>
          <w:sz w:val="28"/>
          <w:szCs w:val="28"/>
          <w:lang w:bidi="ar-SA"/>
        </w:rPr>
        <w:t xml:space="preserve"> </w:t>
      </w:r>
      <w:r w:rsidR="00EE0F1B">
        <w:rPr>
          <w:rFonts w:ascii="Times New Roman" w:hAnsi="Times New Roman" w:cs="Times New Roman"/>
          <w:sz w:val="28"/>
          <w:szCs w:val="28"/>
          <w:lang w:val="en-US" w:bidi="ar-SA"/>
        </w:rPr>
        <w:t>al</w:t>
      </w:r>
      <w:r w:rsidR="00EE0F1B" w:rsidRPr="00EE0F1B">
        <w:rPr>
          <w:rFonts w:ascii="Times New Roman" w:hAnsi="Times New Roman" w:cs="Times New Roman"/>
          <w:sz w:val="28"/>
          <w:szCs w:val="28"/>
          <w:lang w:bidi="ar-SA"/>
        </w:rPr>
        <w:t xml:space="preserve">. (2016) Выявило связь полиморфизма </w:t>
      </w:r>
      <w:r w:rsidR="00EE0F1B">
        <w:rPr>
          <w:rFonts w:ascii="Times New Roman" w:hAnsi="Times New Roman" w:cs="Times New Roman"/>
          <w:sz w:val="28"/>
          <w:szCs w:val="28"/>
          <w:lang w:val="en-US" w:bidi="ar-SA"/>
        </w:rPr>
        <w:t>CES</w:t>
      </w:r>
      <w:r w:rsidR="00EE0F1B" w:rsidRPr="00EE0F1B">
        <w:rPr>
          <w:rFonts w:ascii="Times New Roman" w:hAnsi="Times New Roman" w:cs="Times New Roman"/>
          <w:sz w:val="28"/>
          <w:szCs w:val="28"/>
          <w:lang w:bidi="ar-SA"/>
        </w:rPr>
        <w:t xml:space="preserve">1 </w:t>
      </w:r>
      <w:r w:rsidR="00EE0F1B">
        <w:rPr>
          <w:rFonts w:ascii="Times New Roman" w:hAnsi="Times New Roman" w:cs="Times New Roman"/>
          <w:sz w:val="28"/>
          <w:szCs w:val="28"/>
          <w:lang w:val="en-US" w:bidi="ar-SA"/>
        </w:rPr>
        <w:t>rs</w:t>
      </w:r>
      <w:r w:rsidR="00EE0F1B" w:rsidRPr="00EE0F1B">
        <w:rPr>
          <w:rFonts w:ascii="Times New Roman" w:hAnsi="Times New Roman" w:cs="Times New Roman"/>
          <w:sz w:val="28"/>
          <w:szCs w:val="28"/>
          <w:lang w:bidi="ar-SA"/>
        </w:rPr>
        <w:t xml:space="preserve">71647871 со снижением скорости активации </w:t>
      </w:r>
      <w:r w:rsidR="00EE0F1B">
        <w:rPr>
          <w:rFonts w:ascii="Times New Roman" w:hAnsi="Times New Roman" w:cs="Times New Roman"/>
          <w:sz w:val="28"/>
          <w:szCs w:val="28"/>
          <w:lang w:bidi="ar-SA"/>
        </w:rPr>
        <w:t xml:space="preserve">дабигатрана этексилата </w:t>
      </w:r>
      <w:r w:rsidR="00EE0F1B" w:rsidRPr="00EE0F1B">
        <w:rPr>
          <w:rFonts w:ascii="Times New Roman" w:hAnsi="Times New Roman" w:cs="Times New Roman"/>
          <w:sz w:val="28"/>
          <w:szCs w:val="28"/>
          <w:lang w:bidi="ar-SA"/>
        </w:rPr>
        <w:t>в активный метаболит</w:t>
      </w:r>
      <w:r w:rsidR="00EE0F1B">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{"citationID":"LOJuAtF6","properties":{"unsorted":false,"formattedCitation":"[179]","plainCitation":"[179]","noteIndex":0},"citationItems":[{"id":85,"uris":["http://zotero.org/users/14784094/items/GIUQS7T6"],"itemData":{"id":85,"type":"article-journal","abstract":"The oral anticoagulant prodrug dabigatran etexilate (DABE) is sequentially metabolized by intestinal carboxylesterase 2 (CES2) and hepatic carboxylesterase 1 (CES1) to form its active metabolite dabigatran (DAB). A recent genome-wide association study reported that the CES1 single nucleotide polymorphisms (SNPs) rs2244613 and rs8192935 were associated with lower DAB plasma concentrations in the Randomized Evaluation of Long-term Anticoagulation Therapy (RE-LY) study participants. In addition, gender differences in exposure to DAB were observed in clinical studies. The aim of this study was to examine the effect of CES1 genetic polymorphisms and gender on DABE activation using several in vitro approaches. The genotypes of the CES1 SNPs rs2244613, rs8192935, and the known loss-of-function CES1 variant rs71647871 (G143E), and the activation of DABE and its intermediate metabolites M1 and M2 were determined in 104 normal human liver samples. DABE, M1, and M2 activations were found to be impaired in human livers carrying the G143E variant. However, neither rs2244613 nor rs8192935 was associated with the activation in human livers. The incubation study of DABE with supernatant fractions (S9) prepared from the G143E-transfected cells showed that the G143E is a loss-of-function variant for DABE metabolism. Moreover, hepatic CES1 activity on M2 activation was significantly higher in female liver samples than male. Our data suggest that CES1 genetic variants and gender are important contributing factors to variability in DABE activation in humans. A personalized DABE treatment approach based on patient-specific CES1 genotypes and sex may have the potential to improve the efficacy and safety of DABE pharmacotherapy.,","container-title":"Biochemical pharmacology","DOI":"10.1016/j.bcp.2016.09.003","ISSN":"0006-2952","journalAbbreviation":"Biochem Pharmacol","page":"76-84","PMID":"27614009","PMCID":"PMC5061634","source":"PubMed Central","title":"Dabigatran Etexilate Activation is Affected by the CES1 Genetic Polymorphism G143E (rs71647871) and Gender","volume":"119","author":[{"family":"Shi","given":"Jian"},{"family":"Wang","given":"Xinwen"},{"family":"Nguyen","given":"Jenny"},{"family":"Bleske","given":"Barry E."},{"family":"Liang","given":"Yan"},{"family":"Liu","given":"Li"},{"family":"Zhu","given":"Hao-Jie"}],"issued":{"date-parts":[["2016",11,1]]}}}],"schema":"https://github.com/citation-style-language/schema/raw/master/csl-citation.json"} </w:instrText>
      </w:r>
      <w:r w:rsidR="00EE0F1B">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[179]</w:t>
      </w:r>
      <w:r w:rsidR="00EE0F1B">
        <w:rPr>
          <w:rFonts w:ascii="Times New Roman" w:hAnsi="Times New Roman" w:cs="Times New Roman"/>
          <w:sz w:val="28"/>
          <w:szCs w:val="28"/>
          <w:lang w:bidi="ar-SA"/>
        </w:rPr>
        <w:fldChar w:fldCharType="end"/>
      </w:r>
      <w:r w:rsidR="00EE0F1B" w:rsidRPr="00EE0F1B">
        <w:rPr>
          <w:rFonts w:ascii="Times New Roman" w:hAnsi="Times New Roman" w:cs="Times New Roman"/>
          <w:sz w:val="28"/>
          <w:szCs w:val="28"/>
          <w:lang w:bidi="ar-SA"/>
        </w:rPr>
        <w:t xml:space="preserve">. Для этого аллергенного варианта характерна снижения трансформации пролекарства в клетках печени в условиях </w:t>
      </w:r>
      <w:r w:rsidR="00EE0F1B">
        <w:rPr>
          <w:rFonts w:ascii="Times New Roman" w:hAnsi="Times New Roman" w:cs="Times New Roman"/>
          <w:sz w:val="28"/>
          <w:szCs w:val="28"/>
          <w:lang w:val="en-US" w:bidi="ar-SA"/>
        </w:rPr>
        <w:t>in</w:t>
      </w:r>
      <w:r w:rsidR="00EE0F1B" w:rsidRPr="00EE0F1B">
        <w:rPr>
          <w:rFonts w:ascii="Times New Roman" w:hAnsi="Times New Roman" w:cs="Times New Roman"/>
          <w:sz w:val="28"/>
          <w:szCs w:val="28"/>
          <w:lang w:bidi="ar-SA"/>
        </w:rPr>
        <w:t xml:space="preserve"> </w:t>
      </w:r>
      <w:r w:rsidR="00EE0F1B">
        <w:rPr>
          <w:rFonts w:ascii="Times New Roman" w:hAnsi="Times New Roman" w:cs="Times New Roman"/>
          <w:sz w:val="28"/>
          <w:szCs w:val="28"/>
          <w:lang w:val="en-US" w:bidi="ar-SA"/>
        </w:rPr>
        <w:t>vitro</w:t>
      </w:r>
      <w:r w:rsidR="00EE0F1B" w:rsidRPr="00EE0F1B">
        <w:rPr>
          <w:rFonts w:ascii="Times New Roman" w:hAnsi="Times New Roman" w:cs="Times New Roman"/>
          <w:sz w:val="28"/>
          <w:szCs w:val="28"/>
          <w:lang w:bidi="ar-SA"/>
        </w:rPr>
        <w:t>. Однако</w:t>
      </w:r>
      <w:r w:rsidR="00BA2D7A" w:rsidRPr="00BA2D7A">
        <w:rPr>
          <w:rFonts w:ascii="Times New Roman" w:hAnsi="Times New Roman" w:cs="Times New Roman"/>
          <w:sz w:val="28"/>
          <w:szCs w:val="28"/>
          <w:lang w:bidi="ar-SA"/>
        </w:rPr>
        <w:t xml:space="preserve"> влияние данного полиморфизма на концентрации активного метаболита </w:t>
      </w:r>
      <w:r w:rsidR="00BA2D7A">
        <w:rPr>
          <w:rFonts w:ascii="Times New Roman" w:hAnsi="Times New Roman" w:cs="Times New Roman"/>
          <w:sz w:val="28"/>
          <w:szCs w:val="28"/>
          <w:lang w:bidi="ar-SA"/>
        </w:rPr>
        <w:t xml:space="preserve">дабигатрана </w:t>
      </w:r>
      <w:r w:rsidR="00BA2D7A" w:rsidRPr="00BA2D7A">
        <w:rPr>
          <w:rFonts w:ascii="Times New Roman" w:hAnsi="Times New Roman" w:cs="Times New Roman"/>
          <w:sz w:val="28"/>
          <w:szCs w:val="28"/>
          <w:lang w:bidi="ar-SA"/>
        </w:rPr>
        <w:t>в плазме крови пациентов в клинической практике до сих пор специально не изучалось</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В том же исследовании</w:t>
      </w:r>
      <w:r w:rsidR="00BA2D7A">
        <w:rPr>
          <w:rFonts w:ascii="Times New Roman" w:hAnsi="Times New Roman" w:cs="Times New Roman"/>
          <w:sz w:val="28"/>
          <w:szCs w:val="28"/>
          <w:lang w:bidi="ar-SA"/>
        </w:rPr>
        <w:t xml:space="preserve"> </w:t>
      </w:r>
      <w:r w:rsidR="00BA2D7A">
        <w:rPr>
          <w:rFonts w:ascii="Times New Roman" w:hAnsi="Times New Roman" w:cs="Times New Roman"/>
          <w:sz w:val="28"/>
          <w:szCs w:val="28"/>
          <w:lang w:val="en-US" w:bidi="ar-SA"/>
        </w:rPr>
        <w:t>Shi</w:t>
      </w:r>
      <w:r w:rsidR="00BA2D7A" w:rsidRPr="00BA2D7A">
        <w:rPr>
          <w:rFonts w:ascii="Times New Roman" w:hAnsi="Times New Roman" w:cs="Times New Roman"/>
          <w:sz w:val="28"/>
          <w:szCs w:val="28"/>
          <w:lang w:bidi="ar-SA"/>
        </w:rPr>
        <w:t xml:space="preserve"> не было обнаружено существенных ассоциации между полиморфизмами</w:t>
      </w:r>
      <w:r w:rsidR="00BA2D7A">
        <w:rPr>
          <w:rFonts w:ascii="Times New Roman" w:hAnsi="Times New Roman" w:cs="Times New Roman"/>
          <w:sz w:val="28"/>
          <w:szCs w:val="28"/>
          <w:lang w:bidi="ar-SA"/>
        </w:rPr>
        <w:t xml:space="preserve">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 xml:space="preserve">2244613 и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8192935, экспресси</w:t>
      </w:r>
      <w:r w:rsidR="00BA2D7A">
        <w:rPr>
          <w:rFonts w:ascii="Times New Roman" w:hAnsi="Times New Roman" w:cs="Times New Roman"/>
          <w:sz w:val="28"/>
          <w:szCs w:val="28"/>
          <w:lang w:bidi="ar-SA"/>
        </w:rPr>
        <w:t xml:space="preserve">ей </w:t>
      </w:r>
      <w:r w:rsidR="00BA2D7A" w:rsidRPr="00BA2D7A">
        <w:rPr>
          <w:rFonts w:ascii="Times New Roman" w:hAnsi="Times New Roman" w:cs="Times New Roman"/>
          <w:sz w:val="28"/>
          <w:szCs w:val="28"/>
          <w:lang w:bidi="ar-SA"/>
        </w:rPr>
        <w:t xml:space="preserve">гена </w:t>
      </w:r>
      <w:r w:rsidR="00BA2D7A">
        <w:rPr>
          <w:rFonts w:ascii="Times New Roman" w:hAnsi="Times New Roman" w:cs="Times New Roman"/>
          <w:sz w:val="28"/>
          <w:szCs w:val="28"/>
          <w:lang w:val="en-US" w:bidi="ar-SA"/>
        </w:rPr>
        <w:t>CES</w:t>
      </w:r>
      <w:r w:rsidR="00BA2D7A" w:rsidRPr="00BA2D7A">
        <w:rPr>
          <w:rFonts w:ascii="Times New Roman" w:hAnsi="Times New Roman" w:cs="Times New Roman"/>
          <w:sz w:val="28"/>
          <w:szCs w:val="28"/>
          <w:lang w:bidi="ar-SA"/>
        </w:rPr>
        <w:t>1 и активностью метаболизма</w:t>
      </w:r>
      <w:r w:rsidR="00BA2D7A">
        <w:rPr>
          <w:rFonts w:ascii="Times New Roman" w:hAnsi="Times New Roman" w:cs="Times New Roman"/>
          <w:sz w:val="28"/>
          <w:szCs w:val="28"/>
          <w:lang w:bidi="ar-SA"/>
        </w:rPr>
        <w:t xml:space="preserve"> дабигатрана этексилата</w:t>
      </w:r>
      <w:r w:rsidR="00BA2D7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{"citationID":"JJBWjHln","properties":{"unsorted":false,"formattedCitation":"[209]","plainCitation":"[209]","noteIndex":0},"citationItems":[{"id":568,"uris":["http://zotero.org/users/14784094/items/V3FY7AAI"],"itemData":{"id":568,"type":"article-journal","abstract":"The oral anticoagulant prodrug dabigatran etexilate (DABE) is sequentially metabolized by intestinal carboxylesterase 2 (CES2) and hepatic carboxylesterase 1 (CES1) to form its active metabolite dabigatran (DAB). A recent genome-wide association study reported that the CES1 single nucleotide polymorphisms (SNPs) rs2244613 and rs8192935 were associated with lower DAB plasma concentrations in the Randomized Evaluation of Long-term Anticoagulation Therapy (RE-LY) study participants. In addition, gender differences in exposure to DAB were observed in clinical studies. The aim of this study was to examine the effect of CES1 genetic polymorphisms and gender on DABE activation using several in vitro approaches. The genotypes of the CES1 SNPs rs2244613, rs8192935, and the known loss-of-function CES1 variant rs71647871 (G143E), and the activation of DABE and its intermediate metabolites M1 and M2 were determined in 104 normal human liver samples. DABE, M1, and M2 activations were found to be impaired in human livers carrying the G143E variant. However, neither rs2244613 nor rs8192935 was associated with the activation in human livers. The incubation study of DABE with supernatant fractions (S9) prepared from the G143E-transfected cells showed that the G143E is a loss-of-function variant for DABE metabolism. Moreover, hepatic CES1 activity on M2 activation was significantly higher in female liver samples than male. Our data suggest that CES1 genetic variants and gender are important contributing factors to variability in DABE activation in humans. A personalized DABE treatment approach based on patient-specific CES1 genotypes and sex may have the potential to improve the efficacy and safety of DABE pharmacotherapy.,","container-title":"Biochemical pharmacology","DOI":"10.1016/j.bcp.2016.09.003","ISSN":"0006-2952","journalAbbreviation":"Biochem Pharmacol","page":"76-84","PMID":"27614009","PMCID":"PMC5061634","source":"PubMed Central","title":"Dabigatran Etexilate Activation is Affected by the CES1 Genetic Polymorphism G143E (rs71647871) and Gender","volume":"119","author":[{"family":"Shi","given":"Jian"},{"family":"Wang","given":"Xinwen"},{"family":"Nguyen","given":"Jenny"},{"family":"Bleske","given":"Barry E."},{"family":"Liang","given":"Yan"},{"family":"Liu","given":"Li"},{"family":"Zhu","given":"Hao-Jie"}],"issued":{"date-parts":[["2016",11,1]]}}}],"schema":"https://github.com/citation-style-language/schema/raw/master/csl-citation.json"} </w:instrText>
      </w:r>
      <w:r w:rsidR="00BA2D7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[209]</w:t>
      </w:r>
      <w:r w:rsidR="00BA2D7A">
        <w:rPr>
          <w:rFonts w:ascii="Times New Roman" w:hAnsi="Times New Roman" w:cs="Times New Roman"/>
          <w:sz w:val="28"/>
          <w:szCs w:val="28"/>
          <w:lang w:bidi="ar-SA"/>
        </w:rPr>
        <w:fldChar w:fldCharType="end"/>
      </w:r>
      <w:r w:rsidR="00BA2D7A">
        <w:rPr>
          <w:rFonts w:ascii="Times New Roman" w:hAnsi="Times New Roman" w:cs="Times New Roman"/>
          <w:sz w:val="28"/>
          <w:szCs w:val="28"/>
          <w:lang w:bidi="ar-SA"/>
        </w:rPr>
        <w:t>.</w:t>
      </w:r>
      <w:r w:rsidR="00BA2D7A" w:rsidRPr="00BA2D7A">
        <w:rPr>
          <w:rFonts w:ascii="Times New Roman" w:hAnsi="Times New Roman" w:cs="Times New Roman"/>
          <w:sz w:val="28"/>
          <w:szCs w:val="28"/>
          <w:lang w:bidi="ar-SA"/>
        </w:rPr>
        <w:t xml:space="preserve"> </w:t>
      </w:r>
      <w:r w:rsidR="00BA2D7A">
        <w:rPr>
          <w:rFonts w:ascii="Times New Roman" w:hAnsi="Times New Roman" w:cs="Times New Roman"/>
          <w:sz w:val="28"/>
          <w:szCs w:val="28"/>
          <w:lang w:bidi="ar-SA"/>
        </w:rPr>
        <w:t xml:space="preserve">Работа </w:t>
      </w:r>
      <w:r w:rsidR="00BA2D7A">
        <w:rPr>
          <w:rFonts w:ascii="Times New Roman" w:hAnsi="Times New Roman" w:cs="Times New Roman"/>
          <w:sz w:val="28"/>
          <w:szCs w:val="28"/>
          <w:lang w:val="en-US" w:bidi="ar-SA"/>
        </w:rPr>
        <w:t>Dimatteo</w:t>
      </w:r>
      <w:r w:rsidR="00BA2D7A" w:rsidRPr="00BA2D7A">
        <w:rPr>
          <w:rFonts w:ascii="Times New Roman" w:hAnsi="Times New Roman" w:cs="Times New Roman"/>
          <w:sz w:val="28"/>
          <w:szCs w:val="28"/>
          <w:lang w:bidi="ar-SA"/>
        </w:rPr>
        <w:t xml:space="preserve"> (2016), </w:t>
      </w:r>
      <w:r w:rsidR="00BA2D7A">
        <w:rPr>
          <w:rFonts w:ascii="Times New Roman" w:hAnsi="Times New Roman" w:cs="Times New Roman"/>
          <w:sz w:val="28"/>
          <w:szCs w:val="28"/>
          <w:lang w:bidi="ar-SA"/>
        </w:rPr>
        <w:t>п</w:t>
      </w:r>
      <w:r w:rsidR="00BA2D7A" w:rsidRPr="00BA2D7A">
        <w:rPr>
          <w:rFonts w:ascii="Times New Roman" w:hAnsi="Times New Roman" w:cs="Times New Roman"/>
          <w:sz w:val="28"/>
          <w:szCs w:val="28"/>
          <w:lang w:bidi="ar-SA"/>
        </w:rPr>
        <w:t>освященн</w:t>
      </w:r>
      <w:r w:rsidR="00BA2D7A">
        <w:rPr>
          <w:rFonts w:ascii="Times New Roman" w:hAnsi="Times New Roman" w:cs="Times New Roman"/>
          <w:sz w:val="28"/>
          <w:szCs w:val="28"/>
          <w:lang w:bidi="ar-SA"/>
        </w:rPr>
        <w:t>ая</w:t>
      </w:r>
      <w:r w:rsidR="00BA2D7A" w:rsidRPr="00BA2D7A">
        <w:rPr>
          <w:rFonts w:ascii="Times New Roman" w:hAnsi="Times New Roman" w:cs="Times New Roman"/>
          <w:sz w:val="28"/>
          <w:szCs w:val="28"/>
          <w:lang w:bidi="ar-SA"/>
        </w:rPr>
        <w:t xml:space="preserve"> изучению влияния полиморфизмов</w:t>
      </w:r>
      <w:r w:rsidR="00BA2D7A">
        <w:rPr>
          <w:rFonts w:ascii="Times New Roman" w:hAnsi="Times New Roman" w:cs="Times New Roman"/>
          <w:sz w:val="28"/>
          <w:szCs w:val="28"/>
          <w:lang w:bidi="ar-SA"/>
        </w:rPr>
        <w:t xml:space="preserve">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 xml:space="preserve">2244613 и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 xml:space="preserve">8192935 гена </w:t>
      </w:r>
      <w:r w:rsidR="00BA2D7A">
        <w:rPr>
          <w:rFonts w:ascii="Times New Roman" w:hAnsi="Times New Roman" w:cs="Times New Roman"/>
          <w:sz w:val="28"/>
          <w:szCs w:val="28"/>
          <w:lang w:val="en-US" w:bidi="ar-SA"/>
        </w:rPr>
        <w:t>CES</w:t>
      </w:r>
      <w:r w:rsidR="00BA2D7A" w:rsidRPr="00BA2D7A">
        <w:rPr>
          <w:rFonts w:ascii="Times New Roman" w:hAnsi="Times New Roman" w:cs="Times New Roman"/>
          <w:sz w:val="28"/>
          <w:szCs w:val="28"/>
          <w:lang w:bidi="ar-SA"/>
        </w:rPr>
        <w:t>1 у 92 пациент</w:t>
      </w:r>
      <w:r w:rsidR="00BA2D7A">
        <w:rPr>
          <w:rFonts w:ascii="Times New Roman" w:hAnsi="Times New Roman" w:cs="Times New Roman"/>
          <w:sz w:val="28"/>
          <w:szCs w:val="28"/>
          <w:lang w:bidi="ar-SA"/>
        </w:rPr>
        <w:t>ов</w:t>
      </w:r>
      <w:r w:rsidR="00BA2D7A" w:rsidRPr="00BA2D7A">
        <w:rPr>
          <w:rFonts w:ascii="Times New Roman" w:hAnsi="Times New Roman" w:cs="Times New Roman"/>
          <w:sz w:val="28"/>
          <w:szCs w:val="28"/>
          <w:lang w:bidi="ar-SA"/>
        </w:rPr>
        <w:t xml:space="preserve"> европеоидной расы с</w:t>
      </w:r>
      <w:r w:rsidR="00BA2D7A">
        <w:rPr>
          <w:rFonts w:ascii="Times New Roman" w:hAnsi="Times New Roman" w:cs="Times New Roman"/>
          <w:sz w:val="28"/>
          <w:szCs w:val="28"/>
          <w:lang w:bidi="ar-SA"/>
        </w:rPr>
        <w:t xml:space="preserve"> ФП, </w:t>
      </w:r>
      <w:r w:rsidR="00BA2D7A" w:rsidRPr="00BA2D7A">
        <w:rPr>
          <w:rFonts w:ascii="Times New Roman" w:hAnsi="Times New Roman" w:cs="Times New Roman"/>
          <w:sz w:val="28"/>
          <w:szCs w:val="28"/>
          <w:lang w:bidi="ar-SA"/>
        </w:rPr>
        <w:t>выявила незначительное снижение</w:t>
      </w:r>
      <w:r w:rsidR="00BA2D7A">
        <w:rPr>
          <w:rFonts w:ascii="Times New Roman" w:hAnsi="Times New Roman" w:cs="Times New Roman"/>
          <w:sz w:val="28"/>
          <w:szCs w:val="28"/>
          <w:lang w:bidi="ar-SA"/>
        </w:rPr>
        <w:t xml:space="preserve"> </w:t>
      </w:r>
      <w:r w:rsidR="00BA2D7A">
        <w:rPr>
          <w:rFonts w:ascii="Times New Roman" w:hAnsi="Times New Roman" w:cs="Times New Roman"/>
          <w:sz w:val="28"/>
          <w:szCs w:val="28"/>
          <w:lang w:val="en-US" w:bidi="ar-SA"/>
        </w:rPr>
        <w:t>C</w:t>
      </w:r>
      <w:r w:rsidR="00BA2D7A" w:rsidRPr="00E2467A">
        <w:rPr>
          <w:rFonts w:ascii="Times New Roman" w:hAnsi="Times New Roman" w:cs="Times New Roman"/>
          <w:sz w:val="28"/>
          <w:szCs w:val="28"/>
          <w:vertAlign w:val="subscript"/>
          <w:lang w:val="en-US" w:bidi="ar-SA"/>
        </w:rPr>
        <w:t>ssmin</w:t>
      </w:r>
      <w:r w:rsidR="00BA2D7A" w:rsidRPr="00E2467A">
        <w:rPr>
          <w:rFonts w:ascii="Times New Roman" w:hAnsi="Times New Roman" w:cs="Times New Roman"/>
          <w:sz w:val="28"/>
          <w:szCs w:val="28"/>
          <w:vertAlign w:val="subscript"/>
          <w:lang w:bidi="ar-SA"/>
        </w:rPr>
        <w:t xml:space="preserve"> </w:t>
      </w:r>
      <w:r w:rsidR="00BA2D7A">
        <w:rPr>
          <w:rFonts w:ascii="Times New Roman" w:hAnsi="Times New Roman" w:cs="Times New Roman"/>
          <w:sz w:val="28"/>
          <w:szCs w:val="28"/>
          <w:lang w:bidi="ar-SA"/>
        </w:rPr>
        <w:t xml:space="preserve">дабигатрана </w:t>
      </w:r>
      <w:r w:rsidR="00BA2D7A" w:rsidRPr="00BA2D7A">
        <w:rPr>
          <w:rFonts w:ascii="Times New Roman" w:hAnsi="Times New Roman" w:cs="Times New Roman"/>
          <w:sz w:val="28"/>
          <w:szCs w:val="28"/>
          <w:lang w:bidi="ar-SA"/>
        </w:rPr>
        <w:t>на 3</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у гетерозигот</w:t>
      </w:r>
      <w:r w:rsidR="008E0328">
        <w:rPr>
          <w:rFonts w:ascii="Times New Roman" w:hAnsi="Times New Roman" w:cs="Times New Roman"/>
          <w:sz w:val="28"/>
          <w:szCs w:val="28"/>
          <w:lang w:bidi="ar-SA"/>
        </w:rPr>
        <w:t xml:space="preserve"> </w:t>
      </w:r>
      <w:r w:rsidR="00BA2D7A">
        <w:rPr>
          <w:rFonts w:ascii="Times New Roman" w:hAnsi="Times New Roman" w:cs="Times New Roman"/>
          <w:sz w:val="28"/>
          <w:szCs w:val="28"/>
          <w:lang w:bidi="ar-SA"/>
        </w:rPr>
        <w:t xml:space="preserve"> </w:t>
      </w:r>
      <w:r w:rsidR="008E0328">
        <w:rPr>
          <w:rFonts w:ascii="Times New Roman" w:hAnsi="Times New Roman" w:cs="Times New Roman"/>
          <w:sz w:val="28"/>
          <w:szCs w:val="28"/>
          <w:lang w:bidi="ar-SA"/>
        </w:rPr>
        <w:t xml:space="preserve">по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8192935</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w:t>
      </w:r>
      <w:r w:rsidR="00BA2D7A">
        <w:rPr>
          <w:rFonts w:ascii="Times New Roman" w:hAnsi="Times New Roman" w:cs="Times New Roman"/>
          <w:sz w:val="28"/>
          <w:szCs w:val="28"/>
          <w:lang w:val="en-US" w:bidi="ar-SA"/>
        </w:rPr>
        <w:t>p</w:t>
      </w:r>
      <w:r w:rsidR="00BA2D7A" w:rsidRPr="00BA2D7A">
        <w:rPr>
          <w:rFonts w:ascii="Times New Roman" w:hAnsi="Times New Roman" w:cs="Times New Roman"/>
          <w:sz w:val="28"/>
          <w:szCs w:val="28"/>
          <w:lang w:bidi="ar-SA"/>
        </w:rPr>
        <w:t>=0,055)</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а</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у гомозигот</w:t>
      </w:r>
      <w:r w:rsidR="00BA2D7A">
        <w:rPr>
          <w:rFonts w:ascii="Times New Roman" w:hAnsi="Times New Roman" w:cs="Times New Roman"/>
          <w:sz w:val="28"/>
          <w:szCs w:val="28"/>
          <w:lang w:bidi="ar-SA"/>
        </w:rPr>
        <w:t xml:space="preserve"> (ТТ) </w:t>
      </w:r>
      <w:r w:rsidR="00BA2D7A" w:rsidRPr="00BA2D7A">
        <w:rPr>
          <w:rFonts w:ascii="Times New Roman" w:hAnsi="Times New Roman" w:cs="Times New Roman"/>
          <w:sz w:val="28"/>
          <w:szCs w:val="28"/>
          <w:lang w:bidi="ar-SA"/>
        </w:rPr>
        <w:t>снижение достигло 11</w:t>
      </w:r>
      <w:r w:rsidR="00BA2D7A">
        <w:rPr>
          <w:rFonts w:ascii="Times New Roman" w:hAnsi="Times New Roman" w:cs="Times New Roman"/>
          <w:sz w:val="28"/>
          <w:szCs w:val="28"/>
          <w:lang w:bidi="ar-SA"/>
        </w:rPr>
        <w:t>%</w:t>
      </w:r>
      <w:r w:rsidR="00BA2D7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{"citationID":"kCgPbo6u","properties":{"unsorted":false,"formattedCitation":"[18]","plainCitation":"[18]","noteIndex":0},"citationItems":[{"id":740,"uris":["http://zotero.org/users/14784094/items/L23HNCYG"],"itemData":{"id":740,"type":"article-journal","abstract":"Introduction: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schema":"https://github.com/citation-style-language/schema/raw/master/csl-citation.json"} </w:instrText>
      </w:r>
      <w:r w:rsidR="00BA2D7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w:t>
      </w:r>
      <w:r w:rsidR="00BA2D7A">
        <w:rPr>
          <w:rFonts w:ascii="Times New Roman" w:hAnsi="Times New Roman" w:cs="Times New Roman"/>
          <w:sz w:val="28"/>
          <w:szCs w:val="28"/>
          <w:lang w:bidi="ar-SA"/>
        </w:rPr>
        <w:fldChar w:fldCharType="end"/>
      </w:r>
      <w:r w:rsidR="00BA2D7A">
        <w:rPr>
          <w:rFonts w:ascii="Times New Roman" w:hAnsi="Times New Roman" w:cs="Times New Roman"/>
          <w:sz w:val="28"/>
          <w:szCs w:val="28"/>
          <w:lang w:bidi="ar-SA"/>
        </w:rPr>
        <w:t>.</w:t>
      </w:r>
      <w:r w:rsidR="00BA2D7A" w:rsidRPr="00BA2D7A">
        <w:rPr>
          <w:rFonts w:ascii="Times New Roman" w:hAnsi="Times New Roman" w:cs="Times New Roman"/>
          <w:sz w:val="28"/>
          <w:szCs w:val="28"/>
          <w:lang w:bidi="ar-SA"/>
        </w:rPr>
        <w:t xml:space="preserve"> При этом не было выявлено ассоциации </w:t>
      </w:r>
      <w:r w:rsidR="00BA2D7A">
        <w:rPr>
          <w:rFonts w:ascii="Times New Roman" w:hAnsi="Times New Roman" w:cs="Times New Roman"/>
          <w:sz w:val="28"/>
          <w:szCs w:val="28"/>
          <w:lang w:val="en-US" w:bidi="ar-SA"/>
        </w:rPr>
        <w:t>SNP</w:t>
      </w:r>
      <w:r w:rsidR="00BA2D7A" w:rsidRPr="00BA2D7A">
        <w:rPr>
          <w:rFonts w:ascii="Times New Roman" w:hAnsi="Times New Roman" w:cs="Times New Roman"/>
          <w:sz w:val="28"/>
          <w:szCs w:val="28"/>
          <w:lang w:bidi="ar-SA"/>
        </w:rPr>
        <w:t xml:space="preserve"> </w:t>
      </w:r>
      <w:r w:rsidR="00BA2D7A">
        <w:rPr>
          <w:rFonts w:ascii="Times New Roman" w:hAnsi="Times New Roman" w:cs="Times New Roman"/>
          <w:sz w:val="28"/>
          <w:szCs w:val="28"/>
          <w:lang w:val="en-US" w:bidi="ar-SA"/>
        </w:rPr>
        <w:t>CES</w:t>
      </w:r>
      <w:r w:rsidR="00BA2D7A" w:rsidRPr="00BA2D7A">
        <w:rPr>
          <w:rFonts w:ascii="Times New Roman" w:hAnsi="Times New Roman" w:cs="Times New Roman"/>
          <w:sz w:val="28"/>
          <w:szCs w:val="28"/>
          <w:lang w:bidi="ar-SA"/>
        </w:rPr>
        <w:t xml:space="preserve">1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8192935 с пиковыми концентрациями</w:t>
      </w:r>
      <w:r w:rsidR="00BA2D7A">
        <w:rPr>
          <w:rFonts w:ascii="Times New Roman" w:hAnsi="Times New Roman" w:cs="Times New Roman"/>
          <w:sz w:val="28"/>
          <w:szCs w:val="28"/>
          <w:lang w:bidi="ar-SA"/>
        </w:rPr>
        <w:t xml:space="preserve"> дабигатрана. </w:t>
      </w:r>
      <w:r w:rsidR="00BA2D7A" w:rsidRPr="00BA2D7A">
        <w:rPr>
          <w:rFonts w:ascii="Times New Roman" w:hAnsi="Times New Roman" w:cs="Times New Roman"/>
          <w:sz w:val="28"/>
          <w:szCs w:val="28"/>
          <w:lang w:bidi="ar-SA"/>
        </w:rPr>
        <w:t xml:space="preserve">Полиморфизм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 xml:space="preserve">2244613 также показал тенденцию к снижению </w:t>
      </w:r>
      <w:r w:rsidR="00BA2D7A">
        <w:rPr>
          <w:rFonts w:ascii="Times New Roman" w:hAnsi="Times New Roman" w:cs="Times New Roman"/>
          <w:sz w:val="28"/>
          <w:szCs w:val="28"/>
          <w:lang w:val="en-US" w:bidi="ar-SA"/>
        </w:rPr>
        <w:t>Cssmin</w:t>
      </w:r>
      <w:r w:rsidR="00BA2D7A" w:rsidRPr="00BA2D7A">
        <w:rPr>
          <w:rFonts w:ascii="Times New Roman" w:hAnsi="Times New Roman" w:cs="Times New Roman"/>
          <w:sz w:val="28"/>
          <w:szCs w:val="28"/>
          <w:lang w:bidi="ar-SA"/>
        </w:rPr>
        <w:t xml:space="preserve"> на 2% у гете</w:t>
      </w:r>
      <w:r w:rsidR="00BA2D7A">
        <w:rPr>
          <w:rFonts w:ascii="Times New Roman" w:hAnsi="Times New Roman" w:cs="Times New Roman"/>
          <w:sz w:val="28"/>
          <w:szCs w:val="28"/>
          <w:lang w:bidi="ar-SA"/>
        </w:rPr>
        <w:t>ро</w:t>
      </w:r>
      <w:r w:rsidR="00BA2D7A" w:rsidRPr="00BA2D7A">
        <w:rPr>
          <w:rFonts w:ascii="Times New Roman" w:hAnsi="Times New Roman" w:cs="Times New Roman"/>
          <w:sz w:val="28"/>
          <w:szCs w:val="28"/>
          <w:lang w:bidi="ar-SA"/>
        </w:rPr>
        <w:t>зигот</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и на 3</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у гомозигот</w:t>
      </w:r>
      <w:r w:rsidR="00BA2D7A">
        <w:rPr>
          <w:rFonts w:ascii="Times New Roman" w:hAnsi="Times New Roman" w:cs="Times New Roman"/>
          <w:sz w:val="28"/>
          <w:szCs w:val="28"/>
          <w:lang w:bidi="ar-SA"/>
        </w:rPr>
        <w:t xml:space="preserve">, </w:t>
      </w:r>
      <w:r w:rsidR="00BA2D7A" w:rsidRPr="00BA2D7A">
        <w:rPr>
          <w:rFonts w:ascii="Times New Roman" w:hAnsi="Times New Roman" w:cs="Times New Roman"/>
          <w:sz w:val="28"/>
          <w:szCs w:val="28"/>
          <w:lang w:bidi="ar-SA"/>
        </w:rPr>
        <w:t>но эти изменения не достигли статистической значимости</w:t>
      </w:r>
      <w:r w:rsidR="00BA2D7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{"citationID":"4OuB9YHz","properties":{"unsorted":false,"formattedCitation":"[18]","plainCitation":"[18]","noteIndex":0},"citationItems":[{"id":740,"uris":["http://zotero.org/users/14784094/items/L23HNCYG"],"itemData":{"id":740,"type":"article-journal","abstract":"Introduction: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schema":"https://github.com/citation-style-language/schema/raw/master/csl-citation.json"} </w:instrText>
      </w:r>
      <w:r w:rsidR="00BA2D7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w:t>
      </w:r>
      <w:r w:rsidR="00BA2D7A">
        <w:rPr>
          <w:rFonts w:ascii="Times New Roman" w:hAnsi="Times New Roman" w:cs="Times New Roman"/>
          <w:sz w:val="28"/>
          <w:szCs w:val="28"/>
          <w:lang w:bidi="ar-SA"/>
        </w:rPr>
        <w:fldChar w:fldCharType="end"/>
      </w:r>
      <w:r w:rsidR="00BA2D7A" w:rsidRPr="00BA2D7A">
        <w:rPr>
          <w:rFonts w:ascii="Times New Roman" w:hAnsi="Times New Roman" w:cs="Times New Roman"/>
          <w:sz w:val="28"/>
          <w:szCs w:val="28"/>
          <w:lang w:bidi="ar-SA"/>
        </w:rPr>
        <w:t xml:space="preserve">. В 2017 году было опубликовано исследование Мещерякова и соавторов, в котором изучалась возможная роль полиморфизма </w:t>
      </w:r>
      <w:r w:rsidR="00BA2D7A">
        <w:rPr>
          <w:rFonts w:ascii="Times New Roman" w:hAnsi="Times New Roman" w:cs="Times New Roman"/>
          <w:sz w:val="28"/>
          <w:szCs w:val="28"/>
          <w:lang w:val="en-US" w:bidi="ar-SA"/>
        </w:rPr>
        <w:t>CES</w:t>
      </w:r>
      <w:r w:rsidR="00BA2D7A" w:rsidRPr="00BA2D7A">
        <w:rPr>
          <w:rFonts w:ascii="Times New Roman" w:hAnsi="Times New Roman" w:cs="Times New Roman"/>
          <w:sz w:val="28"/>
          <w:szCs w:val="28"/>
          <w:lang w:bidi="ar-SA"/>
        </w:rPr>
        <w:t xml:space="preserve">1 </w:t>
      </w:r>
      <w:r w:rsidR="00BA2D7A">
        <w:rPr>
          <w:rFonts w:ascii="Times New Roman" w:hAnsi="Times New Roman" w:cs="Times New Roman"/>
          <w:sz w:val="28"/>
          <w:szCs w:val="28"/>
          <w:lang w:val="en-US" w:bidi="ar-SA"/>
        </w:rPr>
        <w:t>rs</w:t>
      </w:r>
      <w:r w:rsidR="00BA2D7A" w:rsidRPr="00BA2D7A">
        <w:rPr>
          <w:rFonts w:ascii="Times New Roman" w:hAnsi="Times New Roman" w:cs="Times New Roman"/>
          <w:sz w:val="28"/>
          <w:szCs w:val="28"/>
          <w:lang w:bidi="ar-SA"/>
        </w:rPr>
        <w:t>2244613 в развитии ишемических и геморрагических осложнений на фоне терапии</w:t>
      </w:r>
      <w:r w:rsidR="00BA2D7A">
        <w:rPr>
          <w:rFonts w:ascii="Times New Roman" w:hAnsi="Times New Roman" w:cs="Times New Roman"/>
          <w:sz w:val="28"/>
          <w:szCs w:val="28"/>
          <w:lang w:bidi="ar-SA"/>
        </w:rPr>
        <w:t xml:space="preserve"> дабигатраном</w:t>
      </w:r>
      <w:r w:rsidR="00BA2D7A">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42z3weWe","properties":{"unsorted":false,"formattedCitation":"[210]","plainCitation":"[210]","noteIndex":0},"citationItems":[{"id":619,"uris":["http://zotero.org/users/14784094/items/ZGM6QPTV"],"itemData":{"id":619,"type":"webpage","title":"Фармакогенетика нового орального антикоагулянта дабигатрана -роль полиморфизма rs2244613 ces1 в развитии нежелательных побочных реакций","URL":"https://cyberleninka.ru/article/n/farmakogenetika-novogo-oralnogo-antikoagulyanta-dabigatrana-rol-polimorfizma-rs2244613-ces1-v-razvitii-nezhelatelnyh-pobochnyh/viewer","accessed":{"date-parts":[["2024",9,8]]}}}],"schema":"https://github.com/citation-style-language/schema/raw/master/csl-citation.json"} </w:instrText>
      </w:r>
      <w:r w:rsidR="00BA2D7A">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[210]</w:t>
      </w:r>
      <w:r w:rsidR="00BA2D7A">
        <w:rPr>
          <w:rFonts w:ascii="Times New Roman" w:hAnsi="Times New Roman" w:cs="Times New Roman"/>
          <w:sz w:val="28"/>
          <w:szCs w:val="28"/>
          <w:lang w:bidi="ar-SA"/>
        </w:rPr>
        <w:fldChar w:fldCharType="end"/>
      </w:r>
      <w:r w:rsidR="00BA2D7A">
        <w:rPr>
          <w:rFonts w:ascii="Times New Roman" w:hAnsi="Times New Roman" w:cs="Times New Roman"/>
          <w:sz w:val="28"/>
          <w:szCs w:val="28"/>
          <w:lang w:bidi="ar-SA"/>
        </w:rPr>
        <w:t>.</w:t>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В исследовани</w:t>
      </w:r>
      <w:r w:rsidR="00BC48CC">
        <w:rPr>
          <w:rFonts w:ascii="Times New Roman" w:hAnsi="Times New Roman" w:cs="Times New Roman"/>
          <w:sz w:val="28"/>
          <w:szCs w:val="28"/>
          <w:lang w:bidi="ar-SA"/>
        </w:rPr>
        <w:t>е</w:t>
      </w:r>
      <w:r w:rsidR="00BC48CC" w:rsidRPr="00BC48CC">
        <w:rPr>
          <w:rFonts w:ascii="Times New Roman" w:hAnsi="Times New Roman" w:cs="Times New Roman"/>
          <w:sz w:val="28"/>
          <w:szCs w:val="28"/>
          <w:lang w:bidi="ar-SA"/>
        </w:rPr>
        <w:t xml:space="preserve"> были включены 72 пациента с неклапанной</w:t>
      </w:r>
      <w:r w:rsidR="00BC48CC">
        <w:rPr>
          <w:rFonts w:ascii="Times New Roman" w:hAnsi="Times New Roman" w:cs="Times New Roman"/>
          <w:sz w:val="28"/>
          <w:szCs w:val="28"/>
          <w:lang w:bidi="ar-SA"/>
        </w:rPr>
        <w:t xml:space="preserve"> ФП, </w:t>
      </w:r>
      <w:r w:rsidR="00BC48CC" w:rsidRPr="00BC48CC">
        <w:rPr>
          <w:rFonts w:ascii="Times New Roman" w:hAnsi="Times New Roman" w:cs="Times New Roman"/>
          <w:sz w:val="28"/>
          <w:szCs w:val="28"/>
          <w:lang w:bidi="ar-SA"/>
        </w:rPr>
        <w:t xml:space="preserve">принимавшие </w:t>
      </w:r>
      <w:r w:rsidR="00BC48CC">
        <w:rPr>
          <w:rFonts w:ascii="Times New Roman" w:hAnsi="Times New Roman" w:cs="Times New Roman"/>
          <w:sz w:val="28"/>
          <w:szCs w:val="28"/>
          <w:lang w:bidi="ar-SA"/>
        </w:rPr>
        <w:t>дабигатран</w:t>
      </w:r>
      <w:r w:rsidR="00BC48CC" w:rsidRPr="00BC48CC">
        <w:rPr>
          <w:rFonts w:ascii="Times New Roman" w:hAnsi="Times New Roman" w:cs="Times New Roman"/>
          <w:sz w:val="28"/>
          <w:szCs w:val="28"/>
          <w:lang w:bidi="ar-SA"/>
        </w:rPr>
        <w:t xml:space="preserve"> в дозе</w:t>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 xml:space="preserve">150 мг 2 раза в сутки в течение </w:t>
      </w:r>
      <w:r w:rsidR="00BC48CC">
        <w:rPr>
          <w:rFonts w:ascii="Times New Roman" w:hAnsi="Times New Roman" w:cs="Times New Roman"/>
          <w:sz w:val="28"/>
          <w:szCs w:val="28"/>
          <w:lang w:bidi="ar-SA"/>
        </w:rPr>
        <w:t>1</w:t>
      </w:r>
      <w:r w:rsidR="00BC48CC" w:rsidRPr="00BC48CC">
        <w:rPr>
          <w:rFonts w:ascii="Times New Roman" w:hAnsi="Times New Roman" w:cs="Times New Roman"/>
          <w:sz w:val="28"/>
          <w:szCs w:val="28"/>
          <w:lang w:bidi="ar-SA"/>
        </w:rPr>
        <w:t xml:space="preserve"> месяца</w:t>
      </w:r>
      <w:r w:rsidR="00BC48C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VHmXOvGP","properties":{"unsorted":false,"formattedCitation":"[210]","plainCitation":"[210]","noteIndex":0},"citationItems":[{"id":619,"uris":["http://zotero.org/users/14784094/items/ZGM6QPTV"],"itemData":{"id":619,"type":"webpage","title":"Фармакогенетика нового орального антикоагулянта дабигатрана -роль полиморфизма rs2244613 ces1 в развитии нежелательных побочных реакций","URL":"https://cyberleninka.ru/article/n/farmakogenetika-novogo-oralnogo-antikoagulyanta-dabigatrana-rol-polimorfizma-rs2244613-ces1-v-razvitii-nezhelatelnyh-pobochnyh/viewer","accessed":{"date-parts":[["2024",9,8]]}}}],"schema":"https://github.com/citation-style-language/schema/raw/master/csl-citation.json"} </w:instrText>
      </w:r>
      <w:r w:rsidR="00BC48C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[210]</w:t>
      </w:r>
      <w:r w:rsidR="00BC48CC">
        <w:rPr>
          <w:rFonts w:ascii="Times New Roman" w:hAnsi="Times New Roman" w:cs="Times New Roman"/>
          <w:sz w:val="28"/>
          <w:szCs w:val="28"/>
          <w:lang w:bidi="ar-SA"/>
        </w:rPr>
        <w:fldChar w:fldCharType="end"/>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 xml:space="preserve">Авторы не установили связи между носительством </w:t>
      </w:r>
      <w:r w:rsidR="00BC48CC">
        <w:rPr>
          <w:rFonts w:ascii="Times New Roman" w:hAnsi="Times New Roman" w:cs="Times New Roman"/>
          <w:sz w:val="28"/>
          <w:szCs w:val="28"/>
          <w:lang w:bidi="ar-SA"/>
        </w:rPr>
        <w:t>ал</w:t>
      </w:r>
      <w:r w:rsidR="00BC48CC" w:rsidRPr="00BC48CC">
        <w:rPr>
          <w:rFonts w:ascii="Times New Roman" w:hAnsi="Times New Roman" w:cs="Times New Roman"/>
          <w:sz w:val="28"/>
          <w:szCs w:val="28"/>
          <w:lang w:bidi="ar-SA"/>
        </w:rPr>
        <w:t>лельного варианта</w:t>
      </w:r>
      <w:r w:rsidR="00BC48CC">
        <w:rPr>
          <w:rFonts w:ascii="Times New Roman" w:hAnsi="Times New Roman" w:cs="Times New Roman"/>
          <w:sz w:val="28"/>
          <w:szCs w:val="28"/>
          <w:lang w:bidi="ar-SA"/>
        </w:rPr>
        <w:t xml:space="preserve"> </w:t>
      </w:r>
      <w:r w:rsidR="00BC48CC">
        <w:rPr>
          <w:rFonts w:ascii="Times New Roman" w:hAnsi="Times New Roman" w:cs="Times New Roman"/>
          <w:sz w:val="28"/>
          <w:szCs w:val="28"/>
          <w:lang w:val="en-US" w:bidi="ar-SA"/>
        </w:rPr>
        <w:t>rs</w:t>
      </w:r>
      <w:r w:rsidR="00BC48CC" w:rsidRPr="00BC48CC">
        <w:rPr>
          <w:rFonts w:ascii="Times New Roman" w:hAnsi="Times New Roman" w:cs="Times New Roman"/>
          <w:sz w:val="28"/>
          <w:szCs w:val="28"/>
          <w:lang w:bidi="ar-SA"/>
        </w:rPr>
        <w:t xml:space="preserve">2244613 гена </w:t>
      </w:r>
      <w:r w:rsidR="00BC48CC">
        <w:rPr>
          <w:rFonts w:ascii="Times New Roman" w:hAnsi="Times New Roman" w:cs="Times New Roman"/>
          <w:sz w:val="28"/>
          <w:szCs w:val="28"/>
          <w:lang w:val="en-US" w:bidi="ar-SA"/>
        </w:rPr>
        <w:t>CES</w:t>
      </w:r>
      <w:r w:rsidR="00BC48CC" w:rsidRPr="00BC48CC">
        <w:rPr>
          <w:rFonts w:ascii="Times New Roman" w:hAnsi="Times New Roman" w:cs="Times New Roman"/>
          <w:sz w:val="28"/>
          <w:szCs w:val="28"/>
          <w:lang w:bidi="ar-SA"/>
        </w:rPr>
        <w:t>1 и случаями гематури</w:t>
      </w:r>
      <w:r w:rsidR="00BC48CC">
        <w:rPr>
          <w:rFonts w:ascii="Times New Roman" w:hAnsi="Times New Roman" w:cs="Times New Roman"/>
          <w:sz w:val="28"/>
          <w:szCs w:val="28"/>
          <w:lang w:bidi="ar-SA"/>
        </w:rPr>
        <w:t xml:space="preserve">и </w:t>
      </w:r>
      <w:r w:rsidR="00BC48CC" w:rsidRPr="00BC48CC">
        <w:rPr>
          <w:rFonts w:ascii="Times New Roman" w:hAnsi="Times New Roman" w:cs="Times New Roman"/>
          <w:sz w:val="28"/>
          <w:szCs w:val="28"/>
          <w:lang w:bidi="ar-SA"/>
        </w:rPr>
        <w:t>или системных тромбозов у пациентов, принимавших</w:t>
      </w:r>
      <w:r w:rsidR="00BC48CC">
        <w:rPr>
          <w:rFonts w:ascii="Times New Roman" w:hAnsi="Times New Roman" w:cs="Times New Roman"/>
          <w:sz w:val="28"/>
          <w:szCs w:val="28"/>
          <w:lang w:bidi="ar-SA"/>
        </w:rPr>
        <w:t xml:space="preserve"> дабигатрана этексилат</w:t>
      </w:r>
      <w:r w:rsidR="00BC48C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n90IZlUG","properties":{"unsorted":false,"formattedCitation":"[210]","plainCitation":"[210]","noteIndex":0},"citationItems":[{"id":619,"uris":["http://zotero.org/users/14784094/items/ZGM6QPTV"],"itemData":{"id":619,"type":"webpage","title":"Фармакогенетика нового орального антикоагулянта дабигатрана -роль полиморфизма rs2244613 ces1 в развитии нежелательных побочных реакций","URL":"https://cyberleninka.ru/article/n/farmakogenetika-novogo-oralnogo-antikoagulyanta-dabigatrana-rol-polimorfizma-rs2244613-ces1-v-razvitii-nezhelatelnyh-pobochnyh/viewer","accessed":{"date-parts":[["2024",9,8]]}}}],"schema":"https://github.com/citation-style-language/schema/raw/master/csl-citation.json"} </w:instrText>
      </w:r>
      <w:r w:rsidR="00BC48C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[210]</w:t>
      </w:r>
      <w:r w:rsidR="00BC48CC">
        <w:rPr>
          <w:rFonts w:ascii="Times New Roman" w:hAnsi="Times New Roman" w:cs="Times New Roman"/>
          <w:sz w:val="28"/>
          <w:szCs w:val="28"/>
          <w:lang w:bidi="ar-SA"/>
        </w:rPr>
        <w:fldChar w:fldCharType="end"/>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Авторы предположили</w:t>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что это может быть связано с относительно небольшой выборкой пациентов и коротким периодом наблюдения</w:t>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Другое исследование</w:t>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провед</w:t>
      </w:r>
      <w:r w:rsidR="00BC48CC">
        <w:rPr>
          <w:rFonts w:ascii="Times New Roman" w:hAnsi="Times New Roman" w:cs="Times New Roman"/>
          <w:sz w:val="28"/>
          <w:szCs w:val="28"/>
          <w:lang w:bidi="ar-SA"/>
        </w:rPr>
        <w:t>е</w:t>
      </w:r>
      <w:r w:rsidR="00BC48CC" w:rsidRPr="00BC48CC">
        <w:rPr>
          <w:rFonts w:ascii="Times New Roman" w:hAnsi="Times New Roman" w:cs="Times New Roman"/>
          <w:sz w:val="28"/>
          <w:szCs w:val="28"/>
          <w:lang w:bidi="ar-SA"/>
        </w:rPr>
        <w:t>нн</w:t>
      </w:r>
      <w:r w:rsidR="00BC48CC">
        <w:rPr>
          <w:rFonts w:ascii="Times New Roman" w:hAnsi="Times New Roman" w:cs="Times New Roman"/>
          <w:sz w:val="28"/>
          <w:szCs w:val="28"/>
          <w:lang w:bidi="ar-SA"/>
        </w:rPr>
        <w:t>ое</w:t>
      </w:r>
      <w:r w:rsidR="00BC48CC" w:rsidRPr="00BC48CC">
        <w:rPr>
          <w:rFonts w:ascii="Times New Roman" w:hAnsi="Times New Roman" w:cs="Times New Roman"/>
          <w:sz w:val="28"/>
          <w:szCs w:val="28"/>
          <w:lang w:bidi="ar-SA"/>
        </w:rPr>
        <w:t xml:space="preserve"> на 106 здоровых добровольцах</w:t>
      </w:r>
      <w:r w:rsidR="00BC48CC">
        <w:rPr>
          <w:rFonts w:ascii="Times New Roman" w:hAnsi="Times New Roman" w:cs="Times New Roman"/>
          <w:sz w:val="28"/>
          <w:szCs w:val="28"/>
          <w:lang w:bidi="ar-SA"/>
        </w:rPr>
        <w:t xml:space="preserve">, </w:t>
      </w:r>
      <w:r w:rsidR="00BC48CC" w:rsidRPr="00BC48CC">
        <w:rPr>
          <w:rFonts w:ascii="Times New Roman" w:hAnsi="Times New Roman" w:cs="Times New Roman"/>
          <w:sz w:val="28"/>
          <w:szCs w:val="28"/>
          <w:lang w:bidi="ar-SA"/>
        </w:rPr>
        <w:t>выявило существенные различия в частотах генотипов</w:t>
      </w:r>
      <w:r w:rsidR="00BC48CC">
        <w:rPr>
          <w:rFonts w:ascii="Times New Roman" w:hAnsi="Times New Roman" w:cs="Times New Roman"/>
          <w:sz w:val="28"/>
          <w:szCs w:val="28"/>
          <w:lang w:bidi="ar-SA"/>
        </w:rPr>
        <w:t xml:space="preserve"> </w:t>
      </w:r>
      <w:r w:rsidR="00BC48CC">
        <w:rPr>
          <w:rFonts w:ascii="Times New Roman" w:hAnsi="Times New Roman" w:cs="Times New Roman"/>
          <w:sz w:val="28"/>
          <w:szCs w:val="28"/>
          <w:lang w:val="en-US" w:bidi="ar-SA"/>
        </w:rPr>
        <w:t>CES</w:t>
      </w:r>
      <w:r w:rsidR="00BC48CC" w:rsidRPr="00BC48CC">
        <w:rPr>
          <w:rFonts w:ascii="Times New Roman" w:hAnsi="Times New Roman" w:cs="Times New Roman"/>
          <w:sz w:val="28"/>
          <w:szCs w:val="28"/>
          <w:lang w:bidi="ar-SA"/>
        </w:rPr>
        <w:t xml:space="preserve">1 </w:t>
      </w:r>
      <w:r w:rsidR="00BC48CC">
        <w:rPr>
          <w:rFonts w:ascii="Times New Roman" w:hAnsi="Times New Roman" w:cs="Times New Roman"/>
          <w:sz w:val="28"/>
          <w:szCs w:val="28"/>
          <w:lang w:val="en-US" w:bidi="ar-SA"/>
        </w:rPr>
        <w:t>rs</w:t>
      </w:r>
      <w:r w:rsidR="00BC48CC" w:rsidRPr="00BC48CC">
        <w:rPr>
          <w:rFonts w:ascii="Times New Roman" w:hAnsi="Times New Roman" w:cs="Times New Roman"/>
          <w:sz w:val="28"/>
          <w:szCs w:val="28"/>
          <w:lang w:bidi="ar-SA"/>
        </w:rPr>
        <w:t xml:space="preserve">2244613 и </w:t>
      </w:r>
      <w:r w:rsidR="00BC48CC">
        <w:rPr>
          <w:rFonts w:ascii="Times New Roman" w:hAnsi="Times New Roman" w:cs="Times New Roman"/>
          <w:sz w:val="28"/>
          <w:szCs w:val="28"/>
          <w:lang w:val="en-US" w:bidi="ar-SA"/>
        </w:rPr>
        <w:t>CES</w:t>
      </w:r>
      <w:r w:rsidR="00BC48CC" w:rsidRPr="00BC48CC">
        <w:rPr>
          <w:rFonts w:ascii="Times New Roman" w:hAnsi="Times New Roman" w:cs="Times New Roman"/>
          <w:sz w:val="28"/>
          <w:szCs w:val="28"/>
          <w:lang w:bidi="ar-SA"/>
        </w:rPr>
        <w:t xml:space="preserve">1 </w:t>
      </w:r>
      <w:r w:rsidR="00BC48CC">
        <w:rPr>
          <w:rFonts w:ascii="Times New Roman" w:hAnsi="Times New Roman" w:cs="Times New Roman"/>
          <w:sz w:val="28"/>
          <w:szCs w:val="28"/>
          <w:lang w:val="en-US" w:bidi="ar-SA"/>
        </w:rPr>
        <w:t>rs</w:t>
      </w:r>
      <w:r w:rsidR="00BC48CC" w:rsidRPr="00BC48CC">
        <w:rPr>
          <w:rFonts w:ascii="Times New Roman" w:hAnsi="Times New Roman" w:cs="Times New Roman"/>
          <w:sz w:val="28"/>
          <w:szCs w:val="28"/>
          <w:lang w:bidi="ar-SA"/>
        </w:rPr>
        <w:t>8192935 между китайской популяцией и европеоид</w:t>
      </w:r>
      <w:r w:rsidR="00BC48CC">
        <w:rPr>
          <w:rFonts w:ascii="Times New Roman" w:hAnsi="Times New Roman" w:cs="Times New Roman"/>
          <w:sz w:val="28"/>
          <w:szCs w:val="28"/>
          <w:lang w:bidi="ar-SA"/>
        </w:rPr>
        <w:t>ами</w:t>
      </w:r>
      <w:r w:rsidR="00BC48C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{"citationID":"PO1GdtVA","properties":{"unsorted":false,"formattedCitation":"[206]","plainCitation":"[206]","noteIndex":0},"citationItems":[{"id":735,"uris":["http://zotero.org/users/14784094/items/BFIV9P2X"],"itemData":{"id":735,"type":"article-journal","abstract":"Dabigatran is a novel direct oral anticoagulant agent, whose plasma concentration is closely related to bleeding risk. Genetic polymorphisms can affect the level of plasma dabigatran. The purpose of this study was to understand the relationship between dabigatranrelated genes and the plasma level of dabigatran in healthy Chinese subjects after taking a single oral dose. This study was performed with a single-center, single-dose, randomized, open-label, and four-period crossover trial design under both fasting and fed conditions. A total of 106 eligible healthy subjects were enrolled in the study and 104 were genotyped. One-way analysis of variance (ANOVA) was used to compare pharmacokinetic parameters among different genotypes and linear regression was applied to explore the multiplicative interaction between variables. In this study, we found that the genotype frequencies of CES1 rs2244613 and CES1 rs8192935 were significantly different between Chinese and Caucasians, but the genotype frequencies of ABCB1 rs1045642 and ABCB1 rs4148738 were similar in both populations. CES1 rs8192935 were associated with the peak concentra­ tion of dabigatran. There was no significant gender difference in the exposure level of dabigatran. Furthermore, food significantly delayed the absorption of dabigatran but had little effect on Cmax and AUC0-∞.","container-title":"Pharmacogenomics and Personalized Medicine","DOI":"10.2147/PGPM.S291723","ISSN":"1178-7066","journalAbbreviation":"PGPM","language":"en","license":"http://creativecommons.org/licenses/by-nc/3.0/","page":"477-485","source":"DOI.org (Crossref)","title":"The Impact of ABCB1 and CES1 Polymorphisms on Dabigatran Pharmacokinetics in Healthy Chinese Subjects","volume":"Volume 14","author":[{"family":"Liu","given":"Yue"},{"family":"Yang","given":"Chenguang"},{"family":"Qi","given":"Wenyuan"},{"family":"Pei","given":"Zuowei"},{"family":"Xue","given":"Wei"},{"family":"Zhu","given":"Huolan"},{"family":"Dong","given":"Min"},{"family":"Guo","given":"Ying"},{"family":"Cong","given":"Duanduan"},{"family":"Wang","given":"Fang"}],"issued":{"date-parts":[["2021",4]]}}}],"schema":"https://github.com/citation-style-language/schema/raw/master/csl-citation.json"} </w:instrText>
      </w:r>
      <w:r w:rsidR="00BC48C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[206]</w:t>
      </w:r>
      <w:r w:rsidR="00BC48CC">
        <w:rPr>
          <w:rFonts w:ascii="Times New Roman" w:hAnsi="Times New Roman" w:cs="Times New Roman"/>
          <w:sz w:val="28"/>
          <w:szCs w:val="28"/>
          <w:lang w:bidi="ar-SA"/>
        </w:rPr>
        <w:fldChar w:fldCharType="end"/>
      </w:r>
      <w:r w:rsidR="00BC48CC" w:rsidRPr="00BC48CC">
        <w:rPr>
          <w:rFonts w:ascii="Times New Roman" w:hAnsi="Times New Roman" w:cs="Times New Roman"/>
          <w:sz w:val="28"/>
          <w:szCs w:val="28"/>
          <w:lang w:bidi="ar-SA"/>
        </w:rPr>
        <w:t xml:space="preserve">. Полиморфизм </w:t>
      </w:r>
      <w:r w:rsidR="00BC48CC">
        <w:rPr>
          <w:rFonts w:ascii="Times New Roman" w:hAnsi="Times New Roman" w:cs="Times New Roman"/>
          <w:sz w:val="28"/>
          <w:szCs w:val="28"/>
          <w:lang w:val="en-US" w:bidi="ar-SA"/>
        </w:rPr>
        <w:t>CES</w:t>
      </w:r>
      <w:r w:rsidR="00BC48CC" w:rsidRPr="00BC48CC">
        <w:rPr>
          <w:rFonts w:ascii="Times New Roman" w:hAnsi="Times New Roman" w:cs="Times New Roman"/>
          <w:sz w:val="28"/>
          <w:szCs w:val="28"/>
          <w:lang w:bidi="ar-SA"/>
        </w:rPr>
        <w:t xml:space="preserve">1 </w:t>
      </w:r>
      <w:r w:rsidR="00BC48CC">
        <w:rPr>
          <w:rFonts w:ascii="Times New Roman" w:hAnsi="Times New Roman" w:cs="Times New Roman"/>
          <w:sz w:val="28"/>
          <w:szCs w:val="28"/>
          <w:lang w:val="en-US" w:bidi="ar-SA"/>
        </w:rPr>
        <w:t>rs</w:t>
      </w:r>
      <w:r w:rsidR="00BC48CC" w:rsidRPr="00BC48CC">
        <w:rPr>
          <w:rFonts w:ascii="Times New Roman" w:hAnsi="Times New Roman" w:cs="Times New Roman"/>
          <w:sz w:val="28"/>
          <w:szCs w:val="28"/>
          <w:lang w:bidi="ar-SA"/>
        </w:rPr>
        <w:t>8192935 был связан с изменениями пиковых уровней д</w:t>
      </w:r>
      <w:r w:rsidR="00BC48CC">
        <w:rPr>
          <w:rFonts w:ascii="Times New Roman" w:hAnsi="Times New Roman" w:cs="Times New Roman"/>
          <w:sz w:val="28"/>
          <w:szCs w:val="28"/>
          <w:lang w:bidi="ar-SA"/>
        </w:rPr>
        <w:t>абигатрана</w:t>
      </w:r>
      <w:r w:rsidR="00BC48C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{"citationID":"KWQVTPrn","properties":{"unsorted":false,"formattedCitation":"[206]","plainCitation":"[206]","noteIndex":0},"citationItems":[{"id":735,"uris":["http://zotero.org/users/14784094/items/BFIV9P2X"],"itemData":{"id":735,"type":"article-journal","abstract":"Dabigatran is a novel direct oral anticoagulant agent, whose plasma concentration is closely related to bleeding risk. Genetic polymorphisms can affect the level of plasma dabigatran. The purpose of this study was to understand the relationship between dabigatranrelated genes and the plasma level of dabigatran in healthy Chinese subjects after taking a single oral dose. This study was performed with a single-center, single-dose, randomized, open-label, and four-period crossover trial design under both fasting and fed conditions. A total of 106 eligible healthy subjects were enrolled in the study and 104 were genotyped. One-way analysis of variance (ANOVA) was used to compare pharmacokinetic parameters among different genotypes and linear regression was applied to explore the multiplicative interaction between variables. In this study, we found that the genotype frequencies of CES1 rs2244613 and CES1 rs8192935 were significantly different between Chinese and Caucasians, but the genotype frequencies of ABCB1 rs1045642 and ABCB1 rs4148738 were similar in both populations. CES1 rs8192935 were associated with the peak concentra­ tion of dabigatran. There was no significant gender difference in the exposure level of dabigatran. Furthermore, food significantly delayed the absorption of dabigatran but had little effect on Cmax and AUC0-∞.","container-title":"Pharmacogenomics and Personalized Medicine","DOI":"10.2147/PGPM.S291723","ISSN":"1178-7066","journalAbbreviation":"PGPM","language":"en","license":"http://creativecommons.org/licenses/by-nc/3.0/","page":"477-485","source":"DOI.org (Crossref)","title":"The Impact of ABCB1 and CES1 Polymorphisms on Dabigatran Pharmacokinetics in Healthy Chinese Subjects","volume":"Volume 14","author":[{"family":"Liu","given":"Yue"},{"family":"Yang","given":"Chenguang"},{"family":"Qi","given":"Wenyuan"},{"family":"Pei","given":"Zuowei"},{"family":"Xue","given":"Wei"},{"family":"Zhu","given":"Huolan"},{"family":"Dong","given":"Min"},{"family":"Guo","given":"Ying"},{"family":"Cong","given":"Duanduan"},{"family":"Wang","given":"Fang"}],"issued":{"date-parts":[["2021",4]]}}}],"schema":"https://github.com/citation-style-language/schema/raw/master/csl-citation.json"} </w:instrText>
      </w:r>
      <w:r w:rsidR="00BC48C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[206]</w:t>
      </w:r>
      <w:r w:rsidR="00BC48CC">
        <w:rPr>
          <w:rFonts w:ascii="Times New Roman" w:hAnsi="Times New Roman" w:cs="Times New Roman"/>
          <w:sz w:val="28"/>
          <w:szCs w:val="28"/>
          <w:lang w:bidi="ar-SA"/>
        </w:rPr>
        <w:fldChar w:fldCharType="end"/>
      </w:r>
      <w:r w:rsidR="00BC48CC" w:rsidRPr="00BC48CC">
        <w:rPr>
          <w:rFonts w:ascii="Times New Roman" w:hAnsi="Times New Roman" w:cs="Times New Roman"/>
          <w:sz w:val="28"/>
          <w:szCs w:val="28"/>
          <w:lang w:bidi="ar-SA"/>
        </w:rPr>
        <w:t>. Дополнительно в этом исследовании было отмечено, что прием пищи значимо замедляет всасывание</w:t>
      </w:r>
      <w:r w:rsidR="00BC48CC">
        <w:rPr>
          <w:rFonts w:ascii="Times New Roman" w:hAnsi="Times New Roman" w:cs="Times New Roman"/>
          <w:sz w:val="28"/>
          <w:szCs w:val="28"/>
          <w:lang w:bidi="ar-SA"/>
        </w:rPr>
        <w:t xml:space="preserve"> дабигатрана</w:t>
      </w:r>
      <w:r w:rsidR="00BC48C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{"citationID":"yZ1Vs9dQ","properties":{"unsorted":false,"formattedCitation":"[206]","plainCitation":"[206]","noteIndex":0},"citationItems":[{"id":735,"uris":["http://zotero.org/users/14784094/items/BFIV9P2X"],"itemData":{"id":735,"type":"article-journal","abstract":"Dabigatran is a novel direct oral anticoagulant agent, whose plasma concentration is closely related to bleeding risk. Genetic polymorphisms can affect the level of plasma dabigatran. The purpose of this study was to understand the relationship between dabigatranrelated genes and the plasma level of dabigatran in healthy Chinese subjects after taking a single oral dose. This study was performed with a single-center, single-dose, randomized, open-label, and four-period crossover trial design under both fasting and fed conditions. A total of 106 eligible healthy subjects were enrolled in the study and 104 were genotyped. One-way analysis of variance (ANOVA) was used to compare pharmacokinetic parameters among different genotypes and linear regression was applied to explore the multiplicative interaction between variables. In this study, we found that the genotype frequencies of CES1 rs2244613 and CES1 rs8192935 were significantly different between Chinese and Caucasians, but the genotype frequencies of ABCB1 rs1045642 and ABCB1 rs4148738 were similar in both populations. CES1 rs8192935 were associated with the peak concentra­ tion of dabigatran. There was no significant gender difference in the exposure level of dabigatran. Furthermore, food significantly delayed the absorption of dabigatran but had little effect on Cmax and AUC0-∞.","container-title":"Pharmacogenomics and Personalized Medicine","DOI":"10.2147/PGPM.S291723","ISSN":"1178-7066","journalAbbreviation":"PGPM","language":"en","license":"http://creativecommons.org/licenses/by-nc/3.0/","page":"477-485","source":"DOI.org (Crossref)","title":"The Impact of ABCB1 and CES1 Polymorphisms on Dabigatran Pharmacokinetics in Healthy Chinese Subjects","volume":"Volume 14","author":[{"family":"Liu","given":"Yue"},{"family":"Yang","given":"Chenguang"},{"family":"Qi","given":"Wenyuan"},{"family":"Pei","given":"Zuowei"},{"family":"Xue","given":"Wei"},{"family":"Zhu","given":"Huolan"},{"family":"Dong","given":"Min"},{"family":"Guo","given":"Ying"},{"family":"Cong","given":"Duanduan"},{"family":"Wang","given":"Fang"}],"issued":{"date-parts":[["2021",4]]}}}],"schema":"https://github.com/citation-style-language/schema/raw/master/csl-citation.json"} </w:instrText>
      </w:r>
      <w:r w:rsidR="00BC48C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[206]</w:t>
      </w:r>
      <w:r w:rsidR="00BC48CC">
        <w:rPr>
          <w:rFonts w:ascii="Times New Roman" w:hAnsi="Times New Roman" w:cs="Times New Roman"/>
          <w:sz w:val="28"/>
          <w:szCs w:val="28"/>
          <w:lang w:bidi="ar-SA"/>
        </w:rPr>
        <w:fldChar w:fldCharType="end"/>
      </w:r>
      <w:r w:rsidR="00BC48CC" w:rsidRPr="00D137D9">
        <w:rPr>
          <w:rFonts w:ascii="Times New Roman" w:hAnsi="Times New Roman" w:cs="Times New Roman"/>
          <w:sz w:val="28"/>
          <w:szCs w:val="28"/>
          <w:lang w:bidi="ar-SA"/>
        </w:rPr>
        <w:t>.</w:t>
      </w:r>
    </w:p>
    <w:p w14:paraId="780550A4" w14:textId="77777777" w:rsidR="00BC48CC" w:rsidRPr="00D137D9" w:rsidRDefault="00BC48CC" w:rsidP="008D7CBD">
      <w:pPr>
        <w:pStyle w:val="LO-normal"/>
        <w:spacing w:after="0" w:line="240" w:lineRule="auto"/>
        <w:ind w:firstLine="567"/>
        <w:jc w:val="both"/>
        <w:rPr>
          <w:rFonts w:ascii="Times New Roman" w:hAnsi="Times New Roman" w:cs="Times New Roman"/>
          <w:sz w:val="28"/>
          <w:szCs w:val="28"/>
          <w:lang w:bidi="ar-SA"/>
        </w:rPr>
      </w:pPr>
    </w:p>
    <w:p w14:paraId="63608717" w14:textId="3B773EC9" w:rsidR="00BC48CC" w:rsidRPr="00BC48CC" w:rsidRDefault="00BC48CC" w:rsidP="008D7CBD">
      <w:pPr>
        <w:pStyle w:val="LO-normal"/>
        <w:spacing w:after="0" w:line="240" w:lineRule="auto"/>
        <w:ind w:firstLine="567"/>
        <w:jc w:val="both"/>
        <w:rPr>
          <w:rFonts w:ascii="Times New Roman" w:hAnsi="Times New Roman" w:cs="Times New Roman"/>
          <w:b/>
          <w:bCs/>
          <w:sz w:val="28"/>
          <w:szCs w:val="28"/>
          <w:lang w:bidi="ar-SA"/>
        </w:rPr>
      </w:pPr>
      <w:r w:rsidRPr="00BC48CC">
        <w:rPr>
          <w:rFonts w:ascii="Times New Roman" w:hAnsi="Times New Roman" w:cs="Times New Roman"/>
          <w:b/>
          <w:bCs/>
          <w:sz w:val="28"/>
          <w:szCs w:val="28"/>
          <w:lang w:bidi="ar-SA"/>
        </w:rPr>
        <w:t>1.5 Приверженность к терапии ПОАК и ее клиническое значение</w:t>
      </w:r>
    </w:p>
    <w:p w14:paraId="04DBA219" w14:textId="255A8119" w:rsidR="009F0877" w:rsidRDefault="00BC48CC" w:rsidP="008D7CBD">
      <w:pPr>
        <w:pStyle w:val="LO-normal"/>
        <w:spacing w:after="0" w:line="240" w:lineRule="auto"/>
        <w:ind w:firstLine="567"/>
        <w:jc w:val="both"/>
        <w:rPr>
          <w:rFonts w:ascii="Times New Roman" w:hAnsi="Times New Roman" w:cs="Times New Roman"/>
          <w:sz w:val="28"/>
          <w:szCs w:val="28"/>
          <w:lang w:bidi="ar-SA"/>
        </w:rPr>
      </w:pPr>
      <w:r w:rsidRPr="00BC48CC">
        <w:rPr>
          <w:rFonts w:ascii="Times New Roman" w:hAnsi="Times New Roman" w:cs="Times New Roman"/>
          <w:sz w:val="28"/>
          <w:szCs w:val="28"/>
          <w:lang w:bidi="ar-SA"/>
        </w:rPr>
        <w:t>Прямые пероральные антикоагулянты кардинально изменили подход к антикоагулянтной терапии. Их ключевые преимущества</w:t>
      </w:r>
      <w:r>
        <w:rPr>
          <w:rFonts w:ascii="Times New Roman" w:hAnsi="Times New Roman" w:cs="Times New Roman"/>
          <w:sz w:val="28"/>
          <w:szCs w:val="28"/>
          <w:lang w:bidi="ar-SA"/>
        </w:rPr>
        <w:t xml:space="preserve">, </w:t>
      </w:r>
      <w:r w:rsidRPr="00BC48CC">
        <w:rPr>
          <w:rFonts w:ascii="Times New Roman" w:hAnsi="Times New Roman" w:cs="Times New Roman"/>
          <w:sz w:val="28"/>
          <w:szCs w:val="28"/>
          <w:lang w:bidi="ar-SA"/>
        </w:rPr>
        <w:t>отмеченные в исследованиях</w:t>
      </w:r>
      <w:r>
        <w:rPr>
          <w:rFonts w:ascii="Times New Roman" w:hAnsi="Times New Roman" w:cs="Times New Roman"/>
          <w:sz w:val="28"/>
          <w:szCs w:val="28"/>
          <w:lang w:bidi="ar-SA"/>
        </w:rPr>
        <w:t xml:space="preserve">, </w:t>
      </w:r>
      <w:r w:rsidRPr="00BC48CC">
        <w:rPr>
          <w:rFonts w:ascii="Times New Roman" w:hAnsi="Times New Roman" w:cs="Times New Roman"/>
          <w:sz w:val="28"/>
          <w:szCs w:val="28"/>
          <w:lang w:bidi="ar-SA"/>
        </w:rPr>
        <w:t>включают фиксированную дозировку, отсутствие необходимости в регулярном мониторинге</w:t>
      </w:r>
      <w:r>
        <w:rPr>
          <w:rFonts w:ascii="Times New Roman" w:hAnsi="Times New Roman" w:cs="Times New Roman"/>
          <w:sz w:val="28"/>
          <w:szCs w:val="28"/>
          <w:lang w:bidi="ar-SA"/>
        </w:rPr>
        <w:t xml:space="preserve"> МНО, </w:t>
      </w:r>
      <w:r w:rsidRPr="00BC48CC">
        <w:rPr>
          <w:rFonts w:ascii="Times New Roman" w:hAnsi="Times New Roman" w:cs="Times New Roman"/>
          <w:sz w:val="28"/>
          <w:szCs w:val="28"/>
          <w:lang w:bidi="ar-SA"/>
        </w:rPr>
        <w:t xml:space="preserve">минимальные пищевые взаимодействия и сниженный риск значимых лекарственных взаимодействий по сравнению с антагонистами витамина </w:t>
      </w:r>
      <w:r>
        <w:rPr>
          <w:rFonts w:ascii="Times New Roman" w:hAnsi="Times New Roman" w:cs="Times New Roman"/>
          <w:sz w:val="28"/>
          <w:szCs w:val="28"/>
          <w:lang w:bidi="ar-SA"/>
        </w:rPr>
        <w:t>К (</w:t>
      </w:r>
      <w:r w:rsidRPr="00BC48CC">
        <w:rPr>
          <w:rFonts w:ascii="Times New Roman" w:hAnsi="Times New Roman" w:cs="Times New Roman"/>
          <w:sz w:val="28"/>
          <w:szCs w:val="28"/>
          <w:lang w:bidi="ar-SA"/>
        </w:rPr>
        <w:t>например, варфарином</w:t>
      </w:r>
      <w:r>
        <w:rPr>
          <w:rFonts w:ascii="Times New Roman" w:hAnsi="Times New Roman" w:cs="Times New Roman"/>
          <w:sz w:val="28"/>
          <w:szCs w:val="28"/>
          <w:lang w:bidi="ar-SA"/>
        </w:rPr>
        <w:t>)</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{"citationID":"UjR80BGA","properties":{"unsorted":false,"formattedCitation":"[14]","plainCitation":"[14]","noteIndex":0},"citationItems":[{"id":248,"uris":["http://zotero.org/users/14784094/items/3QLQY7JC"],"itemData":{"id":248,"type":"article-journal","abstract":"Direct oral anticoagulants (DOAC) have shown an upward prescribing trend in recent years due to favorable pharmacokinetics and pharmacodynamics without requirement for routine coagulation monitoring. However, recent studies have documented inter-individual variability in plasma drug levels of DOACs. Pharmacogenomics of DOACs is a relatively new area of research. There is a need to understand the role of pharmacogenomics in the interpatient variability of the four most commonly prescribed DOACs, namely dabigatran, rivaroxaban, apixaban, and edoxaban. We performed an extensive search of recently published research articles including clinical trials and in-vitro studies in PubMed, particularly those focusing on genetic loci, single nucleotide polymorphisms (SNPs), and DNA polymorphisms, and their effect on inter-individual variation of DOACs. Additionally, we also focused on commonly associated drug-drug interactions of DOACs. CES1 and ABCB1 SNPs are the most common documented genetic variants that contribute to alteration in peak and trough levels of dabigatran with demonstrated clinical impact. ABCB1 SNPs are implicated in alteration of plasma drug levels of rivaroxaban and apixaban. Studies conducted with factor Xa, ABCB1, SLCOB1, CYP2C9, and VKORC1 genetic variants did not reveal any significant association with plasma drug levels of edoxaban. Pharmacokinetic drug-drug interactions of dabigatran are mainly mediated by p-glycoprotein. Strong inhibitors and inducers of CYP3A4 and p-glycoprotein should be avoided in patients treated with rivaroxaban, apixaban, and edoxaban. We conclude that some of the inter-individual variability of DOACs can be attributed to alteration of genetic variants of gene loci and drug-drug interactions. Future research should be focused on exploring new genetic variants, their effect, and molecular mechanisms that contribute to alteration of plasma levels of DOACs.","container-title":"Journal of Personalized Medicine","DOI":"10.3390/jpm9010007","ISSN":"2075-4426","issue":"1","journalAbbreviation":"J Pers Med","language":"eng","page":"7","PMID":"30658513","PMCID":"PMC6463033","source":"PubMed","title":"Pharmacogenomics of Novel Direct Oral Anticoagulants: Newly Identified Genes and Genetic Variants","title-short":"Pharmacogenomics of Novel Direct Oral Anticoagulants","volume":"9","author":[{"family":"Kanuri","given":"Sri H."},{"family":"Kreutz","given":"Rolf P."}],"issued":{"date-parts":[["2019",1,17]]}}}],"schema":"https://github.com/citation-style-language/schema/raw/master/csl-citation.json"}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w:t>
      </w:r>
      <w:r>
        <w:rPr>
          <w:rFonts w:ascii="Times New Roman" w:hAnsi="Times New Roman" w:cs="Times New Roman"/>
          <w:sz w:val="28"/>
          <w:szCs w:val="28"/>
          <w:lang w:bidi="ar-SA"/>
        </w:rPr>
        <w:fldChar w:fldCharType="end"/>
      </w:r>
      <w:r w:rsidRPr="00BC48CC">
        <w:rPr>
          <w:rFonts w:ascii="Times New Roman" w:hAnsi="Times New Roman" w:cs="Times New Roman"/>
          <w:sz w:val="28"/>
          <w:szCs w:val="28"/>
          <w:lang w:bidi="ar-SA"/>
        </w:rPr>
        <w:t>. Эти характеристики существенно упрощают длительную терапию для пациентов</w:t>
      </w:r>
      <w:r w:rsidR="007804B9" w:rsidRPr="007804B9">
        <w:rPr>
          <w:rFonts w:ascii="Times New Roman" w:hAnsi="Times New Roman" w:cs="Times New Roman"/>
          <w:sz w:val="28"/>
          <w:szCs w:val="28"/>
          <w:lang w:bidi="ar-SA"/>
        </w:rPr>
        <w:t xml:space="preserve"> с фибрилляцией </w:t>
      </w:r>
      <w:r w:rsidR="007804B9">
        <w:rPr>
          <w:rFonts w:ascii="Times New Roman" w:hAnsi="Times New Roman" w:cs="Times New Roman"/>
          <w:sz w:val="28"/>
          <w:szCs w:val="28"/>
          <w:lang w:bidi="ar-SA"/>
        </w:rPr>
        <w:t>предсердий</w:t>
      </w:r>
      <w:r w:rsidR="007804B9" w:rsidRPr="007804B9">
        <w:rPr>
          <w:rFonts w:ascii="Times New Roman" w:hAnsi="Times New Roman" w:cs="Times New Roman"/>
          <w:sz w:val="28"/>
          <w:szCs w:val="28"/>
          <w:lang w:bidi="ar-SA"/>
        </w:rPr>
        <w:t xml:space="preserve"> и другими состояниями</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требующими антикоагуля</w:t>
      </w:r>
      <w:r w:rsidR="007804B9">
        <w:rPr>
          <w:rFonts w:ascii="Times New Roman" w:hAnsi="Times New Roman" w:cs="Times New Roman"/>
          <w:sz w:val="28"/>
          <w:szCs w:val="28"/>
          <w:lang w:bidi="ar-SA"/>
        </w:rPr>
        <w:t>ции</w:t>
      </w:r>
      <w:r w:rsidR="007804B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{"citationID":"sfKfey2k","properties":{"unsorted":false,"formattedCitation":"[211]","plainCitation":"[211]","noteIndex":0},"citationItems":[{"id":400,"uris":["http://zotero.org/users/14784094/items/TLI5CCHE"],"itemData":{"id":400,"type":"article-journal","abstract":"Data regarding adherence and minor bleeding on direct oral anticoagulants in everyday life are still sparse. Inclusion criteria: treatment initiated with dabigatran, rivaroxaban or apixaban in non-valvular atrial fibrillation patients from a center in northern Sweden between 2011 and 2019 (n = 668). Exclusion criteria: cognitive impairment, dose dispensing, need of interpreter or hospital admission (n = 67). By a telephone interview adherence was measured in 569 patients (response rate 94.8%) using the 8-item Morisky medication adherence scale and minor bleeding was asked for. CHA2DS2-VASc and HAS-BLED scores were collected from medical records. The number (n), mean age, mean treatment duration, mean (points) CHA2DS2-VASc and HAS-BLED scores was with dabigatran (n = 175, 73.3 years, 17.8 months, 3.6 p and 2.2 p), rivaroxaban (n = 198, 73.7 years, 21months, 3.8 p and 2.1 p) and apixaban (n = 196, 72.7 years, 15.2 months, 3.4 p and 2.1 p). Adherence was high for dabigatran, rivaroxaban and apixaban in 54%, 76% and 53%; intermediate in 37%, 20% and 37% or low in 9%, 4% and 10% respectively. High adherence (Morisky score 8) distinguished rivaroxaban (p &lt; 0.0001) and in patients with CHA2DS2-VASc ≥ 4 p, (p &lt; 0.0001). Patients on rivaroxaban/apixaban reported more minor bleedings (37% / 28%) compared to dabigatran (13%), (p &lt; 0.001). Only 61% of the patients followed prescription. Adherence to rivaroxaban was significantly better, maybe due to the once daily dosing regimen, and furthermore among patients with higher risk for stroke. Minor bleedings were less common in the dabigatran group. The impact of minor bleedings on adherence and a possible relationship to clinical outcomes need to be further studied.","container-title":"Journal of Thrombosis and Thrombolysis","DOI":"10.1007/s11239-023-02797-8","ISSN":"0929-5305","issue":"1","journalAbbreviation":"J Thromb Thrombolysis","page":"55-64","PMID":"37119356","PMCID":"PMC10284977","source":"PubMed Central","title":"Direct oral anticoagulants: patient reported adherence and minor bleedings","title-short":"Direct oral anticoagulants","volume":"56","author":[{"family":"Hayat","given":"Amina"},{"family":"Själander","given":"Anders"},{"family":"Wallvik","given":"Jonas"}],"issued":{"date-parts":[["2023"]]}}}],"schema":"https://github.com/citation-style-language/schema/raw/master/csl-citation.json"} </w:instrText>
      </w:r>
      <w:r w:rsidR="007804B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[211]</w:t>
      </w:r>
      <w:r w:rsidR="007804B9">
        <w:rPr>
          <w:rFonts w:ascii="Times New Roman" w:hAnsi="Times New Roman" w:cs="Times New Roman"/>
          <w:sz w:val="28"/>
          <w:szCs w:val="28"/>
          <w:lang w:bidi="ar-SA"/>
        </w:rPr>
        <w:fldChar w:fldCharType="end"/>
      </w:r>
      <w:r w:rsidR="007804B9" w:rsidRPr="007804B9">
        <w:rPr>
          <w:rFonts w:ascii="Times New Roman" w:hAnsi="Times New Roman" w:cs="Times New Roman"/>
          <w:sz w:val="28"/>
          <w:szCs w:val="28"/>
          <w:lang w:bidi="ar-SA"/>
        </w:rPr>
        <w:t xml:space="preserve">. Однако важнейшей особенностью </w:t>
      </w:r>
      <w:r w:rsidR="007804B9">
        <w:rPr>
          <w:rFonts w:ascii="Times New Roman" w:hAnsi="Times New Roman" w:cs="Times New Roman"/>
          <w:sz w:val="28"/>
          <w:szCs w:val="28"/>
          <w:lang w:bidi="ar-SA"/>
        </w:rPr>
        <w:t xml:space="preserve">ПОАК, </w:t>
      </w:r>
      <w:r w:rsidR="007804B9" w:rsidRPr="007804B9">
        <w:rPr>
          <w:rFonts w:ascii="Times New Roman" w:hAnsi="Times New Roman" w:cs="Times New Roman"/>
          <w:sz w:val="28"/>
          <w:szCs w:val="28"/>
          <w:lang w:bidi="ar-SA"/>
        </w:rPr>
        <w:t>напрямую влияющ</w:t>
      </w:r>
      <w:r w:rsidR="007804B9">
        <w:rPr>
          <w:rFonts w:ascii="Times New Roman" w:hAnsi="Times New Roman" w:cs="Times New Roman"/>
          <w:sz w:val="28"/>
          <w:szCs w:val="28"/>
          <w:lang w:bidi="ar-SA"/>
        </w:rPr>
        <w:t>е</w:t>
      </w:r>
      <w:r w:rsidR="007804B9" w:rsidRPr="007804B9">
        <w:rPr>
          <w:rFonts w:ascii="Times New Roman" w:hAnsi="Times New Roman" w:cs="Times New Roman"/>
          <w:sz w:val="28"/>
          <w:szCs w:val="28"/>
          <w:lang w:bidi="ar-SA"/>
        </w:rPr>
        <w:t>й на их эффективность и безопасность</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является относительно короткий период полувыведения</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Хотя это свойство полезно с точки зрения быстрого прекращения действия при кровотечениях, оно делает терапию крайне чувствительной к пропускам доз</w:t>
      </w:r>
      <w:r w:rsidR="007804B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{"citationID":"7FZi44Nm","properties":{"unsorted":false,"formattedCitation":"[211]","plainCitation":"[211]","noteIndex":0},"citationItems":[{"id":400,"uris":["http://zotero.org/users/14784094/items/TLI5CCHE"],"itemData":{"id":400,"type":"article-journal","abstract":"Data regarding adherence and minor bleeding on direct oral anticoagulants in everyday life are still sparse. Inclusion criteria: treatment initiated with dabigatran, rivaroxaban or apixaban in non-valvular atrial fibrillation patients from a center in northern Sweden between 2011 and 2019 (n = 668). Exclusion criteria: cognitive impairment, dose dispensing, need of interpreter or hospital admission (n = 67). By a telephone interview adherence was measured in 569 patients (response rate 94.8%) using the 8-item Morisky medication adherence scale and minor bleeding was asked for. CHA2DS2-VASc and HAS-BLED scores were collected from medical records. The number (n), mean age, mean treatment duration, mean (points) CHA2DS2-VASc and HAS-BLED scores was with dabigatran (n = 175, 73.3 years, 17.8 months, 3.6 p and 2.2 p), rivaroxaban (n = 198, 73.7 years, 21months, 3.8 p and 2.1 p) and apixaban (n = 196, 72.7 years, 15.2 months, 3.4 p and 2.1 p). Adherence was high for dabigatran, rivaroxaban and apixaban in 54%, 76% and 53%; intermediate in 37%, 20% and 37% or low in 9%, 4% and 10% respectively. High adherence (Morisky score 8) distinguished rivaroxaban (p &lt; 0.0001) and in patients with CHA2DS2-VASc ≥ 4 p, (p &lt; 0.0001). Patients on rivaroxaban/apixaban reported more minor bleedings (37% / 28%) compared to dabigatran (13%), (p &lt; 0.001). Only 61% of the patients followed prescription. Adherence to rivaroxaban was significantly better, maybe due to the once daily dosing regimen, and furthermore among patients with higher risk for stroke. Minor bleedings were less common in the dabigatran group. The impact of minor bleedings on adherence and a possible relationship to clinical outcomes need to be further studied.","container-title":"Journal of Thrombosis and Thrombolysis","DOI":"10.1007/s11239-023-02797-8","ISSN":"0929-5305","issue":"1","journalAbbreviation":"J Thromb Thrombolysis","page":"55-64","PMID":"37119356","PMCID":"PMC10284977","source":"PubMed Central","title":"Direct oral anticoagulants: patient reported adherence and minor bleedings","title-short":"Direct oral anticoagulants","volume":"56","author":[{"family":"Hayat","given":"Amina"},{"family":"Själander","given":"Anders"},{"family":"Wallvik","given":"Jonas"}],"issued":{"date-parts":[["2023"]]}}}],"schema":"https://github.com/citation-style-language/schema/raw/master/csl-citation.json"} </w:instrText>
      </w:r>
      <w:r w:rsidR="007804B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[211]</w:t>
      </w:r>
      <w:r w:rsidR="007804B9">
        <w:rPr>
          <w:rFonts w:ascii="Times New Roman" w:hAnsi="Times New Roman" w:cs="Times New Roman"/>
          <w:sz w:val="28"/>
          <w:szCs w:val="28"/>
          <w:lang w:bidi="ar-SA"/>
        </w:rPr>
        <w:fldChar w:fldCharType="end"/>
      </w:r>
      <w:r w:rsidR="007804B9" w:rsidRPr="007804B9">
        <w:rPr>
          <w:rFonts w:ascii="Times New Roman" w:hAnsi="Times New Roman" w:cs="Times New Roman"/>
          <w:sz w:val="28"/>
          <w:szCs w:val="28"/>
          <w:lang w:bidi="ar-SA"/>
        </w:rPr>
        <w:t xml:space="preserve">. Пропущенные дозы </w:t>
      </w:r>
      <w:r w:rsidR="007804B9">
        <w:rPr>
          <w:rFonts w:ascii="Times New Roman" w:hAnsi="Times New Roman" w:cs="Times New Roman"/>
          <w:sz w:val="28"/>
          <w:szCs w:val="28"/>
          <w:lang w:bidi="ar-SA"/>
        </w:rPr>
        <w:t xml:space="preserve">ПОАК </w:t>
      </w:r>
      <w:r w:rsidR="007804B9" w:rsidRPr="007804B9">
        <w:rPr>
          <w:rFonts w:ascii="Times New Roman" w:hAnsi="Times New Roman" w:cs="Times New Roman"/>
          <w:sz w:val="28"/>
          <w:szCs w:val="28"/>
          <w:lang w:bidi="ar-SA"/>
        </w:rPr>
        <w:t>подвергают пациентам значительно большему риску развития венозных и артериальных тромбоэмболических осложнений</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таких как инсульт или системная эмболия</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Это создает парадоксальную ситуацию</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препараты</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призванные упростить лечение</w:t>
      </w:r>
      <w:r w:rsidR="007804B9">
        <w:rPr>
          <w:rFonts w:ascii="Times New Roman" w:hAnsi="Times New Roman" w:cs="Times New Roman"/>
          <w:sz w:val="28"/>
          <w:szCs w:val="28"/>
          <w:lang w:bidi="ar-SA"/>
        </w:rPr>
        <w:t xml:space="preserve">, </w:t>
      </w:r>
      <w:r w:rsidR="007804B9" w:rsidRPr="007804B9">
        <w:rPr>
          <w:rFonts w:ascii="Times New Roman" w:hAnsi="Times New Roman" w:cs="Times New Roman"/>
          <w:sz w:val="28"/>
          <w:szCs w:val="28"/>
          <w:lang w:bidi="ar-SA"/>
        </w:rPr>
        <w:t>требуют исключительной дисциплины от пациента для достижения клинического эффекта</w:t>
      </w:r>
      <w:r w:rsidR="007804B9">
        <w:rPr>
          <w:rFonts w:ascii="Times New Roman" w:hAnsi="Times New Roman" w:cs="Times New Roman"/>
          <w:sz w:val="28"/>
          <w:szCs w:val="28"/>
          <w:lang w:bidi="ar-SA"/>
        </w:rPr>
        <w:t xml:space="preserve">. </w:t>
      </w:r>
    </w:p>
    <w:p w14:paraId="77C87476" w14:textId="11F36550" w:rsidR="007804B9" w:rsidRPr="00D137D9" w:rsidRDefault="007804B9" w:rsidP="0027325F">
      <w:pPr>
        <w:pStyle w:val="LO-normal"/>
        <w:spacing w:after="0" w:line="240" w:lineRule="auto"/>
        <w:ind w:firstLine="567"/>
        <w:jc w:val="both"/>
        <w:rPr>
          <w:rFonts w:ascii="Times New Roman" w:hAnsi="Times New Roman" w:cs="Times New Roman"/>
          <w:sz w:val="28"/>
          <w:szCs w:val="28"/>
          <w:lang w:bidi="ar-SA"/>
        </w:rPr>
      </w:pPr>
      <w:r w:rsidRPr="007804B9">
        <w:rPr>
          <w:rFonts w:ascii="Times New Roman" w:hAnsi="Times New Roman" w:cs="Times New Roman"/>
          <w:sz w:val="28"/>
          <w:szCs w:val="28"/>
          <w:lang w:bidi="ar-SA"/>
        </w:rPr>
        <w:t>Оценка приверженности</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комплаенса</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к терапии</w:t>
      </w:r>
      <w:r>
        <w:rPr>
          <w:rFonts w:ascii="Times New Roman" w:hAnsi="Times New Roman" w:cs="Times New Roman"/>
          <w:sz w:val="28"/>
          <w:szCs w:val="28"/>
          <w:lang w:bidi="ar-SA"/>
        </w:rPr>
        <w:t xml:space="preserve"> ПОАК </w:t>
      </w:r>
      <w:r w:rsidRPr="007804B9">
        <w:rPr>
          <w:rFonts w:ascii="Times New Roman" w:hAnsi="Times New Roman" w:cs="Times New Roman"/>
          <w:sz w:val="28"/>
          <w:szCs w:val="28"/>
          <w:lang w:bidi="ar-SA"/>
        </w:rPr>
        <w:t>является сложной задачей</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но критически важн</w:t>
      </w:r>
      <w:r>
        <w:rPr>
          <w:rFonts w:ascii="Times New Roman" w:hAnsi="Times New Roman" w:cs="Times New Roman"/>
          <w:sz w:val="28"/>
          <w:szCs w:val="28"/>
          <w:lang w:bidi="ar-SA"/>
        </w:rPr>
        <w:t>о</w:t>
      </w:r>
      <w:r w:rsidRPr="007804B9">
        <w:rPr>
          <w:rFonts w:ascii="Times New Roman" w:hAnsi="Times New Roman" w:cs="Times New Roman"/>
          <w:sz w:val="28"/>
          <w:szCs w:val="28"/>
          <w:lang w:bidi="ar-SA"/>
        </w:rPr>
        <w:t>й для прогнозирования исходов</w:t>
      </w:r>
      <w:r>
        <w:rPr>
          <w:rFonts w:ascii="Times New Roman" w:hAnsi="Times New Roman" w:cs="Times New Roman"/>
          <w:sz w:val="28"/>
          <w:szCs w:val="28"/>
          <w:lang w:bidi="ar-SA"/>
        </w:rPr>
        <w:t>. Ее</w:t>
      </w:r>
      <w:r w:rsidRPr="007804B9">
        <w:rPr>
          <w:rFonts w:ascii="Times New Roman" w:hAnsi="Times New Roman" w:cs="Times New Roman"/>
          <w:sz w:val="28"/>
          <w:szCs w:val="28"/>
          <w:lang w:bidi="ar-SA"/>
        </w:rPr>
        <w:t xml:space="preserve"> можно измерить с помощью как объективных</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например</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данные аптечных рецептов</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электронные системы мониторинга приема</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 xml:space="preserve">так </w:t>
      </w:r>
      <w:r>
        <w:rPr>
          <w:rFonts w:ascii="Times New Roman" w:hAnsi="Times New Roman" w:cs="Times New Roman"/>
          <w:sz w:val="28"/>
          <w:szCs w:val="28"/>
          <w:lang w:bidi="ar-SA"/>
        </w:rPr>
        <w:t xml:space="preserve">и </w:t>
      </w:r>
      <w:r w:rsidRPr="007804B9">
        <w:rPr>
          <w:rFonts w:ascii="Times New Roman" w:hAnsi="Times New Roman" w:cs="Times New Roman"/>
          <w:sz w:val="28"/>
          <w:szCs w:val="28"/>
          <w:lang w:bidi="ar-SA"/>
        </w:rPr>
        <w:t>субъективных методов</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опросники</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само</w:t>
      </w:r>
      <w:r>
        <w:rPr>
          <w:rFonts w:ascii="Times New Roman" w:hAnsi="Times New Roman" w:cs="Times New Roman"/>
          <w:sz w:val="28"/>
          <w:szCs w:val="28"/>
          <w:lang w:bidi="ar-SA"/>
        </w:rPr>
        <w:t xml:space="preserve">отчеты </w:t>
      </w:r>
      <w:r w:rsidRPr="007804B9">
        <w:rPr>
          <w:rFonts w:ascii="Times New Roman" w:hAnsi="Times New Roman" w:cs="Times New Roman"/>
          <w:sz w:val="28"/>
          <w:szCs w:val="28"/>
          <w:lang w:bidi="ar-SA"/>
        </w:rPr>
        <w:t>пациентов</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Крупный мета</w:t>
      </w:r>
      <w:r>
        <w:rPr>
          <w:rFonts w:ascii="Times New Roman" w:hAnsi="Times New Roman" w:cs="Times New Roman"/>
          <w:sz w:val="28"/>
          <w:szCs w:val="28"/>
          <w:lang w:bidi="ar-SA"/>
        </w:rPr>
        <w:t>-</w:t>
      </w:r>
      <w:r w:rsidRPr="007804B9">
        <w:rPr>
          <w:rFonts w:ascii="Times New Roman" w:hAnsi="Times New Roman" w:cs="Times New Roman"/>
          <w:sz w:val="28"/>
          <w:szCs w:val="28"/>
          <w:lang w:bidi="ar-SA"/>
        </w:rPr>
        <w:t>анализ</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объединивши</w:t>
      </w:r>
      <w:r>
        <w:rPr>
          <w:rFonts w:ascii="Times New Roman" w:hAnsi="Times New Roman" w:cs="Times New Roman"/>
          <w:sz w:val="28"/>
          <w:szCs w:val="28"/>
          <w:lang w:bidi="ar-SA"/>
        </w:rPr>
        <w:t>й</w:t>
      </w:r>
      <w:r w:rsidRPr="007804B9">
        <w:rPr>
          <w:rFonts w:ascii="Times New Roman" w:hAnsi="Times New Roman" w:cs="Times New Roman"/>
          <w:sz w:val="28"/>
          <w:szCs w:val="28"/>
          <w:lang w:bidi="ar-SA"/>
        </w:rPr>
        <w:t xml:space="preserve"> данные 48 исследований</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предоставил глобальную оценку ситуации</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средний уровень приверженности</w:t>
      </w:r>
      <w:r>
        <w:rPr>
          <w:rFonts w:ascii="Times New Roman" w:hAnsi="Times New Roman" w:cs="Times New Roman"/>
          <w:sz w:val="28"/>
          <w:szCs w:val="28"/>
          <w:lang w:bidi="ar-SA"/>
        </w:rPr>
        <w:t xml:space="preserve">, </w:t>
      </w:r>
      <w:r w:rsidRPr="007804B9">
        <w:rPr>
          <w:rFonts w:ascii="Times New Roman" w:hAnsi="Times New Roman" w:cs="Times New Roman"/>
          <w:sz w:val="28"/>
          <w:szCs w:val="28"/>
          <w:lang w:bidi="ar-SA"/>
        </w:rPr>
        <w:t>определяемый как доля пациентов с показателем</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PDC</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Proportion</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of</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Days</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Covered</w:t>
      </w:r>
      <w:r w:rsidRPr="007804B9">
        <w:rPr>
          <w:rFonts w:ascii="Times New Roman" w:hAnsi="Times New Roman" w:cs="Times New Roman"/>
          <w:sz w:val="28"/>
          <w:szCs w:val="28"/>
          <w:lang w:bidi="ar-SA"/>
        </w:rPr>
        <w:t xml:space="preserve">) или </w:t>
      </w:r>
      <w:r>
        <w:rPr>
          <w:rFonts w:ascii="Times New Roman" w:hAnsi="Times New Roman" w:cs="Times New Roman"/>
          <w:sz w:val="28"/>
          <w:szCs w:val="28"/>
          <w:lang w:val="en-US" w:bidi="ar-SA"/>
        </w:rPr>
        <w:t>MPR</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Medication</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Possession</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Ratio</w:t>
      </w:r>
      <w:r w:rsidRPr="007804B9">
        <w:rPr>
          <w:rFonts w:ascii="Times New Roman" w:hAnsi="Times New Roman" w:cs="Times New Roman"/>
          <w:sz w:val="28"/>
          <w:szCs w:val="28"/>
          <w:lang w:bidi="ar-SA"/>
        </w:rPr>
        <w:t xml:space="preserve">) </w:t>
      </w:r>
      <w:r>
        <w:rPr>
          <w:rFonts w:ascii="Times New Roman" w:hAnsi="Times New Roman" w:cs="Times New Roman"/>
          <w:sz w:val="28"/>
          <w:szCs w:val="28"/>
          <w:lang w:bidi="ar-SA"/>
        </w:rPr>
        <w:sym w:font="Symbol" w:char="F0B3"/>
      </w:r>
      <w:r w:rsidRPr="007804B9">
        <w:rPr>
          <w:rFonts w:ascii="Times New Roman" w:hAnsi="Times New Roman" w:cs="Times New Roman"/>
          <w:sz w:val="28"/>
          <w:szCs w:val="28"/>
          <w:lang w:bidi="ar-SA"/>
        </w:rPr>
        <w:t xml:space="preserve">80%, </w:t>
      </w:r>
      <w:r>
        <w:rPr>
          <w:rFonts w:ascii="Times New Roman" w:hAnsi="Times New Roman" w:cs="Times New Roman"/>
          <w:sz w:val="28"/>
          <w:szCs w:val="28"/>
          <w:lang w:bidi="ar-SA"/>
        </w:rPr>
        <w:t>с</w:t>
      </w:r>
      <w:r w:rsidRPr="007804B9">
        <w:rPr>
          <w:rFonts w:ascii="Times New Roman" w:hAnsi="Times New Roman" w:cs="Times New Roman"/>
          <w:sz w:val="28"/>
          <w:szCs w:val="28"/>
          <w:lang w:bidi="ar-SA"/>
        </w:rPr>
        <w:t>оставил лишь 68</w:t>
      </w:r>
      <w:r>
        <w:rPr>
          <w:rFonts w:ascii="Times New Roman" w:hAnsi="Times New Roman" w:cs="Times New Roman"/>
          <w:sz w:val="28"/>
          <w:szCs w:val="28"/>
          <w:lang w:bidi="ar-SA"/>
        </w:rPr>
        <w:t>% (95% ДИ: 62-74%)</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6n0Q4CKJ","properties":{"unsorted":false,"formattedCitation":"[212]","plainCitation":"[212]","noteIndex":0},"citationItems":[{"id":432,"uris":["http://zotero.org/users/14784094/items/RAS7QSH6"],"itemData":{"id":432,"type":"article-journal","abstract":"Background\nTwice-daily dosing of non-vitamin K antagonist oral anticoagulants (NOACs) may reduce drug adherence compared with once-daily dosing of NOACs in patients with atrial fibrillation (AF), thus worsening clinical outcomes. We evaluated adherence to apixaban and dabigatran requiring twice-daily dosing compared with edoxaban or rivaroxaban with a once-daily dosing regimen and the subsequent clinical outcomes in patients with AF.\n\nMethods\nAdherence to each NOAC and outcomes were compared between patients who were diagnosed with AF and initiated NOACs between 2016 and 2017 using Korean claims data. High adherence was defined as the proportion of days covered (PDC) of the index NOAC ≥80%. The clinical outcomes included stroke, acute myocardial infarction, death, and composite outcome.\n\nResults\nA total of 33,515 patients were analyzed (mean follow-up, 1.7 ± 1.3 years). The proportion of patients with high adherence to NOACs was 95%, which did not significantly differ according to the dosing regimen. The mean PDC for NOACs was as high as ~96%, which was the highest for apixaban users, intermediate for edoxaban or rivaroxaban users, and lowest for dabigatran users, regardless of the dosing regimen. Adverse outcomes in low adherence patients for each NOAC were higher than that of high adherence patients, regardless of the dosing frequency.\n\nConclusions\nAdherence between once- and twice-daily dosing NOACs in patients with AF was high and similar among both dosing regimens. Patients with low NOAC adherence had poorer clinical outcomes, regardless of the dosing frequency.","container-title":"PLOS ONE","DOI":"10.1371/journal.pone.0283478","ISSN":"1932-6203","issue":"3","journalAbbreviation":"PLoS One","page":"e0283478","PMID":"36996134","PMCID":"PMC10062560","source":"PubMed Central","title":"Adherence and clinical outcomes for twice-daily versus once-daily dosing of non-vitamin K antagonist oral anticoagulants in patients with atrial fibrillation: Is dosing frequency important?","title-short":"Adherence and clinical outcomes for twice-daily versus once-daily dosing of non-vitamin K antagonist oral anticoagulants in patients with atrial fibrillation","volume":"18","author":[{"family":"Hwang","given":"Hui-Jeong"},{"family":"Sohn","given":"Il Suk"},{"family":"Jin","given":"Eun-Sun"},{"family":"Bae","given":"Yoon-Jong"}],"issued":{"date-parts":[["2023",3,30]]}}}],"schema":"https://github.com/citation-style-language/schema/raw/master/csl-citation.json"}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[212]</w:t>
      </w:r>
      <w:r>
        <w:rPr>
          <w:rFonts w:ascii="Times New Roman" w:hAnsi="Times New Roman" w:cs="Times New Roman"/>
          <w:sz w:val="28"/>
          <w:szCs w:val="28"/>
          <w:lang w:bidi="ar-SA"/>
        </w:rPr>
        <w:fldChar w:fldCharType="end"/>
      </w:r>
      <w:r w:rsidRPr="007804B9">
        <w:rPr>
          <w:rFonts w:ascii="Times New Roman" w:hAnsi="Times New Roman" w:cs="Times New Roman"/>
          <w:sz w:val="28"/>
          <w:szCs w:val="28"/>
          <w:lang w:bidi="ar-SA"/>
        </w:rPr>
        <w:t>. Это означает, что почти треть пациентов принимает препараты нерегулярно, подвергая себя повышенному риску осложнений. Примечательно, что исследование выявило выраженные географические различия. Наивысшие показатели приверженности, достигавшие 95%, были зарегистрированы в странах Азии, таких как Япония и Корея</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zgY1qIFd","properties":{"unsorted":false,"formattedCitation":"[212]","plainCitation":"[212]","noteIndex":0},"citationItems":[{"id":432,"uris":["http://zotero.org/users/14784094/items/RAS7QSH6"],"itemData":{"id":432,"type":"article-journal","abstract":"Background\nTwice-daily dosing of non-vitamin K antagonist oral anticoagulants (NOACs) may reduce drug adherence compared with once-daily dosing of NOACs in patients with atrial fibrillation (AF), thus worsening clinical outcomes. We evaluated adherence to apixaban and dabigatran requiring twice-daily dosing compared with edoxaban or rivaroxaban with a once-daily dosing regimen and the subsequent clinical outcomes in patients with AF.\n\nMethods\nAdherence to each NOAC and outcomes were compared between patients who were diagnosed with AF and initiated NOACs between 2016 and 2017 using Korean claims data. High adherence was defined as the proportion of days covered (PDC) of the index NOAC ≥80%. The clinical outcomes included stroke, acute myocardial infarction, death, and composite outcome.\n\nResults\nA total of 33,515 patients were analyzed (mean follow-up, 1.7 ± 1.3 years). The proportion of patients with high adherence to NOACs was 95%, which did not significantly differ according to the dosing regimen. The mean PDC for NOACs was as high as ~96%, which was the highest for apixaban users, intermediate for edoxaban or rivaroxaban users, and lowest for dabigatran users, regardless of the dosing regimen. Adverse outcomes in low adherence patients for each NOAC were higher than that of high adherence patients, regardless of the dosing frequency.\n\nConclusions\nAdherence between once- and twice-daily dosing NOACs in patients with AF was high and similar among both dosing regimens. Patients with low NOAC adherence had poorer clinical outcomes, regardless of the dosing frequency.","container-title":"PLOS ONE","DOI":"10.1371/journal.pone.0283478","ISSN":"1932-6203","issue":"3","journalAbbreviation":"PLoS One","page":"e0283478","PMID":"36996134","PMCID":"PMC10062560","source":"PubMed Central","title":"Adherence and clinical outcomes for twice-daily versus once-daily dosing of non-vitamin K antagonist oral anticoagulants in patients with atrial fibrillation: Is dosing frequency important?","title-short":"Adherence and clinical outcomes for twice-daily versus once-daily dosing of non-vitamin K antagonist oral anticoagulants in patients with atrial fibrillation","volume":"18","author":[{"family":"Hwang","given":"Hui-Jeong"},{"family":"Sohn","given":"Il Suk"},{"family":"Jin","given":"Eun-Sun"},{"family":"Bae","given":"Yoon-Jong"}],"issued":{"date-parts":[["2023",3,30]]}}}],"schema":"https://github.com/citation-style-language/schema/raw/master/csl-citation.json"}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[212]</w:t>
      </w:r>
      <w:r>
        <w:rPr>
          <w:rFonts w:ascii="Times New Roman" w:hAnsi="Times New Roman" w:cs="Times New Roman"/>
          <w:sz w:val="28"/>
          <w:szCs w:val="28"/>
          <w:lang w:bidi="ar-SA"/>
        </w:rPr>
        <w:fldChar w:fldCharType="end"/>
      </w:r>
      <w:r w:rsidRPr="007804B9">
        <w:rPr>
          <w:rFonts w:ascii="Times New Roman" w:hAnsi="Times New Roman" w:cs="Times New Roman"/>
          <w:sz w:val="28"/>
          <w:szCs w:val="28"/>
          <w:lang w:bidi="ar-SA"/>
        </w:rPr>
        <w:t>. В то же время более низкие показатели отмечались среди молодых пациентов и в популяциях или регионах, характеризующихся традиционно низкой приверженностью к длительной терапии</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ETkIwNny","properties":{"unsorted":false,"formattedCitation":"[213\\uc0\\u8211{}215]","plainCitation":"[213–215]","noteIndex":0},"citationItems":[{"id":398,"uris":["http://zotero.org/users/14784094/items/I7UA3LID"],"itemData":{"id":398,"type":"article-journal","abstract":"Objective\nTo determine the effect of age and gender on persistence and adherence in patients taking dabigatran for atrial fibrillation.\n\nDesign\nA retrospective observational study over 4 years using refill prescription data from the National Pharmaceutical Database.\n\nSetting\nAll patients in New Zealand who received dabigatran from July 2011 to September 2015.\n\nPopulation\n43 339 people filled at least one prescription of dabigatran.\n\nMain outcome measures\nThe proportion of patients with good adherence (treatment available at least 80% of the time), and the proportion at risk of thrombosis (a break in treatment of more than 2 days) measured 6-monthly for 3 years. Medication persistence recorded over 3 years.\n\nResults\nPersistence was highest in older patients and showed a significant correlation with age (p&lt;0.001); 24% over 70 years had discontinued treatment by 6 months compared with 50% under 50 years. Adherence was highest in the elderly (p&lt;0.001) with 90% of patients over 80 years with good adherence at 12 months compared with 70% in patients aged 50–60 years and less than 60% in those under 50 years. The time at risk of thrombosis showed a similar pattern with 25% below 60 years with inadequate anticoagulation more than 20% of the time. Adherence dropped during the first 18 months of treatment with the most marked fall in those under 50 years. Adherence shows that breaks in treatment are common with 30% of men under 60 years with a break in treatment of at least 28 days during the first 12 months.\n\nConclusion\nAdherence and persistence correlate with the patient’s age. Those over 70 years have high adherence consistent over time whereas younger patients have significantly worse adherence which declines over the first 18 months, with the lowest rate in those under 50 years. Adherence in our study is lower than reported in clinical trials, therefore the benefit of dabigatran in stroke prevention may not be realised in clinical practice especially in younger patients.","container-title":"BMJ Open","DOI":"10.1136/bmjopen-2017-020212","ISSN":"2044-6055","issue":"4","journalAbbreviation":"BMJ Open","page":"e020212","PMID":"29626048","PMCID":"PMC5892768","source":"PubMed Central","title":"Dabigatran persistence and adherence in New Zealand: a nationwide retrospective observational study","title-short":"Dabigatran persistence and adherence in New Zealand","volume":"8","author":[{"family":"Harper","given":"Paul"},{"family":"Pollock","given":"Daryl"},{"family":"Stephens","given":"Matt"}],"issued":{"date-parts":[["2018",4,5]]}}},{"id":450,"uris":["http://zotero.org/users/14784094/items/FTAMGERY"],"itemData":{"id":450,"type":"article-journal","abstract":"Adherence to non-vitamin K antagonist oral anticoagulants (NOACs) is an important factor for ensuring efficacy and safety in nonvalvular atrial fibrillation (NVAF). There are controversial results regarding NOAC adherence in real-world data and there are no data about NOAC adherence in Turkish population. This study investigated the NOAC adherence based on self-report, factors affecting nonadherence, and the relation of the adherence level with efficacy and safety outcomes. This multicenter cross-sectional study included 2738 patients (59% female) using NOAC (dabigatran, apixaban, and rivaroxaban) due to NVAF for more than 3 months with &gt;30 days of supply between September 1, 2015, and February 28, 2016. To measure the adherence level, an 8-item Morisky Medication Adherence Scale was used. The mean age of the patients was 70 ± 10 years. Of the 2738 patients, 44% were receiving dabigatran, 38% rivaroxaban, and 18% apixaban. A total of 630 (23%) patients had high medication adherence, 712 (26%) moderate adherence, and 1396 (51%) low adherence. Nonadherence had related to stroke (5.6% vs 2.5%, P &lt; .001) and minor (21.2% vs 11.1%, P &lt; .001) and major (6.1% vs 3.7%, P = .004) bleeding rates. The adherence to NOAC was found to be quite low in Turkey. Nonadherence is associated with bleeding and thromboembolic cardiovascular events. Age, taking NOAC twice a day, and the additional noncardiac diseases, depression, and dementia were the independent factors affecting poor medication adherence.","container-title":"Clinical and Applied Thrombosis/Hemostasis","DOI":"10.1177/1076029617693940","ISSN":"1076-0296","issue":"3","journalAbbreviation":"Clin Appl Thromb Hemost","page":"525-531","PMID":"28301907","PMCID":"PMC6714660","source":"PubMed Central","title":"Drug Adherence in Patients With Nonvalvular Atrial Fibrillation Taking Non-Vitamin K Antagonist Oral Anticoagulants in Turkey: NOAC-TR","title-short":"Drug Adherence in Patients With Nonvalvular Atrial Fibrillation Taking Non-Vitamin K Antagonist Oral Anticoagulants in Turkey","volume":"24","author":[{"family":"Emren","given":"Sadık Volkan"},{"family":"Şenöz","given":"Oktay"},{"family":"Bilgin","given":"Murat"},{"family":"Beton","given":"Osman"},{"family":"Aslan","given":"Abdullah"},{"family":"Taşkin","given":"Uğur"},{"family":"Açiksari","given":"Gönül"},{"family":"Asarcikli","given":"Lale Dinç"},{"family":"Çakir","given":"Hakan"},{"family":"Bekar","given":"Lütfü"},{"family":"Bolat","given":"İsmail"},{"family":"Yayla","given":"Çağrı"},{"family":"Çelebi","given":"Barış"},{"family":"Dalgiç","given":"Onur"},{"family":"Çelik","given":"Oğuzhan"},{"family":"Şafak","given":"Özgen"},{"family":"Akyel","given":"Serdar"},{"family":"Güngör","given":"Hasan"},{"family":"Düzel","given":"Barış"},{"family":"Zoghi","given":"Mehdi"}],"issued":{"date-parts":[["2018",4]]}}},{"id":488,"uris":["http://zotero.org/users/14784094/items/76UAJYN8"],"itemData":{"id":488,"type":"article-journal","abstract":"BACKGROUND:\nOral anticoagulation (OAC) is recommended for the prevention of stroke in atrial fibrillation (AF). However, only 50%-60% of AF patients in the United States are treated with OAC, and 60% of them adhere to OAC therapy over time.\n\nOBJECTIVES:\nTo (1) compare adherent use of OAC between AF patients who received primary care from practices involved in shared-savings models and patients who received care from practices not involved in shared savings and (2) examine the trend of adherence to OAC over time. Because OAC can save downstream medical costs associated with averted stroke events, we hypothesized that OAC adherence would be higher among patients receiving care from practices involved in shared savings.\n\nMETHODS:\nUsing 2014-2019 claims data from a health insurer in western Pennsylvania, we identified 20,637 AF patients from 2015-2018. Patients were followed from the first AF diagnosis (index date) for 12 months or until disenrollment. We categorized patients according to the payment model of the practice from which they received primary care: shared savings (n = 8,844) and no shared savings (n = 11,793). The primary outcome was adherent use of OAC therapy, which was defined as having at least 80% of the followup period covered with OAC. Secondary outcomes included adherent use of direct oral anticoagulants (DOACs) and adherent use of warfarin. We constructed logistic regression models to assess the association between involvement in shared savings and adherent use of OAC, while controlling for demographics, clinical characteristics, and index year.\n\nRESULTS:\n34% of patients in the shared-savings group adhered to OAC, compared with 32.7% in the no shared-savings group (P = 0.04). After adjustment, adherence was higher for the shared-savings group for OAC (adjusted odds ratio [aOR] = 1.07, 95% CI = 1.01-1.14) and warfarin (aOR = 1.11, 95% CI = 1.02-1.20) compared with the no shared-savings group. However, the odds of adherent use of DOACs did not statistically differ between shared savings and no shared savings (aOR = 0.99, 95% CI = 0.91-1.08). The odds of adherent OAC use increased over time: the aOR of adherent use of OAC was 1.21 (95% CI = 1.09-1.34) for index year 2016; 1.50 (95% CI = 1.36-1.67) for 2017; and 1.78 (95% CI 1.60-1.98) for 2018, all compared with 2015.\n\nCONCLUSIONS:\nReceipt of primary care from a practice involved in shared savings was associated with a higher adherent use of OAC and warfarin for patients with atrial fibrillation. Furthermore, adherent use of OAC improved over time for both treatment groups. Our research demonstrates that the alignment of financial incentives between providers and insurers may improve the use of therapies with downstream cost-saving potential.","container-title":"Journal of Managed Care &amp; Specialty Pharmacy","DOI":"10.18553/jmcp.2021.27.12.1672","ISSN":"2376-0540","issue":"12","journalAbbreviation":"J Manag Care Spec Pharm","page":"10.18553/jmcp.2021.27.12.1672","PMID":"34818086","PMCID":"PMC8856758","source":"PubMed Central","title":"Primary care provider payment models and adherence to anticoagulation in patients with atrial fibrillation","volume":"27","author":[{"family":"Yang","given":"Lanting"},{"family":"Guo","given":"Jingchuan"},{"family":"Liang","given":"Qingfeng"},{"family":"Newman","given":"Terri V"},{"family":"Gellad","given":"Walid F"},{"family":"Hernandez","given":"Inmaculada"}],"issued":{"date-parts":[["2021",12]]}}}],"schema":"https://github.com/citation-style-language/schema/raw/master/csl-citation.json"} </w:instrText>
      </w:r>
      <w:r>
        <w:rPr>
          <w:rFonts w:ascii="Times New Roman" w:hAnsi="Times New Roman" w:cs="Times New Roman"/>
          <w:sz w:val="28"/>
          <w:szCs w:val="28"/>
          <w:lang w:bidi="ar-SA"/>
        </w:rPr>
        <w:fldChar w:fldCharType="separate"/>
      </w:r>
      <w:r w:rsidR="00AC4691" w:rsidRPr="00AC4691">
        <w:rPr>
          <w:rFonts w:ascii="Times New Roman" w:eastAsiaTheme="minorHAnsi" w:hAnsi="Times New Roman" w:cs="Times New Roman"/>
          <w:sz w:val="28"/>
          <w:szCs w:val="24"/>
          <w:lang w:eastAsia="en-US"/>
          <w14:ligatures w14:val="standardContextual"/>
        </w:rPr>
        <w:t>[213–215]</w:t>
      </w:r>
      <w:r>
        <w:rPr>
          <w:rFonts w:ascii="Times New Roman" w:hAnsi="Times New Roman" w:cs="Times New Roman"/>
          <w:sz w:val="28"/>
          <w:szCs w:val="28"/>
          <w:lang w:bidi="ar-SA"/>
        </w:rPr>
        <w:fldChar w:fldCharType="end"/>
      </w:r>
      <w:r w:rsidR="005F6B24" w:rsidRPr="005F6B24">
        <w:rPr>
          <w:rFonts w:ascii="Times New Roman" w:hAnsi="Times New Roman" w:cs="Times New Roman"/>
          <w:sz w:val="28"/>
          <w:szCs w:val="28"/>
          <w:lang w:bidi="ar-SA"/>
        </w:rPr>
        <w:t>. Интересно, что исследовани</w:t>
      </w:r>
      <w:r w:rsidR="005F6B24">
        <w:rPr>
          <w:rFonts w:ascii="Times New Roman" w:hAnsi="Times New Roman" w:cs="Times New Roman"/>
          <w:sz w:val="28"/>
          <w:szCs w:val="28"/>
          <w:lang w:bidi="ar-SA"/>
        </w:rPr>
        <w:t>е</w:t>
      </w:r>
      <w:r w:rsidR="005F6B24" w:rsidRPr="005F6B24">
        <w:rPr>
          <w:rFonts w:ascii="Times New Roman" w:hAnsi="Times New Roman" w:cs="Times New Roman"/>
          <w:sz w:val="28"/>
          <w:szCs w:val="28"/>
          <w:lang w:bidi="ar-SA"/>
        </w:rPr>
        <w:t xml:space="preserve"> </w:t>
      </w:r>
      <w:r w:rsidR="005F6B24">
        <w:rPr>
          <w:rFonts w:ascii="Times New Roman" w:hAnsi="Times New Roman" w:cs="Times New Roman"/>
          <w:sz w:val="28"/>
          <w:szCs w:val="28"/>
          <w:lang w:val="en-US" w:bidi="ar-SA"/>
        </w:rPr>
        <w:t>Hwang</w:t>
      </w:r>
      <w:r w:rsidR="005F6B24" w:rsidRPr="005F6B24">
        <w:rPr>
          <w:rFonts w:ascii="Times New Roman" w:hAnsi="Times New Roman" w:cs="Times New Roman"/>
          <w:sz w:val="28"/>
          <w:szCs w:val="28"/>
          <w:lang w:bidi="ar-SA"/>
        </w:rPr>
        <w:t xml:space="preserve"> </w:t>
      </w:r>
      <w:r w:rsidR="005F6B24">
        <w:rPr>
          <w:rFonts w:ascii="Times New Roman" w:hAnsi="Times New Roman" w:cs="Times New Roman"/>
          <w:sz w:val="28"/>
          <w:szCs w:val="28"/>
          <w:lang w:val="en-US" w:bidi="ar-SA"/>
        </w:rPr>
        <w:t>et</w:t>
      </w:r>
      <w:r w:rsidR="005F6B24" w:rsidRPr="005F6B24">
        <w:rPr>
          <w:rFonts w:ascii="Times New Roman" w:hAnsi="Times New Roman" w:cs="Times New Roman"/>
          <w:sz w:val="28"/>
          <w:szCs w:val="28"/>
          <w:lang w:bidi="ar-SA"/>
        </w:rPr>
        <w:t xml:space="preserve"> </w:t>
      </w:r>
      <w:r w:rsidR="005F6B24">
        <w:rPr>
          <w:rFonts w:ascii="Times New Roman" w:hAnsi="Times New Roman" w:cs="Times New Roman"/>
          <w:sz w:val="28"/>
          <w:szCs w:val="28"/>
          <w:lang w:val="en-US" w:bidi="ar-SA"/>
        </w:rPr>
        <w:t>al</w:t>
      </w:r>
      <w:r w:rsidR="005F6B24" w:rsidRPr="005F6B24">
        <w:rPr>
          <w:rFonts w:ascii="Times New Roman" w:hAnsi="Times New Roman" w:cs="Times New Roman"/>
          <w:sz w:val="28"/>
          <w:szCs w:val="28"/>
          <w:lang w:bidi="ar-SA"/>
        </w:rPr>
        <w:t>.</w:t>
      </w:r>
      <w:r w:rsidR="005F6B24">
        <w:rPr>
          <w:rFonts w:ascii="Times New Roman" w:hAnsi="Times New Roman" w:cs="Times New Roman"/>
          <w:sz w:val="28"/>
          <w:szCs w:val="28"/>
          <w:lang w:bidi="ar-SA"/>
        </w:rPr>
        <w:t xml:space="preserve">, </w:t>
      </w:r>
      <w:r w:rsidR="005F6B24" w:rsidRPr="005F6B24">
        <w:rPr>
          <w:rFonts w:ascii="Times New Roman" w:hAnsi="Times New Roman" w:cs="Times New Roman"/>
          <w:sz w:val="28"/>
          <w:szCs w:val="28"/>
          <w:lang w:bidi="ar-SA"/>
        </w:rPr>
        <w:t>включившие огромную когорту из 33 515 пациентов со средним периодом наблюдения</w:t>
      </w:r>
      <w:r w:rsidR="005F6B24">
        <w:rPr>
          <w:rFonts w:ascii="Times New Roman" w:hAnsi="Times New Roman" w:cs="Times New Roman"/>
          <w:sz w:val="28"/>
          <w:szCs w:val="28"/>
          <w:lang w:bidi="ar-SA"/>
        </w:rPr>
        <w:t xml:space="preserve"> 1.7</w:t>
      </w:r>
      <w:r w:rsidR="005F6B24">
        <w:rPr>
          <w:rFonts w:ascii="Times New Roman" w:hAnsi="Times New Roman" w:cs="Times New Roman"/>
          <w:sz w:val="28"/>
          <w:szCs w:val="28"/>
          <w:lang w:bidi="ar-SA"/>
        </w:rPr>
        <w:sym w:font="Symbol" w:char="F0B1"/>
      </w:r>
      <w:r w:rsidR="005F6B24">
        <w:rPr>
          <w:rFonts w:ascii="Times New Roman" w:hAnsi="Times New Roman" w:cs="Times New Roman"/>
          <w:sz w:val="28"/>
          <w:szCs w:val="28"/>
          <w:lang w:bidi="ar-SA"/>
        </w:rPr>
        <w:t>1.3</w:t>
      </w:r>
      <w:r w:rsidR="005F6B24" w:rsidRPr="005F6B24">
        <w:rPr>
          <w:rFonts w:ascii="Times New Roman" w:hAnsi="Times New Roman" w:cs="Times New Roman"/>
          <w:sz w:val="28"/>
          <w:szCs w:val="28"/>
          <w:lang w:bidi="ar-SA"/>
        </w:rPr>
        <w:t xml:space="preserve"> года</w:t>
      </w:r>
      <w:r w:rsidR="005F6B24">
        <w:rPr>
          <w:rFonts w:ascii="Times New Roman" w:hAnsi="Times New Roman" w:cs="Times New Roman"/>
          <w:sz w:val="28"/>
          <w:szCs w:val="28"/>
          <w:lang w:bidi="ar-SA"/>
        </w:rPr>
        <w:t xml:space="preserve">, </w:t>
      </w:r>
      <w:r w:rsidR="005F6B24" w:rsidRPr="005F6B24">
        <w:rPr>
          <w:rFonts w:ascii="Times New Roman" w:hAnsi="Times New Roman" w:cs="Times New Roman"/>
          <w:sz w:val="28"/>
          <w:szCs w:val="28"/>
          <w:lang w:bidi="ar-SA"/>
        </w:rPr>
        <w:t>не обнаружила существенные зависимости уровня приверженности от режима дозирования конкретного</w:t>
      </w:r>
      <w:r w:rsidR="005F6B24">
        <w:rPr>
          <w:rFonts w:ascii="Times New Roman" w:hAnsi="Times New Roman" w:cs="Times New Roman"/>
          <w:sz w:val="28"/>
          <w:szCs w:val="28"/>
          <w:lang w:bidi="ar-SA"/>
        </w:rPr>
        <w:t xml:space="preserve"> ПОАК (</w:t>
      </w:r>
      <w:r w:rsidR="005F6B24" w:rsidRPr="005F6B24">
        <w:rPr>
          <w:rFonts w:ascii="Times New Roman" w:hAnsi="Times New Roman" w:cs="Times New Roman"/>
          <w:sz w:val="28"/>
          <w:szCs w:val="28"/>
          <w:lang w:bidi="ar-SA"/>
        </w:rPr>
        <w:t xml:space="preserve">один или </w:t>
      </w:r>
      <w:r w:rsidR="005F6B24">
        <w:rPr>
          <w:rFonts w:ascii="Times New Roman" w:hAnsi="Times New Roman" w:cs="Times New Roman"/>
          <w:sz w:val="28"/>
          <w:szCs w:val="28"/>
          <w:lang w:bidi="ar-SA"/>
        </w:rPr>
        <w:t>два</w:t>
      </w:r>
      <w:r w:rsidR="005F6B24" w:rsidRPr="005F6B24">
        <w:rPr>
          <w:rFonts w:ascii="Times New Roman" w:hAnsi="Times New Roman" w:cs="Times New Roman"/>
          <w:sz w:val="28"/>
          <w:szCs w:val="28"/>
          <w:lang w:bidi="ar-SA"/>
        </w:rPr>
        <w:t xml:space="preserve"> раза в сутки</w:t>
      </w:r>
      <w:r w:rsidR="005F6B24">
        <w:rPr>
          <w:rFonts w:ascii="Times New Roman" w:hAnsi="Times New Roman" w:cs="Times New Roman"/>
          <w:sz w:val="28"/>
          <w:szCs w:val="28"/>
          <w:lang w:bidi="ar-SA"/>
        </w:rPr>
        <w:t>)</w:t>
      </w:r>
      <w:r w:rsidR="005F6B2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RPkPDfr","properties":{"unsorted":false,"formattedCitation":"[212]","plainCitation":"[212]","noteIndex":0},"citationItems":[{"id":432,"uris":["http://zotero.org/users/14784094/items/RAS7QSH6"],"itemData":{"id":432,"type":"article-journal","abstract":"Background\nTwice-daily dosing of non-vitamin K antagonist oral anticoagulants (NOACs) may reduce drug adherence compared with once-daily dosing of NOACs in patients with atrial fibrillation (AF), thus worsening clinical outcomes. We evaluated adherence to apixaban and dabigatran requiring twice-daily dosing compared with edoxaban or rivaroxaban with a once-daily dosing regimen and the subsequent clinical outcomes in patients with AF.\n\nMethods\nAdherence to each NOAC and outcomes were compared between patients who were diagnosed with AF and initiated NOACs between 2016 and 2017 using Korean claims data. High adherence was defined as the proportion of days covered (PDC) of the index NOAC ≥80%. The clinical outcomes included stroke, acute myocardial infarction, death, and composite outcome.\n\nResults\nA total of 33,515 patients were analyzed (mean follow-up, 1.7 ± 1.3 years). The proportion of patients with high adherence to NOACs was 95%, which did not significantly differ according to the dosing regimen. The mean PDC for NOACs was as high as ~96%, which was the highest for apixaban users, intermediate for edoxaban or rivaroxaban users, and lowest for dabigatran users, regardless of the dosing regimen. Adverse outcomes in low adherence patients for each NOAC were higher than that of high adherence patients, regardless of the dosing frequency.\n\nConclusions\nAdherence between once- and twice-daily dosing NOACs in patients with AF was high and similar among both dosing regimens. Patients with low NOAC adherence had poorer clinical outcomes, regardless of the dosing frequency.","container-title":"PLOS ONE","DOI":"10.1371/journal.pone.0283478","ISSN":"1932-6203","issue":"3","journalAbbreviation":"PLoS One","page":"e0283478","PMID":"36996134","PMCID":"PMC10062560","source":"PubMed Central","title":"Adherence and clinical outcomes for twice-daily versus once-daily dosing of non-vitamin K antagonist oral anticoagulants in patients with atrial fibrillation: Is dosing frequency important?","title-short":"Adherence and clinical outcomes for twice-daily versus once-daily dosing of non-vitamin K antagonist oral anticoagulants in patients with atrial fibrillation","volume":"18","author":[{"family":"Hwang","given":"Hui-Jeong"},{"family":"Sohn","given":"Il Suk"},{"family":"Jin","given":"Eun-Sun"},{"family":"Bae","given":"Yoon-Jong"}],"issued":{"date-parts":[["2023",3,30]]}}}],"schema":"https://github.com/citation-style-language/schema/raw/master/csl-citation.json"} </w:instrText>
      </w:r>
      <w:r w:rsidR="005F6B2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[212]</w:t>
      </w:r>
      <w:r w:rsidR="005F6B24">
        <w:rPr>
          <w:rFonts w:ascii="Times New Roman" w:hAnsi="Times New Roman" w:cs="Times New Roman"/>
          <w:sz w:val="28"/>
          <w:szCs w:val="28"/>
          <w:lang w:bidi="ar-SA"/>
        </w:rPr>
        <w:fldChar w:fldCharType="end"/>
      </w:r>
      <w:r w:rsidR="005F6B24" w:rsidRPr="005F6B24">
        <w:rPr>
          <w:rFonts w:ascii="Times New Roman" w:hAnsi="Times New Roman" w:cs="Times New Roman"/>
          <w:sz w:val="28"/>
          <w:szCs w:val="28"/>
          <w:lang w:bidi="ar-SA"/>
        </w:rPr>
        <w:t>. Однако это же исследование четко показало, что клинические исходы у пациентов с низкой приверженностью были неблагоприятными независимо от частоты приема препарата</w:t>
      </w:r>
      <w:r w:rsidR="005F6B2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sIWs22kh","properties":{"unsorted":false,"formattedCitation":"[216,217]","plainCitation":"[216,217]","noteIndex":0},"citationItems":[{"id":395,"uris":["http://zotero.org/users/14784094/items/ENY4DAIQ"],"itemData":{"id":395,"type":"article-journal","abstract":"Direct oral anticoagulants (DOACs) are available for nonvalvular atrial fibrillation patients. The advantage of DOACs is that regular anticoagulation monitoring is not required. However, adherence to the recommended regimen is essential. We investigated the association between medication adherence and the risk of cerebral infarction in patients taking DOACs. Patients admitted to any of the participating hospitals for cerebral infarction from September 2018 to February 2020 and prescribed DOACs before admission were defined as the case group, and patients hospitalized for diseases other than cerebral infarction, except for bleeding disorders, and prescribed DOACs before admission were defined as the control group. A nested case–control study was adapted, and 58 and 232 patients were included in the case and control groups, respectively. Medication adherence was assessed by the pharmacists through standardized interviewing. The adjusted odds ratio for the risk of cerebral infarction for low-adherence patients (&lt;80% adherence rate) against good-adherence patients (100% adherence rate) was 9.69 (95% confidence interval, 3.86–24.3; p &lt; 0.001). The patients’ age and other background characteristics were not found to be risk factors for cerebral infarction. In conclusion, low adherence is a risk factor for cerebral infarction in patients taking DOACs. Pharmacists should focus on maintaining ≥80% adherence to DOAC therapy to prevent cerebral infarction.","container-title":"Healthcare","DOI":"10.3390/healthcare9101313","ISSN":"2227-9032","issue":"10","journalAbbreviation":"Healthcare (Basel)","page":"1313","PMID":"34682992","PMCID":"PMC8544438","source":"PubMed Central","title":"Association between Cerebral Infarction Risk and Medication Adherence in Atrial Fibrillation Patients Taking Direct Oral Anticoagulants","volume":"9","author":[{"family":"Akagi","given":"Yuuki"},{"family":"Iketaki","given":"Akiko"},{"family":"Nakamura","given":"Reiko"},{"family":"Yamamura","given":"Shigeo"},{"family":"Endo","given":"Minori"},{"family":"Morikawa","given":"Keisuke"},{"family":"Oikawa","given":"Shun"},{"family":"Ohta","given":"Takahiro"},{"family":"Tatsumi","given":"Shimpei"},{"family":"Suzuki","given":"Takafumi"},{"family":"Mizushima","given":"Atsuhiro"},{"family":"Koido","given":"Keiichi"},{"family":"Takahashi","given":"Tatsuya"}],"issued":{"date-parts":[["2021",10,1]]}}},{"id":458,"uris":["http://zotero.org/users/14784094/items/2U3P95Z3"],"itemData":{"id":458,"type":"article-journal","abstract":"Background: Oral anticoagulation therapy is essential for preventing stroke in patients with atrial ﬁbrillation (AF). However, poor anticoagulant adherence may hamper medication safety and effective prevention of stroke.\nMethods: GENERAL is a prospective cohort study of AF patients taking rivaroxaban prescribed by general practitioners in Japan. In this study, anticoagulant adherence was calculated as the proportion of days covered (PDC), and patients were retrospectively divided into two groups: good adherence (PDC ≥80 %) and poor adherence (&lt;80 %).\nResults: Of 5680 patients in the GENERAL study, the poor adherence group consisted of 223 patients (3.9 %). Baseline clinical characteristics were almost comparable regarding age (PDC ≥80 % vs. &lt;80 %: 73.9 vs. 74.0 years, p = 0.92) and sex (male 64.6 % vs. 66.8 %, p = 0.52). The PDC &lt;80 % group more often had various co-morbidities, and had significantly higher CHADS2 (2.14 vs. 2.28, p = 0.04) and CHA2DS2-VASc scores (3.12 vs. 3.31, p = 0.045). There was no signiﬁcant difference in HAS-BLED score (1.41 vs. 1.47, p = 0.39). During 2-year follow-up, the incidences of stroke or systemic embolism (1.14 vs. 3.56 % per patient-year, p &lt; 0.01), major bleeding (0.59 vs. 1.78 % per patient-year, p &lt; 0.01), and net clinical outcome (the composite of stroke, systemic embolism, major bleeding, or death) (3.49 vs. 7.78 % per patient-year, p &lt; 0.01) were signiﬁcantly higher in the poor adherence group; however, there was no signiﬁcant difference in all-cause (1.89 vs. 2.73 % per patient-year, p = 0.23) and cardiovascular mortality (0.86 vs. 1.49 % per patient-year, p = 0.18). Multivariate analysis revealed that the poor adherence group was independently associated with stroke or systemic embolism (adjusted hazard ratio 3.12, 95 % conﬁdence interval 1.79–5.47), major bleeding (2.87, 1.31–6.34), and net clinical outcome, (2.02, 1.39–2.93), but not with all-cause (1.18, 0.64–2.17) or cardiovascular death (1.39, 0.60–2.93).\nConclusions: Poor anticoagulant adherence, as measured by PDC &lt;80 %, was associated with higher incidence of stroke or systemic embolism and major bleeding in the GENERAL study. © 2022 Japanese College of Cardiology. Published by Elsevier Ltd. All rights reserved.","container-title":"Journal of Cardiology","DOI":"10.1016/j.jjcc.2022.07.022","ISSN":"09145087","issue":"2","journalAbbreviation":"Journal of Cardiology","language":"en","page":"209-214","source":"DOI.org (Crossref)","title":"Clinical characteristics and outcomes of Japanese atrial fibrillation patients with poor medication adherence: A sub-analysis of the GENERAL study","title-short":"Clinical characteristics and outcomes of Japanese atrial fibrillation patients with poor medication adherence","volume":"81","author":[{"family":"Akao","given":"Masaharu"},{"family":"Tsuji","given":"Hikari"},{"family":"Kusano","given":"Kengo"},{"family":"Matsui","given":"Kunihiko"},{"family":"Hiramitsu","given":"Shinya"},{"family":"Hatori","given":"Yutaka"},{"family":"Odakura","given":"Hironori"},{"family":"Ogawa","given":"Hisao"}],"issued":{"date-parts":[["2023",2]]}}}],"schema":"https://github.com/citation-style-language/schema/raw/master/csl-citation.json"} </w:instrText>
      </w:r>
      <w:r w:rsidR="005F6B2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[216,217]</w:t>
      </w:r>
      <w:r w:rsidR="005F6B24">
        <w:rPr>
          <w:rFonts w:ascii="Times New Roman" w:hAnsi="Times New Roman" w:cs="Times New Roman"/>
          <w:sz w:val="28"/>
          <w:szCs w:val="28"/>
          <w:lang w:bidi="ar-SA"/>
        </w:rPr>
        <w:fldChar w:fldCharType="end"/>
      </w:r>
      <w:r w:rsidR="005F6B24" w:rsidRPr="00D137D9">
        <w:rPr>
          <w:rFonts w:ascii="Times New Roman" w:hAnsi="Times New Roman" w:cs="Times New Roman"/>
          <w:sz w:val="28"/>
          <w:szCs w:val="28"/>
          <w:lang w:bidi="ar-SA"/>
        </w:rPr>
        <w:t>.</w:t>
      </w:r>
    </w:p>
    <w:p w14:paraId="148DB2F0" w14:textId="7C8461D3" w:rsidR="005F6B24" w:rsidRPr="005F6B24" w:rsidRDefault="005F6B24" w:rsidP="008D7CBD">
      <w:pPr>
        <w:pStyle w:val="LO-normal"/>
        <w:spacing w:after="0" w:line="240" w:lineRule="auto"/>
        <w:ind w:firstLine="567"/>
        <w:jc w:val="both"/>
        <w:rPr>
          <w:rFonts w:ascii="Times New Roman" w:hAnsi="Times New Roman" w:cs="Times New Roman"/>
          <w:i/>
          <w:iCs/>
          <w:sz w:val="28"/>
          <w:szCs w:val="28"/>
          <w:lang w:bidi="ar-SA"/>
        </w:rPr>
      </w:pPr>
      <w:r w:rsidRPr="005F6B24">
        <w:rPr>
          <w:rFonts w:ascii="Times New Roman" w:hAnsi="Times New Roman" w:cs="Times New Roman"/>
          <w:i/>
          <w:iCs/>
          <w:sz w:val="28"/>
          <w:szCs w:val="28"/>
          <w:lang w:bidi="ar-SA"/>
        </w:rPr>
        <w:t>Сравнение приверженности между разными ПОАК и влияние на исходы</w:t>
      </w:r>
    </w:p>
    <w:p w14:paraId="75FD0DFA" w14:textId="33316A78" w:rsidR="005F6B24" w:rsidRPr="00A41B41" w:rsidRDefault="005F6B24" w:rsidP="008D7CB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w:t>
      </w:r>
      <w:r w:rsidRPr="005F6B24">
        <w:rPr>
          <w:rFonts w:ascii="Times New Roman" w:hAnsi="Times New Roman" w:cs="Times New Roman"/>
          <w:sz w:val="28"/>
          <w:szCs w:val="28"/>
          <w:lang w:bidi="ar-SA"/>
        </w:rPr>
        <w:t>езультаты исследований</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проведенных в различных странах</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Исландия</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Турция</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Япония</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США</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последовательно указывают на то</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что приверженность к терапии</w:t>
      </w:r>
      <w:r>
        <w:rPr>
          <w:rFonts w:ascii="Times New Roman" w:hAnsi="Times New Roman" w:cs="Times New Roman"/>
          <w:sz w:val="28"/>
          <w:szCs w:val="28"/>
          <w:lang w:bidi="ar-SA"/>
        </w:rPr>
        <w:t xml:space="preserve"> ривароксабаном и апиксабаном </w:t>
      </w:r>
      <w:r w:rsidRPr="005F6B24">
        <w:rPr>
          <w:rFonts w:ascii="Times New Roman" w:hAnsi="Times New Roman" w:cs="Times New Roman"/>
          <w:sz w:val="28"/>
          <w:szCs w:val="28"/>
          <w:lang w:bidi="ar-SA"/>
        </w:rPr>
        <w:t>в реальной клинической практике была выше</w:t>
      </w:r>
      <w:r>
        <w:rPr>
          <w:rFonts w:ascii="Times New Roman" w:hAnsi="Times New Roman" w:cs="Times New Roman"/>
          <w:sz w:val="28"/>
          <w:szCs w:val="28"/>
          <w:lang w:bidi="ar-SA"/>
        </w:rPr>
        <w:t xml:space="preserve">, </w:t>
      </w:r>
      <w:r w:rsidRPr="005F6B24">
        <w:rPr>
          <w:rFonts w:ascii="Times New Roman" w:hAnsi="Times New Roman" w:cs="Times New Roman"/>
          <w:sz w:val="28"/>
          <w:szCs w:val="28"/>
          <w:lang w:bidi="ar-SA"/>
        </w:rPr>
        <w:t>чем к терапии</w:t>
      </w:r>
      <w:r>
        <w:rPr>
          <w:rFonts w:ascii="Times New Roman" w:hAnsi="Times New Roman" w:cs="Times New Roman"/>
          <w:sz w:val="28"/>
          <w:szCs w:val="28"/>
          <w:lang w:bidi="ar-SA"/>
        </w:rPr>
        <w:t xml:space="preserve"> дабигатраном</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6Xkr4Jw7","properties":{"unsorted":false,"formattedCitation":"[212,214,218\\uc0\\u8211{}222]","plainCitation":"[212,214,218–222]","noteIndex":0},"citationItems":[{"id":432,"uris":["http://zotero.org/users/14784094/items/RAS7QSH6"],"itemData":{"id":432,"type":"article-journal","abstract":"Background\nTwice-daily dosing of non-vitamin K antagonist oral anticoagulants (NOACs) may reduce drug adherence compared with once-daily dosing of NOACs in patients with atrial fibrillation (AF), thus worsening clinical outcomes. We evaluated adherence to apixaban and dabigatran requiring twice-daily dosing compared with edoxaban or rivaroxaban with a once-daily dosing regimen and the subsequent clinical outcomes in patients with AF.\n\nMethods\nAdherence to each NOAC and outcomes were compared between patients who were diagnosed with AF and initiated NOACs between 2016 and 2017 using Korean claims data. High adherence was defined as the proportion of days covered (PDC) of the index NOAC ≥80%. The clinical outcomes included stroke, acute myocardial infarction, death, and composite outcome.\n\nResults\nA total of 33,515 patients were analyzed (mean follow-up, 1.7 ± 1.3 years). The proportion of patients with high adherence to NOACs was 95%, which did not significantly differ according to the dosing regimen. The mean PDC for NOACs was as high as ~96%, which was the highest for apixaban users, intermediate for edoxaban or rivaroxaban users, and lowest for dabigatran users, regardless of the dosing regimen. Adverse outcomes in low adherence patients for each NOAC were higher than that of high adherence patients, regardless of the dosing frequency.\n\nConclusions\nAdherence between once- and twice-daily dosing NOACs in patients with AF was high and similar among both dosing regimens. Patients with low NOAC adherence had poorer clinical outcomes, regardless of the dosing frequency.","container-title":"PLOS ONE","DOI":"10.1371/journal.pone.0283478","ISSN":"1932-6203","issue":"3","journalAbbreviation":"PLoS One","page":"e0283478","PMID":"36996134","PMCID":"PMC10062560","source":"PubMed Central","title":"Adherence and clinical outcomes for twice-daily versus once-daily dosing of non-vitamin K antagonist oral anticoagulants in patients with atrial fibrillation: Is dosing frequency important?","title-short":"Adherence and clinical outcomes for twice-daily versus once-daily dosing of non-vitamin K antagonist oral anticoagulants in patients with atrial fibrillation","volume":"18","author":[{"family":"Hwang","given":"Hui-Jeong"},{"family":"Sohn","given":"Il Suk"},{"family":"Jin","given":"Eun-Sun"},{"family":"Bae","given":"Yoon-Jong"}],"issued":{"date-parts":[["2023",3,30]]}}},{"id":450,"uris":["http://zotero.org/users/14784094/items/FTAMGERY"],"itemData":{"id":450,"type":"article-journal","abstract":"Adherence to non-vitamin K antagonist oral anticoagulants (NOACs) is an important factor for ensuring efficacy and safety in nonvalvular atrial fibrillation (NVAF). There are controversial results regarding NOAC adherence in real-world data and there are no data about NOAC adherence in Turkish population. This study investigated the NOAC adherence based on self-report, factors affecting nonadherence, and the relation of the adherence level with efficacy and safety outcomes. This multicenter cross-sectional study included 2738 patients (59% female) using NOAC (dabigatran, apixaban, and rivaroxaban) due to NVAF for more than 3 months with &gt;30 days of supply between September 1, 2015, and February 28, 2016. To measure the adherence level, an 8-item Morisky Medication Adherence Scale was used. The mean age of the patients was 70 ± 10 years. Of the 2738 patients, 44% were receiving dabigatran, 38% rivaroxaban, and 18% apixaban. A total of 630 (23%) patients had high medication adherence, 712 (26%) moderate adherence, and 1396 (51%) low adherence. Nonadherence had related to stroke (5.6% vs 2.5%, P &lt; .001) and minor (21.2% vs 11.1%, P &lt; .001) and major (6.1% vs 3.7%, P = .004) bleeding rates. The adherence to NOAC was found to be quite low in Turkey. Nonadherence is associated with bleeding and thromboembolic cardiovascular events. Age, taking NOAC twice a day, and the additional noncardiac diseases, depression, and dementia were the independent factors affecting poor medication adherence.","container-title":"Clinical and Applied Thrombosis/Hemostasis","DOI":"10.1177/1076029617693940","ISSN":"1076-0296","issue":"3","journalAbbreviation":"Clin Appl Thromb Hemost","page":"525-531","PMID":"28301907","PMCID":"PMC6714660","source":"PubMed Central","title":"Drug Adherence in Patients With Nonvalvular Atrial Fibrillation Taking Non-Vitamin K Antagonist Oral Anticoagulants in Turkey: NOAC-TR","title-short":"Drug Adherence in Patients With Nonvalvular Atrial Fibrillation Taking Non-Vitamin K Antagonist Oral Anticoagulants in Turkey","volume":"24","author":[{"family":"Emren","given":"Sadık Volkan"},{"family":"Şenöz","given":"Oktay"},{"family":"Bilgin","given":"Murat"},{"family":"Beton","given":"Osman"},{"family":"Aslan","given":"Abdullah"},{"family":"Taşkin","given":"Uğur"},{"family":"Açiksari","given":"Gönül"},{"family":"Asarcikli","given":"Lale Dinç"},{"family":"Çakir","given":"Hakan"},{"family":"Bekar","given":"Lütfü"},{"family":"Bolat","given":"İsmail"},{"family":"Yayla","given":"Çağrı"},{"family":"Çelebi","given":"Barış"},{"family":"Dalgiç","given":"Onur"},{"family":"Çelik","given":"Oğuzhan"},{"family":"Şafak","given":"Özgen"},{"family":"Akyel","given":"Serdar"},{"family":"Güngör","given":"Hasan"},{"family":"Düzel","given":"Barış"},{"family":"Zoghi","given":"Mehdi"}],"issued":{"date-parts":[["2018",4]]}}},{"id":475,"uris":["http://zotero.org/users/14784094/items/8RFG73PC"],"itemData":{"id":475,"type":"article-journal","abstract":"Background: Direct oral anticoagulants (DOACs) are widely used for stroke prevention in patients with non-valvular atrial ﬁbrillation (NVAF). We investigated the adherence of DOACs for years known to be associated with the effectiveness in Japanese NVAF patients, using a claim database.\nMethod: We performed a retrospective evaluation of NVAF patients in a claims database in Japan, who initiated dabigatran, rivaroxaban, and apixaban between April 2011 and June 2016. Drug persistence was assessed by Kaplan-Meier method for the initially-prescribed DOAC and all DOACs including switched ones. Proportion of days covered (PDC) was also evaluated in patients with persistent prescription and compared among DOACs.\nResults: In the total of 671 patients, rivaroxaban (47%) was more prescribed than dabigatran (28%) and apixaban (25%). Drug persistence at 3 years was higher in rivaroxaban (69%) than dabigatran (57%) and apixaban (67%). Including switching to other DOACs, persistence of DOACs was 72% at 3 years without signiﬁcant differences between index-DOACs. In multivariate Cox regression analysis, absence of hypertension, and prior history of cancer were signiﬁcantly associated with the drug discontinuation of all DOACs. The mean PDC was ~ 95% and the frequency of high-adherent patients (PDC ≥0.80) was more than 90%, which similarly persisted at 3 years and showed no signiﬁcant differences between index DOACs.\nConclusion: In a real-world Japanese claim data analysis, about 70% of patients under DOAC showed persistence with anticoagulation therapy at 3 years. High adherence to DOACs assessed by PDC (over 90%) persisted to 3 years regardless of the types of DOACs.","container-title":"Journal of Cardiology","DOI":"10.1016/j.jjcc.2021.02.007","ISSN":"09145087","issue":"2","journalAbbreviation":"Journal of Cardiology","language":"en","page":"150-156","source":"DOI.org (Crossref)","title":"Current status of oral anticoagulant adherence in Japanese patients with atrial fibrillation: A claims database analysis","title-short":"Current status of oral anticoagulant adherence in Japanese patients with atrial fibrillation","volume":"78","author":[{"family":"Yagi","given":"Naoharu"},{"family":"Suzuki","given":"Shinya"},{"family":"Nagai","given":"Katsuhiko"},{"family":"Tanaka","given":"Takashi"},{"family":"Nagahama","given":"Takayoshi"},{"family":"Arita","given":"Takuto"},{"family":"Otsuka","given":"Takayuki"},{"family":"Yamashita","given":"Takeshi"}],"issued":{"date-parts":[["2021",8]]}}},{"id":48,"uris":["http://zotero.org/users/14784094/items/4YPU5GC5"],"itemData":{"id":48,"type":"article-journal","abstract":"Oral anticoagugulants (OACs) effectively reduce the risk for ischemic stroke in patients with atrial fibrillation (AF), but undertreatment and poor persistence with treatment are important problems. NOACs now provide alternatives to warfarin. This study compares the persistence with presently available antithrombotic treatments in AF patients with a CHA2DS2VASc score ≥2.","container-title":"European Journal of Clinical Pharmacology","DOI":"10.1007/s00228-015-1983-z","ISSN":"1432-1041","issue":"3","journalAbbreviation":"Eur J Clin Pharmacol","language":"en","page":"329-338","source":"Springer Link","title":"Comparison of treatment persistence with different oral anticoagulants in patients with atrial fibrillation","volume":"72","author":[{"family":"Forslund","given":"Tomas"},{"family":"Wettermark","given":"Björn"},{"family":"Hjemdahl","given":"Paul"}],"issued":{"date-parts":[["2016",3,1]]}}},{"id":383,"uris":["http://zotero.org/users/14784094/items/XED86PUF"],"itemData":{"id":383,"type":"article-journal","abstract":"This study examined characteristics and treatment persistence among patients prescribed oral anticoagulants (OACs) for stroke prevention in non-valvular atrial fibrillation (NVAF). We identified 15,244 patients (51.8% male, 72.7% aged ≥70) with NVAF and no prior OAC therapy who were prescribed apixaban (n = 1,303), rivaroxaban (n = 5,742), dabigatran (n = 1,622) or vitamin-K antagonists (VKAs, n = 6,577) between 1-Dec-2012 and 31-Oct-2014 in German primary care (IMS® Disease Analyzer). We compared OAC persistence using Cox regression over patients’ entire follow-up and using a data-driven time-partitioned approach (before/after 100 days) to handle non-proportional hazards. History of stroke risk factors (stroke/transient ischaemic attack [TIA] 15.2%; thromboembolism 14.1%; hypertension 84.3%) and high bleeding risk (HAS-BLED score≥3 68.4%) was common. Apixaban-prescribed patients had more frequent history of stroke/TIA (19.7%) and high bleeding risk (72.6%) than other OACs. 12-month persistence rates were: VKA 57.5% (95% confidence interval (CI) 56.0–59.0%), rivaroxaban 56.6% (54.9–58.2%), dabigatran 50.1% (47.2–53.1%), apixaban 62.9% (58.8–67.0%). Over entire follow-up, compared to VKA, non-persistence was similar with apixaban (adjusted hazard ratio 1.08, 95% CI 0.95–1.24) but higher with rivaroxaban (1.21, 1.14–1.29) and dabigatran (1.53, 1.40–1.68). Using post-hoc time-partitioned approach: in first 100 days, non-persistence was higher with apixaban (1.37, 1.17–1.59), rivaroxaban (1.41, 1.30–1.53) and dabigatran (1.91, 1.70–2.14) compared to VKA. Compared to apixaban, rivaroxaban non-persistence was similar (1.03, 0.89–1.20), dabigatran was higher (1.39, 1.17–1.66). After 100 days, apixaban non-persistence was lower than VKA (0.66, 0.52–0.85); rivaroxaban (0.97, 0.87–1.07) and dabigatran (1.10, 0.95–1.28) were similar to VKA. Furthermore, rivaroxaban (1.46, 1.13–1.88) and dabigatran (1.67, 1.26–2.19) non-persistence was higher than apixaban. This study describes real-world observations on OAC use, particularly early apixaban use following approval for NVAF, in Germany. We identified potential differential OAC prescribing and higher persistence with apixaban than other OACs after 100 days’ treatment. Larger studies are needed with longer follow-up to establish long-term patterns.","container-title":"PLoS ONE","DOI":"10.1371/journal.pone.0185642","ISSN":"1932-6203","issue":"10","journalAbbreviation":"PLoS One","page":"e0185642","PMID":"29016695","PMCID":"PMC5634552","source":"PubMed Central","title":"Oral anticoagulant persistence in patients with non-valvular atrial fibrillation: A cohort study using primary care data in Germany","title-short":"Oral anticoagulant persistence in patients with non-valvular atrial fibrillation","volume":"12","author":[{"family":"Collings","given":"Shuk-Li"},{"family":"Lefèvre","given":"Cinira"},{"family":"Johnson","given":"Michelle E."},{"family":"Evans","given":"David"},{"family":"Hack","given":"Guido"},{"family":"Stynes","given":"Gillian"},{"family":"Maguire","given":"Andrew"}],"issued":{"date-parts":[["2017",10,10]]}}},{"id":426,"uris":["http://zotero.org/users/14784094/items/ZAQ99TWC"],"itemData":{"id":426,"type":"article-journal","abstract":"BACKGROUND:\nNon-vitamin K antagonist oral anticoagulants (NOACs) are widely used for prevention of stroke secondary to nonvalvular atrial fibrillation (NVAF). Increased use of NOACs is partially a result of simplified regimens compared with warfarin, which has been associated with poor adherence and persistence to therapy. Few studies have assessed adherence to NOACs, especially using contemporary data now that multiple NOACs are available.\n\nOBJECTIVE:\nTo evaluate adherence to NOACs in a cohort of newly diagnosed NVAF patients who are commercially insured.\n\nMETHODS:\nIncident, treatment-naïve NVAF patients were identified in 2013 from a large claims database. Patients were included who initiated rivaroxaban, dabigatran, or apixaban within 30 days after diagnosis. Subjects were required to have 12 months of pre-index information to assess demographic and clinical characteristics (comorbidities, CHA2DS2-VASc, and HAS-BLED scores). Adherence to the index medication and adherence to any oral anticoagulant was assessed using proportion of days covered (PDC) at 3, 6, and 9 months. The number of switches and gaps in therapy were also evaluated. Analyses were stratified by stroke risk scores, and a logistic regression model was used to control for factors that may predict high adherence (PDC ≥ 0.80).\n\nRESULTS:\nA total of 3,455 rivaroxaban, 1,264 dabigatran, and 504 apixaban users were included with no major clinical or demographic differences between groups. At 3, 6, and 9 months of follow-up, dabigatran had lower adherence (PDC = 0.77, 0.67, and 0.62) compared with rivaroxaban (PDC = 0.84, 0.75, and 0.70; P &lt; 0.001) and apixaban (PDC = 0.82, 0.75, and 0.71; P &lt; 0.001), as well as nearly twice the number of switches to either other anticoagulants or antiplatelet therapy. At 9 months, 55.0% of rivaroxaban initiators had PDC ≥ 0.80, which was comparable with 56.8% for apixaban and significantly greater than 46.7% for dabigatran (P &lt; 0.001). Adherence was higher overall as stroke risk increased and showed dabigatran had consistently lower adherence compared with the other NOACs. Overall adherence to any oral anticoagulants, allowing for switches to another NOAC or warfarin, was not dependent on the index medication (9-month PDC = 0.74, 0.71, and 0.74 for rivaroxaban, dabigatran, and apixaban initiators). Adjusted analyses showed that increasing age and comorbid hypertension and diabetes were associated with higher adherence. Compared with rivaroxaban, dabigatran initiators had nearly 30% lower odds of being adherent to their index medication, and no differences were observed between apixaban and rivaroxaban. At 9 months, there were no differences between NOACs for overall adherence to oral anticoagulants.\n\nCONCLUSIONS:\nIn this real-world analysis of adherence to NOACs, rivaroxaban and apixaban had favorable profiles compared with dabigatran, and rivaroxaban appeared to have higher overall adherence among the NOACs. Clinicians and managed care organizations should consider the implications of lower adherence on clinical outcomes as well as quality assessment.","container-title":"Journal of Managed Care &amp; Specialty Pharmacy","DOI":"10.18553/jmcp.2016.22.11.1319","ISSN":"2376-0540","issue":"11","journalAbbreviation":"J Manag Care Spec Pharm","page":"10.18553/jmcp.2016.22.11.1319","PMID":"27783556","PMCID":"PMC5751430","source":"PubMed Central","title":"Adherence to Rivaroxaban, Dabigatran, and Apixaban for Stroke Prevention in Incident, Treatment-Naïve Nonvalvular Atrial Fibrillation","volume":"22","author":[{"family":"Brown","given":"Joshua D."},{"family":"Shewale","given":"Anand R."},{"family":"Talbert","given":"Jeffery C."}],"issued":{"date-parts":[["2016",11]]}}},{"id":404,"uris":["http://zotero.org/users/14784094/items/PT4ER2YM"],"itemData":{"id":404,"type":"article-journal","abstract":"Objective\nPrevious observational studies have yielded conflicting results on whether medication adherence differs between patients receiving warfarin and direct oral anticoagulants (DOACs). Importantly, no study has adequately accounted for warfarin dosing being continuously modified based on INR values while dosing of DOACs is fixed. We aimed to compare non-adherence between new users of apixaban, dabigatran, rivaroxaban and warfarin in a population-based cohort.\n\nMethods\nNew users of apixaban, dabigatran, rivaroxaban and warfarin from 2014 to 2019 living in the Icelandic capital area were included. Non-adherence was defined as proportion of days covered below 80%. Inverse probability weighting was used to yield balanced study groups and non-adherence was compared using logistic regression. Factors associated with non-adherence were estimated using multivariable logistic regression.\n\nResults\nOverall, 1266 patients received apixaban, 247 dabigatran, 1566 rivaroxaban and 768 warfarin. The proportion of patients with non-adherence ranged from 10.5% to 16.7%. Dabigatran was associated with significantly higher odds of non-adherence compared with apixaban (OR 1.57, 95% CI 1.21 to 2.04, p&lt;0.001), rivaroxaban (OR 1.45, 95% CI 1.12 to 1.89, p=0.005) and warfarin (OR 1.63, 95% CI 1.23 to 2.15, p&lt;0.001). The odds of non-adherence were similar for apixaban, rivaroxaban and warfarin. Apart from the type of oral anticoagulants (OACs) used, female sex, hypertension, history of cerebrovascular accident and concomitant statin use were all independently associated with lower odds of non-adherence.\n\nConclusion\nDabigatran was associated with higher odds of non-adherence compared with other OACs. Non-adherence was similar between apixaban, rivaroxaban and warfarin users. Female sex and higher comorbidity were associated with better medication adherence.","container-title":"BMJ Open","DOI":"10.1136/bmjopen-2022-065700","ISSN":"2044-6055","issue":"1","journalAbbreviation":"BMJ Open","page":"e065700","PMID":"36604126","PMCID":"PMC9827257","source":"PubMed Central","title":"Comparison of medication adherence to different oral anticoagulants: population-based cohort study","title-short":"Comparison of medication adherence to different oral anticoagulants","volume":"13","author":[{"family":"Ingason","given":"Arnar B"},{"family":"Hreinsson","given":"Jóhann P"},{"family":"Lund","given":"Sigrún H"},{"family":"Ágústsson","given":"Arnar S"},{"family":"Rumba","given":"Edward"},{"family":"Pálsson","given":"Daníel A"},{"family":"Reynisson","given":"Indriði E"},{"family":"Guðmundsdóttir","given":"Brynja R"},{"family":"Önundarson","given":"Páll T"},{"family":"Björnsson","given":"Einar S"}],"issued":{"date-parts":[["2023",1,5]]}}}],"schema":"https://github.com/citation-style-language/schema/raw/master/csl-citation.json"} </w:instrText>
      </w:r>
      <w:r w:rsidR="0027325F">
        <w:rPr>
          <w:rFonts w:ascii="Times New Roman" w:hAnsi="Times New Roman" w:cs="Times New Roman"/>
          <w:sz w:val="28"/>
          <w:szCs w:val="28"/>
          <w:lang w:bidi="ar-SA"/>
        </w:rPr>
        <w:fldChar w:fldCharType="separate"/>
      </w:r>
      <w:r w:rsidR="00AC4691" w:rsidRPr="00AC4691">
        <w:rPr>
          <w:rFonts w:ascii="Times New Roman" w:eastAsiaTheme="minorHAnsi" w:hAnsi="Times New Roman" w:cs="Times New Roman"/>
          <w:sz w:val="28"/>
          <w:szCs w:val="24"/>
          <w:lang w:eastAsia="en-US"/>
          <w14:ligatures w14:val="standardContextual"/>
        </w:rPr>
        <w:t>[212,214,218–222]</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Например, через 9 месяцев терапии доля пациентов, достигших целевого уровня приверженности (</w:t>
      </w:r>
      <w:r w:rsidR="0027325F">
        <w:rPr>
          <w:rFonts w:ascii="Times New Roman" w:hAnsi="Times New Roman" w:cs="Times New Roman"/>
          <w:sz w:val="28"/>
          <w:szCs w:val="28"/>
          <w:lang w:val="en-US" w:bidi="ar-SA"/>
        </w:rPr>
        <w:t>PDC</w:t>
      </w:r>
      <w:r w:rsidR="0027325F">
        <w:rPr>
          <w:rFonts w:ascii="Times New Roman" w:hAnsi="Times New Roman" w:cs="Times New Roman"/>
          <w:sz w:val="28"/>
          <w:szCs w:val="28"/>
          <w:lang w:val="en-US" w:bidi="ar-SA"/>
        </w:rPr>
        <w:sym w:font="Symbol" w:char="F0B3"/>
      </w:r>
      <w:r w:rsidR="0027325F" w:rsidRPr="0027325F">
        <w:rPr>
          <w:rFonts w:ascii="Times New Roman" w:hAnsi="Times New Roman" w:cs="Times New Roman"/>
          <w:sz w:val="28"/>
          <w:szCs w:val="28"/>
          <w:lang w:bidi="ar-SA"/>
        </w:rPr>
        <w:t>80%</w:t>
      </w:r>
      <w:r w:rsidR="0027325F">
        <w:rPr>
          <w:rFonts w:ascii="Times New Roman" w:hAnsi="Times New Roman" w:cs="Times New Roman"/>
          <w:sz w:val="28"/>
          <w:szCs w:val="28"/>
          <w:lang w:bidi="ar-SA"/>
        </w:rPr>
        <w:t>), составляла 55-57% среди принимавших апиксабан или ривароксабан, тогда как в группе дабигатрана этот показатель был значительно ниже – лишь 47%</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X2fEHAxt","properties":{"unsorted":false,"formattedCitation":"[221]","plainCitation":"[221]","noteIndex":0},"citationItems":[{"id":426,"uris":["http://zotero.org/users/14784094/items/ZAQ99TWC"],"itemData":{"id":426,"type":"article-journal","abstract":"BACKGROUND:\nNon-vitamin K antagonist oral anticoagulants (NOACs) are widely used for prevention of stroke secondary to nonvalvular atrial fibrillation (NVAF). Increased use of NOACs is partially a result of simplified regimens compared with warfarin, which has been associated with poor adherence and persistence to therapy. Few studies have assessed adherence to NOACs, especially using contemporary data now that multiple NOACs are available.\n\nOBJECTIVE:\nTo evaluate adherence to NOACs in a cohort of newly diagnosed NVAF patients who are commercially insured.\n\nMETHODS:\nIncident, treatment-naïve NVAF patients were identified in 2013 from a large claims database. Patients were included who initiated rivaroxaban, dabigatran, or apixaban within 30 days after diagnosis. Subjects were required to have 12 months of pre-index information to assess demographic and clinical characteristics (comorbidities, CHA2DS2-VASc, and HAS-BLED scores). Adherence to the index medication and adherence to any oral anticoagulant was assessed using proportion of days covered (PDC) at 3, 6, and 9 months. The number of switches and gaps in therapy were also evaluated. Analyses were stratified by stroke risk scores, and a logistic regression model was used to control for factors that may predict high adherence (PDC ≥ 0.80).\n\nRESULTS:\nA total of 3,455 rivaroxaban, 1,264 dabigatran, and 504 apixaban users were included with no major clinical or demographic differences between groups. At 3, 6, and 9 months of follow-up, dabigatran had lower adherence (PDC = 0.77, 0.67, and 0.62) compared with rivaroxaban (PDC = 0.84, 0.75, and 0.70; P &lt; 0.001) and apixaban (PDC = 0.82, 0.75, and 0.71; P &lt; 0.001), as well as nearly twice the number of switches to either other anticoagulants or antiplatelet therapy. At 9 months, 55.0% of rivaroxaban initiators had PDC ≥ 0.80, which was comparable with 56.8% for apixaban and significantly greater than 46.7% for dabigatran (P &lt; 0.001). Adherence was higher overall as stroke risk increased and showed dabigatran had consistently lower adherence compared with the other NOACs. Overall adherence to any oral anticoagulants, allowing for switches to another NOAC or warfarin, was not dependent on the index medication (9-month PDC = 0.74, 0.71, and 0.74 for rivaroxaban, dabigatran, and apixaban initiators). Adjusted analyses showed that increasing age and comorbid hypertension and diabetes were associated with higher adherence. Compared with rivaroxaban, dabigatran initiators had nearly 30% lower odds of being adherent to their index medication, and no differences were observed between apixaban and rivaroxaban. At 9 months, there were no differences between NOACs for overall adherence to oral anticoagulants.\n\nCONCLUSIONS:\nIn this real-world analysis of adherence to NOACs, rivaroxaban and apixaban had favorable profiles compared with dabigatran, and rivaroxaban appeared to have higher overall adherence among the NOACs. Clinicians and managed care organizations should consider the implications of lower adherence on clinical outcomes as well as quality assessment.","container-title":"Journal of Managed Care &amp; Specialty Pharmacy","DOI":"10.18553/jmcp.2016.22.11.1319","ISSN":"2376-0540","issue":"11","journalAbbreviation":"J Manag Care Spec Pharm","page":"10.18553/jmcp.2016.22.11.1319","PMID":"27783556","PMCID":"PMC5751430","source":"PubMed Central","title":"Adherence to Rivaroxaban, Dabigatran, and Apixaban for Stroke Prevention in Incident, Treatment-Naïve Nonvalvular Atrial Fibrillation","volume":"22","author":[{"family":"Brown","given":"Joshua D."},{"family":"Shewale","given":"Anand R."},{"family":"Talbert","given":"Jeffery C."}],"issued":{"date-parts":[["2016",11]]}}}],"schema":"https://github.com/citation-style-language/schema/raw/master/csl-citation.json"}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[221]</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Более того, приверженность к апиксабану была аналогична таковой у ривароксабана, но стабильно выше, чем у дабигатрана</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7D3T7Vh","properties":{"unsorted":false,"formattedCitation":"[212,218,221]","plainCitation":"[212,218,221]","noteIndex":0},"citationItems":[{"id":432,"uris":["http://zotero.org/users/14784094/items/RAS7QSH6"],"itemData":{"id":432,"type":"article-journal","abstract":"Background\nTwice-daily dosing of non-vitamin K antagonist oral anticoagulants (NOACs) may reduce drug adherence compared with once-daily dosing of NOACs in patients with atrial fibrillation (AF), thus worsening clinical outcomes. We evaluated adherence to apixaban and dabigatran requiring twice-daily dosing compared with edoxaban or rivaroxaban with a once-daily dosing regimen and the subsequent clinical outcomes in patients with AF.\n\nMethods\nAdherence to each NOAC and outcomes were compared between patients who were diagnosed with AF and initiated NOACs between 2016 and 2017 using Korean claims data. High adherence was defined as the proportion of days covered (PDC) of the index NOAC ≥80%. The clinical outcomes included stroke, acute myocardial infarction, death, and composite outcome.\n\nResults\nA total of 33,515 patients were analyzed (mean follow-up, 1.7 ± 1.3 years). The proportion of patients with high adherence to NOACs was 95%, which did not significantly differ according to the dosing regimen. The mean PDC for NOACs was as high as ~96%, which was the highest for apixaban users, intermediate for edoxaban or rivaroxaban users, and lowest for dabigatran users, regardless of the dosing regimen. Adverse outcomes in low adherence patients for each NOAC were higher than that of high adherence patients, regardless of the dosing frequency.\n\nConclusions\nAdherence between once- and twice-daily dosing NOACs in patients with AF was high and similar among both dosing regimens. Patients with low NOAC adherence had poorer clinical outcomes, regardless of the dosing frequency.","container-title":"PLOS ONE","DOI":"10.1371/journal.pone.0283478","ISSN":"1932-6203","issue":"3","journalAbbreviation":"PLoS One","page":"e0283478","PMID":"36996134","PMCID":"PMC10062560","source":"PubMed Central","title":"Adherence and clinical outcomes for twice-daily versus once-daily dosing of non-vitamin K antagonist oral anticoagulants in patients with atrial fibrillation: Is dosing frequency important?","title-short":"Adherence and clinical outcomes for twice-daily versus once-daily dosing of non-vitamin K antagonist oral anticoagulants in patients with atrial fibrillation","volume":"18","author":[{"family":"Hwang","given":"Hui-Jeong"},{"family":"Sohn","given":"Il Suk"},{"family":"Jin","given":"Eun-Sun"},{"family":"Bae","given":"Yoon-Jong"}],"issued":{"date-parts":[["2023",3,30]]}}},{"id":475,"uris":["http://zotero.org/users/14784094/items/8RFG73PC"],"itemData":{"id":475,"type":"article-journal","abstract":"Background: Direct oral anticoagulants (DOACs) are widely used for stroke prevention in patients with non-valvular atrial ﬁbrillation (NVAF). We investigated the adherence of DOACs for years known to be associated with the effectiveness in Japanese NVAF patients, using a claim database.\nMethod: We performed a retrospective evaluation of NVAF patients in a claims database in Japan, who initiated dabigatran, rivaroxaban, and apixaban between April 2011 and June 2016. Drug persistence was assessed by Kaplan-Meier method for the initially-prescribed DOAC and all DOACs including switched ones. Proportion of days covered (PDC) was also evaluated in patients with persistent prescription and compared among DOACs.\nResults: In the total of 671 patients, rivaroxaban (47%) was more prescribed than dabigatran (28%) and apixaban (25%). Drug persistence at 3 years was higher in rivaroxaban (69%) than dabigatran (57%) and apixaban (67%). Including switching to other DOACs, persistence of DOACs was 72% at 3 years without signiﬁcant differences between index-DOACs. In multivariate Cox regression analysis, absence of hypertension, and prior history of cancer were signiﬁcantly associated with the drug discontinuation of all DOACs. The mean PDC was ~ 95% and the frequency of high-adherent patients (PDC ≥0.80) was more than 90%, which similarly persisted at 3 years and showed no signiﬁcant differences between index DOACs.\nConclusion: In a real-world Japanese claim data analysis, about 70% of patients under DOAC showed persistence with anticoagulation therapy at 3 years. High adherence to DOACs assessed by PDC (over 90%) persisted to 3 years regardless of the types of DOACs.","container-title":"Journal of Cardiology","DOI":"10.1016/j.jjcc.2021.02.007","ISSN":"09145087","issue":"2","journalAbbreviation":"Journal of Cardiology","language":"en","page":"150-156","source":"DOI.org (Crossref)","title":"Current status of oral anticoagulant adherence in Japanese patients with atrial fibrillation: A claims database analysis","title-short":"Current status of oral anticoagulant adherence in Japanese patients with atrial fibrillation","volume":"78","author":[{"family":"Yagi","given":"Naoharu"},{"family":"Suzuki","given":"Shinya"},{"family":"Nagai","given":"Katsuhiko"},{"family":"Tanaka","given":"Takashi"},{"family":"Nagahama","given":"Takayoshi"},{"family":"Arita","given":"Takuto"},{"family":"Otsuka","given":"Takayuki"},{"family":"Yamashita","given":"Takeshi"}],"issued":{"date-parts":[["2021",8]]}}},{"id":426,"uris":["http://zotero.org/users/14784094/items/ZAQ99TWC"],"itemData":{"id":426,"type":"article-journal","abstract":"BACKGROUND:\nNon-vitamin K antagonist oral anticoagulants (NOACs) are widely used for prevention of stroke secondary to nonvalvular atrial fibrillation (NVAF). Increased use of NOACs is partially a result of simplified regimens compared with warfarin, which has been associated with poor adherence and persistence to therapy. Few studies have assessed adherence to NOACs, especially using contemporary data now that multiple NOACs are available.\n\nOBJECTIVE:\nTo evaluate adherence to NOACs in a cohort of newly diagnosed NVAF patients who are commercially insured.\n\nMETHODS:\nIncident, treatment-naïve NVAF patients were identified in 2013 from a large claims database. Patients were included who initiated rivaroxaban, dabigatran, or apixaban within 30 days after diagnosis. Subjects were required to have 12 months of pre-index information to assess demographic and clinical characteristics (comorbidities, CHA2DS2-VASc, and HAS-BLED scores). Adherence to the index medication and adherence to any oral anticoagulant was assessed using proportion of days covered (PDC) at 3, 6, and 9 months. The number of switches and gaps in therapy were also evaluated. Analyses were stratified by stroke risk scores, and a logistic regression model was used to control for factors that may predict high adherence (PDC ≥ 0.80).\n\nRESULTS:\nA total of 3,455 rivaroxaban, 1,264 dabigatran, and 504 apixaban users were included with no major clinical or demographic differences between groups. At 3, 6, and 9 months of follow-up, dabigatran had lower adherence (PDC = 0.77, 0.67, and 0.62) compared with rivaroxaban (PDC = 0.84, 0.75, and 0.70; P &lt; 0.001) and apixaban (PDC = 0.82, 0.75, and 0.71; P &lt; 0.001), as well as nearly twice the number of switches to either other anticoagulants or antiplatelet therapy. At 9 months, 55.0% of rivaroxaban initiators had PDC ≥ 0.80, which was comparable with 56.8% for apixaban and significantly greater than 46.7% for dabigatran (P &lt; 0.001). Adherence was higher overall as stroke risk increased and showed dabigatran had consistently lower adherence compared with the other NOACs. Overall adherence to any oral anticoagulants, allowing for switches to another NOAC or warfarin, was not dependent on the index medication (9-month PDC = 0.74, 0.71, and 0.74 for rivaroxaban, dabigatran, and apixaban initiators). Adjusted analyses showed that increasing age and comorbid hypertension and diabetes were associated with higher adherence. Compared with rivaroxaban, dabigatran initiators had nearly 30% lower odds of being adherent to their index medication, and no differences were observed between apixaban and rivaroxaban. At 9 months, there were no differences between NOACs for overall adherence to oral anticoagulants.\n\nCONCLUSIONS:\nIn this real-world analysis of adherence to NOACs, rivaroxaban and apixaban had favorable profiles compared with dabigatran, and rivaroxaban appeared to have higher overall adherence among the NOACs. Clinicians and managed care organizations should consider the implications of lower adherence on clinical outcomes as well as quality assessment.","container-title":"Journal of Managed Care &amp; Specialty Pharmacy","DOI":"10.18553/jmcp.2016.22.11.1319","ISSN":"2376-0540","issue":"11","journalAbbreviation":"J Manag Care Spec Pharm","page":"10.18553/jmcp.2016.22.11.1319","PMID":"27783556","PMCID":"PMC5751430","source":"PubMed Central","title":"Adherence to Rivaroxaban, Dabigatran, and Apixaban for Stroke Prevention in Incident, Treatment-Naïve Nonvalvular Atrial Fibrillation","volume":"22","author":[{"family":"Brown","given":"Joshua D."},{"family":"Shewale","given":"Anand R."},{"family":"Talbert","given":"Jeffery C."}],"issued":{"date-parts":[["2016",11]]}}}],"schema":"https://github.com/citation-style-language/schema/raw/master/csl-citation.json"}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[212,218,221]</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Авторы исследований связывают это, в частности, с лучшей переносимостью ривароксабана и апиксабана у некоторых пациентов, в то время как дабигатран чаще вызывал диспепсические явления, служившие причиной пропусков доз или отмены терапии</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xpqDPaHc","properties":{"unsorted":false,"formattedCitation":"[212,218,221]","plainCitation":"[212,218,221]","noteIndex":0},"citationItems":[{"id":432,"uris":["http://zotero.org/users/14784094/items/RAS7QSH6"],"itemData":{"id":432,"type":"article-journal","abstract":"Background\nTwice-daily dosing of non-vitamin K antagonist oral anticoagulants (NOACs) may reduce drug adherence compared with once-daily dosing of NOACs in patients with atrial fibrillation (AF), thus worsening clinical outcomes. We evaluated adherence to apixaban and dabigatran requiring twice-daily dosing compared with edoxaban or rivaroxaban with a once-daily dosing regimen and the subsequent clinical outcomes in patients with AF.\n\nMethods\nAdherence to each NOAC and outcomes were compared between patients who were diagnosed with AF and initiated NOACs between 2016 and 2017 using Korean claims data. High adherence was defined as the proportion of days covered (PDC) of the index NOAC ≥80%. The clinical outcomes included stroke, acute myocardial infarction, death, and composite outcome.\n\nResults\nA total of 33,515 patients were analyzed (mean follow-up, 1.7 ± 1.3 years). The proportion of patients with high adherence to NOACs was 95%, which did not significantly differ according to the dosing regimen. The mean PDC for NOACs was as high as ~96%, which was the highest for apixaban users, intermediate for edoxaban or rivaroxaban users, and lowest for dabigatran users, regardless of the dosing regimen. Adverse outcomes in low adherence patients for each NOAC were higher than that of high adherence patients, regardless of the dosing frequency.\n\nConclusions\nAdherence between once- and twice-daily dosing NOACs in patients with AF was high and similar among both dosing regimens. Patients with low NOAC adherence had poorer clinical outcomes, regardless of the dosing frequency.","container-title":"PLOS ONE","DOI":"10.1371/journal.pone.0283478","ISSN":"1932-6203","issue":"3","journalAbbreviation":"PLoS One","page":"e0283478","PMID":"36996134","PMCID":"PMC10062560","source":"PubMed Central","title":"Adherence and clinical outcomes for twice-daily versus once-daily dosing of non-vitamin K antagonist oral anticoagulants in patients with atrial fibrillation: Is dosing frequency important?","title-short":"Adherence and clinical outcomes for twice-daily versus once-daily dosing of non-vitamin K antagonist oral anticoagulants in patients with atrial fibrillation","volume":"18","author":[{"family":"Hwang","given":"Hui-Jeong"},{"family":"Sohn","given":"Il Suk"},{"family":"Jin","given":"Eun-Sun"},{"family":"Bae","given":"Yoon-Jong"}],"issued":{"date-parts":[["2023",3,30]]}}},{"id":475,"uris":["http://zotero.org/users/14784094/items/8RFG73PC"],"itemData":{"id":475,"type":"article-journal","abstract":"Background: Direct oral anticoagulants (DOACs) are widely used for stroke prevention in patients with non-valvular atrial ﬁbrillation (NVAF). We investigated the adherence of DOACs for years known to be associated with the effectiveness in Japanese NVAF patients, using a claim database.\nMethod: We performed a retrospective evaluation of NVAF patients in a claims database in Japan, who initiated dabigatran, rivaroxaban, and apixaban between April 2011 and June 2016. Drug persistence was assessed by Kaplan-Meier method for the initially-prescribed DOAC and all DOACs including switched ones. Proportion of days covered (PDC) was also evaluated in patients with persistent prescription and compared among DOACs.\nResults: In the total of 671 patients, rivaroxaban (47%) was more prescribed than dabigatran (28%) and apixaban (25%). Drug persistence at 3 years was higher in rivaroxaban (69%) than dabigatran (57%) and apixaban (67%). Including switching to other DOACs, persistence of DOACs was 72% at 3 years without signiﬁcant differences between index-DOACs. In multivariate Cox regression analysis, absence of hypertension, and prior history of cancer were signiﬁcantly associated with the drug discontinuation of all DOACs. The mean PDC was ~ 95% and the frequency of high-adherent patients (PDC ≥0.80) was more than 90%, which similarly persisted at 3 years and showed no signiﬁcant differences between index DOACs.\nConclusion: In a real-world Japanese claim data analysis, about 70% of patients under DOAC showed persistence with anticoagulation therapy at 3 years. High adherence to DOACs assessed by PDC (over 90%) persisted to 3 years regardless of the types of DOACs.","container-title":"Journal of Cardiology","DOI":"10.1016/j.jjcc.2021.02.007","ISSN":"09145087","issue":"2","journalAbbreviation":"Journal of Cardiology","language":"en","page":"150-156","source":"DOI.org (Crossref)","title":"Current status of oral anticoagulant adherence in Japanese patients with atrial fibrillation: A claims database analysis","title-short":"Current status of oral anticoagulant adherence in Japanese patients with atrial fibrillation","volume":"78","author":[{"family":"Yagi","given":"Naoharu"},{"family":"Suzuki","given":"Shinya"},{"family":"Nagai","given":"Katsuhiko"},{"family":"Tanaka","given":"Takashi"},{"family":"Nagahama","given":"Takayoshi"},{"family":"Arita","given":"Takuto"},{"family":"Otsuka","given":"Takayuki"},{"family":"Yamashita","given":"Takeshi"}],"issued":{"date-parts":[["2021",8]]}}},{"id":426,"uris":["http://zotero.org/users/14784094/items/ZAQ99TWC"],"itemData":{"id":426,"type":"article-journal","abstract":"BACKGROUND:\nNon-vitamin K antagonist oral anticoagulants (NOACs) are widely used for prevention of stroke secondary to nonvalvular atrial fibrillation (NVAF). Increased use of NOACs is partially a result of simplified regimens compared with warfarin, which has been associated with poor adherence and persistence to therapy. Few studies have assessed adherence to NOACs, especially using contemporary data now that multiple NOACs are available.\n\nOBJECTIVE:\nTo evaluate adherence to NOACs in a cohort of newly diagnosed NVAF patients who are commercially insured.\n\nMETHODS:\nIncident, treatment-naïve NVAF patients were identified in 2013 from a large claims database. Patients were included who initiated rivaroxaban, dabigatran, or apixaban within 30 days after diagnosis. Subjects were required to have 12 months of pre-index information to assess demographic and clinical characteristics (comorbidities, CHA2DS2-VASc, and HAS-BLED scores). Adherence to the index medication and adherence to any oral anticoagulant was assessed using proportion of days covered (PDC) at 3, 6, and 9 months. The number of switches and gaps in therapy were also evaluated. Analyses were stratified by stroke risk scores, and a logistic regression model was used to control for factors that may predict high adherence (PDC ≥ 0.80).\n\nRESULTS:\nA total of 3,455 rivaroxaban, 1,264 dabigatran, and 504 apixaban users were included with no major clinical or demographic differences between groups. At 3, 6, and 9 months of follow-up, dabigatran had lower adherence (PDC = 0.77, 0.67, and 0.62) compared with rivaroxaban (PDC = 0.84, 0.75, and 0.70; P &lt; 0.001) and apixaban (PDC = 0.82, 0.75, and 0.71; P &lt; 0.001), as well as nearly twice the number of switches to either other anticoagulants or antiplatelet therapy. At 9 months, 55.0% of rivaroxaban initiators had PDC ≥ 0.80, which was comparable with 56.8% for apixaban and significantly greater than 46.7% for dabigatran (P &lt; 0.001). Adherence was higher overall as stroke risk increased and showed dabigatran had consistently lower adherence compared with the other NOACs. Overall adherence to any oral anticoagulants, allowing for switches to another NOAC or warfarin, was not dependent on the index medication (9-month PDC = 0.74, 0.71, and 0.74 for rivaroxaban, dabigatran, and apixaban initiators). Adjusted analyses showed that increasing age and comorbid hypertension and diabetes were associated with higher adherence. Compared with rivaroxaban, dabigatran initiators had nearly 30% lower odds of being adherent to their index medication, and no differences were observed between apixaban and rivaroxaban. At 9 months, there were no differences between NOACs for overall adherence to oral anticoagulants.\n\nCONCLUSIONS:\nIn this real-world analysis of adherence to NOACs, rivaroxaban and apixaban had favorable profiles compared with dabigatran, and rivaroxaban appeared to have higher overall adherence among the NOACs. Clinicians and managed care organizations should consider the implications of lower adherence on clinical outcomes as well as quality assessment.","container-title":"Journal of Managed Care &amp; Specialty Pharmacy","DOI":"10.18553/jmcp.2016.22.11.1319","ISSN":"2376-0540","issue":"11","journalAbbreviation":"J Manag Care Spec Pharm","page":"10.18553/jmcp.2016.22.11.1319","PMID":"27783556","PMCID":"PMC5751430","source":"PubMed Central","title":"Adherence to Rivaroxaban, Dabigatran, and Apixaban for Stroke Prevention in Incident, Treatment-Naïve Nonvalvular Atrial Fibrillation","volume":"22","author":[{"family":"Brown","given":"Joshua D."},{"family":"Shewale","given":"Anand R."},{"family":"Talbert","given":"Jeffery C."}],"issued":{"date-parts":[["2016",11]]}}}],"schema":"https://github.com/citation-style-language/schema/raw/master/csl-citation.json"}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[212,218,221]</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Важным практическим наблюдением стало то, что однократный ежедневный прием ривароксабана сам по себе мог способствовать лучшему соблюдению режима терапии по сравнению с двухкратным приемом дабигатрана или апиксабана</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{"citationID":"zoRao9Rk","properties":{"unsorted":false,"formattedCitation":"[211]","plainCitation":"[211]","noteIndex":0},"citationItems":[{"id":400,"uris":["http://zotero.org/users/14784094/items/TLI5CCHE"],"itemData":{"id":400,"type":"article-journal","abstract":"Data regarding adherence and minor bleeding on direct oral anticoagulants in everyday life are still sparse. Inclusion criteria: treatment initiated with dabigatran, rivaroxaban or apixaban in non-valvular atrial fibrillation patients from a center in northern Sweden between 2011 and 2019 (n = 668). Exclusion criteria: cognitive impairment, dose dispensing, need of interpreter or hospital admission (n = 67). By a telephone interview adherence was measured in 569 patients (response rate 94.8%) using the 8-item Morisky medication adherence scale and minor bleeding was asked for. CHA2DS2-VASc and HAS-BLED scores were collected from medical records. The number (n), mean age, mean treatment duration, mean (points) CHA2DS2-VASc and HAS-BLED scores was with dabigatran (n = 175, 73.3 years, 17.8 months, 3.6 p and 2.2 p), rivaroxaban (n = 198, 73.7 years, 21months, 3.8 p and 2.1 p) and apixaban (n = 196, 72.7 years, 15.2 months, 3.4 p and 2.1 p). Adherence was high for dabigatran, rivaroxaban and apixaban in 54%, 76% and 53%; intermediate in 37%, 20% and 37% or low in 9%, 4% and 10% respectively. High adherence (Morisky score 8) distinguished rivaroxaban (p &lt; 0.0001) and in patients with CHA2DS2-VASc ≥ 4 p, (p &lt; 0.0001). Patients on rivaroxaban/apixaban reported more minor bleedings (37% / 28%) compared to dabigatran (13%), (p &lt; 0.001). Only 61% of the patients followed prescription. Adherence to rivaroxaban was significantly better, maybe due to the once daily dosing regimen, and furthermore among patients with higher risk for stroke. Minor bleedings were less common in the dabigatran group. The impact of minor bleedings on adherence and a possible relationship to clinical outcomes need to be further studied.","container-title":"Journal of Thrombosis and Thrombolysis","DOI":"10.1007/s11239-023-02797-8","ISSN":"0929-5305","issue":"1","journalAbbreviation":"J Thromb Thrombolysis","page":"55-64","PMID":"37119356","PMCID":"PMC10284977","source":"PubMed Central","title":"Direct oral anticoagulants: patient reported adherence and minor bleedings","title-short":"Direct oral anticoagulants","volume":"56","author":[{"family":"Hayat","given":"Amina"},{"family":"Själander","given":"Anders"},{"family":"Wallvik","given":"Jonas"}],"issued":{"date-parts":[["2023"]]}}}],"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[211]</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 xml:space="preserve">Это преимущество сохранялось независимо от балла по шкале риска тромбоэмболий </w:t>
      </w:r>
      <w:r w:rsidR="0027325F">
        <w:rPr>
          <w:rFonts w:ascii="Times New Roman" w:hAnsi="Times New Roman" w:cs="Times New Roman"/>
          <w:sz w:val="28"/>
          <w:szCs w:val="28"/>
          <w:lang w:val="en-US" w:bidi="ar-SA"/>
        </w:rPr>
        <w:t>CHA</w:t>
      </w:r>
      <w:r w:rsidR="0027325F" w:rsidRPr="0027325F">
        <w:rPr>
          <w:rFonts w:ascii="Times New Roman" w:hAnsi="Times New Roman" w:cs="Times New Roman"/>
          <w:sz w:val="28"/>
          <w:szCs w:val="28"/>
          <w:lang w:bidi="ar-SA"/>
        </w:rPr>
        <w:t>2</w:t>
      </w:r>
      <w:r w:rsidR="0027325F">
        <w:rPr>
          <w:rFonts w:ascii="Times New Roman" w:hAnsi="Times New Roman" w:cs="Times New Roman"/>
          <w:sz w:val="28"/>
          <w:szCs w:val="28"/>
          <w:lang w:val="en-US" w:bidi="ar-SA"/>
        </w:rPr>
        <w:t>DS</w:t>
      </w:r>
      <w:r w:rsidR="0027325F" w:rsidRPr="0027325F">
        <w:rPr>
          <w:rFonts w:ascii="Times New Roman" w:hAnsi="Times New Roman" w:cs="Times New Roman"/>
          <w:sz w:val="28"/>
          <w:szCs w:val="28"/>
          <w:lang w:bidi="ar-SA"/>
        </w:rPr>
        <w:t>2-</w:t>
      </w:r>
      <w:r w:rsidR="0027325F">
        <w:rPr>
          <w:rFonts w:ascii="Times New Roman" w:hAnsi="Times New Roman" w:cs="Times New Roman"/>
          <w:sz w:val="28"/>
          <w:szCs w:val="28"/>
          <w:lang w:val="en-US" w:bidi="ar-SA"/>
        </w:rPr>
        <w:t>VA</w:t>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 xml:space="preserve">Низкий уровень приверженности (обычно определяемый как </w:t>
      </w:r>
      <w:r w:rsidR="0027325F">
        <w:rPr>
          <w:rFonts w:ascii="Times New Roman" w:hAnsi="Times New Roman" w:cs="Times New Roman"/>
          <w:sz w:val="28"/>
          <w:szCs w:val="28"/>
          <w:lang w:val="en-US" w:bidi="ar-SA"/>
        </w:rPr>
        <w:t>PDC</w:t>
      </w:r>
      <w:r w:rsidR="0027325F" w:rsidRPr="0027325F">
        <w:rPr>
          <w:rFonts w:ascii="Times New Roman" w:hAnsi="Times New Roman" w:cs="Times New Roman"/>
          <w:sz w:val="28"/>
          <w:szCs w:val="28"/>
          <w:lang w:bidi="ar-SA"/>
        </w:rPr>
        <w:t>/</w:t>
      </w:r>
      <w:r w:rsidR="0027325F">
        <w:rPr>
          <w:rFonts w:ascii="Times New Roman" w:hAnsi="Times New Roman" w:cs="Times New Roman"/>
          <w:sz w:val="28"/>
          <w:szCs w:val="28"/>
          <w:lang w:val="en-US" w:bidi="ar-SA"/>
        </w:rPr>
        <w:t>MPR</w:t>
      </w:r>
      <w:r w:rsidR="0027325F" w:rsidRPr="0027325F">
        <w:rPr>
          <w:rFonts w:ascii="Times New Roman" w:hAnsi="Times New Roman" w:cs="Times New Roman"/>
          <w:sz w:val="28"/>
          <w:szCs w:val="28"/>
          <w:lang w:bidi="ar-SA"/>
        </w:rPr>
        <w:t>&lt;80%</w:t>
      </w:r>
      <w:r w:rsidR="0027325F">
        <w:rPr>
          <w:rFonts w:ascii="Times New Roman" w:hAnsi="Times New Roman" w:cs="Times New Roman"/>
          <w:sz w:val="28"/>
          <w:szCs w:val="28"/>
          <w:lang w:bidi="ar-SA"/>
        </w:rPr>
        <w:t>) напрямую ассоциирован с увеличением частоты серьезных сердечно-сосудистых событий</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ztuylF5o","properties":{"unsorted":false,"formattedCitation":"[214,223]","plainCitation":"[214,223]","noteIndex":0},"citationItems":[{"id":450,"uris":["http://zotero.org/users/14784094/items/FTAMGERY"],"itemData":{"id":450,"type":"article-journal","abstract":"Adherence to non-vitamin K antagonist oral anticoagulants (NOACs) is an important factor for ensuring efficacy and safety in nonvalvular atrial fibrillation (NVAF). There are controversial results regarding NOAC adherence in real-world data and there are no data about NOAC adherence in Turkish population. This study investigated the NOAC adherence based on self-report, factors affecting nonadherence, and the relation of the adherence level with efficacy and safety outcomes. This multicenter cross-sectional study included 2738 patients (59% female) using NOAC (dabigatran, apixaban, and rivaroxaban) due to NVAF for more than 3 months with &gt;30 days of supply between September 1, 2015, and February 28, 2016. To measure the adherence level, an 8-item Morisky Medication Adherence Scale was used. The mean age of the patients was 70 ± 10 years. Of the 2738 patients, 44% were receiving dabigatran, 38% rivaroxaban, and 18% apixaban. A total of 630 (23%) patients had high medication adherence, 712 (26%) moderate adherence, and 1396 (51%) low adherence. Nonadherence had related to stroke (5.6% vs 2.5%, P &lt; .001) and minor (21.2% vs 11.1%, P &lt; .001) and major (6.1% vs 3.7%, P = .004) bleeding rates. The adherence to NOAC was found to be quite low in Turkey. Nonadherence is associated with bleeding and thromboembolic cardiovascular events. Age, taking NOAC twice a day, and the additional noncardiac diseases, depression, and dementia were the independent factors affecting poor medication adherence.","container-title":"Clinical and Applied Thrombosis/Hemostasis","DOI":"10.1177/1076029617693940","ISSN":"1076-0296","issue":"3","journalAbbreviation":"Clin Appl Thromb Hemost","page":"525-531","PMID":"28301907","PMCID":"PMC6714660","source":"PubMed Central","title":"Drug Adherence in Patients With Nonvalvular Atrial Fibrillation Taking Non-Vitamin K Antagonist Oral Anticoagulants in Turkey: NOAC-TR","title-short":"Drug Adherence in Patients With Nonvalvular Atrial Fibrillation Taking Non-Vitamin K Antagonist Oral Anticoagulants in Turkey","volume":"24","author":[{"family":"Emren","given":"Sadık Volkan"},{"family":"Şenöz","given":"Oktay"},{"family":"Bilgin","given":"Murat"},{"family":"Beton","given":"Osman"},{"family":"Aslan","given":"Abdullah"},{"family":"Taşkin","given":"Uğur"},{"family":"Açiksari","given":"Gönül"},{"family":"Asarcikli","given":"Lale Dinç"},{"family":"Çakir","given":"Hakan"},{"family":"Bekar","given":"Lütfü"},{"family":"Bolat","given":"İsmail"},{"family":"Yayla","given":"Çağrı"},{"family":"Çelebi","given":"Barış"},{"family":"Dalgiç","given":"Onur"},{"family":"Çelik","given":"Oğuzhan"},{"family":"Şafak","given":"Özgen"},{"family":"Akyel","given":"Serdar"},{"family":"Güngör","given":"Hasan"},{"family":"Düzel","given":"Barış"},{"family":"Zoghi","given":"Mehdi"}],"issued":{"date-parts":[["2018",4]]}}},{"id":452,"uris":["http://zotero.org/users/14784094/items/Z9E578ZY"],"itemData":{"id":452,"type":"article-journal","abstract":"Introduction\nThe objective of this study was to compare the risk of stroke in atrial fibrillation (AF) with adherent use of oral anticoagulation (OAC), non-adherent use, and non-use of OAC.\n\nMethods\nUsing 2013-2016 Medicare claims data, we identified patients newly diagnosed with AF in 2014-2015 and collected prescriptions filled for OAC in the 12 months after AF diagnosis (n=39,272). We categorized participants each day into 3 time-dependent exposures: adherent use (≥80% of the previous 30 days covered with OAC), non-adherent use (0%-80% covered with OAC), and non-use (0%). We constructed Cox proportional hazards models to estimate the association between time-dependent exposures and time to stroke, adjusting for demographics and clinical characteristics.\n\nResults\nThe sample included 39,272 patients. Study participants spent 35.0% of the follow-up period in the adherent use exposure category, 10.9% in the non-adherent category, and 54.0% in the non-use category. OAC adherent use (HR 0.62; 95% CI, 0.52-0.74) and non-adherent use (HR 0.74; 95% CI 0.57-0.95) were associated with lower hazards of stroke than non-use. Adherent use to DOAC (HR 0.54; 95% CI, 0.42-0.69) and warfarin (0.70; 95% CI, 0.56-0.86) was associated with lower risk of stroke than non-use, but the risk of stroke did not statistically differ between DOAC and warfarin adherent use (HR 0.77; 95% CI, 0.56-1.04).\n\nDiscussion\nAlthough adherence to OAC reduces stroke risk by nearly 40%, newly diagnosed AF patients in Medicare adhere to OAC on average only one third of the first year after AF diagnosis.","container-title":"American journal of cardiovascular drugs : drugs, devices, and other interventions","DOI":"10.1007/s40256-019-00371-3","ISSN":"1175-3277","issue":"2","journalAbbreviation":"Am J Cardiovasc Drugs","page":"199-207","PMID":"31523759","PMCID":"PMC7073283","source":"PubMed Central","title":"Adherence to Anticoagulation and Risk of Stroke among Medicare Beneficiaries Newly Diagnosed with Atrial Fibrillation","volume":"20","author":[{"family":"Hernandez","given":"Inmaculada"},{"family":"He","given":"Meiqi"},{"family":"Brooks","given":"Maria M."},{"family":"Saba","given":"Samir"},{"family":"Gellad","given":"Walid F."}],"issued":{"date-parts":[["2020",4]]}}}],"schema":"https://github.com/citation-style-language/schema/raw/master/csl-citation.json"}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[214,223]</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Многочисленные исследования демонстрируют достоверное повышение риска ишемического инсульта (</w:t>
      </w:r>
      <w:r w:rsidR="0027325F">
        <w:rPr>
          <w:rFonts w:ascii="Times New Roman" w:hAnsi="Times New Roman" w:cs="Times New Roman"/>
          <w:sz w:val="28"/>
          <w:szCs w:val="28"/>
          <w:lang w:val="en-US" w:bidi="ar-SA"/>
        </w:rPr>
        <w:t>HR</w:t>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 xml:space="preserve">варьирует </w:t>
      </w:r>
      <w:r w:rsidR="0027325F">
        <w:rPr>
          <w:rFonts w:ascii="Times New Roman" w:hAnsi="Times New Roman" w:cs="Times New Roman"/>
          <w:sz w:val="28"/>
          <w:szCs w:val="28"/>
          <w:lang w:bidi="ar-SA"/>
        </w:rPr>
        <w:sym w:font="Symbol" w:char="F07E"/>
      </w:r>
      <w:r w:rsidR="0027325F">
        <w:rPr>
          <w:rFonts w:ascii="Times New Roman" w:hAnsi="Times New Roman" w:cs="Times New Roman"/>
          <w:sz w:val="28"/>
          <w:szCs w:val="28"/>
          <w:lang w:bidi="ar-SA"/>
        </w:rPr>
        <w:t>1,4-3,1 в разных работах</w:t>
      </w:r>
      <w:r w:rsidR="0027325F" w:rsidRPr="0027325F">
        <w:rPr>
          <w:rFonts w:ascii="Times New Roman" w:hAnsi="Times New Roman" w:cs="Times New Roman"/>
          <w:sz w:val="28"/>
          <w:szCs w:val="28"/>
          <w:lang w:bidi="ar-SA"/>
        </w:rPr>
        <w:t>)</w:t>
      </w:r>
      <w:r w:rsidR="0027325F">
        <w:rPr>
          <w:rFonts w:ascii="Times New Roman" w:hAnsi="Times New Roman" w:cs="Times New Roman"/>
          <w:sz w:val="28"/>
          <w:szCs w:val="28"/>
          <w:lang w:bidi="ar-SA"/>
        </w:rPr>
        <w:t>,</w:t>
      </w:r>
      <w:r w:rsidR="0027325F" w:rsidRPr="0027325F">
        <w:rPr>
          <w:rFonts w:ascii="Times New Roman" w:hAnsi="Times New Roman" w:cs="Times New Roman"/>
          <w:sz w:val="28"/>
          <w:szCs w:val="28"/>
          <w:lang w:bidi="ar-SA"/>
        </w:rPr>
        <w:t xml:space="preserve"> системных эмболий и</w:t>
      </w:r>
      <w:r w:rsidR="0027325F">
        <w:rPr>
          <w:rFonts w:ascii="Times New Roman" w:hAnsi="Times New Roman" w:cs="Times New Roman"/>
          <w:sz w:val="28"/>
          <w:szCs w:val="28"/>
          <w:lang w:bidi="ar-SA"/>
        </w:rPr>
        <w:t>,</w:t>
      </w:r>
      <w:r w:rsidR="0027325F" w:rsidRPr="0027325F">
        <w:rPr>
          <w:rFonts w:ascii="Times New Roman" w:hAnsi="Times New Roman" w:cs="Times New Roman"/>
          <w:sz w:val="28"/>
          <w:szCs w:val="28"/>
          <w:lang w:bidi="ar-SA"/>
        </w:rPr>
        <w:t xml:space="preserve"> что парадоксально</w:t>
      </w:r>
      <w:r w:rsidR="0027325F">
        <w:rPr>
          <w:rFonts w:ascii="Times New Roman" w:hAnsi="Times New Roman" w:cs="Times New Roman"/>
          <w:sz w:val="28"/>
          <w:szCs w:val="28"/>
          <w:lang w:bidi="ar-SA"/>
        </w:rPr>
        <w:t>,</w:t>
      </w:r>
      <w:r w:rsidR="0027325F" w:rsidRPr="0027325F">
        <w:rPr>
          <w:rFonts w:ascii="Times New Roman" w:hAnsi="Times New Roman" w:cs="Times New Roman"/>
          <w:sz w:val="28"/>
          <w:szCs w:val="28"/>
          <w:lang w:bidi="ar-SA"/>
        </w:rPr>
        <w:t xml:space="preserve"> также больших кровотечений пр</w:t>
      </w:r>
      <w:r w:rsidR="0027325F">
        <w:rPr>
          <w:rFonts w:ascii="Times New Roman" w:hAnsi="Times New Roman" w:cs="Times New Roman"/>
          <w:sz w:val="28"/>
          <w:szCs w:val="28"/>
          <w:lang w:bidi="ar-SA"/>
        </w:rPr>
        <w:t>и не</w:t>
      </w:r>
      <w:r w:rsidR="0027325F" w:rsidRPr="0027325F">
        <w:rPr>
          <w:rFonts w:ascii="Times New Roman" w:hAnsi="Times New Roman" w:cs="Times New Roman"/>
          <w:sz w:val="28"/>
          <w:szCs w:val="28"/>
          <w:lang w:bidi="ar-SA"/>
        </w:rPr>
        <w:t xml:space="preserve">регулярном приеме </w:t>
      </w:r>
      <w:r w:rsidR="0027325F">
        <w:rPr>
          <w:rFonts w:ascii="Times New Roman" w:hAnsi="Times New Roman" w:cs="Times New Roman"/>
          <w:sz w:val="28"/>
          <w:szCs w:val="28"/>
          <w:lang w:bidi="ar-SA"/>
        </w:rPr>
        <w:t>ПОАК</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h87Xt0hk","properties":{"unsorted":false,"formattedCitation":"[214,216,217,223]","plainCitation":"[214,216,217,223]","noteIndex":0},"citationItems":[{"id":450,"uris":["http://zotero.org/users/14784094/items/FTAMGERY"],"itemData":{"id":450,"type":"article-journal","abstract":"Adherence to non-vitamin K antagonist oral anticoagulants (NOACs) is an important factor for ensuring efficacy and safety in nonvalvular atrial fibrillation (NVAF). There are controversial results regarding NOAC adherence in real-world data and there are no data about NOAC adherence in Turkish population. This study investigated the NOAC adherence based on self-report, factors affecting nonadherence, and the relation of the adherence level with efficacy and safety outcomes. This multicenter cross-sectional study included 2738 patients (59% female) using NOAC (dabigatran, apixaban, and rivaroxaban) due to NVAF for more than 3 months with &gt;30 days of supply between September 1, 2015, and February 28, 2016. To measure the adherence level, an 8-item Morisky Medication Adherence Scale was used. The mean age of the patients was 70 ± 10 years. Of the 2738 patients, 44% were receiving dabigatran, 38% rivaroxaban, and 18% apixaban. A total of 630 (23%) patients had high medication adherence, 712 (26%) moderate adherence, and 1396 (51%) low adherence. Nonadherence had related to stroke (5.6% vs 2.5%, P &lt; .001) and minor (21.2% vs 11.1%, P &lt; .001) and major (6.1% vs 3.7%, P = .004) bleeding rates. The adherence to NOAC was found to be quite low in Turkey. Nonadherence is associated with bleeding and thromboembolic cardiovascular events. Age, taking NOAC twice a day, and the additional noncardiac diseases, depression, and dementia were the independent factors affecting poor medication adherence.","container-title":"Clinical and Applied Thrombosis/Hemostasis","DOI":"10.1177/1076029617693940","ISSN":"1076-0296","issue":"3","journalAbbreviation":"Clin Appl Thromb Hemost","page":"525-531","PMID":"28301907","PMCID":"PMC6714660","source":"PubMed Central","title":"Drug Adherence in Patients With Nonvalvular Atrial Fibrillation Taking Non-Vitamin K Antagonist Oral Anticoagulants in Turkey: NOAC-TR","title-short":"Drug Adherence in Patients With Nonvalvular Atrial Fibrillation Taking Non-Vitamin K Antagonist Oral Anticoagulants in Turkey","volume":"24","author":[{"family":"Emren","given":"Sadık Volkan"},{"family":"Şenöz","given":"Oktay"},{"family":"Bilgin","given":"Murat"},{"family":"Beton","given":"Osman"},{"family":"Aslan","given":"Abdullah"},{"family":"Taşkin","given":"Uğur"},{"family":"Açiksari","given":"Gönül"},{"family":"Asarcikli","given":"Lale Dinç"},{"family":"Çakir","given":"Hakan"},{"family":"Bekar","given":"Lütfü"},{"family":"Bolat","given":"İsmail"},{"family":"Yayla","given":"Çağrı"},{"family":"Çelebi","given":"Barış"},{"family":"Dalgiç","given":"Onur"},{"family":"Çelik","given":"Oğuzhan"},{"family":"Şafak","given":"Özgen"},{"family":"Akyel","given":"Serdar"},{"family":"Güngör","given":"Hasan"},{"family":"Düzel","given":"Barış"},{"family":"Zoghi","given":"Mehdi"}],"issued":{"date-parts":[["2018",4]]}}},{"id":395,"uris":["http://zotero.org/users/14784094/items/ENY4DAIQ"],"itemData":{"id":395,"type":"article-journal","abstract":"Direct oral anticoagulants (DOACs) are available for nonvalvular atrial fibrillation patients. The advantage of DOACs is that regular anticoagulation monitoring is not required. However, adherence to the recommended regimen is essential. We investigated the association between medication adherence and the risk of cerebral infarction in patients taking DOACs. Patients admitted to any of the participating hospitals for cerebral infarction from September 2018 to February 2020 and prescribed DOACs before admission were defined as the case group, and patients hospitalized for diseases other than cerebral infarction, except for bleeding disorders, and prescribed DOACs before admission were defined as the control group. A nested case–control study was adapted, and 58 and 232 patients were included in the case and control groups, respectively. Medication adherence was assessed by the pharmacists through standardized interviewing. The adjusted odds ratio for the risk of cerebral infarction for low-adherence patients (&lt;80% adherence rate) against good-adherence patients (100% adherence rate) was 9.69 (95% confidence interval, 3.86–24.3; p &lt; 0.001). The patients’ age and other background characteristics were not found to be risk factors for cerebral infarction. In conclusion, low adherence is a risk factor for cerebral infarction in patients taking DOACs. Pharmacists should focus on maintaining ≥80% adherence to DOAC therapy to prevent cerebral infarction.","container-title":"Healthcare","DOI":"10.3390/healthcare9101313","ISSN":"2227-9032","issue":"10","journalAbbreviation":"Healthcare (Basel)","page":"1313","PMID":"34682992","PMCID":"PMC8544438","source":"PubMed Central","title":"Association between Cerebral Infarction Risk and Medication Adherence in Atrial Fibrillation Patients Taking Direct Oral Anticoagulants","volume":"9","author":[{"family":"Akagi","given":"Yuuki"},{"family":"Iketaki","given":"Akiko"},{"family":"Nakamura","given":"Reiko"},{"family":"Yamamura","given":"Shigeo"},{"family":"Endo","given":"Minori"},{"family":"Morikawa","given":"Keisuke"},{"family":"Oikawa","given":"Shun"},{"family":"Ohta","given":"Takahiro"},{"family":"Tatsumi","given":"Shimpei"},{"family":"Suzuki","given":"Takafumi"},{"family":"Mizushima","given":"Atsuhiro"},{"family":"Koido","given":"Keiichi"},{"family":"Takahashi","given":"Tatsuya"}],"issued":{"date-parts":[["2021",10,1]]}}},{"id":458,"uris":["http://zotero.org/users/14784094/items/2U3P95Z3"],"itemData":{"id":458,"type":"article-journal","abstract":"Background: Oral anticoagulation therapy is essential for preventing stroke in patients with atrial ﬁbrillation (AF). However, poor anticoagulant adherence may hamper medication safety and effective prevention of stroke.\nMethods: GENERAL is a prospective cohort study of AF patients taking rivaroxaban prescribed by general practitioners in Japan. In this study, anticoagulant adherence was calculated as the proportion of days covered (PDC), and patients were retrospectively divided into two groups: good adherence (PDC ≥80 %) and poor adherence (&lt;80 %).\nResults: Of 5680 patients in the GENERAL study, the poor adherence group consisted of 223 patients (3.9 %). Baseline clinical characteristics were almost comparable regarding age (PDC ≥80 % vs. &lt;80 %: 73.9 vs. 74.0 years, p = 0.92) and sex (male 64.6 % vs. 66.8 %, p = 0.52). The PDC &lt;80 % group more often had various co-morbidities, and had significantly higher CHADS2 (2.14 vs. 2.28, p = 0.04) and CHA2DS2-VASc scores (3.12 vs. 3.31, p = 0.045). There was no signiﬁcant difference in HAS-BLED score (1.41 vs. 1.47, p = 0.39). During 2-year follow-up, the incidences of stroke or systemic embolism (1.14 vs. 3.56 % per patient-year, p &lt; 0.01), major bleeding (0.59 vs. 1.78 % per patient-year, p &lt; 0.01), and net clinical outcome (the composite of stroke, systemic embolism, major bleeding, or death) (3.49 vs. 7.78 % per patient-year, p &lt; 0.01) were signiﬁcantly higher in the poor adherence group; however, there was no signiﬁcant difference in all-cause (1.89 vs. 2.73 % per patient-year, p = 0.23) and cardiovascular mortality (0.86 vs. 1.49 % per patient-year, p = 0.18). Multivariate analysis revealed that the poor adherence group was independently associated with stroke or systemic embolism (adjusted hazard ratio 3.12, 95 % conﬁdence interval 1.79–5.47), major bleeding (2.87, 1.31–6.34), and net clinical outcome, (2.02, 1.39–2.93), but not with all-cause (1.18, 0.64–2.17) or cardiovascular death (1.39, 0.60–2.93).\nConclusions: Poor anticoagulant adherence, as measured by PDC &lt;80 %, was associated with higher incidence of stroke or systemic embolism and major bleeding in the GENERAL study. © 2022 Japanese College of Cardiology. Published by Elsevier Ltd. All rights reserved.","container-title":"Journal of Cardiology","DOI":"10.1016/j.jjcc.2022.07.022","ISSN":"09145087","issue":"2","journalAbbreviation":"Journal of Cardiology","language":"en","page":"209-214","source":"DOI.org (Crossref)","title":"Clinical characteristics and outcomes of Japanese atrial fibrillation patients with poor medication adherence: A sub-analysis of the GENERAL study","title-short":"Clinical characteristics and outcomes of Japanese atrial fibrillation patients with poor medication adherence","volume":"81","author":[{"family":"Akao","given":"Masaharu"},{"family":"Tsuji","given":"Hikari"},{"family":"Kusano","given":"Kengo"},{"family":"Matsui","given":"Kunihiko"},{"family":"Hiramitsu","given":"Shinya"},{"family":"Hatori","given":"Yutaka"},{"family":"Odakura","given":"Hironori"},{"family":"Ogawa","given":"Hisao"}],"issued":{"date-parts":[["2023",2]]}}},{"id":452,"uris":["http://zotero.org/users/14784094/items/Z9E578ZY"],"itemData":{"id":452,"type":"article-journal","abstract":"Introduction\nThe objective of this study was to compare the risk of stroke in atrial fibrillation (AF) with adherent use of oral anticoagulation (OAC), non-adherent use, and non-use of OAC.\n\nMethods\nUsing 2013-2016 Medicare claims data, we identified patients newly diagnosed with AF in 2014-2015 and collected prescriptions filled for OAC in the 12 months after AF diagnosis (n=39,272). We categorized participants each day into 3 time-dependent exposures: adherent use (≥80% of the previous 30 days covered with OAC), non-adherent use (0%-80% covered with OAC), and non-use (0%). We constructed Cox proportional hazards models to estimate the association between time-dependent exposures and time to stroke, adjusting for demographics and clinical characteristics.\n\nResults\nThe sample included 39,272 patients. Study participants spent 35.0% of the follow-up period in the adherent use exposure category, 10.9% in the non-adherent category, and 54.0% in the non-use category. OAC adherent use (HR 0.62; 95% CI, 0.52-0.74) and non-adherent use (HR 0.74; 95% CI 0.57-0.95) were associated with lower hazards of stroke than non-use. Adherent use to DOAC (HR 0.54; 95% CI, 0.42-0.69) and warfarin (0.70; 95% CI, 0.56-0.86) was associated with lower risk of stroke than non-use, but the risk of stroke did not statistically differ between DOAC and warfarin adherent use (HR 0.77; 95% CI, 0.56-1.04).\n\nDiscussion\nAlthough adherence to OAC reduces stroke risk by nearly 40%, newly diagnosed AF patients in Medicare adhere to OAC on average only one third of the first year after AF diagnosis.","container-title":"American journal of cardiovascular drugs : drugs, devices, and other interventions","DOI":"10.1007/s40256-019-00371-3","ISSN":"1175-3277","issue":"2","journalAbbreviation":"Am J Cardiovasc Drugs","page":"199-207","PMID":"31523759","PMCID":"PMC7073283","source":"PubMed Central","title":"Adherence to Anticoagulation and Risk of Stroke among Medicare Beneficiaries Newly Diagnosed with Atrial Fibrillation","volume":"20","author":[{"family":"Hernandez","given":"Inmaculada"},{"family":"He","given":"Meiqi"},{"family":"Brooks","given":"Maria M."},{"family":"Saba","given":"Samir"},{"family":"Gellad","given":"Walid F."}],"issued":{"date-parts":[["2020",4]]}}}],"schema":"https://github.com/citation-style-language/schema/raw/master/csl-citation.json"}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[214,216,217,223]</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Снижение приверженности нарушает стабильность антикоагулянтн</w:t>
      </w:r>
      <w:r w:rsidR="0027325F">
        <w:rPr>
          <w:rFonts w:ascii="Times New Roman" w:hAnsi="Times New Roman" w:cs="Times New Roman"/>
          <w:sz w:val="28"/>
          <w:szCs w:val="28"/>
          <w:lang w:bidi="ar-SA"/>
        </w:rPr>
        <w:t>ого</w:t>
      </w:r>
      <w:r w:rsidR="0027325F" w:rsidRPr="0027325F">
        <w:rPr>
          <w:rFonts w:ascii="Times New Roman" w:hAnsi="Times New Roman" w:cs="Times New Roman"/>
          <w:sz w:val="28"/>
          <w:szCs w:val="28"/>
          <w:lang w:bidi="ar-SA"/>
        </w:rPr>
        <w:t xml:space="preserve"> эффекта</w:t>
      </w:r>
      <w:r w:rsidR="0027325F">
        <w:rPr>
          <w:rFonts w:ascii="Times New Roman" w:hAnsi="Times New Roman" w:cs="Times New Roman"/>
          <w:sz w:val="28"/>
          <w:szCs w:val="28"/>
          <w:lang w:bidi="ar-SA"/>
        </w:rPr>
        <w:t>,</w:t>
      </w:r>
      <w:r w:rsidR="0027325F" w:rsidRPr="0027325F">
        <w:rPr>
          <w:rFonts w:ascii="Times New Roman" w:hAnsi="Times New Roman" w:cs="Times New Roman"/>
          <w:sz w:val="28"/>
          <w:szCs w:val="28"/>
          <w:lang w:bidi="ar-SA"/>
        </w:rPr>
        <w:t xml:space="preserve"> создавая периоды как недостаточный защиты от тромбоза</w:t>
      </w:r>
      <w:r w:rsidR="0027325F">
        <w:rPr>
          <w:rFonts w:ascii="Times New Roman" w:hAnsi="Times New Roman" w:cs="Times New Roman"/>
          <w:sz w:val="28"/>
          <w:szCs w:val="28"/>
          <w:lang w:bidi="ar-SA"/>
        </w:rPr>
        <w:t>,</w:t>
      </w:r>
      <w:r w:rsidR="0027325F" w:rsidRPr="0027325F">
        <w:rPr>
          <w:rFonts w:ascii="Times New Roman" w:hAnsi="Times New Roman" w:cs="Times New Roman"/>
          <w:sz w:val="28"/>
          <w:szCs w:val="28"/>
          <w:lang w:bidi="ar-SA"/>
        </w:rPr>
        <w:t xml:space="preserve"> так и непредсказуемых пиков концентрации препарата</w:t>
      </w:r>
      <w:r w:rsidR="0027325F">
        <w:rPr>
          <w:rFonts w:ascii="Times New Roman" w:hAnsi="Times New Roman" w:cs="Times New Roman"/>
          <w:sz w:val="28"/>
          <w:szCs w:val="28"/>
          <w:lang w:bidi="ar-SA"/>
        </w:rPr>
        <w:t>,</w:t>
      </w:r>
      <w:r w:rsidR="0027325F" w:rsidRPr="0027325F">
        <w:rPr>
          <w:rFonts w:ascii="Times New Roman" w:hAnsi="Times New Roman" w:cs="Times New Roman"/>
          <w:sz w:val="28"/>
          <w:szCs w:val="28"/>
          <w:lang w:bidi="ar-SA"/>
        </w:rPr>
        <w:t xml:space="preserve"> потенциально повышающих риск кровотече</w:t>
      </w:r>
      <w:r w:rsidR="0027325F">
        <w:rPr>
          <w:rFonts w:ascii="Times New Roman" w:hAnsi="Times New Roman" w:cs="Times New Roman"/>
          <w:sz w:val="28"/>
          <w:szCs w:val="28"/>
          <w:lang w:bidi="ar-SA"/>
        </w:rPr>
        <w:t>ния</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{"citationID":"cKTr2zIc","properties":{"unsorted":false,"formattedCitation":"[224]","plainCitation":"[224]","noteIndex":0},"citationItems":[{"id":387,"uris":["http://zotero.org/users/14784094/items/QSZXDXLA"],"itemData":{"id":387,"type":"article-journal","abstract":"Direct oral anticoagulants (DOACs) are increasingly used for treatment and prevention of thromboembolic diseases, used in fixed dose regimens. Although their safety and efficacy profiles are considered optimal, clinical events still occur. Given that anticoagulation treatment is a delicate balance between clotting and bleeding, it is possible that an optimal target spot exists where the effect of anticoagulation achieves both the lowest possible risk of bleeding and thrombosis. Other currently available anticoagulants (ie, vitamin K antagonists and heparins) provide important clues for this. If such a target spot exists, tailored DOAC therapy may further benefit patients. This opinion article summarizes the current available evidence that suggests that such a tailored strategy could work. It also describes research suggestions for conducting studies in patient populations such as patients with extremes of body weight or impaired kidney function to evaluate whether tailored treatment with DOACs could lead to better patient outcomes.","container-title":"Journal of Thrombosis and Haemostasis","DOI":"10.1111/jth.15104","ISSN":"1538-7933","issue":"12","journalAbbreviation":"J Thromb Haemost","page":"3163-3168","PMID":"32979033","PMCID":"PMC7756566","source":"PubMed Central","title":"The relationship between DOAC levels and clinical outcomes: The measures tell the tale","title-short":"The relationship between DOAC levels and clinical outcomes","volume":"18","author":[{"family":"Toorop","given":"Myrthe M. A."},{"family":"Lijfering","given":"Willem M."},{"family":"Scheres","given":"Luuk J. J."}],"issued":{"date-parts":[["2020",12]]}}}],"schema":"https://github.com/citation-style-language/schema/raw/master/csl-citation.json"}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[224]</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Интересный аспект, подчеркнутый в исследованиях, -отсутствие значимой связи между частотой минорных кровотечени</w:t>
      </w:r>
      <w:r w:rsidR="0027325F">
        <w:rPr>
          <w:rFonts w:ascii="Times New Roman" w:hAnsi="Times New Roman" w:cs="Times New Roman"/>
          <w:sz w:val="28"/>
          <w:szCs w:val="28"/>
          <w:lang w:bidi="ar-SA"/>
        </w:rPr>
        <w:t>й</w:t>
      </w:r>
      <w:r w:rsidR="0027325F" w:rsidRPr="0027325F">
        <w:rPr>
          <w:rFonts w:ascii="Times New Roman" w:hAnsi="Times New Roman" w:cs="Times New Roman"/>
          <w:sz w:val="28"/>
          <w:szCs w:val="28"/>
          <w:lang w:bidi="ar-SA"/>
        </w:rPr>
        <w:t xml:space="preserve"> и уровнем </w:t>
      </w:r>
      <w:r w:rsidR="0027325F">
        <w:rPr>
          <w:rFonts w:ascii="Times New Roman" w:hAnsi="Times New Roman" w:cs="Times New Roman"/>
          <w:sz w:val="28"/>
          <w:szCs w:val="28"/>
          <w:lang w:bidi="ar-SA"/>
        </w:rPr>
        <w:t>приверженности</w:t>
      </w:r>
      <w:r w:rsidR="0027325F" w:rsidRPr="0027325F">
        <w:rPr>
          <w:rFonts w:ascii="Times New Roman" w:hAnsi="Times New Roman" w:cs="Times New Roman"/>
          <w:sz w:val="28"/>
          <w:szCs w:val="28"/>
          <w:lang w:bidi="ar-SA"/>
        </w:rPr>
        <w:t xml:space="preserve"> к терапии</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{"citationID":"hDfm9rkb","properties":{"unsorted":false,"formattedCitation":"[211]","plainCitation":"[211]","noteIndex":0},"citationItems":[{"id":400,"uris":["http://zotero.org/users/14784094/items/TLI5CCHE"],"itemData":{"id":400,"type":"article-journal","abstract":"Data regarding adherence and minor bleeding on direct oral anticoagulants in everyday life are still sparse. Inclusion criteria: treatment initiated with dabigatran, rivaroxaban or apixaban in non-valvular atrial fibrillation patients from a center in northern Sweden between 2011 and 2019 (n = 668). Exclusion criteria: cognitive impairment, dose dispensing, need of interpreter or hospital admission (n = 67). By a telephone interview adherence was measured in 569 patients (response rate 94.8%) using the 8-item Morisky medication adherence scale and minor bleeding was asked for. CHA2DS2-VASc and HAS-BLED scores were collected from medical records. The number (n), mean age, mean treatment duration, mean (points) CHA2DS2-VASc and HAS-BLED scores was with dabigatran (n = 175, 73.3 years, 17.8 months, 3.6 p and 2.2 p), rivaroxaban (n = 198, 73.7 years, 21months, 3.8 p and 2.1 p) and apixaban (n = 196, 72.7 years, 15.2 months, 3.4 p and 2.1 p). Adherence was high for dabigatran, rivaroxaban and apixaban in 54%, 76% and 53%; intermediate in 37%, 20% and 37% or low in 9%, 4% and 10% respectively. High adherence (Morisky score 8) distinguished rivaroxaban (p &lt; 0.0001) and in patients with CHA2DS2-VASc ≥ 4 p, (p &lt; 0.0001). Patients on rivaroxaban/apixaban reported more minor bleedings (37% / 28%) compared to dabigatran (13%), (p &lt; 0.001). Only 61% of the patients followed prescription. Adherence to rivaroxaban was significantly better, maybe due to the once daily dosing regimen, and furthermore among patients with higher risk for stroke. Minor bleedings were less common in the dabigatran group. The impact of minor bleedings on adherence and a possible relationship to clinical outcomes need to be further studied.","container-title":"Journal of Thrombosis and Thrombolysis","DOI":"10.1007/s11239-023-02797-8","ISSN":"0929-5305","issue":"1","journalAbbreviation":"J Thromb Thrombolysis","page":"55-64","PMID":"37119356","PMCID":"PMC10284977","source":"PubMed Central","title":"Direct oral anticoagulants: patient reported adherence and minor bleedings","title-short":"Direct oral anticoagulants","volume":"56","author":[{"family":"Hayat","given":"Amina"},{"family":"Själander","given":"Anders"},{"family":"Wallvik","given":"Jonas"}],"issued":{"date-parts":[["2023"]]}}}],"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[211]</w:t>
      </w:r>
      <w:r w:rsidR="0027325F">
        <w:rPr>
          <w:rFonts w:ascii="Times New Roman" w:hAnsi="Times New Roman" w:cs="Times New Roman"/>
          <w:sz w:val="28"/>
          <w:szCs w:val="28"/>
          <w:lang w:bidi="ar-SA"/>
        </w:rPr>
        <w:fldChar w:fldCharType="end"/>
      </w:r>
      <w:r w:rsidR="0027325F" w:rsidRPr="0027325F">
        <w:rPr>
          <w:rFonts w:ascii="Times New Roman" w:hAnsi="Times New Roman" w:cs="Times New Roman"/>
          <w:sz w:val="28"/>
          <w:szCs w:val="28"/>
          <w:lang w:bidi="ar-SA"/>
        </w:rPr>
        <w:t xml:space="preserve">. </w:t>
      </w:r>
      <w:r w:rsidR="0027325F">
        <w:rPr>
          <w:rFonts w:ascii="Times New Roman" w:hAnsi="Times New Roman" w:cs="Times New Roman"/>
          <w:sz w:val="28"/>
          <w:szCs w:val="28"/>
          <w:lang w:bidi="ar-SA"/>
        </w:rPr>
        <w:t>Это контрастирует</w:t>
      </w:r>
      <w:r w:rsidR="0027325F" w:rsidRPr="0027325F">
        <w:rPr>
          <w:rFonts w:ascii="Times New Roman" w:hAnsi="Times New Roman" w:cs="Times New Roman"/>
          <w:sz w:val="28"/>
          <w:szCs w:val="28"/>
          <w:lang w:bidi="ar-SA"/>
        </w:rPr>
        <w:t xml:space="preserve"> с данными по крупным кровотечениям и тр</w:t>
      </w:r>
      <w:r w:rsidR="0027325F">
        <w:rPr>
          <w:rFonts w:ascii="Times New Roman" w:hAnsi="Times New Roman" w:cs="Times New Roman"/>
          <w:sz w:val="28"/>
          <w:szCs w:val="28"/>
          <w:lang w:bidi="ar-SA"/>
        </w:rPr>
        <w:t>омбо</w:t>
      </w:r>
      <w:r w:rsidR="0027325F" w:rsidRPr="0027325F">
        <w:rPr>
          <w:rFonts w:ascii="Times New Roman" w:hAnsi="Times New Roman" w:cs="Times New Roman"/>
          <w:sz w:val="28"/>
          <w:szCs w:val="28"/>
          <w:lang w:bidi="ar-SA"/>
        </w:rPr>
        <w:t>тическим событи</w:t>
      </w:r>
      <w:r w:rsidR="0027325F">
        <w:rPr>
          <w:rFonts w:ascii="Times New Roman" w:hAnsi="Times New Roman" w:cs="Times New Roman"/>
          <w:sz w:val="28"/>
          <w:szCs w:val="28"/>
          <w:lang w:bidi="ar-SA"/>
        </w:rPr>
        <w:t>я</w:t>
      </w:r>
      <w:r w:rsidR="0027325F" w:rsidRPr="0027325F">
        <w:rPr>
          <w:rFonts w:ascii="Times New Roman" w:hAnsi="Times New Roman" w:cs="Times New Roman"/>
          <w:sz w:val="28"/>
          <w:szCs w:val="28"/>
          <w:lang w:bidi="ar-SA"/>
        </w:rPr>
        <w:t>м</w:t>
      </w:r>
      <w:r w:rsidR="0027325F">
        <w:rPr>
          <w:rFonts w:ascii="Times New Roman" w:hAnsi="Times New Roman" w:cs="Times New Roman"/>
          <w:sz w:val="28"/>
          <w:szCs w:val="28"/>
          <w:lang w:bidi="ar-SA"/>
        </w:rPr>
        <w:t xml:space="preserve"> и</w:t>
      </w:r>
      <w:r w:rsidR="0027325F" w:rsidRPr="0027325F">
        <w:rPr>
          <w:rFonts w:ascii="Times New Roman" w:hAnsi="Times New Roman" w:cs="Times New Roman"/>
          <w:sz w:val="28"/>
          <w:szCs w:val="28"/>
          <w:lang w:bidi="ar-SA"/>
        </w:rPr>
        <w:t xml:space="preserve"> указывает на то</w:t>
      </w:r>
      <w:r w:rsidR="0027325F">
        <w:rPr>
          <w:rFonts w:ascii="Times New Roman" w:hAnsi="Times New Roman" w:cs="Times New Roman"/>
          <w:sz w:val="28"/>
          <w:szCs w:val="28"/>
          <w:lang w:bidi="ar-SA"/>
        </w:rPr>
        <w:t>,</w:t>
      </w:r>
      <w:r w:rsidR="0027325F" w:rsidRPr="0027325F">
        <w:rPr>
          <w:rFonts w:ascii="Times New Roman" w:hAnsi="Times New Roman" w:cs="Times New Roman"/>
          <w:sz w:val="28"/>
          <w:szCs w:val="28"/>
          <w:lang w:bidi="ar-SA"/>
        </w:rPr>
        <w:t xml:space="preserve"> что мелкие кровотечения сами по себе не являются основной причиной пропусков доз пациент</w:t>
      </w:r>
      <w:r w:rsidR="0027325F">
        <w:rPr>
          <w:rFonts w:ascii="Times New Roman" w:hAnsi="Times New Roman" w:cs="Times New Roman"/>
          <w:sz w:val="28"/>
          <w:szCs w:val="28"/>
          <w:lang w:bidi="ar-SA"/>
        </w:rPr>
        <w:t>ом</w:t>
      </w:r>
      <w:r w:rsidR="0027325F">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{"citationID":"gCd7t1ki","properties":{"unsorted":false,"formattedCitation":"[225]","plainCitation":"[225]","noteIndex":0},"citationItems":[{"id":462,"uris":["http://zotero.org/users/14784094/items/P6CHJRFL"],"itemData":{"id":462,"type":"article-journal","abstract":"No therapeutic ranges linking drug concentrations of apixaban and rivaroxaban to clinical outcomes have been defined. We investigated whether direct oral anticoagulant (DOAC) concentrations among patients admitted to hospital with symptoms of stroke differed between those later verified to suffer an ischaemic cerebrovascular event (stroke or transient ischaemic attack) and those having other diagnoses (control group). Serum concentrations in 102 patients on DOAC for atrial fibrillation (84%) and thromboembolic disease (16%) were measured within 24 h of the acute event, employing ultra-high performance liquid chromatography with tandem mass spectrometry. We converted all concentrations to standardized trough levels. DOAC concentrations were lower in the 64 patients with verified ischaemic cerebrovascular event than in the 30 controls, 255 ± 155 versus 329 ± 144 nmol/L (p = 0.029), despite no statistically significant difference in self-reported adherence and daily dosages. Calculated concentrations were 5.4–596 nmol/L (median = 229 nmol/L) in the ischaemic stroke group and 41–602 nmol/L (median = 316 nmol/L) in controls. CHA2DS2-VASc score was significantly higher in the ischaemic stroke group than in controls (4.9 ± 1.6 versus 4.1 ± 1.7; p = 0.007). These results may suggest that patients with high cerebrovascular risk might benefit from higher DOAC levels than those with a lower risk.","container-title":"Basic &amp; Clinical Pharmacology &amp; Toxicology","DOI":"10.1111/bcpt.13953","ISSN":"1742-7843","issue":"1","language":"en","license":"© 2023 The Authors. Basic &amp; Clinical Pharmacology &amp; Toxicology published by John Wiley &amp; Sons Ltd on behalf of Nordic Association for the Publication of BCPT (former Nordic Pharmacological Society).","note":"_eprint: https://onlinelibrary.wiley.com/doi/pdf/10.1111/bcpt.13953","page":"175-185","source":"Wiley Online Library","title":"Direct oral anticoagulant concentrations and adherence in stroke patients","volume":"134","author":[{"family":"Aakerøy","given":"Rachel"},{"family":"Gynnild","given":"Mari Nordbø"},{"family":"Løfblad","given":"Lena"},{"family":"Dyrkorn","given":"Roar"},{"family":"Ellekjær","given":"Hanne"},{"family":"Lydersen","given":"Stian"},{"family":"Helland","given":"Arne"},{"family":"Spigset","given":"Olav"}],"issued":{"date-parts":[["2024"]]}}}],"schema":"https://github.com/citation-style-language/schema/raw/master/csl-citation.json"} </w:instrText>
      </w:r>
      <w:r w:rsidR="0027325F">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[225]</w:t>
      </w:r>
      <w:r w:rsidR="0027325F">
        <w:rPr>
          <w:rFonts w:ascii="Times New Roman" w:hAnsi="Times New Roman" w:cs="Times New Roman"/>
          <w:sz w:val="28"/>
          <w:szCs w:val="28"/>
          <w:lang w:bidi="ar-SA"/>
        </w:rPr>
        <w:fldChar w:fldCharType="end"/>
      </w:r>
      <w:r w:rsidR="0027325F" w:rsidRPr="00A41B41">
        <w:rPr>
          <w:rFonts w:ascii="Times New Roman" w:hAnsi="Times New Roman" w:cs="Times New Roman"/>
          <w:sz w:val="28"/>
          <w:szCs w:val="28"/>
          <w:lang w:bidi="ar-SA"/>
        </w:rPr>
        <w:t>.</w:t>
      </w:r>
    </w:p>
    <w:p w14:paraId="0A4A3FAF" w14:textId="4A6FB146" w:rsidR="0027325F" w:rsidRDefault="0027325F" w:rsidP="008D7CBD">
      <w:pPr>
        <w:pStyle w:val="LO-normal"/>
        <w:spacing w:after="0" w:line="240" w:lineRule="auto"/>
        <w:ind w:firstLine="567"/>
        <w:jc w:val="both"/>
        <w:rPr>
          <w:rFonts w:ascii="Times New Roman" w:hAnsi="Times New Roman" w:cs="Times New Roman"/>
          <w:sz w:val="28"/>
          <w:szCs w:val="28"/>
          <w:lang w:val="en-US" w:bidi="ar-SA"/>
        </w:rPr>
      </w:pPr>
      <w:r>
        <w:rPr>
          <w:rFonts w:ascii="Times New Roman" w:hAnsi="Times New Roman" w:cs="Times New Roman"/>
          <w:sz w:val="28"/>
          <w:szCs w:val="28"/>
          <w:lang w:bidi="ar-SA"/>
        </w:rPr>
        <w:t>Приверженность – необходимое, но недостаточное условие эффективности и безопасности. Важно понимать, что даже высокая приверженность к приему ПОАК не является абсолютной гарантией отсутствия осложнений</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{"citationID":"ddIWFsuK","properties":{"unsorted":false,"formattedCitation":"[224]","plainCitation":"[224]","noteIndex":0},"citationItems":[{"id":387,"uris":["http://zotero.org/users/14784094/items/QSZXDXLA"],"itemData":{"id":387,"type":"article-journal","abstract":"Direct oral anticoagulants (DOACs) are increasingly used for treatment and prevention of thromboembolic diseases, used in fixed dose regimens. Although their safety and efficacy profiles are considered optimal, clinical events still occur. Given that anticoagulation treatment is a delicate balance between clotting and bleeding, it is possible that an optimal target spot exists where the effect of anticoagulation achieves both the lowest possible risk of bleeding and thrombosis. Other currently available anticoagulants (ie, vitamin K antagonists and heparins) provide important clues for this. If such a target spot exists, tailored DOAC therapy may further benefit patients. This opinion article summarizes the current available evidence that suggests that such a tailored strategy could work. It also describes research suggestions for conducting studies in patient populations such as patients with extremes of body weight or impaired kidney function to evaluate whether tailored treatment with DOACs could lead to better patient outcomes.","container-title":"Journal of Thrombosis and Haemostasis","DOI":"10.1111/jth.15104","ISSN":"1538-7933","issue":"12","journalAbbreviation":"J Thromb Haemost","page":"3163-3168","PMID":"32979033","PMCID":"PMC7756566","source":"PubMed Central","title":"The relationship between DOAC levels and clinical outcomes: The measures tell the tale","title-short":"The relationship between DOAC levels and clinical outcomes","volume":"18","author":[{"family":"Toorop","given":"Myrthe M. A."},{"family":"Lijfering","given":"Willem M."},{"family":"Scheres","given":"Luuk J. J."}],"issued":{"date-parts":[["2020",12]]}}}],"schema":"https://github.com/citation-style-language/schema/raw/master/csl-citation.json"}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[224]</w:t>
      </w:r>
      <w:r>
        <w:rPr>
          <w:rFonts w:ascii="Times New Roman" w:hAnsi="Times New Roman" w:cs="Times New Roman"/>
          <w:sz w:val="28"/>
          <w:szCs w:val="28"/>
          <w:lang w:bidi="ar-SA"/>
        </w:rPr>
        <w:fldChar w:fldCharType="end"/>
      </w:r>
      <w:r w:rsidRPr="0027325F">
        <w:rPr>
          <w:rFonts w:ascii="Times New Roman" w:hAnsi="Times New Roman" w:cs="Times New Roman"/>
          <w:sz w:val="28"/>
          <w:szCs w:val="28"/>
          <w:lang w:bidi="ar-SA"/>
        </w:rPr>
        <w:t>. Инсульт</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 xml:space="preserve">системные </w:t>
      </w:r>
      <w:r>
        <w:rPr>
          <w:rFonts w:ascii="Times New Roman" w:hAnsi="Times New Roman" w:cs="Times New Roman"/>
          <w:sz w:val="28"/>
          <w:szCs w:val="28"/>
          <w:lang w:bidi="ar-SA"/>
        </w:rPr>
        <w:t>эм</w:t>
      </w:r>
      <w:r w:rsidRPr="0027325F">
        <w:rPr>
          <w:rFonts w:ascii="Times New Roman" w:hAnsi="Times New Roman" w:cs="Times New Roman"/>
          <w:sz w:val="28"/>
          <w:szCs w:val="28"/>
          <w:lang w:bidi="ar-SA"/>
        </w:rPr>
        <w:t>боли</w:t>
      </w:r>
      <w:r>
        <w:rPr>
          <w:rFonts w:ascii="Times New Roman" w:hAnsi="Times New Roman" w:cs="Times New Roman"/>
          <w:sz w:val="28"/>
          <w:szCs w:val="28"/>
          <w:lang w:bidi="ar-SA"/>
        </w:rPr>
        <w:t>и</w:t>
      </w:r>
      <w:r w:rsidRPr="0027325F">
        <w:rPr>
          <w:rFonts w:ascii="Times New Roman" w:hAnsi="Times New Roman" w:cs="Times New Roman"/>
          <w:sz w:val="28"/>
          <w:szCs w:val="28"/>
          <w:lang w:bidi="ar-SA"/>
        </w:rPr>
        <w:t xml:space="preserve"> и кровотечения могут развиваться и у пациентов</w:t>
      </w:r>
      <w:r>
        <w:rPr>
          <w:rFonts w:ascii="Times New Roman" w:hAnsi="Times New Roman" w:cs="Times New Roman"/>
          <w:sz w:val="28"/>
          <w:szCs w:val="28"/>
          <w:lang w:bidi="ar-SA"/>
        </w:rPr>
        <w:t>,</w:t>
      </w:r>
      <w:r w:rsidRPr="0027325F">
        <w:rPr>
          <w:rFonts w:ascii="Times New Roman" w:hAnsi="Times New Roman" w:cs="Times New Roman"/>
          <w:sz w:val="28"/>
          <w:szCs w:val="28"/>
          <w:lang w:bidi="ar-SA"/>
        </w:rPr>
        <w:t xml:space="preserve"> регулярно принимающих препараты</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{"citationID":"QMK1DceQ","properties":{"unsorted":false,"formattedCitation":"[225,226]","plainCitation":"[225,226]","noteIndex":0},"citationItems":[{"id":462,"uris":["http://zotero.org/users/14784094/items/P6CHJRFL"],"itemData":{"id":462,"type":"article-journal","abstract":"No therapeutic ranges linking drug concentrations of apixaban and rivaroxaban to clinical outcomes have been defined. We investigated whether direct oral anticoagulant (DOAC) concentrations among patients admitted to hospital with symptoms of stroke differed between those later verified to suffer an ischaemic cerebrovascular event (stroke or transient ischaemic attack) and those having other diagnoses (control group). Serum concentrations in 102 patients on DOAC for atrial fibrillation (84%) and thromboembolic disease (16%) were measured within 24 h of the acute event, employing ultra-high performance liquid chromatography with tandem mass spectrometry. We converted all concentrations to standardized trough levels. DOAC concentrations were lower in the 64 patients with verified ischaemic cerebrovascular event than in the 30 controls, 255 ± 155 versus 329 ± 144 nmol/L (p = 0.029), despite no statistically significant difference in self-reported adherence and daily dosages. Calculated concentrations were 5.4–596 nmol/L (median = 229 nmol/L) in the ischaemic stroke group and 41–602 nmol/L (median = 316 nmol/L) in controls. CHA2DS2-VASc score was significantly higher in the ischaemic stroke group than in controls (4.9 ± 1.6 versus 4.1 ± 1.7; p = 0.007). These results may suggest that patients with high cerebrovascular risk might benefit from higher DOAC levels than those with a lower risk.","container-title":"Basic &amp; Clinical Pharmacology &amp; Toxicology","DOI":"10.1111/bcpt.13953","ISSN":"1742-7843","issue":"1","language":"en","license":"© 2023 The Authors. Basic &amp; Clinical Pharmacology &amp; Toxicology published by John Wiley &amp; Sons Ltd on behalf of Nordic Association for the Publication of BCPT (former Nordic Pharmacological Society).","note":"_eprint: https://onlinelibrary.wiley.com/doi/pdf/10.1111/bcpt.13953","page":"175-185","source":"Wiley Online Library","title":"Direct oral anticoagulant concentrations and adherence in stroke patients","volume":"134","author":[{"family":"Aakerøy","given":"Rachel"},{"family":"Gynnild","given":"Mari Nordbø"},{"family":"Løfblad","given":"Lena"},{"family":"Dyrkorn","given":"Roar"},{"family":"Ellekjær","given":"Hanne"},{"family":"Lydersen","given":"Stian"},{"family":"Helland","given":"Arne"},{"family":"Spigset","given":"Olav"}],"issued":{"date-parts":[["2024"]]}}},{"id":469,"uris":["http://zotero.org/users/14784094/items/V56CECVC"],"itemData":{"id":469,"type":"article-journal","abstract":"Few studies assessed the association between major adverse cardiovascular events and adherence to warfarin and direct oral anticoagulants (DOACs) in patients with atrial fibrillation (AF). Therefore, we aimed to evaluate the effects of adherence to oral anticoagulants (OACs) in patients with AF using claims data (July 2014–April 2019). Using the initial 3-month medication possession rate (MPR), patients were categorized into adherent (MPR ≥ 0.8) or non-adherent (MPR &lt; 0.8) groups. Propensity score matching of non-adherent group to adherent group was conducted for warfarin (1:1) and DOAC (1:3), respectively. Incidence of ischemic stroke, myocardial infarction (MI), intracranial hemorrhage, and all-cause death was assessed in the matched cohort (67,147 patients). The hazard ratio (HR) for adherence to OAC was estimated using the Cox proportional hazard model with adjusting covariate including age and sex. The risk for ischemic stroke, MI, and all-cause death was lower in the DOAC adherent group than in the DOAC non-adherent group (HR: 0.78; 95% confidence intervals: 0.73–0.84; 0.75, 0.60–0.94; 0.54, 0.51–0.57, respectively). Adherence to OAC was not associated with the risk of intracranial hemorrhage (1.01, 0.85–1.20). Commitment programs to improve adherence in patients with AF could maximize drug effectiveness and safety.","container-title":"Scientific Reports","DOI":"10.1038/s41598-022-07316-y","ISSN":"2045-2322","journalAbbreviation":"Sci Rep","page":"3413","PMID":"35233055","PMCID":"PMC8888574","source":"PubMed Central","title":"Adherence is an optimal factor for maximizing the effective and safe use of oral anticoagulants in patients with atrial fibrillation","volume":"12","author":[{"family":"Yang","given":"So-Young"},{"family":"Kang","given":"Dong-Won"},{"family":"Nam","given":"Jin Hyun"},{"family":"Choi","given":"Eue-Keun"},{"family":"Lee","given":"Eui-Kyung"},{"family":"Shin","given":"Ju-Young"},{"family":"Kwon","given":"Sun-Hong"}],"issued":{"date-parts":[["2022",3,1]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[225,226]</w:t>
      </w:r>
      <w:r>
        <w:rPr>
          <w:rFonts w:ascii="Times New Roman" w:hAnsi="Times New Roman" w:cs="Times New Roman"/>
          <w:sz w:val="28"/>
          <w:szCs w:val="28"/>
          <w:lang w:bidi="ar-SA"/>
        </w:rPr>
        <w:fldChar w:fldCharType="end"/>
      </w:r>
      <w:r w:rsidRPr="0027325F">
        <w:rPr>
          <w:rFonts w:ascii="Times New Roman" w:hAnsi="Times New Roman" w:cs="Times New Roman"/>
          <w:sz w:val="28"/>
          <w:szCs w:val="28"/>
          <w:lang w:bidi="ar-SA"/>
        </w:rPr>
        <w:t>. Это явление имеет сложную природу. Исследования показали, что у пациентов, перенёсших ишемический инсульт на фоне приема</w:t>
      </w:r>
      <w:r>
        <w:rPr>
          <w:rFonts w:ascii="Times New Roman" w:hAnsi="Times New Roman" w:cs="Times New Roman"/>
          <w:sz w:val="28"/>
          <w:szCs w:val="28"/>
          <w:lang w:bidi="ar-SA"/>
        </w:rPr>
        <w:t xml:space="preserve"> ПОАК, </w:t>
      </w:r>
      <w:r w:rsidRPr="0027325F">
        <w:rPr>
          <w:rFonts w:ascii="Times New Roman" w:hAnsi="Times New Roman" w:cs="Times New Roman"/>
          <w:sz w:val="28"/>
          <w:szCs w:val="28"/>
          <w:lang w:bidi="ar-SA"/>
        </w:rPr>
        <w:t>концентрации препарата в плазме крови в момент события были статистически значимо ниже</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чем у пациентов без инсульта</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контрольная группа</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также принимавшая</w:t>
      </w:r>
      <w:r>
        <w:rPr>
          <w:rFonts w:ascii="Times New Roman" w:hAnsi="Times New Roman" w:cs="Times New Roman"/>
          <w:sz w:val="28"/>
          <w:szCs w:val="28"/>
          <w:lang w:bidi="ar-SA"/>
        </w:rPr>
        <w:t xml:space="preserve"> ПОАК)</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{"citationID":"MNMzCNJR","properties":{"unsorted":false,"formattedCitation":"[225]","plainCitation":"[225]","noteIndex":0},"citationItems":[{"id":462,"uris":["http://zotero.org/users/14784094/items/P6CHJRFL"],"itemData":{"id":462,"type":"article-journal","abstract":"No therapeutic ranges linking drug concentrations of apixaban and rivaroxaban to clinical outcomes have been defined. We investigated whether direct oral anticoagulant (DOAC) concentrations among patients admitted to hospital with symptoms of stroke differed between those later verified to suffer an ischaemic cerebrovascular event (stroke or transient ischaemic attack) and those having other diagnoses (control group). Serum concentrations in 102 patients on DOAC for atrial fibrillation (84%) and thromboembolic disease (16%) were measured within 24 h of the acute event, employing ultra-high performance liquid chromatography with tandem mass spectrometry. We converted all concentrations to standardized trough levels. DOAC concentrations were lower in the 64 patients with verified ischaemic cerebrovascular event than in the 30 controls, 255 ± 155 versus 329 ± 144 nmol/L (p = 0.029), despite no statistically significant difference in self-reported adherence and daily dosages. Calculated concentrations were 5.4–596 nmol/L (median = 229 nmol/L) in the ischaemic stroke group and 41–602 nmol/L (median = 316 nmol/L) in controls. CHA2DS2-VASc score was significantly higher in the ischaemic stroke group than in controls (4.9 ± 1.6 versus 4.1 ± 1.7; p = 0.007). These results may suggest that patients with high cerebrovascular risk might benefit from higher DOAC levels than those with a lower risk.","container-title":"Basic &amp; Clinical Pharmacology &amp; Toxicology","DOI":"10.1111/bcpt.13953","ISSN":"1742-7843","issue":"1","language":"en","license":"© 2023 The Authors. Basic &amp; Clinical Pharmacology &amp; Toxicology published by John Wiley &amp; Sons Ltd on behalf of Nordic Association for the Publication of BCPT (former Nordic Pharmacological Society).","note":"_eprint: https://onlinelibrary.wiley.com/doi/pdf/10.1111/bcpt.13953","page":"175-185","source":"Wiley Online Library","title":"Direct oral anticoagulant concentrations and adherence in stroke patients","volume":"134","author":[{"family":"Aakerøy","given":"Rachel"},{"family":"Gynnild","given":"Mari Nordbø"},{"family":"Løfblad","given":"Lena"},{"family":"Dyrkorn","given":"Roar"},{"family":"Ellekjær","given":"Hanne"},{"family":"Lydersen","given":"Stian"},{"family":"Helland","given":"Arne"},{"family":"Spigset","given":"Olav"}],"issued":{"date-parts":[["2024"]]}}}],"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[225]</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w:t>
      </w:r>
      <w:r w:rsidRPr="0027325F">
        <w:rPr>
          <w:rFonts w:ascii="Times New Roman" w:hAnsi="Times New Roman" w:cs="Times New Roman"/>
          <w:sz w:val="28"/>
          <w:szCs w:val="28"/>
          <w:lang w:bidi="ar-SA"/>
        </w:rPr>
        <w:t xml:space="preserve"> Это прямо указывает на то, что межиндивидуальн</w:t>
      </w:r>
      <w:r>
        <w:rPr>
          <w:rFonts w:ascii="Times New Roman" w:hAnsi="Times New Roman" w:cs="Times New Roman"/>
          <w:sz w:val="28"/>
          <w:szCs w:val="28"/>
          <w:lang w:bidi="ar-SA"/>
        </w:rPr>
        <w:t>ая</w:t>
      </w:r>
      <w:r w:rsidRPr="0027325F">
        <w:rPr>
          <w:rFonts w:ascii="Times New Roman" w:hAnsi="Times New Roman" w:cs="Times New Roman"/>
          <w:sz w:val="28"/>
          <w:szCs w:val="28"/>
          <w:lang w:bidi="ar-SA"/>
        </w:rPr>
        <w:t xml:space="preserve"> вариабельность фармакокинетики</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всасывани</w:t>
      </w:r>
      <w:r>
        <w:rPr>
          <w:rFonts w:ascii="Times New Roman" w:hAnsi="Times New Roman" w:cs="Times New Roman"/>
          <w:sz w:val="28"/>
          <w:szCs w:val="28"/>
          <w:lang w:bidi="ar-SA"/>
        </w:rPr>
        <w:t>я,</w:t>
      </w:r>
      <w:r w:rsidRPr="0027325F">
        <w:rPr>
          <w:rFonts w:ascii="Times New Roman" w:hAnsi="Times New Roman" w:cs="Times New Roman"/>
          <w:sz w:val="28"/>
          <w:szCs w:val="28"/>
          <w:lang w:bidi="ar-SA"/>
        </w:rPr>
        <w:t xml:space="preserve"> распределения</w:t>
      </w:r>
      <w:r>
        <w:rPr>
          <w:rFonts w:ascii="Times New Roman" w:hAnsi="Times New Roman" w:cs="Times New Roman"/>
          <w:sz w:val="28"/>
          <w:szCs w:val="28"/>
          <w:lang w:bidi="ar-SA"/>
        </w:rPr>
        <w:t>,</w:t>
      </w:r>
      <w:r w:rsidRPr="0027325F">
        <w:rPr>
          <w:rFonts w:ascii="Times New Roman" w:hAnsi="Times New Roman" w:cs="Times New Roman"/>
          <w:sz w:val="28"/>
          <w:szCs w:val="28"/>
          <w:lang w:bidi="ar-SA"/>
        </w:rPr>
        <w:t xml:space="preserve"> метаболизма</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выведения</w:t>
      </w:r>
      <w:r>
        <w:rPr>
          <w:rFonts w:ascii="Times New Roman" w:hAnsi="Times New Roman" w:cs="Times New Roman"/>
          <w:sz w:val="28"/>
          <w:szCs w:val="28"/>
          <w:lang w:bidi="ar-SA"/>
        </w:rPr>
        <w:t xml:space="preserve">) </w:t>
      </w:r>
      <w:r w:rsidR="008E0328">
        <w:rPr>
          <w:rFonts w:ascii="Times New Roman" w:hAnsi="Times New Roman" w:cs="Times New Roman"/>
          <w:sz w:val="28"/>
          <w:szCs w:val="28"/>
          <w:lang w:bidi="ar-SA"/>
        </w:rPr>
        <w:t>и</w:t>
      </w:r>
      <w:r w:rsidRPr="0027325F">
        <w:rPr>
          <w:rFonts w:ascii="Times New Roman" w:hAnsi="Times New Roman" w:cs="Times New Roman"/>
          <w:sz w:val="28"/>
          <w:szCs w:val="28"/>
          <w:lang w:bidi="ar-SA"/>
        </w:rPr>
        <w:t>грает ключевую роль</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На эту вариабельность влияет множество факторов</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включая генетические особенности пациента</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например</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полиморфизмы генов</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кодирующих транспортные белки</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27325F">
        <w:rPr>
          <w:rFonts w:ascii="Times New Roman" w:hAnsi="Times New Roman" w:cs="Times New Roman"/>
          <w:sz w:val="28"/>
          <w:szCs w:val="28"/>
          <w:lang w:bidi="ar-SA"/>
        </w:rPr>
        <w:t>-</w:t>
      </w:r>
      <w:r>
        <w:rPr>
          <w:rFonts w:ascii="Times New Roman" w:hAnsi="Times New Roman" w:cs="Times New Roman"/>
          <w:sz w:val="28"/>
          <w:szCs w:val="28"/>
          <w:lang w:val="en-US" w:bidi="ar-SA"/>
        </w:rPr>
        <w:t>gp</w:t>
      </w:r>
      <w:r w:rsidRPr="0027325F">
        <w:rPr>
          <w:rFonts w:ascii="Times New Roman" w:hAnsi="Times New Roman" w:cs="Times New Roman"/>
          <w:sz w:val="28"/>
          <w:szCs w:val="28"/>
          <w:lang w:bidi="ar-SA"/>
        </w:rPr>
        <w:t xml:space="preserve"> или ферменты цитохрома </w:t>
      </w:r>
      <w:r>
        <w:rPr>
          <w:rFonts w:ascii="Times New Roman" w:hAnsi="Times New Roman" w:cs="Times New Roman"/>
          <w:sz w:val="28"/>
          <w:szCs w:val="28"/>
          <w:lang w:val="en-US" w:bidi="ar-SA"/>
        </w:rPr>
        <w:t>CYP</w:t>
      </w:r>
      <w:r w:rsidRPr="0027325F">
        <w:rPr>
          <w:rFonts w:ascii="Times New Roman" w:hAnsi="Times New Roman" w:cs="Times New Roman"/>
          <w:sz w:val="28"/>
          <w:szCs w:val="28"/>
          <w:lang w:bidi="ar-SA"/>
        </w:rPr>
        <w:t>3</w:t>
      </w:r>
      <w:r>
        <w:rPr>
          <w:rFonts w:ascii="Times New Roman" w:hAnsi="Times New Roman" w:cs="Times New Roman"/>
          <w:sz w:val="28"/>
          <w:szCs w:val="28"/>
          <w:lang w:val="en-US" w:bidi="ar-SA"/>
        </w:rPr>
        <w:t>A</w:t>
      </w:r>
      <w:r w:rsidRPr="0027325F">
        <w:rPr>
          <w:rFonts w:ascii="Times New Roman" w:hAnsi="Times New Roman" w:cs="Times New Roman"/>
          <w:sz w:val="28"/>
          <w:szCs w:val="28"/>
          <w:lang w:bidi="ar-SA"/>
        </w:rPr>
        <w:t>4</w:t>
      </w:r>
      <w:r>
        <w:rPr>
          <w:rFonts w:ascii="Times New Roman" w:hAnsi="Times New Roman" w:cs="Times New Roman"/>
          <w:sz w:val="28"/>
          <w:szCs w:val="28"/>
          <w:lang w:bidi="ar-SA"/>
        </w:rPr>
        <w:t>)</w:t>
      </w:r>
      <w:r w:rsidRPr="0027325F">
        <w:rPr>
          <w:rFonts w:ascii="Times New Roman" w:hAnsi="Times New Roman" w:cs="Times New Roman"/>
          <w:sz w:val="28"/>
          <w:szCs w:val="28"/>
          <w:lang w:bidi="ar-SA"/>
        </w:rPr>
        <w:t>, которые могут существенно изменять концентрацию препарата в крови даже при строгом соблюдении режима приема</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{"citationID":"Be8lJNb6","properties":{"unsorted":false,"formattedCitation":"[227]","plainCitation":"[227]","noteIndex":0},"citationItems":[{"id":479,"uris":["http://zotero.org/users/14784094/items/68CV2FST"],"itemData":{"id":479,"type":"article-journal","abstract":"This study aims to measure the plasma levels of rivaroxaban and apixaban among Asian patients with atrial fibrillation and compare the results with expected drug levels from clinical studies. A total of 73 patients taking rivaroxaban and 105 patients taking apixaban were enrolled. Peak and trough levels were measured using ultra‐high performance liquid chromatography with tandem mass spectrometry. The percentage of those with drug levels within the expected range reported in clinical studies was significantly higher in the apixaban group than in the rivaroxaban group, both for trough (84.8% vs. 64.4%; P = 0.002) and peak levels (76.9% vs. 33.8%; P &lt; 0.001). After adjusting for age, sex, kidney function, appropriate dose, and adherence, patients taking rivaroxaban were still less likely to have peak and trough levels within the expected drug levels. Our real‐world data suggests that Asian patients taking rivaroxaban are more likely to have out‐of‐expected drug levels than those taking apixaban.","container-title":"Clinical Pharmacology and Therapeutics","DOI":"10.1002/cpt.1601","ISSN":"0009-9236","issue":"1","journalAbbreviation":"Clin Pharmacol Ther","page":"278-286","PMID":"31376150","PMCID":"PMC6977317","source":"PubMed Central","title":"Real‐World Rivaroxaban and Apixaban Levels in Asian Patients With Atrial Fibrillation","volume":"107","author":[{"family":"Lin","given":"Shin‐Yi"},{"family":"Kuo","given":"Ching‐Hua"},{"family":"Yeh","given":"Shin‐Joe"},{"family":"Tsai","given":"Li‐Kai"},{"family":"Liu","given":"Yen‐Bin"},{"family":"Huang","given":"Chih‐Fen"},{"family":"Tang","given":"Sung‐Chun"},{"family":"Jeng","given":"Jiann‐Shing"}],"issued":{"date-parts":[["2020",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[227]</w:t>
      </w:r>
      <w:r>
        <w:rPr>
          <w:rFonts w:ascii="Times New Roman" w:hAnsi="Times New Roman" w:cs="Times New Roman"/>
          <w:sz w:val="28"/>
          <w:szCs w:val="28"/>
          <w:lang w:bidi="ar-SA"/>
        </w:rPr>
        <w:fldChar w:fldCharType="end"/>
      </w:r>
      <w:r w:rsidRPr="0027325F">
        <w:rPr>
          <w:rFonts w:ascii="Times New Roman" w:hAnsi="Times New Roman" w:cs="Times New Roman"/>
          <w:sz w:val="28"/>
          <w:szCs w:val="28"/>
          <w:lang w:bidi="ar-SA"/>
        </w:rPr>
        <w:t>. Клинические исследования и практика выделяют ряд факторов, которые повышают риск т</w:t>
      </w:r>
      <w:r>
        <w:rPr>
          <w:rFonts w:ascii="Times New Roman" w:hAnsi="Times New Roman" w:cs="Times New Roman"/>
          <w:sz w:val="28"/>
          <w:szCs w:val="28"/>
          <w:lang w:bidi="ar-SA"/>
        </w:rPr>
        <w:t>ромбо</w:t>
      </w:r>
      <w:r w:rsidRPr="0027325F">
        <w:rPr>
          <w:rFonts w:ascii="Times New Roman" w:hAnsi="Times New Roman" w:cs="Times New Roman"/>
          <w:sz w:val="28"/>
          <w:szCs w:val="28"/>
          <w:lang w:bidi="ar-SA"/>
        </w:rPr>
        <w:t xml:space="preserve">тических или геморрагических осложнений даже у пациентов с формально высокой приверженностью к терапии </w:t>
      </w:r>
      <w:r>
        <w:rPr>
          <w:rFonts w:ascii="Times New Roman" w:hAnsi="Times New Roman" w:cs="Times New Roman"/>
          <w:sz w:val="28"/>
          <w:szCs w:val="28"/>
          <w:lang w:bidi="ar-SA"/>
        </w:rPr>
        <w:t xml:space="preserve">ПОАК: - </w:t>
      </w:r>
      <w:r w:rsidRPr="0027325F">
        <w:rPr>
          <w:rFonts w:ascii="Times New Roman" w:hAnsi="Times New Roman" w:cs="Times New Roman"/>
          <w:sz w:val="28"/>
          <w:szCs w:val="28"/>
          <w:lang w:bidi="ar-SA"/>
        </w:rPr>
        <w:t>пожилой возраст</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связан с изменениями фармакокинетики</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полипрагмази</w:t>
      </w:r>
      <w:r>
        <w:rPr>
          <w:rFonts w:ascii="Times New Roman" w:hAnsi="Times New Roman" w:cs="Times New Roman"/>
          <w:sz w:val="28"/>
          <w:szCs w:val="28"/>
          <w:lang w:bidi="ar-SA"/>
        </w:rPr>
        <w:t xml:space="preserve">ей, </w:t>
      </w:r>
      <w:r w:rsidRPr="0027325F">
        <w:rPr>
          <w:rFonts w:ascii="Times New Roman" w:hAnsi="Times New Roman" w:cs="Times New Roman"/>
          <w:sz w:val="28"/>
          <w:szCs w:val="28"/>
          <w:lang w:bidi="ar-SA"/>
        </w:rPr>
        <w:t>повышенной хрупкостью сосудов</w:t>
      </w:r>
      <w:r>
        <w:rPr>
          <w:rFonts w:ascii="Times New Roman" w:hAnsi="Times New Roman" w:cs="Times New Roman"/>
          <w:sz w:val="28"/>
          <w:szCs w:val="28"/>
          <w:lang w:bidi="ar-SA"/>
        </w:rPr>
        <w:t>. - В</w:t>
      </w:r>
      <w:r w:rsidRPr="0027325F">
        <w:rPr>
          <w:rFonts w:ascii="Times New Roman" w:hAnsi="Times New Roman" w:cs="Times New Roman"/>
          <w:sz w:val="28"/>
          <w:szCs w:val="28"/>
          <w:lang w:bidi="ar-SA"/>
        </w:rPr>
        <w:t>ысокий балл по шкале тромбоэмболическ</w:t>
      </w:r>
      <w:r>
        <w:rPr>
          <w:rFonts w:ascii="Times New Roman" w:hAnsi="Times New Roman" w:cs="Times New Roman"/>
          <w:sz w:val="28"/>
          <w:szCs w:val="28"/>
          <w:lang w:bidi="ar-SA"/>
        </w:rPr>
        <w:t>ого</w:t>
      </w:r>
      <w:r w:rsidRPr="0027325F">
        <w:rPr>
          <w:rFonts w:ascii="Times New Roman" w:hAnsi="Times New Roman" w:cs="Times New Roman"/>
          <w:sz w:val="28"/>
          <w:szCs w:val="28"/>
          <w:lang w:bidi="ar-SA"/>
        </w:rPr>
        <w:t xml:space="preserve"> риска</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CHA</w:t>
      </w:r>
      <w:r w:rsidRPr="0027325F">
        <w:rPr>
          <w:rFonts w:ascii="Times New Roman" w:hAnsi="Times New Roman" w:cs="Times New Roman"/>
          <w:sz w:val="28"/>
          <w:szCs w:val="28"/>
          <w:lang w:bidi="ar-SA"/>
        </w:rPr>
        <w:t>2</w:t>
      </w:r>
      <w:r>
        <w:rPr>
          <w:rFonts w:ascii="Times New Roman" w:hAnsi="Times New Roman" w:cs="Times New Roman"/>
          <w:sz w:val="28"/>
          <w:szCs w:val="28"/>
          <w:lang w:val="en-US" w:bidi="ar-SA"/>
        </w:rPr>
        <w:t>DS</w:t>
      </w:r>
      <w:r w:rsidRPr="0027325F">
        <w:rPr>
          <w:rFonts w:ascii="Times New Roman" w:hAnsi="Times New Roman" w:cs="Times New Roman"/>
          <w:sz w:val="28"/>
          <w:szCs w:val="28"/>
          <w:lang w:bidi="ar-SA"/>
        </w:rPr>
        <w:t>2-</w:t>
      </w:r>
      <w:r>
        <w:rPr>
          <w:rFonts w:ascii="Times New Roman" w:hAnsi="Times New Roman" w:cs="Times New Roman"/>
          <w:sz w:val="28"/>
          <w:szCs w:val="28"/>
          <w:lang w:val="en-US" w:bidi="ar-SA"/>
        </w:rPr>
        <w:t>VA</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отражает тяжесть основного заболевания и наличи</w:t>
      </w:r>
      <w:r>
        <w:rPr>
          <w:rFonts w:ascii="Times New Roman" w:hAnsi="Times New Roman" w:cs="Times New Roman"/>
          <w:sz w:val="28"/>
          <w:szCs w:val="28"/>
          <w:lang w:bidi="ar-SA"/>
        </w:rPr>
        <w:t>е</w:t>
      </w:r>
      <w:r w:rsidRPr="0027325F">
        <w:rPr>
          <w:rFonts w:ascii="Times New Roman" w:hAnsi="Times New Roman" w:cs="Times New Roman"/>
          <w:sz w:val="28"/>
          <w:szCs w:val="28"/>
          <w:lang w:bidi="ar-SA"/>
        </w:rPr>
        <w:t xml:space="preserve"> множественных факторов риска</w:t>
      </w:r>
      <w:r>
        <w:rPr>
          <w:rFonts w:ascii="Times New Roman" w:hAnsi="Times New Roman" w:cs="Times New Roman"/>
          <w:sz w:val="28"/>
          <w:szCs w:val="28"/>
          <w:lang w:bidi="ar-SA"/>
        </w:rPr>
        <w:t>. - С</w:t>
      </w:r>
      <w:r w:rsidRPr="0027325F">
        <w:rPr>
          <w:rFonts w:ascii="Times New Roman" w:hAnsi="Times New Roman" w:cs="Times New Roman"/>
          <w:sz w:val="28"/>
          <w:szCs w:val="28"/>
          <w:lang w:bidi="ar-SA"/>
        </w:rPr>
        <w:t>ахарный диабет</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ассоциирован с эндотелиальной дисфункци</w:t>
      </w:r>
      <w:r>
        <w:rPr>
          <w:rFonts w:ascii="Times New Roman" w:hAnsi="Times New Roman" w:cs="Times New Roman"/>
          <w:sz w:val="28"/>
          <w:szCs w:val="28"/>
          <w:lang w:bidi="ar-SA"/>
        </w:rPr>
        <w:t>ей</w:t>
      </w:r>
      <w:r w:rsidRPr="0027325F">
        <w:rPr>
          <w:rFonts w:ascii="Times New Roman" w:hAnsi="Times New Roman" w:cs="Times New Roman"/>
          <w:sz w:val="28"/>
          <w:szCs w:val="28"/>
          <w:lang w:bidi="ar-SA"/>
        </w:rPr>
        <w:t xml:space="preserve"> и гипер</w:t>
      </w:r>
      <w:r>
        <w:rPr>
          <w:rFonts w:ascii="Times New Roman" w:hAnsi="Times New Roman" w:cs="Times New Roman"/>
          <w:sz w:val="28"/>
          <w:szCs w:val="28"/>
          <w:lang w:bidi="ar-SA"/>
        </w:rPr>
        <w:t>коагуляцией. - З</w:t>
      </w:r>
      <w:r w:rsidRPr="0027325F">
        <w:rPr>
          <w:rFonts w:ascii="Times New Roman" w:hAnsi="Times New Roman" w:cs="Times New Roman"/>
          <w:sz w:val="28"/>
          <w:szCs w:val="28"/>
          <w:lang w:bidi="ar-SA"/>
        </w:rPr>
        <w:t>начимые лекарственные взаимодействия</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одновременный прием мощных ингибиторов</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например</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кетоконазол</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кларитромицин</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или индукторов</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например</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рифампицин</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карбамазепин</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ключевых ферментов метаболизма</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CYP</w:t>
      </w:r>
      <w:r w:rsidRPr="0027325F">
        <w:rPr>
          <w:rFonts w:ascii="Times New Roman" w:hAnsi="Times New Roman" w:cs="Times New Roman"/>
          <w:sz w:val="28"/>
          <w:szCs w:val="28"/>
          <w:lang w:bidi="ar-SA"/>
        </w:rPr>
        <w:t>3</w:t>
      </w:r>
      <w:r>
        <w:rPr>
          <w:rFonts w:ascii="Times New Roman" w:hAnsi="Times New Roman" w:cs="Times New Roman"/>
          <w:sz w:val="28"/>
          <w:szCs w:val="28"/>
          <w:lang w:val="en-US" w:bidi="ar-SA"/>
        </w:rPr>
        <w:t>A</w:t>
      </w:r>
      <w:r w:rsidRPr="0027325F">
        <w:rPr>
          <w:rFonts w:ascii="Times New Roman" w:hAnsi="Times New Roman" w:cs="Times New Roman"/>
          <w:sz w:val="28"/>
          <w:szCs w:val="28"/>
          <w:lang w:bidi="ar-SA"/>
        </w:rPr>
        <w:t>4</w:t>
      </w:r>
      <w:r>
        <w:rPr>
          <w:rFonts w:ascii="Times New Roman" w:hAnsi="Times New Roman" w:cs="Times New Roman"/>
          <w:sz w:val="28"/>
          <w:szCs w:val="28"/>
          <w:lang w:bidi="ar-SA"/>
        </w:rPr>
        <w:t>)</w:t>
      </w:r>
      <w:r w:rsidRPr="0027325F">
        <w:rPr>
          <w:rFonts w:ascii="Times New Roman" w:hAnsi="Times New Roman" w:cs="Times New Roman"/>
          <w:sz w:val="28"/>
          <w:szCs w:val="28"/>
          <w:lang w:bidi="ar-SA"/>
        </w:rPr>
        <w:t xml:space="preserve"> и транспортеров (</w:t>
      </w:r>
      <w:r>
        <w:rPr>
          <w:rFonts w:ascii="Times New Roman" w:hAnsi="Times New Roman" w:cs="Times New Roman"/>
          <w:sz w:val="28"/>
          <w:szCs w:val="28"/>
          <w:lang w:val="en-US" w:bidi="ar-SA"/>
        </w:rPr>
        <w:t>P</w:t>
      </w:r>
      <w:r w:rsidRPr="0027325F">
        <w:rPr>
          <w:rFonts w:ascii="Times New Roman" w:hAnsi="Times New Roman" w:cs="Times New Roman"/>
          <w:sz w:val="28"/>
          <w:szCs w:val="28"/>
          <w:lang w:bidi="ar-SA"/>
        </w:rPr>
        <w:t>-</w:t>
      </w:r>
      <w:r>
        <w:rPr>
          <w:rFonts w:ascii="Times New Roman" w:hAnsi="Times New Roman" w:cs="Times New Roman"/>
          <w:sz w:val="28"/>
          <w:szCs w:val="28"/>
          <w:lang w:val="en-US" w:bidi="ar-SA"/>
        </w:rPr>
        <w:t>gp</w:t>
      </w:r>
      <w:r w:rsidRPr="0027325F">
        <w:rPr>
          <w:rFonts w:ascii="Times New Roman" w:hAnsi="Times New Roman" w:cs="Times New Roman"/>
          <w:sz w:val="28"/>
          <w:szCs w:val="28"/>
          <w:lang w:bidi="ar-SA"/>
        </w:rPr>
        <w:t>) может критически изменять концентрацию</w:t>
      </w:r>
      <w:r>
        <w:rPr>
          <w:rFonts w:ascii="Times New Roman" w:hAnsi="Times New Roman" w:cs="Times New Roman"/>
          <w:sz w:val="28"/>
          <w:szCs w:val="28"/>
          <w:lang w:bidi="ar-SA"/>
        </w:rPr>
        <w:t xml:space="preserve"> ПОАК </w:t>
      </w:r>
      <w:r w:rsidRPr="0027325F">
        <w:rPr>
          <w:rFonts w:ascii="Times New Roman" w:hAnsi="Times New Roman" w:cs="Times New Roman"/>
          <w:sz w:val="28"/>
          <w:szCs w:val="28"/>
          <w:lang w:bidi="ar-SA"/>
        </w:rPr>
        <w:t>в плазме</w:t>
      </w:r>
      <w:r>
        <w:rPr>
          <w:rFonts w:ascii="Times New Roman" w:hAnsi="Times New Roman" w:cs="Times New Roman"/>
          <w:sz w:val="28"/>
          <w:szCs w:val="28"/>
          <w:lang w:bidi="ar-SA"/>
        </w:rPr>
        <w:t>. - Атеросклеротическое</w:t>
      </w:r>
      <w:r w:rsidRPr="0027325F">
        <w:rPr>
          <w:rFonts w:ascii="Times New Roman" w:hAnsi="Times New Roman" w:cs="Times New Roman"/>
          <w:sz w:val="28"/>
          <w:szCs w:val="28"/>
          <w:lang w:bidi="ar-SA"/>
        </w:rPr>
        <w:t xml:space="preserve"> поражение артерий</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указывает на тяжелый</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 xml:space="preserve">распространенный </w:t>
      </w:r>
      <w:r>
        <w:rPr>
          <w:rFonts w:ascii="Times New Roman" w:hAnsi="Times New Roman" w:cs="Times New Roman"/>
          <w:sz w:val="28"/>
          <w:szCs w:val="28"/>
          <w:lang w:bidi="ar-SA"/>
        </w:rPr>
        <w:t>атеросклероз</w:t>
      </w:r>
      <w:r w:rsidRPr="0027325F">
        <w:rPr>
          <w:rFonts w:ascii="Times New Roman" w:hAnsi="Times New Roman" w:cs="Times New Roman"/>
          <w:sz w:val="28"/>
          <w:szCs w:val="28"/>
          <w:lang w:bidi="ar-SA"/>
        </w:rPr>
        <w:t xml:space="preserve"> как источник тромбоэмболии</w:t>
      </w:r>
      <w:r>
        <w:rPr>
          <w:rFonts w:ascii="Times New Roman" w:hAnsi="Times New Roman" w:cs="Times New Roman"/>
          <w:sz w:val="28"/>
          <w:szCs w:val="28"/>
          <w:lang w:bidi="ar-SA"/>
        </w:rPr>
        <w:t xml:space="preserve">. </w:t>
      </w:r>
      <w:r w:rsidRPr="0027325F">
        <w:rPr>
          <w:rFonts w:ascii="Times New Roman" w:hAnsi="Times New Roman" w:cs="Times New Roman"/>
          <w:sz w:val="28"/>
          <w:szCs w:val="28"/>
          <w:lang w:bidi="ar-SA"/>
        </w:rPr>
        <w:t xml:space="preserve">Оптимизация антикоагулянтной терапии </w:t>
      </w:r>
      <w:r>
        <w:rPr>
          <w:rFonts w:ascii="Times New Roman" w:hAnsi="Times New Roman" w:cs="Times New Roman"/>
          <w:sz w:val="28"/>
          <w:szCs w:val="28"/>
          <w:lang w:bidi="ar-SA"/>
        </w:rPr>
        <w:t>ПОАК</w:t>
      </w:r>
      <w:r w:rsidRPr="0027325F">
        <w:rPr>
          <w:rFonts w:ascii="Times New Roman" w:hAnsi="Times New Roman" w:cs="Times New Roman"/>
          <w:sz w:val="28"/>
          <w:szCs w:val="28"/>
          <w:lang w:bidi="ar-SA"/>
        </w:rPr>
        <w:t xml:space="preserve"> требует выхода за рамки простой оценки приверженности и перехода к персонализированному подходу</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c3n4c45","properties":{"unsorted":false,"formattedCitation":"[228]","plainCitation":"[228]","noteIndex":0},"citationItems":[{"id":389,"uris":["http://zotero.org/users/14784094/items/X4Z9R2X8"],"itemData":{"id":389,"type":"article-journal","abstract":"Background\nDabigatran is a direct competitive thrombin inhibitor approved for stroke prevention in non-valvular atrial fibrillation. At full-dose, dabigatran showed similar rates of bleedings and higher efficacy compared to warfarin.\n\nCase summary\nWe report a case of acute ischaemic stroke in a patient treated with dabigatran 150 mg b.i.d. for atrial fibrillation. After an off-label treatment with idarucizumab, a humanized monoclonal antibody approved for dabigatran reversal, we performed a successful intravenous thrombolysis (IVT). Transoesophageal echocardiography showed a left atrial appendage (LAA) thrombus, despite full-dose dabigatran and an adequate therapy adherence.\n\nDiscussion\nThere are few cases of LAA thrombus during dabigatran treatment reported in literature till date. We analyse the possible pathogenetic mechanisms involved in dabigatran failure, including drug interactions and unexpected genetic variations interfering with dabigatran serum levels suggesting periodical assessment of direct Oral Anticoagulant levels. Furthermore, we confirm initial reports of safety and efficacy of intravenous thrombolysis after idarucizumab, in case of dabigatran failure.","container-title":"European Heart Journal: Case Reports","DOI":"10.1093/ehjcr/ytaa057","ISSN":"2514-2119","issue":"3","journalAbbreviation":"Eur Heart J Case Rep","page":"1-4","PMID":"32617467","PMCID":"PMC7319812","source":"PubMed Central","title":"Left atrial appendage thrombus on full-dose dabigatran treatment: a case report","title-short":"Left atrial appendage thrombus on full-dose dabigatran treatment","volume":"4","author":[{"family":"Candelaresi","given":"Paolo"},{"family":"Iannuzzi","given":"Angela"},{"family":"Servillo","given":"Giovanna"},{"family":"Gottilla","given":"Rossella"}],"issued":{"date-parts":[["2020",4,24]]}}}],"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[228]</w:t>
      </w:r>
      <w:r>
        <w:rPr>
          <w:rFonts w:ascii="Times New Roman" w:hAnsi="Times New Roman" w:cs="Times New Roman"/>
          <w:sz w:val="28"/>
          <w:szCs w:val="28"/>
          <w:lang w:bidi="ar-SA"/>
        </w:rPr>
        <w:fldChar w:fldCharType="end"/>
      </w:r>
      <w:r>
        <w:rPr>
          <w:rFonts w:ascii="Times New Roman" w:hAnsi="Times New Roman" w:cs="Times New Roman"/>
          <w:sz w:val="28"/>
          <w:szCs w:val="28"/>
          <w:lang w:val="en-US" w:bidi="ar-SA"/>
        </w:rPr>
        <w:t>.</w:t>
      </w:r>
    </w:p>
    <w:p w14:paraId="0D3395BA" w14:textId="77777777" w:rsidR="0027325F" w:rsidRDefault="0027325F" w:rsidP="0027325F">
      <w:pPr>
        <w:pStyle w:val="LO-normal"/>
        <w:rPr>
          <w:lang w:val="en-US"/>
        </w:rPr>
      </w:pPr>
      <w:r>
        <w:rPr>
          <w:lang w:val="en-US"/>
        </w:rPr>
        <w:br w:type="page"/>
      </w:r>
    </w:p>
    <w:p w14:paraId="4F135CCF" w14:textId="77777777" w:rsidR="001A48AB" w:rsidRDefault="00076A95" w:rsidP="001A48AB">
      <w:pPr>
        <w:pStyle w:val="LO-normal"/>
        <w:numPr>
          <w:ilvl w:val="0"/>
          <w:numId w:val="8"/>
        </w:numPr>
        <w:spacing w:after="0" w:line="240" w:lineRule="auto"/>
        <w:jc w:val="center"/>
        <w:rPr>
          <w:rFonts w:ascii="Times New Roman" w:hAnsi="Times New Roman" w:cs="Times New Roman"/>
          <w:b/>
          <w:bCs/>
          <w:sz w:val="28"/>
          <w:szCs w:val="28"/>
          <w:lang w:bidi="ar-SA"/>
        </w:rPr>
      </w:pPr>
      <w:r w:rsidRPr="00076A95">
        <w:rPr>
          <w:rFonts w:ascii="Times New Roman" w:hAnsi="Times New Roman" w:cs="Times New Roman"/>
          <w:b/>
          <w:bCs/>
          <w:sz w:val="28"/>
          <w:szCs w:val="28"/>
          <w:lang w:bidi="ar-SA"/>
        </w:rPr>
        <w:t>МАТЕРИАЛЫ И МЕТОДЫ ИССЛЕДОВАНИЯ</w:t>
      </w:r>
    </w:p>
    <w:p w14:paraId="6C8A6ECE" w14:textId="7DE373F5" w:rsidR="001A48AB" w:rsidRPr="001A48AB" w:rsidRDefault="001A48AB" w:rsidP="001A48AB">
      <w:pPr>
        <w:pStyle w:val="LO-normal"/>
        <w:spacing w:after="0" w:line="240" w:lineRule="auto"/>
        <w:ind w:left="567"/>
        <w:rPr>
          <w:rFonts w:ascii="Times New Roman" w:hAnsi="Times New Roman" w:cs="Times New Roman"/>
          <w:b/>
          <w:bCs/>
          <w:sz w:val="28"/>
          <w:szCs w:val="28"/>
          <w:lang w:bidi="ar-SA"/>
        </w:rPr>
      </w:pPr>
      <w:r w:rsidRPr="001A48AB">
        <w:rPr>
          <w:rFonts w:ascii="Times New Roman" w:hAnsi="Times New Roman" w:cs="Times New Roman"/>
          <w:b/>
          <w:bCs/>
          <w:sz w:val="28"/>
          <w:szCs w:val="28"/>
          <w:lang w:val="kk-KZ" w:bidi="ar-SA"/>
        </w:rPr>
        <w:t>2.</w:t>
      </w:r>
      <w:r w:rsidRPr="001A48AB">
        <w:rPr>
          <w:rFonts w:ascii="Times New Roman" w:hAnsi="Times New Roman" w:cs="Times New Roman"/>
          <w:b/>
          <w:bCs/>
          <w:sz w:val="28"/>
          <w:szCs w:val="28"/>
          <w:lang w:bidi="ar-SA"/>
        </w:rPr>
        <w:t xml:space="preserve">1. </w:t>
      </w:r>
      <w:r>
        <w:rPr>
          <w:rFonts w:ascii="Times New Roman" w:hAnsi="Times New Roman" w:cs="Times New Roman"/>
          <w:b/>
          <w:bCs/>
          <w:sz w:val="28"/>
          <w:szCs w:val="28"/>
          <w:lang w:bidi="ar-SA"/>
        </w:rPr>
        <w:t>Дизайн исследования и характеристика у</w:t>
      </w:r>
      <w:r w:rsidRPr="001A48AB">
        <w:rPr>
          <w:rFonts w:ascii="Times New Roman" w:hAnsi="Times New Roman" w:cs="Times New Roman"/>
          <w:b/>
          <w:bCs/>
          <w:sz w:val="28"/>
          <w:szCs w:val="28"/>
          <w:lang w:bidi="ar-SA"/>
        </w:rPr>
        <w:t>частник</w:t>
      </w:r>
      <w:r>
        <w:rPr>
          <w:rFonts w:ascii="Times New Roman" w:hAnsi="Times New Roman" w:cs="Times New Roman"/>
          <w:b/>
          <w:bCs/>
          <w:sz w:val="28"/>
          <w:szCs w:val="28"/>
          <w:lang w:bidi="ar-SA"/>
        </w:rPr>
        <w:t>ов</w:t>
      </w:r>
      <w:r w:rsidRPr="001A48AB">
        <w:rPr>
          <w:rFonts w:ascii="Times New Roman" w:hAnsi="Times New Roman" w:cs="Times New Roman"/>
          <w:b/>
          <w:bCs/>
          <w:sz w:val="28"/>
          <w:szCs w:val="28"/>
          <w:lang w:bidi="ar-SA"/>
        </w:rPr>
        <w:t xml:space="preserve"> </w:t>
      </w:r>
    </w:p>
    <w:p w14:paraId="42101B04" w14:textId="1D6C39EA"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1A48AB">
        <w:rPr>
          <w:rFonts w:ascii="Times New Roman" w:hAnsi="Times New Roman" w:cs="Times New Roman"/>
          <w:sz w:val="28"/>
          <w:szCs w:val="28"/>
          <w:lang w:val="kk-KZ" w:bidi="ar-SA"/>
        </w:rPr>
        <w:t>Дизайн исследования</w:t>
      </w:r>
      <w:r w:rsidRPr="001A48AB">
        <w:rPr>
          <w:rFonts w:ascii="Times New Roman" w:hAnsi="Times New Roman" w:cs="Times New Roman"/>
          <w:sz w:val="28"/>
          <w:szCs w:val="28"/>
          <w:lang w:bidi="ar-SA"/>
        </w:rPr>
        <w:t>:</w:t>
      </w:r>
      <w:r>
        <w:rPr>
          <w:rFonts w:ascii="Times New Roman" w:hAnsi="Times New Roman" w:cs="Times New Roman"/>
          <w:b/>
          <w:bCs/>
          <w:sz w:val="28"/>
          <w:szCs w:val="28"/>
          <w:lang w:bidi="ar-SA"/>
        </w:rPr>
        <w:t xml:space="preserve"> </w:t>
      </w:r>
      <w:r>
        <w:rPr>
          <w:rFonts w:ascii="Times New Roman" w:hAnsi="Times New Roman" w:cs="Times New Roman"/>
          <w:sz w:val="28"/>
          <w:szCs w:val="28"/>
          <w:lang w:bidi="ar-SA"/>
        </w:rPr>
        <w:t>поперечное одномоментное исследование с элементами проспективного когортного исследования</w:t>
      </w:r>
      <w:r w:rsidR="008E0328">
        <w:rPr>
          <w:rFonts w:ascii="Times New Roman" w:hAnsi="Times New Roman" w:cs="Times New Roman"/>
          <w:sz w:val="28"/>
          <w:szCs w:val="28"/>
          <w:lang w:bidi="ar-SA"/>
        </w:rPr>
        <w:t xml:space="preserve"> (</w:t>
      </w:r>
      <w:r w:rsidR="008E0328" w:rsidRPr="00CB50AF">
        <w:rPr>
          <w:rFonts w:ascii="Times New Roman" w:hAnsi="Times New Roman" w:cs="Times New Roman"/>
          <w:color w:val="000000" w:themeColor="text1"/>
          <w:sz w:val="28"/>
          <w:szCs w:val="28"/>
          <w:lang w:bidi="ar-SA"/>
        </w:rPr>
        <w:t>рисунок 1</w:t>
      </w:r>
      <w:r w:rsidR="008E0328">
        <w:rPr>
          <w:rFonts w:ascii="Times New Roman" w:hAnsi="Times New Roman" w:cs="Times New Roman"/>
          <w:sz w:val="28"/>
          <w:szCs w:val="28"/>
          <w:lang w:bidi="ar-SA"/>
        </w:rPr>
        <w:t>)</w:t>
      </w:r>
      <w:r>
        <w:rPr>
          <w:rFonts w:ascii="Times New Roman" w:hAnsi="Times New Roman" w:cs="Times New Roman"/>
          <w:sz w:val="28"/>
          <w:szCs w:val="28"/>
          <w:lang w:bidi="ar-SA"/>
        </w:rPr>
        <w:t>.</w:t>
      </w:r>
    </w:p>
    <w:p w14:paraId="05EC7DC8" w14:textId="5DDDB57A" w:rsidR="00CB50AF" w:rsidRPr="00CB50AF" w:rsidRDefault="00CB50AF" w:rsidP="00FF5E8E">
      <w:pPr>
        <w:pStyle w:val="LO-normal"/>
        <w:spacing w:after="0" w:line="240" w:lineRule="auto"/>
        <w:ind w:left="40" w:firstLine="527"/>
        <w:jc w:val="both"/>
        <w:rPr>
          <w:rFonts w:ascii="Times New Roman" w:hAnsi="Times New Roman" w:cs="Times New Roman"/>
          <w:sz w:val="24"/>
          <w:szCs w:val="24"/>
          <w:lang w:bidi="ar-SA"/>
        </w:rPr>
      </w:pPr>
      <w:r>
        <w:rPr>
          <w:rFonts w:ascii="Times New Roman" w:eastAsia="Times New Roman" w:hAnsi="Times New Roman" w:cs="Times New Roman"/>
          <w:noProof/>
          <w:sz w:val="28"/>
          <w:szCs w:val="28"/>
          <w:lang w:eastAsia="ru-RU" w:bidi="ar-SA"/>
        </w:rPr>
        <w:drawing>
          <wp:anchor distT="0" distB="0" distL="0" distR="0" simplePos="0" relativeHeight="251659264" behindDoc="0" locked="0" layoutInCell="0" allowOverlap="1" wp14:anchorId="1D87E4CF" wp14:editId="0161AABA">
            <wp:simplePos x="0" y="0"/>
            <wp:positionH relativeFrom="column">
              <wp:posOffset>0</wp:posOffset>
            </wp:positionH>
            <wp:positionV relativeFrom="paragraph">
              <wp:posOffset>207645</wp:posOffset>
            </wp:positionV>
            <wp:extent cx="6139815" cy="4815840"/>
            <wp:effectExtent l="0" t="0" r="0" b="0"/>
            <wp:wrapSquare wrapText="largest"/>
            <wp:docPr id="1" name="Image18" descr="Изображение выглядит как текст, снимок экрана,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8" descr="Изображение выглядит как текст, снимок экрана, Шрифт, дизайн&#10;&#10;Содержимое, созданное искусственным интеллектом, может быть неверным."/>
                    <pic:cNvPicPr>
                      <a:picLocks noChangeAspect="1" noChangeArrowheads="1"/>
                    </pic:cNvPicPr>
                  </pic:nvPicPr>
                  <pic:blipFill>
                    <a:blip r:embed="rId9"/>
                    <a:srcRect l="3571" t="6609" r="4020" b="3937"/>
                    <a:stretch>
                      <a:fillRect/>
                    </a:stretch>
                  </pic:blipFill>
                  <pic:spPr bwMode="auto">
                    <a:xfrm>
                      <a:off x="0" y="0"/>
                      <a:ext cx="6139815" cy="4815840"/>
                    </a:xfrm>
                    <a:prstGeom prst="rect">
                      <a:avLst/>
                    </a:prstGeom>
                  </pic:spPr>
                </pic:pic>
              </a:graphicData>
            </a:graphic>
          </wp:anchor>
        </w:drawing>
      </w:r>
    </w:p>
    <w:p w14:paraId="1031EE77" w14:textId="0A323673" w:rsidR="00CB50AF" w:rsidRPr="00CB50AF" w:rsidRDefault="00CB50AF" w:rsidP="00FF5E8E">
      <w:pPr>
        <w:pStyle w:val="LO-normal"/>
        <w:spacing w:after="0" w:line="240" w:lineRule="auto"/>
        <w:ind w:left="40" w:firstLine="527"/>
        <w:jc w:val="both"/>
        <w:rPr>
          <w:rFonts w:ascii="Times New Roman" w:hAnsi="Times New Roman" w:cs="Times New Roman"/>
          <w:sz w:val="28"/>
          <w:szCs w:val="28"/>
          <w:lang w:val="kk-KZ" w:bidi="ar-SA"/>
        </w:rPr>
      </w:pPr>
      <w:r w:rsidRPr="00CB50AF">
        <w:rPr>
          <w:rFonts w:ascii="Times New Roman" w:hAnsi="Times New Roman" w:cs="Times New Roman"/>
          <w:sz w:val="28"/>
          <w:szCs w:val="28"/>
          <w:lang w:val="kk-KZ" w:bidi="ar-SA"/>
        </w:rPr>
        <w:t>Рисунок 1. Дизайн исследования</w:t>
      </w:r>
    </w:p>
    <w:p w14:paraId="79354EEE" w14:textId="77777777" w:rsidR="00CB50AF" w:rsidRDefault="00CB50AF" w:rsidP="00FF5E8E">
      <w:pPr>
        <w:pStyle w:val="LO-normal"/>
        <w:spacing w:after="0" w:line="240" w:lineRule="auto"/>
        <w:ind w:left="40" w:firstLine="527"/>
        <w:jc w:val="both"/>
        <w:rPr>
          <w:rFonts w:ascii="Times New Roman" w:hAnsi="Times New Roman" w:cs="Times New Roman"/>
          <w:b/>
          <w:bCs/>
          <w:sz w:val="28"/>
          <w:szCs w:val="28"/>
          <w:lang w:val="kk-KZ" w:bidi="ar-SA"/>
        </w:rPr>
      </w:pPr>
    </w:p>
    <w:p w14:paraId="2F4258EE" w14:textId="19312435"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Когорту пациентов составили пациенты отделения интервенционной аритмологии НАО «Национального научного кардиохирургического центра» города Астана, которые поступили в плановом порядке по порталу госпитализации с кодом </w:t>
      </w:r>
      <w:r>
        <w:rPr>
          <w:rFonts w:ascii="Times New Roman" w:hAnsi="Times New Roman" w:cs="Times New Roman"/>
          <w:sz w:val="28"/>
          <w:szCs w:val="28"/>
          <w:lang w:val="en-US" w:bidi="ar-SA"/>
        </w:rPr>
        <w:t>I</w:t>
      </w:r>
      <w:r w:rsidRPr="00FF5E8E">
        <w:rPr>
          <w:rFonts w:ascii="Times New Roman" w:hAnsi="Times New Roman" w:cs="Times New Roman"/>
          <w:sz w:val="28"/>
          <w:szCs w:val="28"/>
          <w:lang w:bidi="ar-SA"/>
        </w:rPr>
        <w:t>48.0-</w:t>
      </w:r>
      <w:r>
        <w:rPr>
          <w:rFonts w:ascii="Times New Roman" w:hAnsi="Times New Roman" w:cs="Times New Roman"/>
          <w:sz w:val="28"/>
          <w:szCs w:val="28"/>
          <w:lang w:val="en-US" w:bidi="ar-SA"/>
        </w:rPr>
        <w:t>I</w:t>
      </w:r>
      <w:r w:rsidRPr="00FF5E8E">
        <w:rPr>
          <w:rFonts w:ascii="Times New Roman" w:hAnsi="Times New Roman" w:cs="Times New Roman"/>
          <w:sz w:val="28"/>
          <w:szCs w:val="28"/>
          <w:lang w:bidi="ar-SA"/>
        </w:rPr>
        <w:t xml:space="preserve">48.9 </w:t>
      </w:r>
      <w:r>
        <w:rPr>
          <w:rFonts w:ascii="Times New Roman" w:hAnsi="Times New Roman" w:cs="Times New Roman"/>
          <w:sz w:val="28"/>
          <w:szCs w:val="28"/>
          <w:lang w:bidi="ar-SA"/>
        </w:rPr>
        <w:t xml:space="preserve">в период с августа 2021г. По июль 2022г. для проведения катетерной </w:t>
      </w:r>
      <w:r w:rsidR="008E0328">
        <w:rPr>
          <w:rFonts w:ascii="Times New Roman" w:hAnsi="Times New Roman" w:cs="Times New Roman"/>
          <w:sz w:val="28"/>
          <w:szCs w:val="28"/>
          <w:lang w:bidi="ar-SA"/>
        </w:rPr>
        <w:t>аблации</w:t>
      </w:r>
      <w:r>
        <w:rPr>
          <w:rFonts w:ascii="Times New Roman" w:hAnsi="Times New Roman" w:cs="Times New Roman"/>
          <w:sz w:val="28"/>
          <w:szCs w:val="28"/>
          <w:lang w:bidi="ar-SA"/>
        </w:rPr>
        <w:t xml:space="preserve">. </w:t>
      </w:r>
      <w:r w:rsidRPr="00FF5E8E">
        <w:rPr>
          <w:rFonts w:ascii="Times New Roman" w:hAnsi="Times New Roman" w:cs="Times New Roman"/>
          <w:i/>
          <w:iCs/>
          <w:sz w:val="28"/>
          <w:szCs w:val="28"/>
          <w:lang w:bidi="ar-SA"/>
        </w:rPr>
        <w:t>Критерии включения</w:t>
      </w:r>
      <w:r>
        <w:rPr>
          <w:rFonts w:ascii="Times New Roman" w:hAnsi="Times New Roman" w:cs="Times New Roman"/>
          <w:sz w:val="28"/>
          <w:szCs w:val="28"/>
          <w:lang w:bidi="ar-SA"/>
        </w:rPr>
        <w:t xml:space="preserve">: в исследование были включены 150 пациентов казахской национальности обеих полов в возрасте от 18 до 75 лет с подтвержденным диагнозом неклапанной фибрилляции предсердий. В рамках исследования этническая принадлежность участников определялась посредством двух критериев: личного самоопределения и анализа генеалогических данных в пределах трех поколений (родители, бабушки и дедушки по обеим линиям относились к казахской национальности). </w:t>
      </w:r>
      <w:r w:rsidRPr="00FF5E8E">
        <w:rPr>
          <w:rFonts w:ascii="Times New Roman" w:hAnsi="Times New Roman" w:cs="Times New Roman"/>
          <w:sz w:val="28"/>
          <w:szCs w:val="28"/>
          <w:lang w:bidi="ar-SA"/>
        </w:rPr>
        <w:t>Такой подход согласуется с международными стандартами популяционных исследований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где приоритет отдается культурно</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этническому самоопределению в условиях компактного проживания этнической группы</w:t>
      </w:r>
      <w:r>
        <w:rPr>
          <w:rFonts w:ascii="Times New Roman" w:hAnsi="Times New Roman" w:cs="Times New Roman"/>
          <w:sz w:val="28"/>
          <w:szCs w:val="28"/>
          <w:lang w:bidi="ar-SA"/>
        </w:rPr>
        <w:t xml:space="preserve">. </w:t>
      </w:r>
    </w:p>
    <w:p w14:paraId="47A63B0B" w14:textId="76CD1AF8"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i/>
          <w:iCs/>
          <w:sz w:val="28"/>
          <w:szCs w:val="28"/>
          <w:lang w:bidi="ar-SA"/>
        </w:rPr>
        <w:t>Критериями исключения</w:t>
      </w:r>
      <w:r w:rsidRPr="00FF5E8E">
        <w:rPr>
          <w:rFonts w:ascii="Times New Roman" w:hAnsi="Times New Roman" w:cs="Times New Roman"/>
          <w:sz w:val="28"/>
          <w:szCs w:val="28"/>
          <w:lang w:bidi="ar-SA"/>
        </w:rPr>
        <w:t xml:space="preserve"> для участия в исследовании был</w:t>
      </w:r>
      <w:r>
        <w:rPr>
          <w:rFonts w:ascii="Times New Roman" w:hAnsi="Times New Roman" w:cs="Times New Roman"/>
          <w:sz w:val="28"/>
          <w:szCs w:val="28"/>
          <w:lang w:bidi="ar-SA"/>
        </w:rPr>
        <w:t>и</w:t>
      </w:r>
      <w:r w:rsidRPr="00FF5E8E">
        <w:rPr>
          <w:rFonts w:ascii="Times New Roman" w:hAnsi="Times New Roman" w:cs="Times New Roman"/>
          <w:sz w:val="28"/>
          <w:szCs w:val="28"/>
          <w:lang w:bidi="ar-SA"/>
        </w:rPr>
        <w:t xml:space="preserve"> клапанная фибрилляция предсердий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хронические заболевания печени с печеночно</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клеточной недостаточностью любой стадии по</w:t>
      </w:r>
      <w:r>
        <w:rPr>
          <w:rFonts w:ascii="Times New Roman" w:hAnsi="Times New Roman" w:cs="Times New Roman"/>
          <w:sz w:val="28"/>
          <w:szCs w:val="28"/>
          <w:lang w:bidi="ar-SA"/>
        </w:rPr>
        <w:t xml:space="preserve"> Чайлд-П</w:t>
      </w:r>
      <w:r w:rsidRPr="00FF5E8E">
        <w:rPr>
          <w:rFonts w:ascii="Times New Roman" w:hAnsi="Times New Roman" w:cs="Times New Roman"/>
          <w:sz w:val="28"/>
          <w:szCs w:val="28"/>
          <w:lang w:bidi="ar-SA"/>
        </w:rPr>
        <w:t>ью</w:t>
      </w:r>
      <w:r>
        <w:rPr>
          <w:rFonts w:ascii="Times New Roman" w:hAnsi="Times New Roman" w:cs="Times New Roman"/>
          <w:sz w:val="28"/>
          <w:szCs w:val="28"/>
          <w:lang w:bidi="ar-SA"/>
        </w:rPr>
        <w:t>, СКФ ниже 50мл/мин/1,73м</w:t>
      </w:r>
      <w:r w:rsidRPr="00FF5E8E">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д</w:t>
      </w:r>
      <w:r w:rsidRPr="00FF5E8E">
        <w:rPr>
          <w:rFonts w:ascii="Times New Roman" w:hAnsi="Times New Roman" w:cs="Times New Roman"/>
          <w:sz w:val="28"/>
          <w:szCs w:val="28"/>
          <w:lang w:bidi="ar-SA"/>
        </w:rPr>
        <w:t>окументированные онкологические заболевания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предшествующая язвенная болезнь желудка и двенадцатиперстной кишки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аллергическая реакция на исследуемые препараты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возраст старше 75 лет</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масса тела выше 120 кг</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ниже 50 кг</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беременные и кормящие женщины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лица младше 18 лет</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отказ от участия в исследовании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Также исключались пациенты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принимавшие индукторы или ингибиторы</w:t>
      </w:r>
      <w:r>
        <w:rPr>
          <w:rFonts w:ascii="Times New Roman" w:hAnsi="Times New Roman" w:cs="Times New Roman"/>
          <w:sz w:val="28"/>
          <w:szCs w:val="28"/>
          <w:lang w:bidi="ar-SA"/>
        </w:rPr>
        <w:t xml:space="preserve"> р-гликопротеина </w:t>
      </w:r>
      <w:r w:rsidRPr="00FF5E8E">
        <w:rPr>
          <w:rFonts w:ascii="Times New Roman" w:hAnsi="Times New Roman" w:cs="Times New Roman"/>
          <w:sz w:val="28"/>
          <w:szCs w:val="28"/>
          <w:lang w:bidi="ar-SA"/>
        </w:rPr>
        <w:t>в течение последних 8 дней</w:t>
      </w:r>
      <w:r>
        <w:rPr>
          <w:rFonts w:ascii="Times New Roman" w:hAnsi="Times New Roman" w:cs="Times New Roman"/>
          <w:sz w:val="28"/>
          <w:szCs w:val="28"/>
          <w:lang w:bidi="ar-SA"/>
        </w:rPr>
        <w:t xml:space="preserve">. </w:t>
      </w:r>
    </w:p>
    <w:p w14:paraId="05369EE7" w14:textId="05BEDC87" w:rsidR="00FF5E8E" w:rsidRPr="00A41B41"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Наше исследование было проведено в рамках проекта грантового финансирования конкурса молодых ученых</w:t>
      </w:r>
      <w:r>
        <w:rPr>
          <w:rFonts w:ascii="Times New Roman" w:hAnsi="Times New Roman" w:cs="Times New Roman"/>
          <w:sz w:val="28"/>
          <w:szCs w:val="28"/>
          <w:lang w:bidi="ar-SA"/>
        </w:rPr>
        <w:t xml:space="preserve"> МОН РК, ИРН </w:t>
      </w:r>
      <w:r w:rsidRPr="00FF5E8E">
        <w:rPr>
          <w:rFonts w:ascii="Times New Roman" w:hAnsi="Times New Roman" w:cs="Times New Roman"/>
          <w:sz w:val="28"/>
          <w:szCs w:val="28"/>
          <w:lang w:bidi="ar-SA"/>
        </w:rPr>
        <w:t>проекта</w:t>
      </w:r>
      <w:r>
        <w:rPr>
          <w:rFonts w:ascii="Times New Roman" w:hAnsi="Times New Roman" w:cs="Times New Roman"/>
          <w:sz w:val="28"/>
          <w:szCs w:val="28"/>
          <w:lang w:bidi="ar-SA"/>
        </w:rPr>
        <w:t xml:space="preserve"> АР09259271 «П</w:t>
      </w:r>
      <w:r w:rsidRPr="00FF5E8E">
        <w:rPr>
          <w:rFonts w:ascii="Times New Roman" w:hAnsi="Times New Roman" w:cs="Times New Roman"/>
          <w:sz w:val="28"/>
          <w:szCs w:val="28"/>
          <w:lang w:bidi="ar-SA"/>
        </w:rPr>
        <w:t>олиморфизм генов</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и чувствительность к новым оральным антикоагулянтам у пациентов с ней клапанной фибрилляцией предсердий в казахской популяции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Исследование было разработано в соответствии с </w:t>
      </w:r>
      <w:r>
        <w:rPr>
          <w:rFonts w:ascii="Times New Roman" w:hAnsi="Times New Roman" w:cs="Times New Roman"/>
          <w:sz w:val="28"/>
          <w:szCs w:val="28"/>
          <w:lang w:bidi="ar-SA"/>
        </w:rPr>
        <w:t>Х</w:t>
      </w:r>
      <w:r w:rsidRPr="00FF5E8E">
        <w:rPr>
          <w:rFonts w:ascii="Times New Roman" w:hAnsi="Times New Roman" w:cs="Times New Roman"/>
          <w:sz w:val="28"/>
          <w:szCs w:val="28"/>
          <w:lang w:bidi="ar-SA"/>
        </w:rPr>
        <w:t>ельсинкской декларацией</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 xml:space="preserve"> Протоколы исследования одобрен комитетом по этике</w:t>
      </w:r>
      <w:r>
        <w:rPr>
          <w:rFonts w:ascii="Times New Roman" w:hAnsi="Times New Roman" w:cs="Times New Roman"/>
          <w:sz w:val="28"/>
          <w:szCs w:val="28"/>
          <w:lang w:bidi="ar-SA"/>
        </w:rPr>
        <w:t xml:space="preserve"> Национального </w:t>
      </w:r>
      <w:r w:rsidRPr="00FF5E8E">
        <w:rPr>
          <w:rFonts w:ascii="Times New Roman" w:hAnsi="Times New Roman" w:cs="Times New Roman"/>
          <w:sz w:val="28"/>
          <w:szCs w:val="28"/>
          <w:lang w:bidi="ar-SA"/>
        </w:rPr>
        <w:t>научного кардиохирургического центра</w:t>
      </w:r>
      <w:r>
        <w:rPr>
          <w:rFonts w:ascii="Times New Roman" w:hAnsi="Times New Roman" w:cs="Times New Roman"/>
          <w:sz w:val="28"/>
          <w:szCs w:val="28"/>
          <w:lang w:bidi="ar-SA"/>
        </w:rPr>
        <w:t xml:space="preserve"> (ННКЦ), г.Астана (№1/2022 от 21.01.2022г.) (</w:t>
      </w:r>
      <w:r w:rsidRPr="008E0328">
        <w:rPr>
          <w:rFonts w:ascii="Times New Roman" w:hAnsi="Times New Roman" w:cs="Times New Roman"/>
          <w:color w:val="000000" w:themeColor="text1"/>
          <w:sz w:val="28"/>
          <w:szCs w:val="28"/>
          <w:lang w:bidi="ar-SA"/>
        </w:rPr>
        <w:t>Приложение В</w:t>
      </w:r>
      <w:r>
        <w:rPr>
          <w:rFonts w:ascii="Times New Roman" w:hAnsi="Times New Roman" w:cs="Times New Roman"/>
          <w:sz w:val="28"/>
          <w:szCs w:val="28"/>
          <w:lang w:bidi="ar-SA"/>
        </w:rPr>
        <w:t>), затем подтвержден локальной комиссией по биоэтике Медицинского Университета Астана (Протокол №3 от 30.01.2024г.</w:t>
      </w:r>
      <w:r w:rsidR="008E0328">
        <w:rPr>
          <w:rFonts w:ascii="Times New Roman" w:hAnsi="Times New Roman" w:cs="Times New Roman"/>
          <w:sz w:val="28"/>
          <w:szCs w:val="28"/>
          <w:lang w:bidi="ar-SA"/>
        </w:rPr>
        <w:t>, №33 от 17.12.2025г.</w:t>
      </w:r>
      <w:r>
        <w:rPr>
          <w:rFonts w:ascii="Times New Roman" w:hAnsi="Times New Roman" w:cs="Times New Roman"/>
          <w:sz w:val="28"/>
          <w:szCs w:val="28"/>
          <w:lang w:bidi="ar-SA"/>
        </w:rPr>
        <w:t>) (</w:t>
      </w:r>
      <w:r w:rsidRPr="008E0328">
        <w:rPr>
          <w:rFonts w:ascii="Times New Roman" w:hAnsi="Times New Roman" w:cs="Times New Roman"/>
          <w:color w:val="000000" w:themeColor="text1"/>
          <w:sz w:val="28"/>
          <w:szCs w:val="28"/>
          <w:lang w:bidi="ar-SA"/>
        </w:rPr>
        <w:t xml:space="preserve">Приложение </w:t>
      </w:r>
      <w:r w:rsidR="008E0328" w:rsidRPr="008E0328">
        <w:rPr>
          <w:rFonts w:ascii="Times New Roman" w:hAnsi="Times New Roman" w:cs="Times New Roman"/>
          <w:color w:val="000000" w:themeColor="text1"/>
          <w:sz w:val="28"/>
          <w:szCs w:val="28"/>
          <w:lang w:bidi="ar-SA"/>
        </w:rPr>
        <w:t>В</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Все этапы исследования выполнялись в соответствии с принципами</w:t>
      </w:r>
      <w:r>
        <w:rPr>
          <w:rFonts w:ascii="Times New Roman" w:hAnsi="Times New Roman" w:cs="Times New Roman"/>
          <w:sz w:val="28"/>
          <w:szCs w:val="28"/>
          <w:lang w:bidi="ar-SA"/>
        </w:rPr>
        <w:t xml:space="preserve"> «Н</w:t>
      </w:r>
      <w:r w:rsidRPr="00FF5E8E">
        <w:rPr>
          <w:rFonts w:ascii="Times New Roman" w:hAnsi="Times New Roman" w:cs="Times New Roman"/>
          <w:sz w:val="28"/>
          <w:szCs w:val="28"/>
          <w:lang w:bidi="ar-SA"/>
        </w:rPr>
        <w:t>адлежащей клинической практик</w:t>
      </w:r>
      <w:r>
        <w:rPr>
          <w:rFonts w:ascii="Times New Roman" w:hAnsi="Times New Roman" w:cs="Times New Roman"/>
          <w:sz w:val="28"/>
          <w:szCs w:val="28"/>
          <w:lang w:bidi="ar-SA"/>
        </w:rPr>
        <w:t>и» (</w:t>
      </w:r>
      <w:r>
        <w:rPr>
          <w:rFonts w:ascii="Times New Roman" w:hAnsi="Times New Roman" w:cs="Times New Roman"/>
          <w:sz w:val="28"/>
          <w:szCs w:val="28"/>
          <w:lang w:val="en-US" w:bidi="ar-SA"/>
        </w:rPr>
        <w:t>GCP</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w:t>
      </w:r>
    </w:p>
    <w:p w14:paraId="4BE24EF6" w14:textId="69C5E592"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У всех пациентов было получено письменное информированное согласие с выдачей его копии и информации об исследовании на руки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после полного разъяснения целей планы исследования лечащим врачам и главным исследователем</w:t>
      </w:r>
      <w:r>
        <w:rPr>
          <w:rFonts w:ascii="Times New Roman" w:hAnsi="Times New Roman" w:cs="Times New Roman"/>
          <w:sz w:val="28"/>
          <w:szCs w:val="28"/>
          <w:lang w:bidi="ar-SA"/>
        </w:rPr>
        <w:t xml:space="preserve"> (</w:t>
      </w:r>
      <w:r w:rsidRPr="008E0328">
        <w:rPr>
          <w:rFonts w:ascii="Times New Roman" w:hAnsi="Times New Roman" w:cs="Times New Roman"/>
          <w:color w:val="000000" w:themeColor="text1"/>
          <w:sz w:val="28"/>
          <w:szCs w:val="28"/>
          <w:lang w:bidi="ar-SA"/>
        </w:rPr>
        <w:t xml:space="preserve">Приложение </w:t>
      </w:r>
      <w:r w:rsidR="008E0328" w:rsidRPr="008E0328">
        <w:rPr>
          <w:rFonts w:ascii="Times New Roman" w:hAnsi="Times New Roman" w:cs="Times New Roman"/>
          <w:color w:val="000000" w:themeColor="text1"/>
          <w:sz w:val="28"/>
          <w:szCs w:val="28"/>
          <w:lang w:bidi="ar-SA"/>
        </w:rPr>
        <w:t>Г</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Для защиты прав пациентов и неразглашения их личной информации база данных была зашифрована и обезличена</w:t>
      </w:r>
      <w:r>
        <w:rPr>
          <w:rFonts w:ascii="Times New Roman" w:hAnsi="Times New Roman" w:cs="Times New Roman"/>
          <w:sz w:val="28"/>
          <w:szCs w:val="28"/>
          <w:lang w:bidi="ar-SA"/>
        </w:rPr>
        <w:t xml:space="preserve">. </w:t>
      </w:r>
    </w:p>
    <w:p w14:paraId="52DC9D87" w14:textId="381F15B1"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Пациенты поступали в плановом порядке в компенсированном состоянии из разных регионов Казахстана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Всем пациентам проводились лабораторные и инструментальные методы исследования согласно клиническому протоколу лечения фибрилляции предсердий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клинический протокол</w:t>
      </w:r>
      <w:r>
        <w:rPr>
          <w:rFonts w:ascii="Times New Roman" w:hAnsi="Times New Roman" w:cs="Times New Roman"/>
          <w:sz w:val="28"/>
          <w:szCs w:val="28"/>
          <w:lang w:bidi="ar-SA"/>
        </w:rPr>
        <w:t xml:space="preserve"> Министерства </w:t>
      </w:r>
      <w:r w:rsidRPr="00FF5E8E">
        <w:rPr>
          <w:rFonts w:ascii="Times New Roman" w:hAnsi="Times New Roman" w:cs="Times New Roman"/>
          <w:sz w:val="28"/>
          <w:szCs w:val="28"/>
          <w:lang w:bidi="ar-SA"/>
        </w:rPr>
        <w:t>здравоохранени</w:t>
      </w:r>
      <w:r>
        <w:rPr>
          <w:rFonts w:ascii="Times New Roman" w:hAnsi="Times New Roman" w:cs="Times New Roman"/>
          <w:sz w:val="28"/>
          <w:szCs w:val="28"/>
          <w:lang w:bidi="ar-SA"/>
        </w:rPr>
        <w:t>я</w:t>
      </w:r>
      <w:r w:rsidRPr="00FF5E8E">
        <w:rPr>
          <w:rFonts w:ascii="Times New Roman" w:hAnsi="Times New Roman" w:cs="Times New Roman"/>
          <w:sz w:val="28"/>
          <w:szCs w:val="28"/>
          <w:lang w:bidi="ar-SA"/>
        </w:rPr>
        <w:t xml:space="preserve"> Республики Казахстан от</w:t>
      </w:r>
      <w:r>
        <w:rPr>
          <w:rFonts w:ascii="Times New Roman" w:hAnsi="Times New Roman" w:cs="Times New Roman"/>
          <w:sz w:val="28"/>
          <w:szCs w:val="28"/>
          <w:lang w:bidi="ar-SA"/>
        </w:rPr>
        <w:t xml:space="preserve"> «9». и</w:t>
      </w:r>
      <w:r w:rsidRPr="00FF5E8E">
        <w:rPr>
          <w:rFonts w:ascii="Times New Roman" w:hAnsi="Times New Roman" w:cs="Times New Roman"/>
          <w:sz w:val="28"/>
          <w:szCs w:val="28"/>
          <w:lang w:bidi="ar-SA"/>
        </w:rPr>
        <w:t>юля 2020 года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протокол</w:t>
      </w:r>
      <w:r>
        <w:rPr>
          <w:rFonts w:ascii="Times New Roman" w:hAnsi="Times New Roman" w:cs="Times New Roman"/>
          <w:sz w:val="28"/>
          <w:szCs w:val="28"/>
          <w:lang w:bidi="ar-SA"/>
        </w:rPr>
        <w:t xml:space="preserve"> №105). </w:t>
      </w:r>
      <w:r w:rsidRPr="00FF5E8E">
        <w:rPr>
          <w:rFonts w:ascii="Times New Roman" w:hAnsi="Times New Roman" w:cs="Times New Roman"/>
          <w:sz w:val="28"/>
          <w:szCs w:val="28"/>
          <w:lang w:bidi="ar-SA"/>
        </w:rPr>
        <w:t xml:space="preserve">Из 150 включенных пациентов 84 страдали персистирующий формой фибрилляции </w:t>
      </w:r>
      <w:r>
        <w:rPr>
          <w:rFonts w:ascii="Times New Roman" w:hAnsi="Times New Roman" w:cs="Times New Roman"/>
          <w:sz w:val="28"/>
          <w:szCs w:val="28"/>
          <w:lang w:bidi="ar-SA"/>
        </w:rPr>
        <w:t>предсер</w:t>
      </w:r>
      <w:r w:rsidRPr="00FF5E8E">
        <w:rPr>
          <w:rFonts w:ascii="Times New Roman" w:hAnsi="Times New Roman" w:cs="Times New Roman"/>
          <w:sz w:val="28"/>
          <w:szCs w:val="28"/>
          <w:lang w:bidi="ar-SA"/>
        </w:rPr>
        <w:t>д</w:t>
      </w:r>
      <w:r>
        <w:rPr>
          <w:rFonts w:ascii="Times New Roman" w:hAnsi="Times New Roman" w:cs="Times New Roman"/>
          <w:sz w:val="28"/>
          <w:szCs w:val="28"/>
          <w:lang w:bidi="ar-SA"/>
        </w:rPr>
        <w:t>ий и</w:t>
      </w:r>
      <w:r w:rsidRPr="00FF5E8E">
        <w:rPr>
          <w:rFonts w:ascii="Times New Roman" w:hAnsi="Times New Roman" w:cs="Times New Roman"/>
          <w:sz w:val="28"/>
          <w:szCs w:val="28"/>
          <w:lang w:bidi="ar-SA"/>
        </w:rPr>
        <w:t xml:space="preserve"> до госпитализации получали терапию прямыми </w:t>
      </w:r>
      <w:r>
        <w:rPr>
          <w:rFonts w:ascii="Times New Roman" w:hAnsi="Times New Roman" w:cs="Times New Roman"/>
          <w:sz w:val="28"/>
          <w:szCs w:val="28"/>
          <w:lang w:bidi="ar-SA"/>
        </w:rPr>
        <w:t>пер</w:t>
      </w:r>
      <w:r w:rsidRPr="00FF5E8E">
        <w:rPr>
          <w:rFonts w:ascii="Times New Roman" w:hAnsi="Times New Roman" w:cs="Times New Roman"/>
          <w:sz w:val="28"/>
          <w:szCs w:val="28"/>
          <w:lang w:bidi="ar-SA"/>
        </w:rPr>
        <w:t>оральными антикоагулянтами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52 пациента принимали </w:t>
      </w:r>
      <w:r>
        <w:rPr>
          <w:rFonts w:ascii="Times New Roman" w:hAnsi="Times New Roman" w:cs="Times New Roman"/>
          <w:sz w:val="28"/>
          <w:szCs w:val="28"/>
          <w:lang w:bidi="ar-SA"/>
        </w:rPr>
        <w:t>дабигатрана этексилат (</w:t>
      </w:r>
      <w:r w:rsidR="00CB50AF">
        <w:rPr>
          <w:rFonts w:ascii="Times New Roman" w:eastAsia="Times New Roman" w:hAnsi="Times New Roman" w:cs="Times New Roman"/>
          <w:color w:val="000000"/>
          <w:sz w:val="28"/>
          <w:szCs w:val="28"/>
        </w:rPr>
        <w:t xml:space="preserve">Pradaxa®, Boehringer-Ingelheim, </w:t>
      </w:r>
      <w:r w:rsidRPr="00FF5E8E">
        <w:rPr>
          <w:rFonts w:ascii="Times New Roman" w:hAnsi="Times New Roman" w:cs="Times New Roman"/>
          <w:sz w:val="28"/>
          <w:szCs w:val="28"/>
          <w:lang w:bidi="ar-SA"/>
        </w:rPr>
        <w:t>Германия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 дозе 150 мг дважды в день</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32 пациента</w:t>
      </w:r>
      <w:r>
        <w:rPr>
          <w:rFonts w:ascii="Times New Roman" w:hAnsi="Times New Roman" w:cs="Times New Roman"/>
          <w:sz w:val="28"/>
          <w:szCs w:val="28"/>
          <w:lang w:bidi="ar-SA"/>
        </w:rPr>
        <w:t xml:space="preserve"> – Ривароксабан (</w:t>
      </w:r>
      <w:r w:rsidR="00CB50AF">
        <w:rPr>
          <w:rFonts w:ascii="Times New Roman" w:eastAsia="Times New Roman" w:hAnsi="Times New Roman" w:cs="Times New Roman"/>
          <w:color w:val="000000"/>
          <w:sz w:val="28"/>
          <w:szCs w:val="28"/>
        </w:rPr>
        <w:t xml:space="preserve">Xarelto®, Bayer AG,  </w:t>
      </w:r>
      <w:r w:rsidRPr="00FF5E8E">
        <w:rPr>
          <w:rFonts w:ascii="Times New Roman" w:hAnsi="Times New Roman" w:cs="Times New Roman"/>
          <w:sz w:val="28"/>
          <w:szCs w:val="28"/>
          <w:lang w:bidi="ar-SA"/>
        </w:rPr>
        <w:t>Германия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 дозе 20 мг один раз в день</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Особое внимание уделялось подготовке пациентов к фарма</w:t>
      </w:r>
      <w:r w:rsidR="00CB50AF">
        <w:rPr>
          <w:rFonts w:ascii="Times New Roman" w:hAnsi="Times New Roman" w:cs="Times New Roman"/>
          <w:sz w:val="28"/>
          <w:szCs w:val="28"/>
          <w:lang w:bidi="ar-SA"/>
        </w:rPr>
        <w:t>ко</w:t>
      </w:r>
      <w:r w:rsidRPr="00FF5E8E">
        <w:rPr>
          <w:rFonts w:ascii="Times New Roman" w:hAnsi="Times New Roman" w:cs="Times New Roman"/>
          <w:sz w:val="28"/>
          <w:szCs w:val="28"/>
          <w:lang w:bidi="ar-SA"/>
        </w:rPr>
        <w:t>кинетическому исследованию</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Пациентам был обеспечен период отмывки продолжительностью не менее 24</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часа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перед переходом на исследуемую схему</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что позволяло снизить риски тромбообразования и минимизировать остаточное влияние предыдущ</w:t>
      </w:r>
      <w:r>
        <w:rPr>
          <w:rFonts w:ascii="Times New Roman" w:hAnsi="Times New Roman" w:cs="Times New Roman"/>
          <w:sz w:val="28"/>
          <w:szCs w:val="28"/>
          <w:lang w:bidi="ar-SA"/>
        </w:rPr>
        <w:t>ей</w:t>
      </w:r>
      <w:r w:rsidRPr="00FF5E8E">
        <w:rPr>
          <w:rFonts w:ascii="Times New Roman" w:hAnsi="Times New Roman" w:cs="Times New Roman"/>
          <w:sz w:val="28"/>
          <w:szCs w:val="28"/>
          <w:lang w:bidi="ar-SA"/>
        </w:rPr>
        <w:t xml:space="preserve"> антикоагулянтной терапии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согласно периоду полувыведения</w:t>
      </w:r>
      <w:r>
        <w:rPr>
          <w:rFonts w:ascii="Times New Roman" w:hAnsi="Times New Roman" w:cs="Times New Roman"/>
          <w:sz w:val="28"/>
          <w:szCs w:val="28"/>
          <w:lang w:bidi="ar-SA"/>
        </w:rPr>
        <w:t xml:space="preserve"> ПОАК. </w:t>
      </w:r>
      <w:r w:rsidRPr="00FF5E8E">
        <w:rPr>
          <w:rFonts w:ascii="Times New Roman" w:hAnsi="Times New Roman" w:cs="Times New Roman"/>
          <w:sz w:val="28"/>
          <w:szCs w:val="28"/>
          <w:lang w:bidi="ar-SA"/>
        </w:rPr>
        <w:t>У пациентов не было выраженных нарушений функци</w:t>
      </w:r>
      <w:r>
        <w:rPr>
          <w:rFonts w:ascii="Times New Roman" w:hAnsi="Times New Roman" w:cs="Times New Roman"/>
          <w:sz w:val="28"/>
          <w:szCs w:val="28"/>
          <w:lang w:bidi="ar-SA"/>
        </w:rPr>
        <w:t xml:space="preserve">й </w:t>
      </w:r>
      <w:r w:rsidRPr="00FF5E8E">
        <w:rPr>
          <w:rFonts w:ascii="Times New Roman" w:hAnsi="Times New Roman" w:cs="Times New Roman"/>
          <w:sz w:val="28"/>
          <w:szCs w:val="28"/>
          <w:lang w:bidi="ar-SA"/>
        </w:rPr>
        <w:t>почек и печени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показатели</w:t>
      </w:r>
      <w:r>
        <w:rPr>
          <w:rFonts w:ascii="Times New Roman" w:hAnsi="Times New Roman" w:cs="Times New Roman"/>
          <w:sz w:val="28"/>
          <w:szCs w:val="28"/>
          <w:lang w:bidi="ar-SA"/>
        </w:rPr>
        <w:t xml:space="preserve"> СКФ </w:t>
      </w:r>
      <w:r w:rsidRPr="00FF5E8E">
        <w:rPr>
          <w:rFonts w:ascii="Times New Roman" w:hAnsi="Times New Roman" w:cs="Times New Roman"/>
          <w:sz w:val="28"/>
          <w:szCs w:val="28"/>
          <w:lang w:bidi="ar-SA"/>
        </w:rPr>
        <w:t>были более</w:t>
      </w:r>
      <w:r>
        <w:rPr>
          <w:rFonts w:ascii="Times New Roman" w:hAnsi="Times New Roman" w:cs="Times New Roman"/>
          <w:sz w:val="28"/>
          <w:szCs w:val="28"/>
          <w:lang w:bidi="ar-SA"/>
        </w:rPr>
        <w:t xml:space="preserve"> 50мл/мин/1,73м</w:t>
      </w:r>
      <w:r w:rsidRPr="00FF5E8E">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что снижало риск накопления препарата и позволяло рассчитывать на его полное выведение в течение данного интервала времени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Для выявления четкого уровня концентрации в плазме активных метаболитов</w:t>
      </w:r>
      <w:r>
        <w:rPr>
          <w:rFonts w:ascii="Times New Roman" w:hAnsi="Times New Roman" w:cs="Times New Roman"/>
          <w:sz w:val="28"/>
          <w:szCs w:val="28"/>
          <w:lang w:bidi="ar-SA"/>
        </w:rPr>
        <w:t xml:space="preserve"> (дабигатран, апиксабан) п</w:t>
      </w:r>
      <w:r w:rsidRPr="00FF5E8E">
        <w:rPr>
          <w:rFonts w:ascii="Times New Roman" w:hAnsi="Times New Roman" w:cs="Times New Roman"/>
          <w:sz w:val="28"/>
          <w:szCs w:val="28"/>
          <w:lang w:bidi="ar-SA"/>
        </w:rPr>
        <w:t>ациенты не принимали взаимодействующие препараты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являющиеся индукторами</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FF5E8E">
        <w:rPr>
          <w:rFonts w:ascii="Times New Roman" w:hAnsi="Times New Roman" w:cs="Times New Roman"/>
          <w:sz w:val="28"/>
          <w:szCs w:val="28"/>
          <w:lang w:bidi="ar-SA"/>
        </w:rPr>
        <w:t>-</w:t>
      </w:r>
      <w:r>
        <w:rPr>
          <w:rFonts w:ascii="Times New Roman" w:hAnsi="Times New Roman" w:cs="Times New Roman"/>
          <w:sz w:val="28"/>
          <w:szCs w:val="28"/>
          <w:lang w:val="en-US" w:bidi="ar-SA"/>
        </w:rPr>
        <w:t>gp</w:t>
      </w:r>
      <w:r w:rsidRPr="00FF5E8E">
        <w:rPr>
          <w:rFonts w:ascii="Times New Roman" w:hAnsi="Times New Roman" w:cs="Times New Roman"/>
          <w:sz w:val="28"/>
          <w:szCs w:val="28"/>
          <w:lang w:bidi="ar-SA"/>
        </w:rPr>
        <w:t xml:space="preserve"> (амиодарон</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верапамил</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кетоконазол</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кларитромицин)</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или ингибиторами</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FF5E8E">
        <w:rPr>
          <w:rFonts w:ascii="Times New Roman" w:hAnsi="Times New Roman" w:cs="Times New Roman"/>
          <w:sz w:val="28"/>
          <w:szCs w:val="28"/>
          <w:lang w:bidi="ar-SA"/>
        </w:rPr>
        <w:t>-</w:t>
      </w:r>
      <w:r>
        <w:rPr>
          <w:rFonts w:ascii="Times New Roman" w:hAnsi="Times New Roman" w:cs="Times New Roman"/>
          <w:sz w:val="28"/>
          <w:szCs w:val="28"/>
          <w:lang w:val="en-US" w:bidi="ar-SA"/>
        </w:rPr>
        <w:t>gp</w:t>
      </w:r>
      <w:r w:rsidRPr="00FF5E8E">
        <w:rPr>
          <w:rFonts w:ascii="Times New Roman" w:hAnsi="Times New Roman" w:cs="Times New Roman"/>
          <w:sz w:val="28"/>
          <w:szCs w:val="28"/>
          <w:lang w:bidi="ar-SA"/>
        </w:rPr>
        <w:t xml:space="preserve"> (карбамазепин</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рифампицин)</w:t>
      </w:r>
      <w:r>
        <w:rPr>
          <w:rFonts w:ascii="Times New Roman" w:hAnsi="Times New Roman" w:cs="Times New Roman"/>
          <w:sz w:val="28"/>
          <w:szCs w:val="28"/>
          <w:lang w:bidi="ar-SA"/>
        </w:rPr>
        <w:t>.</w:t>
      </w:r>
    </w:p>
    <w:p w14:paraId="62FE01AD" w14:textId="7E54D613"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 xml:space="preserve">Для определения индивидуальной чувствительности к прямым </w:t>
      </w:r>
      <w:r>
        <w:rPr>
          <w:rFonts w:ascii="Times New Roman" w:hAnsi="Times New Roman" w:cs="Times New Roman"/>
          <w:sz w:val="28"/>
          <w:szCs w:val="28"/>
          <w:lang w:bidi="ar-SA"/>
        </w:rPr>
        <w:t>пер</w:t>
      </w:r>
      <w:r w:rsidRPr="00FF5E8E">
        <w:rPr>
          <w:rFonts w:ascii="Times New Roman" w:hAnsi="Times New Roman" w:cs="Times New Roman"/>
          <w:sz w:val="28"/>
          <w:szCs w:val="28"/>
          <w:lang w:bidi="ar-SA"/>
        </w:rPr>
        <w:t xml:space="preserve">оральным антикоагулянтам у пациентов были использованы оригинальные препараты </w:t>
      </w:r>
      <w:r>
        <w:rPr>
          <w:rFonts w:ascii="Times New Roman" w:hAnsi="Times New Roman" w:cs="Times New Roman"/>
          <w:sz w:val="28"/>
          <w:szCs w:val="28"/>
          <w:lang w:bidi="ar-SA"/>
        </w:rPr>
        <w:t xml:space="preserve">двух </w:t>
      </w:r>
      <w:r w:rsidRPr="00FF5E8E">
        <w:rPr>
          <w:rFonts w:ascii="Times New Roman" w:hAnsi="Times New Roman" w:cs="Times New Roman"/>
          <w:sz w:val="28"/>
          <w:szCs w:val="28"/>
          <w:lang w:bidi="ar-SA"/>
        </w:rPr>
        <w:t>фармакологических групп</w:t>
      </w:r>
      <w:r>
        <w:rPr>
          <w:rFonts w:ascii="Times New Roman" w:hAnsi="Times New Roman" w:cs="Times New Roman"/>
          <w:sz w:val="28"/>
          <w:szCs w:val="28"/>
          <w:lang w:bidi="ar-SA"/>
        </w:rPr>
        <w:t>: и</w:t>
      </w:r>
      <w:r w:rsidRPr="00FF5E8E">
        <w:rPr>
          <w:rFonts w:ascii="Times New Roman" w:hAnsi="Times New Roman" w:cs="Times New Roman"/>
          <w:sz w:val="28"/>
          <w:szCs w:val="28"/>
          <w:lang w:bidi="ar-SA"/>
        </w:rPr>
        <w:t>нгибитор тромбина</w:t>
      </w:r>
      <w:r>
        <w:rPr>
          <w:rFonts w:ascii="Times New Roman" w:hAnsi="Times New Roman" w:cs="Times New Roman"/>
          <w:sz w:val="28"/>
          <w:szCs w:val="28"/>
          <w:lang w:bidi="ar-SA"/>
        </w:rPr>
        <w:t xml:space="preserve"> – дабигатрана этексилат (</w:t>
      </w:r>
      <w:r>
        <w:rPr>
          <w:rFonts w:ascii="Times New Roman" w:hAnsi="Times New Roman" w:cs="Times New Roman"/>
          <w:sz w:val="28"/>
          <w:szCs w:val="28"/>
          <w:lang w:val="en-US" w:bidi="ar-SA"/>
        </w:rPr>
        <w:t>Pradaxa</w:t>
      </w:r>
      <w:r>
        <w:rPr>
          <w:rFonts w:ascii="Times New Roman" w:hAnsi="Times New Roman" w:cs="Times New Roman"/>
          <w:sz w:val="28"/>
          <w:szCs w:val="28"/>
          <w:lang w:val="en-US" w:bidi="ar-SA"/>
        </w:rPr>
        <w:sym w:font="Symbol" w:char="F0E2"/>
      </w:r>
      <w:r w:rsidRPr="00FF5E8E">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Boehringer</w:t>
      </w:r>
      <w:r w:rsidRPr="00FF5E8E">
        <w:rPr>
          <w:rFonts w:ascii="Times New Roman" w:hAnsi="Times New Roman" w:cs="Times New Roman"/>
          <w:sz w:val="28"/>
          <w:szCs w:val="28"/>
          <w:lang w:bidi="ar-SA"/>
        </w:rPr>
        <w:t>-</w:t>
      </w:r>
      <w:r>
        <w:rPr>
          <w:rFonts w:ascii="Times New Roman" w:hAnsi="Times New Roman" w:cs="Times New Roman"/>
          <w:sz w:val="28"/>
          <w:szCs w:val="28"/>
          <w:lang w:val="en-US" w:bidi="ar-SA"/>
        </w:rPr>
        <w:t>Ingelheim</w:t>
      </w:r>
      <w:r w:rsidRPr="00FF5E8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Германия) </w:t>
      </w:r>
      <w:r w:rsidRPr="00FF5E8E">
        <w:rPr>
          <w:rFonts w:ascii="Times New Roman" w:hAnsi="Times New Roman" w:cs="Times New Roman"/>
          <w:sz w:val="28"/>
          <w:szCs w:val="28"/>
          <w:lang w:bidi="ar-SA"/>
        </w:rPr>
        <w:t>и ингибитор</w:t>
      </w:r>
      <w:r w:rsidR="00CB50AF">
        <w:rPr>
          <w:rFonts w:ascii="Times New Roman" w:hAnsi="Times New Roman" w:cs="Times New Roman"/>
          <w:sz w:val="28"/>
          <w:szCs w:val="28"/>
          <w:lang w:bidi="ar-SA"/>
        </w:rPr>
        <w:t xml:space="preserve"> </w:t>
      </w:r>
      <w:proofErr w:type="gramStart"/>
      <w:r>
        <w:rPr>
          <w:rFonts w:ascii="Times New Roman" w:hAnsi="Times New Roman" w:cs="Times New Roman"/>
          <w:sz w:val="28"/>
          <w:szCs w:val="28"/>
          <w:lang w:bidi="ar-SA"/>
        </w:rPr>
        <w:t>Ха</w:t>
      </w:r>
      <w:proofErr w:type="gramEnd"/>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фактора</w:t>
      </w:r>
      <w:r>
        <w:rPr>
          <w:rFonts w:ascii="Times New Roman" w:hAnsi="Times New Roman" w:cs="Times New Roman"/>
          <w:sz w:val="28"/>
          <w:szCs w:val="28"/>
          <w:lang w:bidi="ar-SA"/>
        </w:rPr>
        <w:t xml:space="preserve"> – апиксабан (</w:t>
      </w:r>
      <w:r>
        <w:rPr>
          <w:rFonts w:ascii="Times New Roman" w:hAnsi="Times New Roman" w:cs="Times New Roman"/>
          <w:sz w:val="28"/>
          <w:szCs w:val="28"/>
          <w:lang w:val="en-US" w:bidi="ar-SA"/>
        </w:rPr>
        <w:t>Eliquis</w:t>
      </w:r>
      <w:r>
        <w:rPr>
          <w:rFonts w:ascii="Times New Roman" w:hAnsi="Times New Roman" w:cs="Times New Roman"/>
          <w:sz w:val="28"/>
          <w:szCs w:val="28"/>
          <w:lang w:val="en-US" w:bidi="ar-SA"/>
        </w:rPr>
        <w:sym w:font="Symbol" w:char="F0E2"/>
      </w:r>
      <w:r w:rsidRPr="00FF5E8E">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Pfaizer</w:t>
      </w:r>
      <w:r w:rsidRPr="00FF5E8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США). </w:t>
      </w:r>
      <w:r w:rsidRPr="00FF5E8E">
        <w:rPr>
          <w:rFonts w:ascii="Times New Roman" w:hAnsi="Times New Roman" w:cs="Times New Roman"/>
          <w:sz w:val="28"/>
          <w:szCs w:val="28"/>
          <w:lang w:bidi="ar-SA"/>
        </w:rPr>
        <w:t xml:space="preserve">Выбора </w:t>
      </w:r>
      <w:r>
        <w:rPr>
          <w:rFonts w:ascii="Times New Roman" w:hAnsi="Times New Roman" w:cs="Times New Roman"/>
          <w:sz w:val="28"/>
          <w:szCs w:val="28"/>
          <w:lang w:bidi="ar-SA"/>
        </w:rPr>
        <w:t>апиксабана</w:t>
      </w:r>
      <w:r w:rsidRPr="00FF5E8E">
        <w:rPr>
          <w:rFonts w:ascii="Times New Roman" w:hAnsi="Times New Roman" w:cs="Times New Roman"/>
          <w:sz w:val="28"/>
          <w:szCs w:val="28"/>
          <w:lang w:bidi="ar-SA"/>
        </w:rPr>
        <w:t xml:space="preserve"> в качестве представителя ингибиторов фактора</w:t>
      </w:r>
      <w:r>
        <w:rPr>
          <w:rFonts w:ascii="Times New Roman" w:hAnsi="Times New Roman" w:cs="Times New Roman"/>
          <w:sz w:val="28"/>
          <w:szCs w:val="28"/>
          <w:lang w:bidi="ar-SA"/>
        </w:rPr>
        <w:t xml:space="preserve"> </w:t>
      </w:r>
      <w:proofErr w:type="gramStart"/>
      <w:r>
        <w:rPr>
          <w:rFonts w:ascii="Times New Roman" w:hAnsi="Times New Roman" w:cs="Times New Roman"/>
          <w:sz w:val="28"/>
          <w:szCs w:val="28"/>
          <w:lang w:bidi="ar-SA"/>
        </w:rPr>
        <w:t>Ха</w:t>
      </w:r>
      <w:proofErr w:type="gramEnd"/>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был обусловлен заменой оригинального </w:t>
      </w:r>
      <w:r>
        <w:rPr>
          <w:rFonts w:ascii="Times New Roman" w:hAnsi="Times New Roman" w:cs="Times New Roman"/>
          <w:sz w:val="28"/>
          <w:szCs w:val="28"/>
          <w:lang w:bidi="ar-SA"/>
        </w:rPr>
        <w:t>ривароксабана (</w:t>
      </w:r>
      <w:r>
        <w:rPr>
          <w:rFonts w:ascii="Times New Roman" w:hAnsi="Times New Roman" w:cs="Times New Roman"/>
          <w:sz w:val="28"/>
          <w:szCs w:val="28"/>
          <w:lang w:val="en-US" w:bidi="ar-SA"/>
        </w:rPr>
        <w:t>Xarelto</w:t>
      </w:r>
      <w:r>
        <w:rPr>
          <w:rFonts w:ascii="Times New Roman" w:hAnsi="Times New Roman" w:cs="Times New Roman"/>
          <w:sz w:val="28"/>
          <w:szCs w:val="28"/>
          <w:lang w:val="en-US" w:bidi="ar-SA"/>
        </w:rPr>
        <w:sym w:font="Symbol" w:char="F0E2"/>
      </w:r>
      <w:r w:rsidRPr="00FF5E8E">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Bayer</w:t>
      </w:r>
      <w:r w:rsidRPr="00FF5E8E">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AG</w:t>
      </w:r>
      <w:r w:rsidRPr="00FF5E8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Германия) </w:t>
      </w:r>
      <w:r w:rsidRPr="00FF5E8E">
        <w:rPr>
          <w:rFonts w:ascii="Times New Roman" w:hAnsi="Times New Roman" w:cs="Times New Roman"/>
          <w:sz w:val="28"/>
          <w:szCs w:val="28"/>
          <w:lang w:bidi="ar-SA"/>
        </w:rPr>
        <w:t xml:space="preserve">на дженерик </w:t>
      </w:r>
      <w:r>
        <w:rPr>
          <w:rFonts w:ascii="Times New Roman" w:hAnsi="Times New Roman" w:cs="Times New Roman"/>
          <w:sz w:val="28"/>
          <w:szCs w:val="28"/>
          <w:lang w:bidi="ar-SA"/>
        </w:rPr>
        <w:t xml:space="preserve">(Риварокс, Нобел, Казахстан) </w:t>
      </w:r>
      <w:r w:rsidRPr="00FF5E8E">
        <w:rPr>
          <w:rFonts w:ascii="Times New Roman" w:hAnsi="Times New Roman" w:cs="Times New Roman"/>
          <w:sz w:val="28"/>
          <w:szCs w:val="28"/>
          <w:lang w:bidi="ar-SA"/>
        </w:rPr>
        <w:t>в рамках стационарного лекарственного обеспечения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что могло повлиять на достоверность фармакокинетической оценки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Несмотря на то</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что дженерики проходит процедуру регистрации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подтверждающую их биоэквивалентности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оригинальным препаратом</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клинические данные по их эффективности и безопасности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особенно в кардиологической практике</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ограничен</w:t>
      </w:r>
      <w:r>
        <w:rPr>
          <w:rFonts w:ascii="Times New Roman" w:hAnsi="Times New Roman" w:cs="Times New Roman"/>
          <w:sz w:val="28"/>
          <w:szCs w:val="28"/>
          <w:lang w:bidi="ar-SA"/>
        </w:rPr>
        <w:t xml:space="preserve">ы. </w:t>
      </w:r>
      <w:r w:rsidRPr="00FF5E8E">
        <w:rPr>
          <w:rFonts w:ascii="Times New Roman" w:hAnsi="Times New Roman" w:cs="Times New Roman"/>
          <w:sz w:val="28"/>
          <w:szCs w:val="28"/>
          <w:lang w:bidi="ar-SA"/>
        </w:rPr>
        <w:t>Учитывая это</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 также отсутствие необходимости в дополнительных финансовых расходах со стороны пациента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было принято решение использовать оригинальный ап</w:t>
      </w:r>
      <w:r>
        <w:rPr>
          <w:rFonts w:ascii="Times New Roman" w:hAnsi="Times New Roman" w:cs="Times New Roman"/>
          <w:sz w:val="28"/>
          <w:szCs w:val="28"/>
          <w:lang w:bidi="ar-SA"/>
        </w:rPr>
        <w:t xml:space="preserve">иксабан, </w:t>
      </w:r>
      <w:r w:rsidRPr="00FF5E8E">
        <w:rPr>
          <w:rFonts w:ascii="Times New Roman" w:hAnsi="Times New Roman" w:cs="Times New Roman"/>
          <w:sz w:val="28"/>
          <w:szCs w:val="28"/>
          <w:lang w:bidi="ar-SA"/>
        </w:rPr>
        <w:t>входящи</w:t>
      </w:r>
      <w:r>
        <w:rPr>
          <w:rFonts w:ascii="Times New Roman" w:hAnsi="Times New Roman" w:cs="Times New Roman"/>
          <w:sz w:val="28"/>
          <w:szCs w:val="28"/>
          <w:lang w:bidi="ar-SA"/>
        </w:rPr>
        <w:t>й</w:t>
      </w:r>
      <w:r w:rsidRPr="00FF5E8E">
        <w:rPr>
          <w:rFonts w:ascii="Times New Roman" w:hAnsi="Times New Roman" w:cs="Times New Roman"/>
          <w:sz w:val="28"/>
          <w:szCs w:val="28"/>
          <w:lang w:bidi="ar-SA"/>
        </w:rPr>
        <w:t xml:space="preserve"> в перечень бесплатных препаратов</w:t>
      </w:r>
      <w:r>
        <w:rPr>
          <w:rFonts w:ascii="Times New Roman" w:hAnsi="Times New Roman" w:cs="Times New Roman"/>
          <w:sz w:val="28"/>
          <w:szCs w:val="28"/>
          <w:lang w:bidi="ar-SA"/>
        </w:rPr>
        <w:t>.</w:t>
      </w:r>
    </w:p>
    <w:p w14:paraId="43AA36BE" w14:textId="6C87FAFF"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 xml:space="preserve">После периода отмывки у одного и </w:t>
      </w:r>
      <w:r>
        <w:rPr>
          <w:rFonts w:ascii="Times New Roman" w:hAnsi="Times New Roman" w:cs="Times New Roman"/>
          <w:sz w:val="28"/>
          <w:szCs w:val="28"/>
          <w:lang w:bidi="ar-SA"/>
        </w:rPr>
        <w:t>т</w:t>
      </w:r>
      <w:r w:rsidRPr="00FF5E8E">
        <w:rPr>
          <w:rFonts w:ascii="Times New Roman" w:hAnsi="Times New Roman" w:cs="Times New Roman"/>
          <w:sz w:val="28"/>
          <w:szCs w:val="28"/>
          <w:lang w:bidi="ar-SA"/>
        </w:rPr>
        <w:t>ого же пациента последовательно определялись концентрацией препарат</w:t>
      </w:r>
      <w:r>
        <w:rPr>
          <w:rFonts w:ascii="Times New Roman" w:hAnsi="Times New Roman" w:cs="Times New Roman"/>
          <w:sz w:val="28"/>
          <w:szCs w:val="28"/>
          <w:lang w:bidi="ar-SA"/>
        </w:rPr>
        <w:t>ов</w:t>
      </w:r>
      <w:r w:rsidRPr="00FF5E8E">
        <w:rPr>
          <w:rFonts w:ascii="Times New Roman" w:hAnsi="Times New Roman" w:cs="Times New Roman"/>
          <w:sz w:val="28"/>
          <w:szCs w:val="28"/>
          <w:lang w:bidi="ar-SA"/>
        </w:rPr>
        <w:t xml:space="preserve"> в плазме</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Использование одного и </w:t>
      </w:r>
      <w:r>
        <w:rPr>
          <w:rFonts w:ascii="Times New Roman" w:hAnsi="Times New Roman" w:cs="Times New Roman"/>
          <w:sz w:val="28"/>
          <w:szCs w:val="28"/>
          <w:lang w:bidi="ar-SA"/>
        </w:rPr>
        <w:t>т</w:t>
      </w:r>
      <w:r w:rsidRPr="00FF5E8E">
        <w:rPr>
          <w:rFonts w:ascii="Times New Roman" w:hAnsi="Times New Roman" w:cs="Times New Roman"/>
          <w:sz w:val="28"/>
          <w:szCs w:val="28"/>
          <w:lang w:bidi="ar-SA"/>
        </w:rPr>
        <w:t>ого же пациента в качестве собственной контрольной группы особенно важно при изучении влияния генетических полиморфизмов</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поскольку позволяет более точно оценить</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как именно генотип влияет на фармакокинетику и фармакодинамику каждого из препаратов в одном и том же биологическом контексте</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это способствует выявлению индивидуальных различий в ответе на разные</w:t>
      </w:r>
      <w:r>
        <w:rPr>
          <w:rFonts w:ascii="Times New Roman" w:hAnsi="Times New Roman" w:cs="Times New Roman"/>
          <w:sz w:val="28"/>
          <w:szCs w:val="28"/>
          <w:lang w:bidi="ar-SA"/>
        </w:rPr>
        <w:t xml:space="preserve"> ПОАК, </w:t>
      </w:r>
      <w:r w:rsidRPr="00FF5E8E">
        <w:rPr>
          <w:rFonts w:ascii="Times New Roman" w:hAnsi="Times New Roman" w:cs="Times New Roman"/>
          <w:sz w:val="28"/>
          <w:szCs w:val="28"/>
          <w:lang w:bidi="ar-SA"/>
        </w:rPr>
        <w:t>что имеет практическое значение для персонализированной медицины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Определение концентрации ингибитора тромбина и ингибитора фактора</w:t>
      </w:r>
      <w:r>
        <w:rPr>
          <w:rFonts w:ascii="Times New Roman" w:hAnsi="Times New Roman" w:cs="Times New Roman"/>
          <w:sz w:val="28"/>
          <w:szCs w:val="28"/>
          <w:lang w:bidi="ar-SA"/>
        </w:rPr>
        <w:t xml:space="preserve"> </w:t>
      </w:r>
      <w:proofErr w:type="gramStart"/>
      <w:r>
        <w:rPr>
          <w:rFonts w:ascii="Times New Roman" w:hAnsi="Times New Roman" w:cs="Times New Roman"/>
          <w:sz w:val="28"/>
          <w:szCs w:val="28"/>
          <w:lang w:bidi="ar-SA"/>
        </w:rPr>
        <w:t>Ха</w:t>
      </w:r>
      <w:proofErr w:type="gramEnd"/>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проводилась в </w:t>
      </w:r>
      <w:r>
        <w:rPr>
          <w:rFonts w:ascii="Times New Roman" w:hAnsi="Times New Roman" w:cs="Times New Roman"/>
          <w:sz w:val="28"/>
          <w:szCs w:val="28"/>
          <w:lang w:bidi="ar-SA"/>
        </w:rPr>
        <w:t>два</w:t>
      </w:r>
      <w:r w:rsidRPr="00FF5E8E">
        <w:rPr>
          <w:rFonts w:ascii="Times New Roman" w:hAnsi="Times New Roman" w:cs="Times New Roman"/>
          <w:sz w:val="28"/>
          <w:szCs w:val="28"/>
          <w:lang w:bidi="ar-SA"/>
        </w:rPr>
        <w:t xml:space="preserve"> этапа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В </w:t>
      </w:r>
      <w:r>
        <w:rPr>
          <w:rFonts w:ascii="Times New Roman" w:hAnsi="Times New Roman" w:cs="Times New Roman"/>
          <w:sz w:val="28"/>
          <w:szCs w:val="28"/>
          <w:lang w:bidi="ar-SA"/>
        </w:rPr>
        <w:t>первый</w:t>
      </w:r>
      <w:r w:rsidRPr="00FF5E8E">
        <w:rPr>
          <w:rFonts w:ascii="Times New Roman" w:hAnsi="Times New Roman" w:cs="Times New Roman"/>
          <w:sz w:val="28"/>
          <w:szCs w:val="28"/>
          <w:lang w:bidi="ar-SA"/>
        </w:rPr>
        <w:t xml:space="preserve"> день определяли концентрации </w:t>
      </w:r>
      <w:r>
        <w:rPr>
          <w:rFonts w:ascii="Times New Roman" w:hAnsi="Times New Roman" w:cs="Times New Roman"/>
          <w:sz w:val="28"/>
          <w:szCs w:val="28"/>
          <w:lang w:bidi="ar-SA"/>
        </w:rPr>
        <w:t>дабигатрана</w:t>
      </w:r>
      <w:r w:rsidRPr="00FF5E8E">
        <w:rPr>
          <w:rFonts w:ascii="Times New Roman" w:hAnsi="Times New Roman" w:cs="Times New Roman"/>
          <w:sz w:val="28"/>
          <w:szCs w:val="28"/>
          <w:lang w:bidi="ar-SA"/>
        </w:rPr>
        <w:t xml:space="preserve"> в плазме</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на </w:t>
      </w:r>
      <w:r>
        <w:rPr>
          <w:rFonts w:ascii="Times New Roman" w:hAnsi="Times New Roman" w:cs="Times New Roman"/>
          <w:sz w:val="28"/>
          <w:szCs w:val="28"/>
          <w:lang w:bidi="ar-SA"/>
        </w:rPr>
        <w:t>второй</w:t>
      </w:r>
      <w:r w:rsidRPr="00FF5E8E">
        <w:rPr>
          <w:rFonts w:ascii="Times New Roman" w:hAnsi="Times New Roman" w:cs="Times New Roman"/>
          <w:sz w:val="28"/>
          <w:szCs w:val="28"/>
          <w:lang w:bidi="ar-SA"/>
        </w:rPr>
        <w:t xml:space="preserve"> день определялись концентрации</w:t>
      </w:r>
      <w:r>
        <w:rPr>
          <w:rFonts w:ascii="Times New Roman" w:hAnsi="Times New Roman" w:cs="Times New Roman"/>
          <w:sz w:val="28"/>
          <w:szCs w:val="28"/>
          <w:lang w:bidi="ar-SA"/>
        </w:rPr>
        <w:t xml:space="preserve"> апиксабана </w:t>
      </w:r>
      <w:r w:rsidRPr="00FF5E8E">
        <w:rPr>
          <w:rFonts w:ascii="Times New Roman" w:hAnsi="Times New Roman" w:cs="Times New Roman"/>
          <w:sz w:val="28"/>
          <w:szCs w:val="28"/>
          <w:lang w:bidi="ar-SA"/>
        </w:rPr>
        <w:t>в плазме</w:t>
      </w:r>
      <w:r>
        <w:rPr>
          <w:rFonts w:ascii="Times New Roman" w:hAnsi="Times New Roman" w:cs="Times New Roman"/>
          <w:sz w:val="28"/>
          <w:szCs w:val="28"/>
          <w:lang w:bidi="ar-SA"/>
        </w:rPr>
        <w:t>.</w:t>
      </w:r>
    </w:p>
    <w:p w14:paraId="352428AB" w14:textId="47903412"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1 этап</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 период с 6 до 7</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утр</w:t>
      </w:r>
      <w:r>
        <w:rPr>
          <w:rFonts w:ascii="Times New Roman" w:hAnsi="Times New Roman" w:cs="Times New Roman"/>
          <w:sz w:val="28"/>
          <w:szCs w:val="28"/>
          <w:lang w:bidi="ar-SA"/>
        </w:rPr>
        <w:t xml:space="preserve">а </w:t>
      </w:r>
      <w:r w:rsidRPr="00FF5E8E">
        <w:rPr>
          <w:rFonts w:ascii="Times New Roman" w:hAnsi="Times New Roman" w:cs="Times New Roman"/>
          <w:sz w:val="28"/>
          <w:szCs w:val="28"/>
          <w:lang w:bidi="ar-SA"/>
        </w:rPr>
        <w:t>пациенты сплошным методом принимали</w:t>
      </w:r>
      <w:r>
        <w:rPr>
          <w:rFonts w:ascii="Times New Roman" w:hAnsi="Times New Roman" w:cs="Times New Roman"/>
          <w:sz w:val="28"/>
          <w:szCs w:val="28"/>
          <w:lang w:bidi="ar-SA"/>
        </w:rPr>
        <w:t xml:space="preserve"> дабигатрана этексилат </w:t>
      </w:r>
      <w:r w:rsidRPr="00FF5E8E">
        <w:rPr>
          <w:rFonts w:ascii="Times New Roman" w:hAnsi="Times New Roman" w:cs="Times New Roman"/>
          <w:sz w:val="28"/>
          <w:szCs w:val="28"/>
          <w:lang w:bidi="ar-SA"/>
        </w:rPr>
        <w:t>150 мг</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запивая водой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Через 2</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3</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часа после приема</w:t>
      </w:r>
      <w:r>
        <w:rPr>
          <w:rFonts w:ascii="Times New Roman" w:hAnsi="Times New Roman" w:cs="Times New Roman"/>
          <w:sz w:val="28"/>
          <w:szCs w:val="28"/>
          <w:lang w:bidi="ar-SA"/>
        </w:rPr>
        <w:t xml:space="preserve"> дабигатрана (150мг) </w:t>
      </w:r>
      <w:r w:rsidRPr="00FF5E8E">
        <w:rPr>
          <w:rFonts w:ascii="Times New Roman" w:hAnsi="Times New Roman" w:cs="Times New Roman"/>
          <w:sz w:val="28"/>
          <w:szCs w:val="28"/>
          <w:lang w:bidi="ar-SA"/>
        </w:rPr>
        <w:t>собирали образцы венозной крови натощак для измерения пиковой концентрации препарата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Через 10</w:t>
      </w:r>
      <w:r>
        <w:rPr>
          <w:rFonts w:ascii="Times New Roman" w:hAnsi="Times New Roman" w:cs="Times New Roman"/>
          <w:sz w:val="28"/>
          <w:szCs w:val="28"/>
          <w:lang w:bidi="ar-SA"/>
        </w:rPr>
        <w:t xml:space="preserve">-11 </w:t>
      </w:r>
      <w:r w:rsidRPr="00FF5E8E">
        <w:rPr>
          <w:rFonts w:ascii="Times New Roman" w:hAnsi="Times New Roman" w:cs="Times New Roman"/>
          <w:sz w:val="28"/>
          <w:szCs w:val="28"/>
          <w:lang w:bidi="ar-SA"/>
        </w:rPr>
        <w:t>часов после приема</w:t>
      </w:r>
      <w:r>
        <w:rPr>
          <w:rFonts w:ascii="Times New Roman" w:hAnsi="Times New Roman" w:cs="Times New Roman"/>
          <w:sz w:val="28"/>
          <w:szCs w:val="28"/>
          <w:lang w:bidi="ar-SA"/>
        </w:rPr>
        <w:t xml:space="preserve"> дабигатрана </w:t>
      </w:r>
      <w:r w:rsidRPr="00FF5E8E">
        <w:rPr>
          <w:rFonts w:ascii="Times New Roman" w:hAnsi="Times New Roman" w:cs="Times New Roman"/>
          <w:sz w:val="28"/>
          <w:szCs w:val="28"/>
          <w:lang w:bidi="ar-SA"/>
        </w:rPr>
        <w:t>использовал</w:t>
      </w:r>
      <w:r>
        <w:rPr>
          <w:rFonts w:ascii="Times New Roman" w:hAnsi="Times New Roman" w:cs="Times New Roman"/>
          <w:sz w:val="28"/>
          <w:szCs w:val="28"/>
          <w:lang w:bidi="ar-SA"/>
        </w:rPr>
        <w:t>и</w:t>
      </w:r>
      <w:r w:rsidRPr="00FF5E8E">
        <w:rPr>
          <w:rFonts w:ascii="Times New Roman" w:hAnsi="Times New Roman" w:cs="Times New Roman"/>
          <w:sz w:val="28"/>
          <w:szCs w:val="28"/>
          <w:lang w:bidi="ar-SA"/>
        </w:rPr>
        <w:t>сь</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пробирки с голубой крышкой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содержащие</w:t>
      </w:r>
      <w:r>
        <w:rPr>
          <w:rFonts w:ascii="Times New Roman" w:hAnsi="Times New Roman" w:cs="Times New Roman"/>
          <w:sz w:val="28"/>
          <w:szCs w:val="28"/>
          <w:lang w:bidi="ar-SA"/>
        </w:rPr>
        <w:t xml:space="preserve"> 3,8% цитрата</w:t>
      </w:r>
      <w:r w:rsidRPr="00FF5E8E">
        <w:rPr>
          <w:rFonts w:ascii="Times New Roman" w:hAnsi="Times New Roman" w:cs="Times New Roman"/>
          <w:sz w:val="28"/>
          <w:szCs w:val="28"/>
          <w:lang w:bidi="ar-SA"/>
        </w:rPr>
        <w:t xml:space="preserve"> натрия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Кровь брали из поверхностных вен локтевого сгиба с помощью вакуумной системы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Первые 2</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3</w:t>
      </w:r>
      <w:r>
        <w:rPr>
          <w:rFonts w:ascii="Times New Roman" w:hAnsi="Times New Roman" w:cs="Times New Roman"/>
          <w:sz w:val="28"/>
          <w:szCs w:val="28"/>
          <w:lang w:bidi="ar-SA"/>
        </w:rPr>
        <w:t xml:space="preserve"> мл крови </w:t>
      </w:r>
      <w:r w:rsidRPr="00FF5E8E">
        <w:rPr>
          <w:rFonts w:ascii="Times New Roman" w:hAnsi="Times New Roman" w:cs="Times New Roman"/>
          <w:sz w:val="28"/>
          <w:szCs w:val="28"/>
          <w:lang w:bidi="ar-SA"/>
        </w:rPr>
        <w:t>не использовались</w:t>
      </w:r>
      <w:r>
        <w:rPr>
          <w:rFonts w:ascii="Times New Roman" w:hAnsi="Times New Roman" w:cs="Times New Roman"/>
          <w:sz w:val="28"/>
          <w:szCs w:val="28"/>
          <w:lang w:bidi="ar-SA"/>
        </w:rPr>
        <w:t xml:space="preserve">, </w:t>
      </w:r>
      <w:r w:rsidR="00CB50AF">
        <w:rPr>
          <w:rFonts w:ascii="Times New Roman" w:hAnsi="Times New Roman" w:cs="Times New Roman"/>
          <w:sz w:val="28"/>
          <w:szCs w:val="28"/>
          <w:lang w:bidi="ar-SA"/>
        </w:rPr>
        <w:t>в</w:t>
      </w:r>
      <w:r w:rsidRPr="00FF5E8E">
        <w:rPr>
          <w:rFonts w:ascii="Times New Roman" w:hAnsi="Times New Roman" w:cs="Times New Roman"/>
          <w:sz w:val="28"/>
          <w:szCs w:val="28"/>
          <w:lang w:bidi="ar-SA"/>
        </w:rPr>
        <w:t>следствие возможного содержания тканевого фактора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активирующего</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свертывание</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Далее пробирку с цитратом заполняли венозной кровью и после аккуратно переворачивали 5</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10 раз для смешивания с антикоагулянтом</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Пробирки подписывали данными пациента</w:t>
      </w:r>
      <w:r>
        <w:rPr>
          <w:rFonts w:ascii="Times New Roman" w:hAnsi="Times New Roman" w:cs="Times New Roman"/>
          <w:sz w:val="28"/>
          <w:szCs w:val="28"/>
          <w:lang w:bidi="ar-SA"/>
        </w:rPr>
        <w:t xml:space="preserve"> (ФИО, </w:t>
      </w:r>
      <w:r w:rsidRPr="00FF5E8E">
        <w:rPr>
          <w:rFonts w:ascii="Times New Roman" w:hAnsi="Times New Roman" w:cs="Times New Roman"/>
          <w:sz w:val="28"/>
          <w:szCs w:val="28"/>
          <w:lang w:bidi="ar-SA"/>
        </w:rPr>
        <w:t>дата рождения</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ID</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 xml:space="preserve"> и временем забора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помещали в вертикальном положении в специальный контейнер для транспортировки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и немедленно доставляли в лабораторию центра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Утром также одномоментно был проведен забор крови для ДНК генотипирования </w:t>
      </w:r>
      <w:r>
        <w:rPr>
          <w:rFonts w:ascii="Times New Roman" w:hAnsi="Times New Roman" w:cs="Times New Roman"/>
          <w:sz w:val="28"/>
          <w:szCs w:val="28"/>
          <w:lang w:bidi="ar-SA"/>
        </w:rPr>
        <w:t xml:space="preserve">с </w:t>
      </w:r>
      <w:r w:rsidRPr="00FF5E8E">
        <w:rPr>
          <w:rFonts w:ascii="Times New Roman" w:hAnsi="Times New Roman" w:cs="Times New Roman"/>
          <w:sz w:val="28"/>
          <w:szCs w:val="28"/>
          <w:lang w:bidi="ar-SA"/>
        </w:rPr>
        <w:t>соблюдением стандартных условий забора крови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Для анализа генетических полиморфизмов использовалась венозная кровь</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собранн</w:t>
      </w:r>
      <w:r>
        <w:rPr>
          <w:rFonts w:ascii="Times New Roman" w:hAnsi="Times New Roman" w:cs="Times New Roman"/>
          <w:sz w:val="28"/>
          <w:szCs w:val="28"/>
          <w:lang w:bidi="ar-SA"/>
        </w:rPr>
        <w:t>ая</w:t>
      </w:r>
      <w:r w:rsidRPr="00FF5E8E">
        <w:rPr>
          <w:rFonts w:ascii="Times New Roman" w:hAnsi="Times New Roman" w:cs="Times New Roman"/>
          <w:sz w:val="28"/>
          <w:szCs w:val="28"/>
          <w:lang w:bidi="ar-SA"/>
        </w:rPr>
        <w:t xml:space="preserve"> в пробирк</w:t>
      </w:r>
      <w:r>
        <w:rPr>
          <w:rFonts w:ascii="Times New Roman" w:hAnsi="Times New Roman" w:cs="Times New Roman"/>
          <w:sz w:val="28"/>
          <w:szCs w:val="28"/>
          <w:lang w:bidi="ar-SA"/>
        </w:rPr>
        <w:t>и</w:t>
      </w:r>
      <w:r w:rsidRPr="00FF5E8E">
        <w:rPr>
          <w:rFonts w:ascii="Times New Roman" w:hAnsi="Times New Roman" w:cs="Times New Roman"/>
          <w:sz w:val="28"/>
          <w:szCs w:val="28"/>
          <w:lang w:bidi="ar-SA"/>
        </w:rPr>
        <w:t xml:space="preserve"> с фиолетовой крышкой с антикоагулянтом</w:t>
      </w:r>
      <w:r>
        <w:rPr>
          <w:rFonts w:ascii="Times New Roman" w:hAnsi="Times New Roman" w:cs="Times New Roman"/>
          <w:sz w:val="28"/>
          <w:szCs w:val="28"/>
          <w:lang w:bidi="ar-SA"/>
        </w:rPr>
        <w:t xml:space="preserve"> К</w:t>
      </w:r>
      <w:r w:rsidRPr="00FF5E8E">
        <w:rPr>
          <w:rFonts w:ascii="Times New Roman" w:hAnsi="Times New Roman" w:cs="Times New Roman"/>
          <w:sz w:val="28"/>
          <w:szCs w:val="28"/>
          <w:vertAlign w:val="subscript"/>
          <w:lang w:bidi="ar-SA"/>
        </w:rPr>
        <w:t>3</w:t>
      </w:r>
      <w:r>
        <w:rPr>
          <w:rFonts w:ascii="Times New Roman" w:hAnsi="Times New Roman" w:cs="Times New Roman"/>
          <w:sz w:val="28"/>
          <w:szCs w:val="28"/>
          <w:lang w:bidi="ar-SA"/>
        </w:rPr>
        <w:t>-ЭДТА (</w:t>
      </w:r>
      <w:r w:rsidRPr="00FF5E8E">
        <w:rPr>
          <w:rFonts w:ascii="Times New Roman" w:hAnsi="Times New Roman" w:cs="Times New Roman"/>
          <w:sz w:val="28"/>
          <w:szCs w:val="28"/>
          <w:lang w:bidi="ar-SA"/>
        </w:rPr>
        <w:t xml:space="preserve">этилендиаминтетрауксусной кислотой в форме </w:t>
      </w:r>
      <w:r>
        <w:rPr>
          <w:rFonts w:ascii="Times New Roman" w:hAnsi="Times New Roman" w:cs="Times New Roman"/>
          <w:sz w:val="28"/>
          <w:szCs w:val="28"/>
          <w:lang w:bidi="ar-SA"/>
        </w:rPr>
        <w:t>три</w:t>
      </w:r>
      <w:r w:rsidRPr="00FF5E8E">
        <w:rPr>
          <w:rFonts w:ascii="Times New Roman" w:hAnsi="Times New Roman" w:cs="Times New Roman"/>
          <w:sz w:val="28"/>
          <w:szCs w:val="28"/>
          <w:lang w:bidi="ar-SA"/>
        </w:rPr>
        <w:t>натриевой соли</w:t>
      </w:r>
      <w:r>
        <w:rPr>
          <w:rFonts w:ascii="Times New Roman" w:hAnsi="Times New Roman" w:cs="Times New Roman"/>
          <w:sz w:val="28"/>
          <w:szCs w:val="28"/>
          <w:lang w:bidi="ar-SA"/>
        </w:rPr>
        <w:t>)</w:t>
      </w:r>
      <w:r w:rsidR="00CB50AF">
        <w:rPr>
          <w:rFonts w:ascii="Times New Roman" w:hAnsi="Times New Roman" w:cs="Times New Roman"/>
          <w:sz w:val="28"/>
          <w:szCs w:val="28"/>
          <w:lang w:bidi="ar-SA"/>
        </w:rPr>
        <w:t xml:space="preserve">, </w:t>
      </w:r>
      <w:r w:rsidR="00CB50AF" w:rsidRPr="00FF5E8E">
        <w:rPr>
          <w:rFonts w:ascii="Times New Roman" w:hAnsi="Times New Roman" w:cs="Times New Roman"/>
          <w:sz w:val="28"/>
          <w:szCs w:val="28"/>
          <w:lang w:bidi="ar-SA"/>
        </w:rPr>
        <w:t>для</w:t>
      </w:r>
      <w:r w:rsidRPr="00FF5E8E">
        <w:rPr>
          <w:rFonts w:ascii="Times New Roman" w:hAnsi="Times New Roman" w:cs="Times New Roman"/>
          <w:sz w:val="28"/>
          <w:szCs w:val="28"/>
          <w:lang w:bidi="ar-SA"/>
        </w:rPr>
        <w:t xml:space="preserve"> предотвращения свертывания крови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Объем одной пробирки составлял </w:t>
      </w:r>
      <w:r>
        <w:rPr>
          <w:rFonts w:ascii="Times New Roman" w:hAnsi="Times New Roman" w:cs="Times New Roman"/>
          <w:sz w:val="28"/>
          <w:szCs w:val="28"/>
          <w:lang w:bidi="ar-SA"/>
        </w:rPr>
        <w:t xml:space="preserve">3мл. </w:t>
      </w:r>
      <w:r w:rsidRPr="00FF5E8E">
        <w:rPr>
          <w:rFonts w:ascii="Times New Roman" w:hAnsi="Times New Roman" w:cs="Times New Roman"/>
          <w:sz w:val="28"/>
          <w:szCs w:val="28"/>
          <w:lang w:bidi="ar-SA"/>
        </w:rPr>
        <w:t>До момента транспортировки образцы хранили при температуре</w:t>
      </w:r>
      <w:r>
        <w:rPr>
          <w:rFonts w:ascii="Times New Roman" w:hAnsi="Times New Roman" w:cs="Times New Roman"/>
          <w:sz w:val="28"/>
          <w:szCs w:val="28"/>
          <w:lang w:bidi="ar-SA"/>
        </w:rPr>
        <w:t xml:space="preserve"> +2/+8</w:t>
      </w:r>
      <w:r w:rsidRPr="00FF5E8E">
        <w:rPr>
          <w:rFonts w:ascii="Times New Roman" w:hAnsi="Times New Roman" w:cs="Times New Roman"/>
          <w:sz w:val="28"/>
          <w:szCs w:val="28"/>
          <w:vertAlign w:val="superscript"/>
          <w:lang w:bidi="ar-SA"/>
        </w:rPr>
        <w:t>о</w:t>
      </w:r>
      <w:r>
        <w:rPr>
          <w:rFonts w:ascii="Times New Roman" w:hAnsi="Times New Roman" w:cs="Times New Roman"/>
          <w:sz w:val="28"/>
          <w:szCs w:val="28"/>
          <w:lang w:bidi="ar-SA"/>
        </w:rPr>
        <w:t xml:space="preserve">С, </w:t>
      </w:r>
      <w:r w:rsidRPr="00FF5E8E">
        <w:rPr>
          <w:rFonts w:ascii="Times New Roman" w:hAnsi="Times New Roman" w:cs="Times New Roman"/>
          <w:sz w:val="28"/>
          <w:szCs w:val="28"/>
          <w:lang w:bidi="ar-SA"/>
        </w:rPr>
        <w:t>не более 2</w:t>
      </w:r>
      <w:r>
        <w:rPr>
          <w:rFonts w:ascii="Times New Roman" w:hAnsi="Times New Roman" w:cs="Times New Roman"/>
          <w:sz w:val="28"/>
          <w:szCs w:val="28"/>
          <w:lang w:bidi="ar-SA"/>
        </w:rPr>
        <w:t xml:space="preserve">4 часов. </w:t>
      </w:r>
      <w:r w:rsidRPr="00FF5E8E">
        <w:rPr>
          <w:rFonts w:ascii="Times New Roman" w:hAnsi="Times New Roman" w:cs="Times New Roman"/>
          <w:sz w:val="28"/>
          <w:szCs w:val="28"/>
          <w:lang w:bidi="ar-SA"/>
        </w:rPr>
        <w:t>Транспортировка крови в лабораторию</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Национального центра биотехнологи</w:t>
      </w:r>
      <w:r>
        <w:rPr>
          <w:rFonts w:ascii="Times New Roman" w:hAnsi="Times New Roman" w:cs="Times New Roman"/>
          <w:sz w:val="28"/>
          <w:szCs w:val="28"/>
          <w:lang w:bidi="ar-SA"/>
        </w:rPr>
        <w:t xml:space="preserve">и» </w:t>
      </w:r>
      <w:r w:rsidRPr="00FF5E8E">
        <w:rPr>
          <w:rFonts w:ascii="Times New Roman" w:hAnsi="Times New Roman" w:cs="Times New Roman"/>
          <w:sz w:val="28"/>
          <w:szCs w:val="28"/>
          <w:lang w:bidi="ar-SA"/>
        </w:rPr>
        <w:t>проводилась в герметичных термоконтейнерах с хладагентами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поддерживающими стабильную температуру</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Все этапы транспортировки соответствовали санитарн</w:t>
      </w:r>
      <w:r>
        <w:rPr>
          <w:rFonts w:ascii="Times New Roman" w:hAnsi="Times New Roman" w:cs="Times New Roman"/>
          <w:sz w:val="28"/>
          <w:szCs w:val="28"/>
          <w:lang w:bidi="ar-SA"/>
        </w:rPr>
        <w:t>о-</w:t>
      </w:r>
      <w:r w:rsidRPr="00FF5E8E">
        <w:rPr>
          <w:rFonts w:ascii="Times New Roman" w:hAnsi="Times New Roman" w:cs="Times New Roman"/>
          <w:sz w:val="28"/>
          <w:szCs w:val="28"/>
          <w:lang w:bidi="ar-SA"/>
        </w:rPr>
        <w:t>эпидемиологическим требованиям</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включа</w:t>
      </w:r>
      <w:r>
        <w:rPr>
          <w:rFonts w:ascii="Times New Roman" w:hAnsi="Times New Roman" w:cs="Times New Roman"/>
          <w:sz w:val="28"/>
          <w:szCs w:val="28"/>
          <w:lang w:bidi="ar-SA"/>
        </w:rPr>
        <w:t>я</w:t>
      </w:r>
      <w:r w:rsidRPr="00FF5E8E">
        <w:rPr>
          <w:rFonts w:ascii="Times New Roman" w:hAnsi="Times New Roman" w:cs="Times New Roman"/>
          <w:sz w:val="28"/>
          <w:szCs w:val="28"/>
          <w:lang w:bidi="ar-SA"/>
        </w:rPr>
        <w:t xml:space="preserve"> маркировку</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защиту от биологических рисков и двойную упаковку согласно международным рекомендациям </w:t>
      </w:r>
      <w:r>
        <w:rPr>
          <w:rFonts w:ascii="Times New Roman" w:hAnsi="Times New Roman" w:cs="Times New Roman"/>
          <w:sz w:val="28"/>
          <w:szCs w:val="28"/>
          <w:lang w:bidi="ar-SA"/>
        </w:rPr>
        <w:t xml:space="preserve">ВОЗ </w:t>
      </w:r>
      <w:r w:rsidRPr="00FF5E8E">
        <w:rPr>
          <w:rFonts w:ascii="Times New Roman" w:hAnsi="Times New Roman" w:cs="Times New Roman"/>
          <w:sz w:val="28"/>
          <w:szCs w:val="28"/>
          <w:lang w:bidi="ar-SA"/>
        </w:rPr>
        <w:t>по перевозке биоматериалов</w:t>
      </w:r>
      <w:r>
        <w:rPr>
          <w:rFonts w:ascii="Times New Roman" w:hAnsi="Times New Roman" w:cs="Times New Roman"/>
          <w:sz w:val="28"/>
          <w:szCs w:val="28"/>
          <w:lang w:bidi="ar-SA"/>
        </w:rPr>
        <w:t xml:space="preserve">. </w:t>
      </w:r>
    </w:p>
    <w:p w14:paraId="2AD3DDCB" w14:textId="022A7075"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Pr>
          <w:rFonts w:ascii="Times New Roman" w:hAnsi="Times New Roman" w:cs="Times New Roman"/>
          <w:sz w:val="28"/>
          <w:szCs w:val="28"/>
          <w:lang w:bidi="ar-SA"/>
        </w:rPr>
        <w:t>Вторым</w:t>
      </w:r>
      <w:r w:rsidRPr="00FF5E8E">
        <w:rPr>
          <w:rFonts w:ascii="Times New Roman" w:hAnsi="Times New Roman" w:cs="Times New Roman"/>
          <w:sz w:val="28"/>
          <w:szCs w:val="28"/>
          <w:lang w:bidi="ar-SA"/>
        </w:rPr>
        <w:t xml:space="preserve"> этапом измеряли концентрацию ап</w:t>
      </w:r>
      <w:r>
        <w:rPr>
          <w:rFonts w:ascii="Times New Roman" w:hAnsi="Times New Roman" w:cs="Times New Roman"/>
          <w:sz w:val="28"/>
          <w:szCs w:val="28"/>
          <w:lang w:bidi="ar-SA"/>
        </w:rPr>
        <w:t>икса</w:t>
      </w:r>
      <w:r w:rsidRPr="00FF5E8E">
        <w:rPr>
          <w:rFonts w:ascii="Times New Roman" w:hAnsi="Times New Roman" w:cs="Times New Roman"/>
          <w:sz w:val="28"/>
          <w:szCs w:val="28"/>
          <w:lang w:bidi="ar-SA"/>
        </w:rPr>
        <w:t>бана в плазме крови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На следующее утро</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соблюдая период отмывки в 2</w:t>
      </w:r>
      <w:r>
        <w:rPr>
          <w:rFonts w:ascii="Times New Roman" w:hAnsi="Times New Roman" w:cs="Times New Roman"/>
          <w:sz w:val="28"/>
          <w:szCs w:val="28"/>
          <w:lang w:bidi="ar-SA"/>
        </w:rPr>
        <w:t xml:space="preserve">4 часа </w:t>
      </w:r>
      <w:r w:rsidRPr="00FF5E8E">
        <w:rPr>
          <w:rFonts w:ascii="Times New Roman" w:hAnsi="Times New Roman" w:cs="Times New Roman"/>
          <w:sz w:val="28"/>
          <w:szCs w:val="28"/>
          <w:lang w:bidi="ar-SA"/>
        </w:rPr>
        <w:t xml:space="preserve">от </w:t>
      </w:r>
      <w:r>
        <w:rPr>
          <w:rFonts w:ascii="Times New Roman" w:hAnsi="Times New Roman" w:cs="Times New Roman"/>
          <w:sz w:val="28"/>
          <w:szCs w:val="28"/>
          <w:lang w:bidi="ar-SA"/>
        </w:rPr>
        <w:t>первого</w:t>
      </w:r>
      <w:r w:rsidRPr="00FF5E8E">
        <w:rPr>
          <w:rFonts w:ascii="Times New Roman" w:hAnsi="Times New Roman" w:cs="Times New Roman"/>
          <w:sz w:val="28"/>
          <w:szCs w:val="28"/>
          <w:lang w:bidi="ar-SA"/>
        </w:rPr>
        <w:t xml:space="preserve"> приема</w:t>
      </w:r>
      <w:r>
        <w:rPr>
          <w:rFonts w:ascii="Times New Roman" w:hAnsi="Times New Roman" w:cs="Times New Roman"/>
          <w:sz w:val="28"/>
          <w:szCs w:val="28"/>
          <w:lang w:bidi="ar-SA"/>
        </w:rPr>
        <w:t xml:space="preserve"> дабигатрана, </w:t>
      </w:r>
      <w:r w:rsidRPr="00FF5E8E">
        <w:rPr>
          <w:rFonts w:ascii="Times New Roman" w:hAnsi="Times New Roman" w:cs="Times New Roman"/>
          <w:sz w:val="28"/>
          <w:szCs w:val="28"/>
          <w:lang w:bidi="ar-SA"/>
        </w:rPr>
        <w:t>с 6 до</w:t>
      </w:r>
      <w:r>
        <w:rPr>
          <w:rFonts w:ascii="Times New Roman" w:hAnsi="Times New Roman" w:cs="Times New Roman"/>
          <w:sz w:val="28"/>
          <w:szCs w:val="28"/>
          <w:lang w:bidi="ar-SA"/>
        </w:rPr>
        <w:t xml:space="preserve"> 7 утра </w:t>
      </w:r>
      <w:r w:rsidRPr="00FF5E8E">
        <w:rPr>
          <w:rFonts w:ascii="Times New Roman" w:hAnsi="Times New Roman" w:cs="Times New Roman"/>
          <w:sz w:val="28"/>
          <w:szCs w:val="28"/>
          <w:lang w:bidi="ar-SA"/>
        </w:rPr>
        <w:t>пациенты принимали 5 мг</w:t>
      </w:r>
      <w:r>
        <w:rPr>
          <w:rFonts w:ascii="Times New Roman" w:hAnsi="Times New Roman" w:cs="Times New Roman"/>
          <w:sz w:val="28"/>
          <w:szCs w:val="28"/>
          <w:lang w:bidi="ar-SA"/>
        </w:rPr>
        <w:t xml:space="preserve"> апиксабана. </w:t>
      </w:r>
      <w:r w:rsidRPr="00FF5E8E">
        <w:rPr>
          <w:rFonts w:ascii="Times New Roman" w:hAnsi="Times New Roman" w:cs="Times New Roman"/>
          <w:sz w:val="28"/>
          <w:szCs w:val="28"/>
          <w:lang w:bidi="ar-SA"/>
        </w:rPr>
        <w:t>Образцы венозной крови набирали через 3</w:t>
      </w:r>
      <w:r>
        <w:rPr>
          <w:rFonts w:ascii="Times New Roman" w:hAnsi="Times New Roman" w:cs="Times New Roman"/>
          <w:sz w:val="28"/>
          <w:szCs w:val="28"/>
          <w:lang w:bidi="ar-SA"/>
        </w:rPr>
        <w:t xml:space="preserve">-4 часа </w:t>
      </w:r>
      <w:r w:rsidRPr="00FF5E8E">
        <w:rPr>
          <w:rFonts w:ascii="Times New Roman" w:hAnsi="Times New Roman" w:cs="Times New Roman"/>
          <w:sz w:val="28"/>
          <w:szCs w:val="28"/>
          <w:lang w:bidi="ar-SA"/>
        </w:rPr>
        <w:t>после приема</w:t>
      </w:r>
      <w:r>
        <w:rPr>
          <w:rFonts w:ascii="Times New Roman" w:hAnsi="Times New Roman" w:cs="Times New Roman"/>
          <w:sz w:val="28"/>
          <w:szCs w:val="28"/>
          <w:lang w:bidi="ar-SA"/>
        </w:rPr>
        <w:t xml:space="preserve"> апиксабана (</w:t>
      </w:r>
      <w:r w:rsidRPr="00FF5E8E">
        <w:rPr>
          <w:rFonts w:ascii="Times New Roman" w:hAnsi="Times New Roman" w:cs="Times New Roman"/>
          <w:sz w:val="28"/>
          <w:szCs w:val="28"/>
          <w:lang w:bidi="ar-SA"/>
        </w:rPr>
        <w:t>5 мг</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для измерения пиковой концентрации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Затем измеряли минимальный уровень концентрации через 10</w:t>
      </w:r>
      <w:r>
        <w:rPr>
          <w:rFonts w:ascii="Times New Roman" w:hAnsi="Times New Roman" w:cs="Times New Roman"/>
          <w:sz w:val="28"/>
          <w:szCs w:val="28"/>
          <w:lang w:bidi="ar-SA"/>
        </w:rPr>
        <w:t xml:space="preserve">-12 часов </w:t>
      </w:r>
      <w:r w:rsidRPr="00FF5E8E">
        <w:rPr>
          <w:rFonts w:ascii="Times New Roman" w:hAnsi="Times New Roman" w:cs="Times New Roman"/>
          <w:sz w:val="28"/>
          <w:szCs w:val="28"/>
          <w:lang w:bidi="ar-SA"/>
        </w:rPr>
        <w:t>соответственно</w:t>
      </w:r>
      <w:r>
        <w:rPr>
          <w:rFonts w:ascii="Times New Roman" w:hAnsi="Times New Roman" w:cs="Times New Roman"/>
          <w:sz w:val="28"/>
          <w:szCs w:val="28"/>
          <w:lang w:bidi="ar-SA"/>
        </w:rPr>
        <w:t xml:space="preserve">. </w:t>
      </w:r>
    </w:p>
    <w:p w14:paraId="01C8B184" w14:textId="42129749"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На следующий день пациентам была проведена катерная абл</w:t>
      </w:r>
      <w:r w:rsidR="00C41786">
        <w:rPr>
          <w:rFonts w:ascii="Times New Roman" w:hAnsi="Times New Roman" w:cs="Times New Roman"/>
          <w:sz w:val="28"/>
          <w:szCs w:val="28"/>
          <w:lang w:bidi="ar-SA"/>
        </w:rPr>
        <w:t>а</w:t>
      </w:r>
      <w:r w:rsidRPr="00FF5E8E">
        <w:rPr>
          <w:rFonts w:ascii="Times New Roman" w:hAnsi="Times New Roman" w:cs="Times New Roman"/>
          <w:sz w:val="28"/>
          <w:szCs w:val="28"/>
          <w:lang w:bidi="ar-SA"/>
        </w:rPr>
        <w:t>ция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135 пациент</w:t>
      </w:r>
      <w:r>
        <w:rPr>
          <w:rFonts w:ascii="Times New Roman" w:hAnsi="Times New Roman" w:cs="Times New Roman"/>
          <w:sz w:val="28"/>
          <w:szCs w:val="28"/>
          <w:lang w:bidi="ar-SA"/>
        </w:rPr>
        <w:t xml:space="preserve">ам - </w:t>
      </w:r>
      <w:r w:rsidRPr="00FF5E8E">
        <w:rPr>
          <w:rFonts w:ascii="Times New Roman" w:hAnsi="Times New Roman" w:cs="Times New Roman"/>
          <w:sz w:val="28"/>
          <w:szCs w:val="28"/>
          <w:lang w:bidi="ar-SA"/>
        </w:rPr>
        <w:t>криобаллонная абл</w:t>
      </w:r>
      <w:r w:rsidR="00CB50AF">
        <w:rPr>
          <w:rFonts w:ascii="Times New Roman" w:hAnsi="Times New Roman" w:cs="Times New Roman"/>
          <w:sz w:val="28"/>
          <w:szCs w:val="28"/>
          <w:lang w:bidi="ar-SA"/>
        </w:rPr>
        <w:t>а</w:t>
      </w:r>
      <w:r w:rsidRPr="00FF5E8E">
        <w:rPr>
          <w:rFonts w:ascii="Times New Roman" w:hAnsi="Times New Roman" w:cs="Times New Roman"/>
          <w:sz w:val="28"/>
          <w:szCs w:val="28"/>
          <w:lang w:bidi="ar-SA"/>
        </w:rPr>
        <w:t>ция устьев легочных вен</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13 пациент</w:t>
      </w:r>
      <w:r>
        <w:rPr>
          <w:rFonts w:ascii="Times New Roman" w:hAnsi="Times New Roman" w:cs="Times New Roman"/>
          <w:sz w:val="28"/>
          <w:szCs w:val="28"/>
          <w:lang w:bidi="ar-SA"/>
        </w:rPr>
        <w:t xml:space="preserve">ам - </w:t>
      </w:r>
      <w:r w:rsidRPr="00FF5E8E">
        <w:rPr>
          <w:rFonts w:ascii="Times New Roman" w:hAnsi="Times New Roman" w:cs="Times New Roman"/>
          <w:sz w:val="28"/>
          <w:szCs w:val="28"/>
          <w:lang w:bidi="ar-SA"/>
        </w:rPr>
        <w:t>радиочастотная абл</w:t>
      </w:r>
      <w:r w:rsidR="00CB50AF">
        <w:rPr>
          <w:rFonts w:ascii="Times New Roman" w:hAnsi="Times New Roman" w:cs="Times New Roman"/>
          <w:sz w:val="28"/>
          <w:szCs w:val="28"/>
          <w:lang w:bidi="ar-SA"/>
        </w:rPr>
        <w:t>а</w:t>
      </w:r>
      <w:r w:rsidRPr="00FF5E8E">
        <w:rPr>
          <w:rFonts w:ascii="Times New Roman" w:hAnsi="Times New Roman" w:cs="Times New Roman"/>
          <w:sz w:val="28"/>
          <w:szCs w:val="28"/>
          <w:lang w:bidi="ar-SA"/>
        </w:rPr>
        <w:t>ция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 xml:space="preserve">2 пациентам </w:t>
      </w:r>
      <w:r>
        <w:rPr>
          <w:rFonts w:ascii="Times New Roman" w:hAnsi="Times New Roman" w:cs="Times New Roman"/>
          <w:sz w:val="28"/>
          <w:szCs w:val="28"/>
          <w:lang w:bidi="ar-SA"/>
        </w:rPr>
        <w:t>аблация</w:t>
      </w:r>
      <w:r w:rsidRPr="00FF5E8E">
        <w:rPr>
          <w:rFonts w:ascii="Times New Roman" w:hAnsi="Times New Roman" w:cs="Times New Roman"/>
          <w:sz w:val="28"/>
          <w:szCs w:val="28"/>
          <w:lang w:bidi="ar-SA"/>
        </w:rPr>
        <w:t xml:space="preserve"> не проводилась</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Средняя длительность госпитализации пациентов составила 5 койко</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дней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При выписке из стационара пациентам были даны рекомендации по продолжению антикоагулянт</w:t>
      </w:r>
      <w:r>
        <w:rPr>
          <w:rFonts w:ascii="Times New Roman" w:hAnsi="Times New Roman" w:cs="Times New Roman"/>
          <w:sz w:val="28"/>
          <w:szCs w:val="28"/>
          <w:lang w:bidi="ar-SA"/>
        </w:rPr>
        <w:t xml:space="preserve">ной </w:t>
      </w:r>
      <w:r w:rsidRPr="00FF5E8E">
        <w:rPr>
          <w:rFonts w:ascii="Times New Roman" w:hAnsi="Times New Roman" w:cs="Times New Roman"/>
          <w:sz w:val="28"/>
          <w:szCs w:val="28"/>
          <w:lang w:bidi="ar-SA"/>
        </w:rPr>
        <w:t>терапии в амбулаторных условиях</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Контактные данные фиксировались для проведения последующего наблюдения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Контроль за состоянием здоровья осуществлялся в течение 36 месяцев посредством телефонных звонков и опросов о самочувствии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предоставление выписных эпикризо</w:t>
      </w:r>
      <w:r>
        <w:rPr>
          <w:rFonts w:ascii="Times New Roman" w:hAnsi="Times New Roman" w:cs="Times New Roman"/>
          <w:sz w:val="28"/>
          <w:szCs w:val="28"/>
          <w:lang w:bidi="ar-SA"/>
        </w:rPr>
        <w:t xml:space="preserve">в </w:t>
      </w:r>
      <w:r w:rsidRPr="00FF5E8E">
        <w:rPr>
          <w:rFonts w:ascii="Times New Roman" w:hAnsi="Times New Roman" w:cs="Times New Roman"/>
          <w:sz w:val="28"/>
          <w:szCs w:val="28"/>
          <w:lang w:bidi="ar-SA"/>
        </w:rPr>
        <w:t>и заключение специалистов при документированном системном эмболи</w:t>
      </w:r>
      <w:r>
        <w:rPr>
          <w:rFonts w:ascii="Times New Roman" w:hAnsi="Times New Roman" w:cs="Times New Roman"/>
          <w:sz w:val="28"/>
          <w:szCs w:val="28"/>
          <w:lang w:bidi="ar-SA"/>
        </w:rPr>
        <w:t xml:space="preserve">ческом </w:t>
      </w:r>
      <w:r w:rsidRPr="00FF5E8E">
        <w:rPr>
          <w:rFonts w:ascii="Times New Roman" w:hAnsi="Times New Roman" w:cs="Times New Roman"/>
          <w:sz w:val="28"/>
          <w:szCs w:val="28"/>
          <w:lang w:bidi="ar-SA"/>
        </w:rPr>
        <w:t>событи</w:t>
      </w:r>
      <w:r>
        <w:rPr>
          <w:rFonts w:ascii="Times New Roman" w:hAnsi="Times New Roman" w:cs="Times New Roman"/>
          <w:sz w:val="28"/>
          <w:szCs w:val="28"/>
          <w:lang w:bidi="ar-SA"/>
        </w:rPr>
        <w:t xml:space="preserve">и. </w:t>
      </w:r>
      <w:r w:rsidRPr="00FF5E8E">
        <w:rPr>
          <w:rFonts w:ascii="Times New Roman" w:hAnsi="Times New Roman" w:cs="Times New Roman"/>
          <w:sz w:val="28"/>
          <w:szCs w:val="28"/>
          <w:lang w:bidi="ar-SA"/>
        </w:rPr>
        <w:t>Пероральные антикоагулянты принимались пациентами в течение 3 месяцев после выписки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Дальнейш</w:t>
      </w:r>
      <w:r>
        <w:rPr>
          <w:rFonts w:ascii="Times New Roman" w:hAnsi="Times New Roman" w:cs="Times New Roman"/>
          <w:sz w:val="28"/>
          <w:szCs w:val="28"/>
          <w:lang w:bidi="ar-SA"/>
        </w:rPr>
        <w:t>е</w:t>
      </w:r>
      <w:r w:rsidRPr="00FF5E8E">
        <w:rPr>
          <w:rFonts w:ascii="Times New Roman" w:hAnsi="Times New Roman" w:cs="Times New Roman"/>
          <w:sz w:val="28"/>
          <w:szCs w:val="28"/>
          <w:lang w:bidi="ar-SA"/>
        </w:rPr>
        <w:t>е решени</w:t>
      </w:r>
      <w:r>
        <w:rPr>
          <w:rFonts w:ascii="Times New Roman" w:hAnsi="Times New Roman" w:cs="Times New Roman"/>
          <w:sz w:val="28"/>
          <w:szCs w:val="28"/>
          <w:lang w:bidi="ar-SA"/>
        </w:rPr>
        <w:t>е</w:t>
      </w:r>
      <w:r w:rsidRPr="00FF5E8E">
        <w:rPr>
          <w:rFonts w:ascii="Times New Roman" w:hAnsi="Times New Roman" w:cs="Times New Roman"/>
          <w:sz w:val="28"/>
          <w:szCs w:val="28"/>
          <w:lang w:bidi="ar-SA"/>
        </w:rPr>
        <w:t xml:space="preserve"> о продлении терапии принималось на основании результатов холтеровского мониторирования </w:t>
      </w:r>
      <w:r>
        <w:rPr>
          <w:rFonts w:ascii="Times New Roman" w:hAnsi="Times New Roman" w:cs="Times New Roman"/>
          <w:sz w:val="28"/>
          <w:szCs w:val="28"/>
          <w:lang w:bidi="ar-SA"/>
        </w:rPr>
        <w:t xml:space="preserve">ЭКГ, </w:t>
      </w:r>
      <w:r w:rsidRPr="00FF5E8E">
        <w:rPr>
          <w:rFonts w:ascii="Times New Roman" w:hAnsi="Times New Roman" w:cs="Times New Roman"/>
          <w:sz w:val="28"/>
          <w:szCs w:val="28"/>
          <w:lang w:bidi="ar-SA"/>
        </w:rPr>
        <w:t>клинического состояния и оценки рисков при использовании специфических шкал</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Все случаи тромбоэмболических и геморрагических осложнений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возникших после выписки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документировались и вносились в электронную базу данных для последующего анализа</w:t>
      </w:r>
      <w:r>
        <w:rPr>
          <w:rFonts w:ascii="Times New Roman" w:hAnsi="Times New Roman" w:cs="Times New Roman"/>
          <w:sz w:val="28"/>
          <w:szCs w:val="28"/>
          <w:lang w:bidi="ar-SA"/>
        </w:rPr>
        <w:t>.</w:t>
      </w:r>
    </w:p>
    <w:p w14:paraId="1D4772B9" w14:textId="24C7F368" w:rsidR="00FF5E8E" w:rsidRDefault="00FF5E8E" w:rsidP="00FF5E8E">
      <w:pPr>
        <w:pStyle w:val="LO-normal"/>
        <w:spacing w:after="0" w:line="240" w:lineRule="auto"/>
        <w:ind w:left="40" w:firstLine="52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Все результаты обследования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включа</w:t>
      </w:r>
      <w:r>
        <w:rPr>
          <w:rFonts w:ascii="Times New Roman" w:hAnsi="Times New Roman" w:cs="Times New Roman"/>
          <w:sz w:val="28"/>
          <w:szCs w:val="28"/>
          <w:lang w:bidi="ar-SA"/>
        </w:rPr>
        <w:t>я</w:t>
      </w:r>
      <w:r w:rsidRPr="00FF5E8E">
        <w:rPr>
          <w:rFonts w:ascii="Times New Roman" w:hAnsi="Times New Roman" w:cs="Times New Roman"/>
          <w:sz w:val="28"/>
          <w:szCs w:val="28"/>
          <w:lang w:bidi="ar-SA"/>
        </w:rPr>
        <w:t xml:space="preserve"> клинически</w:t>
      </w:r>
      <w:r>
        <w:rPr>
          <w:rFonts w:ascii="Times New Roman" w:hAnsi="Times New Roman" w:cs="Times New Roman"/>
          <w:sz w:val="28"/>
          <w:szCs w:val="28"/>
          <w:lang w:bidi="ar-SA"/>
        </w:rPr>
        <w:t xml:space="preserve">е, </w:t>
      </w:r>
      <w:r w:rsidRPr="00FF5E8E">
        <w:rPr>
          <w:rFonts w:ascii="Times New Roman" w:hAnsi="Times New Roman" w:cs="Times New Roman"/>
          <w:sz w:val="28"/>
          <w:szCs w:val="28"/>
          <w:lang w:bidi="ar-SA"/>
        </w:rPr>
        <w:t>инструментальные и лабораторные данные</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систематически заносились в электронную базу данных</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формат</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Excel</w:t>
      </w:r>
      <w:r w:rsidRPr="00FF5E8E">
        <w:rPr>
          <w:rFonts w:ascii="Times New Roman" w:hAnsi="Times New Roman" w:cs="Times New Roman"/>
          <w:sz w:val="28"/>
          <w:szCs w:val="28"/>
          <w:lang w:bidi="ar-SA"/>
        </w:rPr>
        <w:t>) с присвоением индивидуальных кодов пациента.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Собранный массив данных использовался для последующего анализа влияния клиник</w:t>
      </w:r>
      <w:r>
        <w:rPr>
          <w:rFonts w:ascii="Times New Roman" w:hAnsi="Times New Roman" w:cs="Times New Roman"/>
          <w:sz w:val="28"/>
          <w:szCs w:val="28"/>
          <w:lang w:bidi="ar-SA"/>
        </w:rPr>
        <w:t>о-</w:t>
      </w:r>
      <w:r w:rsidRPr="00FF5E8E">
        <w:rPr>
          <w:rFonts w:ascii="Times New Roman" w:hAnsi="Times New Roman" w:cs="Times New Roman"/>
          <w:sz w:val="28"/>
          <w:szCs w:val="28"/>
          <w:lang w:bidi="ar-SA"/>
        </w:rPr>
        <w:t>демографических</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фармакогенетических факторов на фармакокинетические параметры антикоагулянтной терапии</w:t>
      </w:r>
      <w:r>
        <w:rPr>
          <w:rFonts w:ascii="Times New Roman" w:hAnsi="Times New Roman" w:cs="Times New Roman"/>
          <w:sz w:val="28"/>
          <w:szCs w:val="28"/>
          <w:lang w:bidi="ar-SA"/>
        </w:rPr>
        <w:t>.</w:t>
      </w:r>
    </w:p>
    <w:p w14:paraId="74B9F459" w14:textId="325B6A89" w:rsidR="00CB50AF" w:rsidRDefault="00CB50AF" w:rsidP="00FF5E8E">
      <w:pPr>
        <w:pStyle w:val="LO-normal"/>
        <w:spacing w:after="0" w:line="240" w:lineRule="auto"/>
        <w:ind w:left="40" w:firstLine="527"/>
        <w:jc w:val="both"/>
        <w:rPr>
          <w:rFonts w:ascii="Times New Roman" w:hAnsi="Times New Roman" w:cs="Times New Roman"/>
          <w:sz w:val="28"/>
          <w:szCs w:val="28"/>
          <w:lang w:bidi="ar-SA"/>
        </w:rPr>
      </w:pPr>
    </w:p>
    <w:p w14:paraId="6BE2EC75" w14:textId="77777777" w:rsidR="0003764E" w:rsidRDefault="0003764E" w:rsidP="00FF5E8E">
      <w:pPr>
        <w:pStyle w:val="LO-normal"/>
        <w:spacing w:after="0" w:line="240" w:lineRule="auto"/>
        <w:ind w:left="40" w:firstLine="527"/>
        <w:jc w:val="both"/>
        <w:rPr>
          <w:rFonts w:ascii="Times New Roman" w:hAnsi="Times New Roman" w:cs="Times New Roman"/>
          <w:sz w:val="28"/>
          <w:szCs w:val="28"/>
          <w:lang w:bidi="ar-SA"/>
        </w:rPr>
      </w:pPr>
    </w:p>
    <w:p w14:paraId="4A6A1874" w14:textId="77777777" w:rsidR="0003764E" w:rsidRDefault="0003764E" w:rsidP="00FF5E8E">
      <w:pPr>
        <w:pStyle w:val="LO-normal"/>
        <w:spacing w:after="0" w:line="240" w:lineRule="auto"/>
        <w:ind w:left="40" w:firstLine="527"/>
        <w:jc w:val="both"/>
        <w:rPr>
          <w:rFonts w:ascii="Times New Roman" w:hAnsi="Times New Roman" w:cs="Times New Roman"/>
          <w:sz w:val="28"/>
          <w:szCs w:val="28"/>
          <w:lang w:bidi="ar-SA"/>
        </w:rPr>
      </w:pPr>
    </w:p>
    <w:p w14:paraId="57BFA792" w14:textId="7311A631" w:rsidR="00FF5E8E" w:rsidRDefault="00FF5E8E" w:rsidP="00FF5E8E">
      <w:pPr>
        <w:pStyle w:val="LO-normal"/>
        <w:numPr>
          <w:ilvl w:val="1"/>
          <w:numId w:val="8"/>
        </w:numPr>
        <w:spacing w:after="0" w:line="240" w:lineRule="auto"/>
        <w:jc w:val="both"/>
        <w:rPr>
          <w:rFonts w:ascii="Times New Roman" w:hAnsi="Times New Roman" w:cs="Times New Roman"/>
          <w:b/>
          <w:bCs/>
          <w:sz w:val="28"/>
          <w:szCs w:val="28"/>
          <w:lang w:bidi="ar-SA"/>
        </w:rPr>
      </w:pPr>
      <w:r w:rsidRPr="00FF5E8E">
        <w:rPr>
          <w:rFonts w:ascii="Times New Roman" w:hAnsi="Times New Roman" w:cs="Times New Roman"/>
          <w:b/>
          <w:bCs/>
          <w:sz w:val="28"/>
          <w:szCs w:val="28"/>
          <w:lang w:bidi="ar-SA"/>
        </w:rPr>
        <w:t>Материалы и методы исследования</w:t>
      </w:r>
    </w:p>
    <w:p w14:paraId="23DD123E" w14:textId="654D954B" w:rsidR="00FF5E8E" w:rsidRDefault="00FF5E8E" w:rsidP="00FF5E8E">
      <w:pPr>
        <w:pStyle w:val="LO-normal"/>
        <w:spacing w:after="0" w:line="240" w:lineRule="auto"/>
        <w:ind w:firstLine="567"/>
        <w:jc w:val="both"/>
        <w:rPr>
          <w:rFonts w:ascii="Times New Roman" w:hAnsi="Times New Roman" w:cs="Times New Roman"/>
          <w:sz w:val="28"/>
          <w:szCs w:val="28"/>
          <w:lang w:bidi="ar-SA"/>
        </w:rPr>
      </w:pPr>
      <w:r w:rsidRPr="00FF5E8E">
        <w:rPr>
          <w:rFonts w:ascii="Times New Roman" w:hAnsi="Times New Roman" w:cs="Times New Roman"/>
          <w:b/>
          <w:bCs/>
          <w:sz w:val="28"/>
          <w:szCs w:val="28"/>
          <w:lang w:bidi="ar-SA"/>
        </w:rPr>
        <w:t>Методы исследования: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исследуемые пациенты были осмотрены врачом</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кардиологом</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все данные фиксировались в индивидуальных картах пациентов</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Сбор клинических данных начинался с опроса жалоб и анамнеза заболевания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жизни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При сборе анамнеза особое внимание уделялось возможным триггерам развития</w:t>
      </w:r>
      <w:r>
        <w:rPr>
          <w:rFonts w:ascii="Times New Roman" w:hAnsi="Times New Roman" w:cs="Times New Roman"/>
          <w:sz w:val="28"/>
          <w:szCs w:val="28"/>
          <w:lang w:bidi="ar-SA"/>
        </w:rPr>
        <w:t xml:space="preserve"> ФП, </w:t>
      </w:r>
      <w:r w:rsidRPr="00FF5E8E">
        <w:rPr>
          <w:rFonts w:ascii="Times New Roman" w:hAnsi="Times New Roman" w:cs="Times New Roman"/>
          <w:sz w:val="28"/>
          <w:szCs w:val="28"/>
          <w:lang w:bidi="ar-SA"/>
        </w:rPr>
        <w:t>длительности и типу аритмии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пароксизмальная</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 xml:space="preserve"> персистирующая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наличи</w:t>
      </w:r>
      <w:r>
        <w:rPr>
          <w:rFonts w:ascii="Times New Roman" w:hAnsi="Times New Roman" w:cs="Times New Roman"/>
          <w:sz w:val="28"/>
          <w:szCs w:val="28"/>
          <w:lang w:bidi="ar-SA"/>
        </w:rPr>
        <w:t>ю</w:t>
      </w:r>
      <w:r w:rsidRPr="00FF5E8E">
        <w:rPr>
          <w:rFonts w:ascii="Times New Roman" w:hAnsi="Times New Roman" w:cs="Times New Roman"/>
          <w:sz w:val="28"/>
          <w:szCs w:val="28"/>
          <w:lang w:bidi="ar-SA"/>
        </w:rPr>
        <w:t xml:space="preserve"> эпизодов тромбоэмболи</w:t>
      </w:r>
      <w:r>
        <w:rPr>
          <w:rFonts w:ascii="Times New Roman" w:hAnsi="Times New Roman" w:cs="Times New Roman"/>
          <w:sz w:val="28"/>
          <w:szCs w:val="28"/>
          <w:lang w:bidi="ar-SA"/>
        </w:rPr>
        <w:t xml:space="preserve">й, </w:t>
      </w:r>
      <w:r w:rsidRPr="00FF5E8E">
        <w:rPr>
          <w:rFonts w:ascii="Times New Roman" w:hAnsi="Times New Roman" w:cs="Times New Roman"/>
          <w:sz w:val="28"/>
          <w:szCs w:val="28"/>
          <w:lang w:bidi="ar-SA"/>
        </w:rPr>
        <w:t>инсульта или кровотечени</w:t>
      </w:r>
      <w:r w:rsidR="00C41786">
        <w:rPr>
          <w:rFonts w:ascii="Times New Roman" w:hAnsi="Times New Roman" w:cs="Times New Roman"/>
          <w:sz w:val="28"/>
          <w:szCs w:val="28"/>
          <w:lang w:bidi="ar-SA"/>
        </w:rPr>
        <w:t>я</w:t>
      </w:r>
      <w:r w:rsidRPr="00FF5E8E">
        <w:rPr>
          <w:rFonts w:ascii="Times New Roman" w:hAnsi="Times New Roman" w:cs="Times New Roman"/>
          <w:sz w:val="28"/>
          <w:szCs w:val="28"/>
          <w:lang w:bidi="ar-SA"/>
        </w:rPr>
        <w:t xml:space="preserve"> в анамнезе</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Анализировались сопутствующие заболевания</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артериальная гипертензия</w:t>
      </w:r>
      <w:r>
        <w:rPr>
          <w:rFonts w:ascii="Times New Roman" w:hAnsi="Times New Roman" w:cs="Times New Roman"/>
          <w:sz w:val="28"/>
          <w:szCs w:val="28"/>
          <w:lang w:bidi="ar-SA"/>
        </w:rPr>
        <w:t xml:space="preserve"> (АГ), </w:t>
      </w:r>
      <w:r w:rsidRPr="00FF5E8E">
        <w:rPr>
          <w:rFonts w:ascii="Times New Roman" w:hAnsi="Times New Roman" w:cs="Times New Roman"/>
          <w:sz w:val="28"/>
          <w:szCs w:val="28"/>
          <w:lang w:bidi="ar-SA"/>
        </w:rPr>
        <w:t>сахарный диабет</w:t>
      </w:r>
      <w:r>
        <w:rPr>
          <w:rFonts w:ascii="Times New Roman" w:hAnsi="Times New Roman" w:cs="Times New Roman"/>
          <w:sz w:val="28"/>
          <w:szCs w:val="28"/>
          <w:lang w:bidi="ar-SA"/>
        </w:rPr>
        <w:t xml:space="preserve"> (СД), </w:t>
      </w:r>
      <w:r w:rsidRPr="00FF5E8E">
        <w:rPr>
          <w:rFonts w:ascii="Times New Roman" w:hAnsi="Times New Roman" w:cs="Times New Roman"/>
          <w:sz w:val="28"/>
          <w:szCs w:val="28"/>
          <w:lang w:bidi="ar-SA"/>
        </w:rPr>
        <w:t>ишемическая болезнь сердца</w:t>
      </w:r>
      <w:r>
        <w:rPr>
          <w:rFonts w:ascii="Times New Roman" w:hAnsi="Times New Roman" w:cs="Times New Roman"/>
          <w:sz w:val="28"/>
          <w:szCs w:val="28"/>
          <w:lang w:bidi="ar-SA"/>
        </w:rPr>
        <w:t xml:space="preserve"> (ИБС), </w:t>
      </w:r>
      <w:r w:rsidRPr="00FF5E8E">
        <w:rPr>
          <w:rFonts w:ascii="Times New Roman" w:hAnsi="Times New Roman" w:cs="Times New Roman"/>
          <w:sz w:val="28"/>
          <w:szCs w:val="28"/>
          <w:lang w:bidi="ar-SA"/>
        </w:rPr>
        <w:t>хроническая сердечная недостаточность</w:t>
      </w:r>
      <w:r>
        <w:rPr>
          <w:rFonts w:ascii="Times New Roman" w:hAnsi="Times New Roman" w:cs="Times New Roman"/>
          <w:sz w:val="28"/>
          <w:szCs w:val="28"/>
          <w:lang w:bidi="ar-SA"/>
        </w:rPr>
        <w:t xml:space="preserve"> (ХСН), </w:t>
      </w:r>
      <w:r w:rsidRPr="00FF5E8E">
        <w:rPr>
          <w:rFonts w:ascii="Times New Roman" w:hAnsi="Times New Roman" w:cs="Times New Roman"/>
          <w:sz w:val="28"/>
          <w:szCs w:val="28"/>
          <w:lang w:bidi="ar-SA"/>
        </w:rPr>
        <w:t>заболевани</w:t>
      </w:r>
      <w:r>
        <w:rPr>
          <w:rFonts w:ascii="Times New Roman" w:hAnsi="Times New Roman" w:cs="Times New Roman"/>
          <w:sz w:val="28"/>
          <w:szCs w:val="28"/>
          <w:lang w:bidi="ar-SA"/>
        </w:rPr>
        <w:t xml:space="preserve">я </w:t>
      </w:r>
      <w:r w:rsidRPr="00FF5E8E">
        <w:rPr>
          <w:rFonts w:ascii="Times New Roman" w:hAnsi="Times New Roman" w:cs="Times New Roman"/>
          <w:sz w:val="28"/>
          <w:szCs w:val="28"/>
          <w:lang w:bidi="ar-SA"/>
        </w:rPr>
        <w:t>печени и почек</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наличие вредных привычек и семейной предрасположенности к сердечно</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сосудистым заболевани</w:t>
      </w:r>
      <w:r>
        <w:rPr>
          <w:rFonts w:ascii="Times New Roman" w:hAnsi="Times New Roman" w:cs="Times New Roman"/>
          <w:sz w:val="28"/>
          <w:szCs w:val="28"/>
          <w:lang w:bidi="ar-SA"/>
        </w:rPr>
        <w:t xml:space="preserve">ям, </w:t>
      </w:r>
      <w:r w:rsidRPr="00FF5E8E">
        <w:rPr>
          <w:rFonts w:ascii="Times New Roman" w:hAnsi="Times New Roman" w:cs="Times New Roman"/>
          <w:sz w:val="28"/>
          <w:szCs w:val="28"/>
          <w:lang w:bidi="ar-SA"/>
        </w:rPr>
        <w:t>аллергические реакции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перенесенные оперативны</w:t>
      </w:r>
      <w:r>
        <w:rPr>
          <w:rFonts w:ascii="Times New Roman" w:hAnsi="Times New Roman" w:cs="Times New Roman"/>
          <w:sz w:val="28"/>
          <w:szCs w:val="28"/>
          <w:lang w:bidi="ar-SA"/>
        </w:rPr>
        <w:t xml:space="preserve">е </w:t>
      </w:r>
      <w:r w:rsidRPr="00FF5E8E">
        <w:rPr>
          <w:rFonts w:ascii="Times New Roman" w:hAnsi="Times New Roman" w:cs="Times New Roman"/>
          <w:sz w:val="28"/>
          <w:szCs w:val="28"/>
          <w:lang w:bidi="ar-SA"/>
        </w:rPr>
        <w:t>вмешательст</w:t>
      </w:r>
      <w:r>
        <w:rPr>
          <w:rFonts w:ascii="Times New Roman" w:hAnsi="Times New Roman" w:cs="Times New Roman"/>
          <w:sz w:val="28"/>
          <w:szCs w:val="28"/>
          <w:lang w:bidi="ar-SA"/>
        </w:rPr>
        <w:t xml:space="preserve">ва. </w:t>
      </w:r>
      <w:r w:rsidRPr="00FF5E8E">
        <w:rPr>
          <w:rFonts w:ascii="Times New Roman" w:hAnsi="Times New Roman" w:cs="Times New Roman"/>
          <w:sz w:val="28"/>
          <w:szCs w:val="28"/>
          <w:lang w:bidi="ar-SA"/>
        </w:rPr>
        <w:t>Физикальное обследование включало общий осмотр кожных покровов</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и видимых слизистых</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оценку отеков</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состояние сердечно</w:t>
      </w:r>
      <w:r>
        <w:rPr>
          <w:rFonts w:ascii="Times New Roman" w:hAnsi="Times New Roman" w:cs="Times New Roman"/>
          <w:sz w:val="28"/>
          <w:szCs w:val="28"/>
          <w:lang w:bidi="ar-SA"/>
        </w:rPr>
        <w:t>-</w:t>
      </w:r>
      <w:r w:rsidRPr="00FF5E8E">
        <w:rPr>
          <w:rFonts w:ascii="Times New Roman" w:hAnsi="Times New Roman" w:cs="Times New Roman"/>
          <w:sz w:val="28"/>
          <w:szCs w:val="28"/>
          <w:lang w:bidi="ar-SA"/>
        </w:rPr>
        <w:t>сосудистой и дыхательной систем</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антропометрические данные с расчетом индекса массы тела</w:t>
      </w:r>
      <w:r>
        <w:rPr>
          <w:rFonts w:ascii="Times New Roman" w:hAnsi="Times New Roman" w:cs="Times New Roman"/>
          <w:sz w:val="28"/>
          <w:szCs w:val="28"/>
          <w:lang w:bidi="ar-SA"/>
        </w:rPr>
        <w:t xml:space="preserve"> (ИМТ) </w:t>
      </w:r>
      <w:r w:rsidRPr="00FF5E8E">
        <w:rPr>
          <w:rFonts w:ascii="Times New Roman" w:hAnsi="Times New Roman" w:cs="Times New Roman"/>
          <w:sz w:val="28"/>
          <w:szCs w:val="28"/>
          <w:lang w:bidi="ar-SA"/>
        </w:rPr>
        <w:t xml:space="preserve">по формуле </w:t>
      </w:r>
      <w:r>
        <w:rPr>
          <w:rFonts w:ascii="Times New Roman" w:hAnsi="Times New Roman" w:cs="Times New Roman"/>
          <w:sz w:val="28"/>
          <w:szCs w:val="28"/>
          <w:lang w:bidi="ar-SA"/>
        </w:rPr>
        <w:t xml:space="preserve">Кетле. </w:t>
      </w:r>
      <w:r w:rsidRPr="00FF5E8E">
        <w:rPr>
          <w:rFonts w:ascii="Times New Roman" w:hAnsi="Times New Roman" w:cs="Times New Roman"/>
          <w:sz w:val="28"/>
          <w:szCs w:val="28"/>
          <w:lang w:bidi="ar-SA"/>
        </w:rPr>
        <w:t>Измерялись основные физиологические параметры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артериальное давление</w:t>
      </w:r>
      <w:r>
        <w:rPr>
          <w:rFonts w:ascii="Times New Roman" w:hAnsi="Times New Roman" w:cs="Times New Roman"/>
          <w:sz w:val="28"/>
          <w:szCs w:val="28"/>
          <w:lang w:bidi="ar-SA"/>
        </w:rPr>
        <w:t xml:space="preserve"> (АД), </w:t>
      </w:r>
      <w:r w:rsidRPr="00FF5E8E">
        <w:rPr>
          <w:rFonts w:ascii="Times New Roman" w:hAnsi="Times New Roman" w:cs="Times New Roman"/>
          <w:sz w:val="28"/>
          <w:szCs w:val="28"/>
          <w:lang w:bidi="ar-SA"/>
        </w:rPr>
        <w:t>частота сердечных сокращений</w:t>
      </w:r>
      <w:r>
        <w:rPr>
          <w:rFonts w:ascii="Times New Roman" w:hAnsi="Times New Roman" w:cs="Times New Roman"/>
          <w:sz w:val="28"/>
          <w:szCs w:val="28"/>
          <w:lang w:bidi="ar-SA"/>
        </w:rPr>
        <w:t xml:space="preserve"> (ЧСС), </w:t>
      </w:r>
      <w:r w:rsidRPr="00FF5E8E">
        <w:rPr>
          <w:rFonts w:ascii="Times New Roman" w:hAnsi="Times New Roman" w:cs="Times New Roman"/>
          <w:sz w:val="28"/>
          <w:szCs w:val="28"/>
          <w:lang w:bidi="ar-SA"/>
        </w:rPr>
        <w:t>частота дыхательных движений</w:t>
      </w:r>
      <w:r>
        <w:rPr>
          <w:rFonts w:ascii="Times New Roman" w:hAnsi="Times New Roman" w:cs="Times New Roman"/>
          <w:sz w:val="28"/>
          <w:szCs w:val="28"/>
          <w:lang w:bidi="ar-SA"/>
        </w:rPr>
        <w:t xml:space="preserve"> (ЧДД), </w:t>
      </w:r>
      <w:r w:rsidR="00CB3A02">
        <w:rPr>
          <w:rFonts w:ascii="Times New Roman" w:hAnsi="Times New Roman" w:cs="Times New Roman"/>
          <w:sz w:val="28"/>
          <w:szCs w:val="28"/>
          <w:lang w:bidi="ar-SA"/>
        </w:rPr>
        <w:t xml:space="preserve">сатурация, </w:t>
      </w:r>
      <w:r w:rsidRPr="00FF5E8E">
        <w:rPr>
          <w:rFonts w:ascii="Times New Roman" w:hAnsi="Times New Roman" w:cs="Times New Roman"/>
          <w:sz w:val="28"/>
          <w:szCs w:val="28"/>
          <w:lang w:bidi="ar-SA"/>
        </w:rPr>
        <w:t>температура тела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Проводилась оценка риска тромбоэмболических осложнений по шкале</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CHA</w:t>
      </w:r>
      <w:r w:rsidRPr="004925AD">
        <w:rPr>
          <w:rFonts w:ascii="Times New Roman" w:hAnsi="Times New Roman" w:cs="Times New Roman"/>
          <w:sz w:val="28"/>
          <w:szCs w:val="28"/>
          <w:vertAlign w:val="subscript"/>
          <w:lang w:bidi="ar-SA"/>
        </w:rPr>
        <w:t>2</w:t>
      </w:r>
      <w:r>
        <w:rPr>
          <w:rFonts w:ascii="Times New Roman" w:hAnsi="Times New Roman" w:cs="Times New Roman"/>
          <w:sz w:val="28"/>
          <w:szCs w:val="28"/>
          <w:lang w:val="en-US" w:bidi="ar-SA"/>
        </w:rPr>
        <w:t>DS</w:t>
      </w:r>
      <w:r w:rsidRPr="004925AD">
        <w:rPr>
          <w:rFonts w:ascii="Times New Roman" w:hAnsi="Times New Roman" w:cs="Times New Roman"/>
          <w:sz w:val="28"/>
          <w:szCs w:val="28"/>
          <w:vertAlign w:val="subscript"/>
          <w:lang w:bidi="ar-SA"/>
        </w:rPr>
        <w:t>2</w:t>
      </w:r>
      <w:r w:rsidRPr="00FF5E8E">
        <w:rPr>
          <w:rFonts w:ascii="Times New Roman" w:hAnsi="Times New Roman" w:cs="Times New Roman"/>
          <w:sz w:val="28"/>
          <w:szCs w:val="28"/>
          <w:lang w:bidi="ar-SA"/>
        </w:rPr>
        <w:t>-</w:t>
      </w:r>
      <w:r>
        <w:rPr>
          <w:rFonts w:ascii="Times New Roman" w:hAnsi="Times New Roman" w:cs="Times New Roman"/>
          <w:sz w:val="28"/>
          <w:szCs w:val="28"/>
          <w:lang w:val="en-US" w:bidi="ar-SA"/>
        </w:rPr>
        <w:t>VA</w:t>
      </w:r>
      <w:r w:rsidR="004925AD">
        <w:rPr>
          <w:rFonts w:ascii="Times New Roman" w:hAnsi="Times New Roman" w:cs="Times New Roman"/>
          <w:sz w:val="28"/>
          <w:szCs w:val="28"/>
          <w:lang w:val="en-US" w:bidi="ar-SA"/>
        </w:rPr>
        <w:t>Sc</w:t>
      </w:r>
      <w:r w:rsidRPr="00FF5E8E">
        <w:rPr>
          <w:rFonts w:ascii="Times New Roman" w:hAnsi="Times New Roman" w:cs="Times New Roman"/>
          <w:sz w:val="28"/>
          <w:szCs w:val="28"/>
          <w:lang w:bidi="ar-SA"/>
        </w:rPr>
        <w:t xml:space="preserve"> и риска геморрагических осложнений по шкале </w:t>
      </w:r>
      <w:r>
        <w:rPr>
          <w:rFonts w:ascii="Times New Roman" w:hAnsi="Times New Roman" w:cs="Times New Roman"/>
          <w:sz w:val="28"/>
          <w:szCs w:val="28"/>
          <w:lang w:val="en-US" w:bidi="ar-SA"/>
        </w:rPr>
        <w:t>HAS</w:t>
      </w:r>
      <w:r w:rsidRPr="00FF5E8E">
        <w:rPr>
          <w:rFonts w:ascii="Times New Roman" w:hAnsi="Times New Roman" w:cs="Times New Roman"/>
          <w:sz w:val="28"/>
          <w:szCs w:val="28"/>
          <w:lang w:bidi="ar-SA"/>
        </w:rPr>
        <w:t>-</w:t>
      </w:r>
      <w:r>
        <w:rPr>
          <w:rFonts w:ascii="Times New Roman" w:hAnsi="Times New Roman" w:cs="Times New Roman"/>
          <w:sz w:val="28"/>
          <w:szCs w:val="28"/>
          <w:lang w:val="en-US" w:bidi="ar-SA"/>
        </w:rPr>
        <w:t>BLED</w:t>
      </w:r>
      <w:r>
        <w:rPr>
          <w:rFonts w:ascii="Times New Roman" w:hAnsi="Times New Roman" w:cs="Times New Roman"/>
          <w:sz w:val="28"/>
          <w:szCs w:val="28"/>
          <w:lang w:val="en-US" w:bidi="ar-SA"/>
        </w:rPr>
        <w:fldChar w:fldCharType="begin"/>
      </w:r>
      <w:r w:rsidR="00AC4691">
        <w:rPr>
          <w:rFonts w:ascii="Times New Roman" w:hAnsi="Times New Roman" w:cs="Times New Roman"/>
          <w:sz w:val="28"/>
          <w:szCs w:val="28"/>
          <w:lang w:bidi="ar-SA"/>
        </w:rPr>
        <w:instrText xml:space="preserve"> ADDIN ZOTERO_ITEM CSL_CITATION {"citationID":"nUfF3zRG","properties":{"unsorted":false,"formattedCitation":"[229]","plainCitation":"[229]","noteIndex":0},"citationItems":[{"id":20,"uris":["http://zotero.org/users/14784094/items/TXDPX85A"],"itemData":{"id":20,"type":"webpage","title":"Фибрилляция и трепетание предсердий &gt; Клинические протоколы МЗ РК - 2019 (Казахстан) &gt; MedElement","URL":"https://diseases.medelement.com/disease/%D1%84%D0%B8%D0%B1%D1%80%D0%B8%D0%BB%D0%BB%D1%8F%D1%86%D0%B8%D1%8F-%D0%B8-%D1%82%D1%80%D0%B5%D0%BF%D0%B5%D1%82%D0%B0%D0%BD%D0%B8%D0%B5-%D0%BF%D1%80%D0%B5%D0%B4%D1%81%D0%B5%D1%80%D0%B4%D0%B8%D0%B9-2019/16467","accessed":{"date-parts":[["2025",6,17]]}}}],"schema":"https://github.com/citation-style-language/schema/raw/master/csl-citation.json"} </w:instrText>
      </w:r>
      <w:r>
        <w:rPr>
          <w:rFonts w:ascii="Times New Roman" w:hAnsi="Times New Roman" w:cs="Times New Roman"/>
          <w:sz w:val="28"/>
          <w:szCs w:val="28"/>
          <w:lang w:val="en-US" w:bidi="ar-SA"/>
        </w:rPr>
        <w:fldChar w:fldCharType="separate"/>
      </w:r>
      <w:r w:rsidR="00AC4691">
        <w:rPr>
          <w:rFonts w:ascii="Times New Roman" w:eastAsiaTheme="minorHAnsi" w:hAnsi="Times New Roman" w:cs="Times New Roman"/>
          <w:sz w:val="28"/>
          <w:szCs w:val="24"/>
          <w:lang w:eastAsia="en-US"/>
          <w14:ligatures w14:val="standardContextual"/>
        </w:rPr>
        <w:t>[229]</w:t>
      </w:r>
      <w:r>
        <w:rPr>
          <w:rFonts w:ascii="Times New Roman" w:hAnsi="Times New Roman" w:cs="Times New Roman"/>
          <w:sz w:val="28"/>
          <w:szCs w:val="28"/>
          <w:lang w:val="en-US" w:bidi="ar-SA"/>
        </w:rPr>
        <w:fldChar w:fldCharType="end"/>
      </w:r>
      <w:r>
        <w:rPr>
          <w:rFonts w:ascii="Times New Roman" w:hAnsi="Times New Roman" w:cs="Times New Roman"/>
          <w:sz w:val="28"/>
          <w:szCs w:val="28"/>
          <w:lang w:bidi="ar-SA"/>
        </w:rPr>
        <w:t xml:space="preserve">. </w:t>
      </w:r>
    </w:p>
    <w:p w14:paraId="04FAC5D6" w14:textId="25622D02" w:rsidR="00FF5E8E" w:rsidRDefault="00FF5E8E" w:rsidP="00FF5E8E">
      <w:pPr>
        <w:pStyle w:val="LO-normal"/>
        <w:spacing w:after="0" w:line="240" w:lineRule="auto"/>
        <w:ind w:firstLine="567"/>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Лабораторные исследования выполнялись строго натощак</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после 12</w:t>
      </w:r>
      <w:r>
        <w:rPr>
          <w:rFonts w:ascii="Times New Roman" w:hAnsi="Times New Roman" w:cs="Times New Roman"/>
          <w:sz w:val="28"/>
          <w:szCs w:val="28"/>
          <w:lang w:bidi="ar-SA"/>
        </w:rPr>
        <w:t xml:space="preserve">-часового </w:t>
      </w:r>
      <w:r w:rsidRPr="00FF5E8E">
        <w:rPr>
          <w:rFonts w:ascii="Times New Roman" w:hAnsi="Times New Roman" w:cs="Times New Roman"/>
          <w:sz w:val="28"/>
          <w:szCs w:val="28"/>
          <w:lang w:bidi="ar-SA"/>
        </w:rPr>
        <w:t>голодания</w:t>
      </w:r>
      <w:r>
        <w:rPr>
          <w:rFonts w:ascii="Times New Roman" w:hAnsi="Times New Roman" w:cs="Times New Roman"/>
          <w:sz w:val="28"/>
          <w:szCs w:val="28"/>
          <w:lang w:bidi="ar-SA"/>
        </w:rPr>
        <w:t>.</w:t>
      </w:r>
    </w:p>
    <w:p w14:paraId="48354DDE" w14:textId="71E54BFD" w:rsidR="00FF5E8E" w:rsidRPr="00FF5E8E" w:rsidRDefault="00FF5E8E" w:rsidP="00FF5E8E">
      <w:pPr>
        <w:pStyle w:val="LO-normal"/>
        <w:spacing w:after="0" w:line="240" w:lineRule="auto"/>
        <w:ind w:firstLine="567"/>
        <w:jc w:val="both"/>
        <w:rPr>
          <w:rFonts w:ascii="Times New Roman" w:hAnsi="Times New Roman" w:cs="Times New Roman"/>
          <w:i/>
          <w:iCs/>
          <w:sz w:val="28"/>
          <w:szCs w:val="28"/>
          <w:lang w:bidi="ar-SA"/>
        </w:rPr>
      </w:pPr>
      <w:r w:rsidRPr="00FF5E8E">
        <w:rPr>
          <w:rFonts w:ascii="Times New Roman" w:hAnsi="Times New Roman" w:cs="Times New Roman"/>
          <w:i/>
          <w:iCs/>
          <w:sz w:val="28"/>
          <w:szCs w:val="28"/>
          <w:lang w:bidi="ar-SA"/>
        </w:rPr>
        <w:t>Объем лабораторных исследований включал:</w:t>
      </w:r>
    </w:p>
    <w:p w14:paraId="7B33DE54" w14:textId="65016C79" w:rsidR="00FF5E8E" w:rsidRDefault="00FF5E8E" w:rsidP="00FF5E8E">
      <w:pPr>
        <w:pStyle w:val="LO-normal"/>
        <w:numPr>
          <w:ilvl w:val="0"/>
          <w:numId w:val="15"/>
        </w:numPr>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О</w:t>
      </w:r>
      <w:r w:rsidRPr="00FF5E8E">
        <w:rPr>
          <w:rFonts w:ascii="Times New Roman" w:hAnsi="Times New Roman" w:cs="Times New Roman"/>
          <w:sz w:val="28"/>
          <w:szCs w:val="28"/>
          <w:lang w:bidi="ar-SA"/>
        </w:rPr>
        <w:t>бщий анализ крови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гемоглобин</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эритроциты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тромбоциты</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лейкоцитарная формула</w:t>
      </w:r>
      <w:r>
        <w:rPr>
          <w:rFonts w:ascii="Times New Roman" w:hAnsi="Times New Roman" w:cs="Times New Roman"/>
          <w:sz w:val="28"/>
          <w:szCs w:val="28"/>
          <w:lang w:bidi="ar-SA"/>
        </w:rPr>
        <w:t>, СОЭ);</w:t>
      </w:r>
    </w:p>
    <w:p w14:paraId="7DDE9AE6" w14:textId="208E692C" w:rsidR="00FF5E8E" w:rsidRDefault="00FF5E8E" w:rsidP="00FF5E8E">
      <w:pPr>
        <w:pStyle w:val="LO-normal"/>
        <w:numPr>
          <w:ilvl w:val="0"/>
          <w:numId w:val="15"/>
        </w:numPr>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О</w:t>
      </w:r>
      <w:r w:rsidRPr="00FF5E8E">
        <w:rPr>
          <w:rFonts w:ascii="Times New Roman" w:hAnsi="Times New Roman" w:cs="Times New Roman"/>
          <w:sz w:val="28"/>
          <w:szCs w:val="28"/>
          <w:lang w:bidi="ar-SA"/>
        </w:rPr>
        <w:t>бщий анализ мочи</w:t>
      </w:r>
      <w:r>
        <w:rPr>
          <w:rFonts w:ascii="Times New Roman" w:hAnsi="Times New Roman" w:cs="Times New Roman"/>
          <w:sz w:val="28"/>
          <w:szCs w:val="28"/>
          <w:lang w:bidi="ar-SA"/>
        </w:rPr>
        <w:t>;</w:t>
      </w:r>
    </w:p>
    <w:p w14:paraId="597E2631" w14:textId="69E7116F" w:rsidR="00FF5E8E" w:rsidRDefault="00FF5E8E" w:rsidP="00FF5E8E">
      <w:pPr>
        <w:pStyle w:val="LO-normal"/>
        <w:numPr>
          <w:ilvl w:val="0"/>
          <w:numId w:val="15"/>
        </w:numPr>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Биохимический </w:t>
      </w:r>
      <w:r w:rsidRPr="00FF5E8E">
        <w:rPr>
          <w:rFonts w:ascii="Times New Roman" w:hAnsi="Times New Roman" w:cs="Times New Roman"/>
          <w:sz w:val="28"/>
          <w:szCs w:val="28"/>
          <w:lang w:bidi="ar-SA"/>
        </w:rPr>
        <w:t>анализ крови</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общий белок</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аланинаминотрансфераза</w:t>
      </w:r>
      <w:r>
        <w:rPr>
          <w:rFonts w:ascii="Times New Roman" w:hAnsi="Times New Roman" w:cs="Times New Roman"/>
          <w:sz w:val="28"/>
          <w:szCs w:val="28"/>
          <w:lang w:bidi="ar-SA"/>
        </w:rPr>
        <w:t xml:space="preserve">, (АЛТ), аспартатаминотрансфераза (АСТ), </w:t>
      </w:r>
      <w:r w:rsidRPr="00FF5E8E">
        <w:rPr>
          <w:rFonts w:ascii="Times New Roman" w:hAnsi="Times New Roman" w:cs="Times New Roman"/>
          <w:sz w:val="28"/>
          <w:szCs w:val="28"/>
          <w:lang w:bidi="ar-SA"/>
        </w:rPr>
        <w:t>билирубин общий</w:t>
      </w:r>
      <w:r>
        <w:rPr>
          <w:rFonts w:ascii="Times New Roman" w:hAnsi="Times New Roman" w:cs="Times New Roman"/>
          <w:sz w:val="28"/>
          <w:szCs w:val="28"/>
          <w:lang w:bidi="ar-SA"/>
        </w:rPr>
        <w:t>, б</w:t>
      </w:r>
      <w:r w:rsidRPr="00FF5E8E">
        <w:rPr>
          <w:rFonts w:ascii="Times New Roman" w:hAnsi="Times New Roman" w:cs="Times New Roman"/>
          <w:sz w:val="28"/>
          <w:szCs w:val="28"/>
          <w:lang w:bidi="ar-SA"/>
        </w:rPr>
        <w:t>илирубин прямой</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креатинин</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мочевина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липидный профиль</w:t>
      </w:r>
      <w:r>
        <w:rPr>
          <w:rFonts w:ascii="Times New Roman" w:hAnsi="Times New Roman" w:cs="Times New Roman"/>
          <w:sz w:val="28"/>
          <w:szCs w:val="28"/>
          <w:lang w:bidi="ar-SA"/>
        </w:rPr>
        <w:t>, С-реактивный белок);</w:t>
      </w:r>
    </w:p>
    <w:p w14:paraId="42A61C5E" w14:textId="3FEDD5F7" w:rsidR="00FF5E8E" w:rsidRDefault="00FF5E8E" w:rsidP="00FF5E8E">
      <w:pPr>
        <w:pStyle w:val="LO-normal"/>
        <w:numPr>
          <w:ilvl w:val="0"/>
          <w:numId w:val="15"/>
        </w:numPr>
        <w:spacing w:after="0" w:line="240" w:lineRule="auto"/>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Коагулограмма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международное нормализованное отношени</w:t>
      </w:r>
      <w:r>
        <w:rPr>
          <w:rFonts w:ascii="Times New Roman" w:hAnsi="Times New Roman" w:cs="Times New Roman"/>
          <w:sz w:val="28"/>
          <w:szCs w:val="28"/>
          <w:lang w:bidi="ar-SA"/>
        </w:rPr>
        <w:t xml:space="preserve">е (МНО), </w:t>
      </w:r>
      <w:r w:rsidRPr="00FF5E8E">
        <w:rPr>
          <w:rFonts w:ascii="Times New Roman" w:hAnsi="Times New Roman" w:cs="Times New Roman"/>
          <w:sz w:val="28"/>
          <w:szCs w:val="28"/>
          <w:lang w:bidi="ar-SA"/>
        </w:rPr>
        <w:t>активирован</w:t>
      </w:r>
      <w:r>
        <w:rPr>
          <w:rFonts w:ascii="Times New Roman" w:hAnsi="Times New Roman" w:cs="Times New Roman"/>
          <w:sz w:val="28"/>
          <w:szCs w:val="28"/>
          <w:lang w:bidi="ar-SA"/>
        </w:rPr>
        <w:t xml:space="preserve">ное </w:t>
      </w:r>
      <w:r w:rsidRPr="00FF5E8E">
        <w:rPr>
          <w:rFonts w:ascii="Times New Roman" w:hAnsi="Times New Roman" w:cs="Times New Roman"/>
          <w:sz w:val="28"/>
          <w:szCs w:val="28"/>
          <w:lang w:bidi="ar-SA"/>
        </w:rPr>
        <w:t>частичное тромбопластиновое время</w:t>
      </w:r>
      <w:r>
        <w:rPr>
          <w:rFonts w:ascii="Times New Roman" w:hAnsi="Times New Roman" w:cs="Times New Roman"/>
          <w:sz w:val="28"/>
          <w:szCs w:val="28"/>
          <w:lang w:bidi="ar-SA"/>
        </w:rPr>
        <w:t xml:space="preserve"> (АЧТВ), </w:t>
      </w:r>
      <w:r w:rsidRPr="00FF5E8E">
        <w:rPr>
          <w:rFonts w:ascii="Times New Roman" w:hAnsi="Times New Roman" w:cs="Times New Roman"/>
          <w:sz w:val="28"/>
          <w:szCs w:val="28"/>
          <w:lang w:bidi="ar-SA"/>
        </w:rPr>
        <w:t>протромбиновое время</w:t>
      </w:r>
      <w:r>
        <w:rPr>
          <w:rFonts w:ascii="Times New Roman" w:hAnsi="Times New Roman" w:cs="Times New Roman"/>
          <w:sz w:val="28"/>
          <w:szCs w:val="28"/>
          <w:lang w:bidi="ar-SA"/>
        </w:rPr>
        <w:t xml:space="preserve"> (ПВ), </w:t>
      </w:r>
      <w:r w:rsidRPr="00FF5E8E">
        <w:rPr>
          <w:rFonts w:ascii="Times New Roman" w:hAnsi="Times New Roman" w:cs="Times New Roman"/>
          <w:sz w:val="28"/>
          <w:szCs w:val="28"/>
          <w:lang w:bidi="ar-SA"/>
        </w:rPr>
        <w:t>фибриноген</w:t>
      </w:r>
      <w:r>
        <w:rPr>
          <w:rFonts w:ascii="Times New Roman" w:hAnsi="Times New Roman" w:cs="Times New Roman"/>
          <w:sz w:val="28"/>
          <w:szCs w:val="28"/>
          <w:lang w:bidi="ar-SA"/>
        </w:rPr>
        <w:t>);</w:t>
      </w:r>
    </w:p>
    <w:p w14:paraId="1447ED05" w14:textId="50FBC5D8" w:rsidR="00FF5E8E" w:rsidRDefault="00FF5E8E" w:rsidP="00FF5E8E">
      <w:pPr>
        <w:pStyle w:val="LO-normal"/>
        <w:spacing w:after="0" w:line="240" w:lineRule="auto"/>
        <w:ind w:left="567"/>
        <w:jc w:val="both"/>
        <w:rPr>
          <w:rFonts w:ascii="Times New Roman" w:hAnsi="Times New Roman" w:cs="Times New Roman"/>
          <w:i/>
          <w:iCs/>
          <w:sz w:val="28"/>
          <w:szCs w:val="28"/>
          <w:lang w:bidi="ar-SA"/>
        </w:rPr>
      </w:pPr>
      <w:r w:rsidRPr="00FF5E8E">
        <w:rPr>
          <w:rFonts w:ascii="Times New Roman" w:hAnsi="Times New Roman" w:cs="Times New Roman"/>
          <w:i/>
          <w:iCs/>
          <w:sz w:val="28"/>
          <w:szCs w:val="28"/>
          <w:lang w:bidi="ar-SA"/>
        </w:rPr>
        <w:t>Инструментальные исследования:</w:t>
      </w:r>
    </w:p>
    <w:p w14:paraId="7048B3D1" w14:textId="26C8C995" w:rsidR="00FF5E8E" w:rsidRDefault="00FF5E8E" w:rsidP="00FF5E8E">
      <w:pPr>
        <w:pStyle w:val="LO-normal"/>
        <w:numPr>
          <w:ilvl w:val="0"/>
          <w:numId w:val="16"/>
        </w:numPr>
        <w:spacing w:after="0" w:line="240" w:lineRule="auto"/>
        <w:ind w:left="1276"/>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 xml:space="preserve">Электрокардиография </w:t>
      </w:r>
      <w:r>
        <w:rPr>
          <w:rFonts w:ascii="Times New Roman" w:hAnsi="Times New Roman" w:cs="Times New Roman"/>
          <w:sz w:val="28"/>
          <w:szCs w:val="28"/>
          <w:lang w:bidi="ar-SA"/>
        </w:rPr>
        <w:t xml:space="preserve">(ЭКГ) </w:t>
      </w:r>
      <w:r w:rsidRPr="00FF5E8E">
        <w:rPr>
          <w:rFonts w:ascii="Times New Roman" w:hAnsi="Times New Roman" w:cs="Times New Roman"/>
          <w:sz w:val="28"/>
          <w:szCs w:val="28"/>
          <w:lang w:bidi="ar-SA"/>
        </w:rPr>
        <w:t>в 12 отведениях</w:t>
      </w:r>
      <w:r>
        <w:rPr>
          <w:rFonts w:ascii="Times New Roman" w:hAnsi="Times New Roman" w:cs="Times New Roman"/>
          <w:sz w:val="28"/>
          <w:szCs w:val="28"/>
          <w:lang w:bidi="ar-SA"/>
        </w:rPr>
        <w:t>;</w:t>
      </w:r>
    </w:p>
    <w:p w14:paraId="6EA35B7C" w14:textId="59D33F48" w:rsidR="00FF5E8E" w:rsidRDefault="00FF5E8E" w:rsidP="00FF5E8E">
      <w:pPr>
        <w:pStyle w:val="LO-normal"/>
        <w:numPr>
          <w:ilvl w:val="0"/>
          <w:numId w:val="16"/>
        </w:numPr>
        <w:spacing w:after="0" w:line="240" w:lineRule="auto"/>
        <w:ind w:left="1276"/>
        <w:jc w:val="both"/>
        <w:rPr>
          <w:rFonts w:ascii="Times New Roman" w:hAnsi="Times New Roman" w:cs="Times New Roman"/>
          <w:sz w:val="28"/>
          <w:szCs w:val="28"/>
          <w:lang w:bidi="ar-SA"/>
        </w:rPr>
      </w:pPr>
      <w:r>
        <w:rPr>
          <w:rFonts w:ascii="Times New Roman" w:hAnsi="Times New Roman" w:cs="Times New Roman"/>
          <w:sz w:val="28"/>
          <w:szCs w:val="28"/>
          <w:lang w:bidi="ar-SA"/>
        </w:rPr>
        <w:t>Трансторакальная</w:t>
      </w:r>
      <w:r w:rsidRPr="00FF5E8E">
        <w:rPr>
          <w:rFonts w:ascii="Times New Roman" w:hAnsi="Times New Roman" w:cs="Times New Roman"/>
          <w:sz w:val="28"/>
          <w:szCs w:val="28"/>
          <w:lang w:bidi="ar-SA"/>
        </w:rPr>
        <w:t xml:space="preserve"> эхокардиография</w:t>
      </w:r>
      <w:r>
        <w:rPr>
          <w:rFonts w:ascii="Times New Roman" w:hAnsi="Times New Roman" w:cs="Times New Roman"/>
          <w:sz w:val="28"/>
          <w:szCs w:val="28"/>
          <w:lang w:bidi="ar-SA"/>
        </w:rPr>
        <w:t xml:space="preserve"> (ЭХОКГ);</w:t>
      </w:r>
    </w:p>
    <w:p w14:paraId="72AE128E" w14:textId="4D6F8BD5" w:rsidR="00FF5E8E" w:rsidRDefault="00FF5E8E" w:rsidP="00FF5E8E">
      <w:pPr>
        <w:pStyle w:val="LO-normal"/>
        <w:numPr>
          <w:ilvl w:val="0"/>
          <w:numId w:val="16"/>
        </w:numPr>
        <w:spacing w:after="0" w:line="240" w:lineRule="auto"/>
        <w:ind w:left="1276"/>
        <w:jc w:val="both"/>
        <w:rPr>
          <w:rFonts w:ascii="Times New Roman" w:hAnsi="Times New Roman" w:cs="Times New Roman"/>
          <w:sz w:val="28"/>
          <w:szCs w:val="28"/>
          <w:lang w:bidi="ar-SA"/>
        </w:rPr>
      </w:pPr>
      <w:r w:rsidRPr="00FF5E8E">
        <w:rPr>
          <w:rFonts w:ascii="Times New Roman" w:hAnsi="Times New Roman" w:cs="Times New Roman"/>
          <w:sz w:val="28"/>
          <w:szCs w:val="28"/>
          <w:lang w:bidi="ar-SA"/>
        </w:rPr>
        <w:t>Ч</w:t>
      </w:r>
      <w:r>
        <w:rPr>
          <w:rFonts w:ascii="Times New Roman" w:hAnsi="Times New Roman" w:cs="Times New Roman"/>
          <w:sz w:val="28"/>
          <w:szCs w:val="28"/>
          <w:lang w:bidi="ar-SA"/>
        </w:rPr>
        <w:t>рес</w:t>
      </w:r>
      <w:r w:rsidRPr="00FF5E8E">
        <w:rPr>
          <w:rFonts w:ascii="Times New Roman" w:hAnsi="Times New Roman" w:cs="Times New Roman"/>
          <w:sz w:val="28"/>
          <w:szCs w:val="28"/>
          <w:lang w:bidi="ar-SA"/>
        </w:rPr>
        <w:t>пищеводн</w:t>
      </w:r>
      <w:r>
        <w:rPr>
          <w:rFonts w:ascii="Times New Roman" w:hAnsi="Times New Roman" w:cs="Times New Roman"/>
          <w:sz w:val="28"/>
          <w:szCs w:val="28"/>
          <w:lang w:bidi="ar-SA"/>
        </w:rPr>
        <w:t>ая</w:t>
      </w:r>
      <w:r w:rsidRPr="00FF5E8E">
        <w:rPr>
          <w:rFonts w:ascii="Times New Roman" w:hAnsi="Times New Roman" w:cs="Times New Roman"/>
          <w:sz w:val="28"/>
          <w:szCs w:val="28"/>
          <w:lang w:bidi="ar-SA"/>
        </w:rPr>
        <w:t xml:space="preserve"> эхокардиография</w:t>
      </w:r>
      <w:r>
        <w:rPr>
          <w:rFonts w:ascii="Times New Roman" w:hAnsi="Times New Roman" w:cs="Times New Roman"/>
          <w:sz w:val="28"/>
          <w:szCs w:val="28"/>
          <w:lang w:bidi="ar-SA"/>
        </w:rPr>
        <w:t xml:space="preserve"> (ЧПЭХОКГ)</w:t>
      </w:r>
      <w:r w:rsidRPr="00FF5E8E">
        <w:rPr>
          <w:rFonts w:ascii="Times New Roman" w:hAnsi="Times New Roman" w:cs="Times New Roman"/>
          <w:sz w:val="28"/>
          <w:szCs w:val="28"/>
          <w:lang w:bidi="ar-SA"/>
        </w:rPr>
        <w:t xml:space="preserve"> для оценки функции клапанов и наличи</w:t>
      </w:r>
      <w:r>
        <w:rPr>
          <w:rFonts w:ascii="Times New Roman" w:hAnsi="Times New Roman" w:cs="Times New Roman"/>
          <w:sz w:val="28"/>
          <w:szCs w:val="28"/>
          <w:lang w:bidi="ar-SA"/>
        </w:rPr>
        <w:t xml:space="preserve">я </w:t>
      </w:r>
      <w:r w:rsidRPr="00FF5E8E">
        <w:rPr>
          <w:rFonts w:ascii="Times New Roman" w:hAnsi="Times New Roman" w:cs="Times New Roman"/>
          <w:sz w:val="28"/>
          <w:szCs w:val="28"/>
          <w:lang w:bidi="ar-SA"/>
        </w:rPr>
        <w:t>внутр</w:t>
      </w:r>
      <w:r>
        <w:rPr>
          <w:rFonts w:ascii="Times New Roman" w:hAnsi="Times New Roman" w:cs="Times New Roman"/>
          <w:sz w:val="28"/>
          <w:szCs w:val="28"/>
          <w:lang w:bidi="ar-SA"/>
        </w:rPr>
        <w:t>и</w:t>
      </w:r>
      <w:r w:rsidRPr="00FF5E8E">
        <w:rPr>
          <w:rFonts w:ascii="Times New Roman" w:hAnsi="Times New Roman" w:cs="Times New Roman"/>
          <w:sz w:val="28"/>
          <w:szCs w:val="28"/>
          <w:lang w:bidi="ar-SA"/>
        </w:rPr>
        <w:t xml:space="preserve">сердечных тромбов перед катерной </w:t>
      </w:r>
      <w:proofErr w:type="spellStart"/>
      <w:r w:rsidRPr="00FF5E8E">
        <w:rPr>
          <w:rFonts w:ascii="Times New Roman" w:hAnsi="Times New Roman" w:cs="Times New Roman"/>
          <w:sz w:val="28"/>
          <w:szCs w:val="28"/>
          <w:lang w:bidi="ar-SA"/>
        </w:rPr>
        <w:t>абл</w:t>
      </w:r>
      <w:r w:rsidR="00CB3A02">
        <w:rPr>
          <w:rFonts w:ascii="Times New Roman" w:hAnsi="Times New Roman" w:cs="Times New Roman"/>
          <w:sz w:val="28"/>
          <w:szCs w:val="28"/>
          <w:lang w:bidi="ar-SA"/>
        </w:rPr>
        <w:t>а</w:t>
      </w:r>
      <w:r w:rsidRPr="00FF5E8E">
        <w:rPr>
          <w:rFonts w:ascii="Times New Roman" w:hAnsi="Times New Roman" w:cs="Times New Roman"/>
          <w:sz w:val="28"/>
          <w:szCs w:val="28"/>
          <w:lang w:bidi="ar-SA"/>
        </w:rPr>
        <w:t>цией</w:t>
      </w:r>
      <w:proofErr w:type="spellEnd"/>
      <w:r>
        <w:rPr>
          <w:rFonts w:ascii="Times New Roman" w:hAnsi="Times New Roman" w:cs="Times New Roman"/>
          <w:sz w:val="28"/>
          <w:szCs w:val="28"/>
          <w:lang w:bidi="ar-SA"/>
        </w:rPr>
        <w:t>;</w:t>
      </w:r>
    </w:p>
    <w:p w14:paraId="0A49A937" w14:textId="7C18CAFC" w:rsidR="00FF5E8E" w:rsidRDefault="00FF5E8E" w:rsidP="00FF5E8E">
      <w:pPr>
        <w:pStyle w:val="LO-normal"/>
        <w:numPr>
          <w:ilvl w:val="0"/>
          <w:numId w:val="16"/>
        </w:numPr>
        <w:spacing w:after="0" w:line="240" w:lineRule="auto"/>
        <w:ind w:left="1276"/>
        <w:jc w:val="both"/>
        <w:rPr>
          <w:rFonts w:ascii="Times New Roman" w:hAnsi="Times New Roman" w:cs="Times New Roman"/>
          <w:sz w:val="28"/>
          <w:szCs w:val="28"/>
          <w:lang w:bidi="ar-SA"/>
        </w:rPr>
      </w:pPr>
      <w:r>
        <w:rPr>
          <w:rFonts w:ascii="Times New Roman" w:hAnsi="Times New Roman" w:cs="Times New Roman"/>
          <w:sz w:val="28"/>
          <w:szCs w:val="28"/>
          <w:lang w:bidi="ar-SA"/>
        </w:rPr>
        <w:t>С</w:t>
      </w:r>
      <w:r w:rsidRPr="00FF5E8E">
        <w:rPr>
          <w:rFonts w:ascii="Times New Roman" w:hAnsi="Times New Roman" w:cs="Times New Roman"/>
          <w:sz w:val="28"/>
          <w:szCs w:val="28"/>
          <w:lang w:bidi="ar-SA"/>
        </w:rPr>
        <w:t xml:space="preserve">уточное мониторирование электрокардиограммы по </w:t>
      </w:r>
      <w:r w:rsidR="00CB3A02">
        <w:rPr>
          <w:rFonts w:ascii="Times New Roman" w:hAnsi="Times New Roman" w:cs="Times New Roman"/>
          <w:sz w:val="28"/>
          <w:szCs w:val="28"/>
          <w:lang w:bidi="ar-SA"/>
        </w:rPr>
        <w:t>Х</w:t>
      </w:r>
      <w:r w:rsidRPr="00FF5E8E">
        <w:rPr>
          <w:rFonts w:ascii="Times New Roman" w:hAnsi="Times New Roman" w:cs="Times New Roman"/>
          <w:sz w:val="28"/>
          <w:szCs w:val="28"/>
          <w:lang w:bidi="ar-SA"/>
        </w:rPr>
        <w:t>олтеру</w:t>
      </w:r>
      <w:r>
        <w:rPr>
          <w:rFonts w:ascii="Times New Roman" w:hAnsi="Times New Roman" w:cs="Times New Roman"/>
          <w:sz w:val="28"/>
          <w:szCs w:val="28"/>
          <w:lang w:bidi="ar-SA"/>
        </w:rPr>
        <w:t xml:space="preserve"> (ХМЭКГ);</w:t>
      </w:r>
    </w:p>
    <w:p w14:paraId="162B3898" w14:textId="4F2EC8E1" w:rsidR="00FF5E8E" w:rsidRPr="0003764E" w:rsidRDefault="00FF5E8E" w:rsidP="00FF5E8E">
      <w:pPr>
        <w:pStyle w:val="LO-normal"/>
        <w:numPr>
          <w:ilvl w:val="0"/>
          <w:numId w:val="16"/>
        </w:numPr>
        <w:spacing w:after="0" w:line="240" w:lineRule="auto"/>
        <w:ind w:left="1276"/>
        <w:jc w:val="both"/>
        <w:rPr>
          <w:rFonts w:ascii="Times New Roman" w:hAnsi="Times New Roman" w:cs="Times New Roman"/>
          <w:sz w:val="28"/>
          <w:szCs w:val="28"/>
          <w:lang w:bidi="ar-SA"/>
        </w:rPr>
      </w:pPr>
      <w:r>
        <w:rPr>
          <w:rFonts w:ascii="Times New Roman" w:hAnsi="Times New Roman" w:cs="Times New Roman"/>
          <w:sz w:val="28"/>
          <w:szCs w:val="28"/>
          <w:lang w:bidi="ar-SA"/>
        </w:rPr>
        <w:t>К</w:t>
      </w:r>
      <w:r w:rsidRPr="00FF5E8E">
        <w:rPr>
          <w:rFonts w:ascii="Times New Roman" w:hAnsi="Times New Roman" w:cs="Times New Roman"/>
          <w:sz w:val="28"/>
          <w:szCs w:val="28"/>
          <w:lang w:bidi="ar-SA"/>
        </w:rPr>
        <w:t>омпьютерная томография сердца</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по показаниям</w:t>
      </w:r>
      <w:r>
        <w:rPr>
          <w:rFonts w:ascii="Times New Roman" w:hAnsi="Times New Roman" w:cs="Times New Roman"/>
          <w:sz w:val="28"/>
          <w:szCs w:val="28"/>
          <w:lang w:bidi="ar-SA"/>
        </w:rPr>
        <w:t xml:space="preserve">, </w:t>
      </w:r>
      <w:r w:rsidRPr="00FF5E8E">
        <w:rPr>
          <w:rFonts w:ascii="Times New Roman" w:hAnsi="Times New Roman" w:cs="Times New Roman"/>
          <w:sz w:val="28"/>
          <w:szCs w:val="28"/>
          <w:lang w:bidi="ar-SA"/>
        </w:rPr>
        <w:t>при невозможности проведени</w:t>
      </w:r>
      <w:r>
        <w:rPr>
          <w:rFonts w:ascii="Times New Roman" w:hAnsi="Times New Roman" w:cs="Times New Roman"/>
          <w:sz w:val="28"/>
          <w:szCs w:val="28"/>
          <w:lang w:bidi="ar-SA"/>
        </w:rPr>
        <w:t xml:space="preserve">я ЧПЭХОКГ). </w:t>
      </w:r>
    </w:p>
    <w:p w14:paraId="15B8D7F0" w14:textId="71A73652" w:rsidR="00FF5E8E" w:rsidRPr="00926EC0" w:rsidRDefault="00FF5E8E" w:rsidP="00FF5E8E">
      <w:pPr>
        <w:pStyle w:val="LO-normal"/>
        <w:spacing w:after="0" w:line="240" w:lineRule="auto"/>
        <w:ind w:firstLine="567"/>
        <w:jc w:val="both"/>
        <w:rPr>
          <w:rFonts w:ascii="Times New Roman" w:hAnsi="Times New Roman" w:cs="Times New Roman"/>
          <w:b/>
          <w:bCs/>
          <w:sz w:val="28"/>
          <w:szCs w:val="28"/>
          <w:lang w:bidi="ar-SA"/>
        </w:rPr>
      </w:pPr>
      <w:r w:rsidRPr="00A41B41">
        <w:rPr>
          <w:rFonts w:ascii="Times New Roman" w:hAnsi="Times New Roman" w:cs="Times New Roman"/>
          <w:b/>
          <w:bCs/>
          <w:sz w:val="28"/>
          <w:szCs w:val="28"/>
          <w:lang w:bidi="ar-SA"/>
        </w:rPr>
        <w:t>2.2.1. Определение концентрации ПОАК в плазме</w:t>
      </w:r>
    </w:p>
    <w:p w14:paraId="3CC19780" w14:textId="3E0350AB" w:rsidR="00A41B41" w:rsidRDefault="00A41B41" w:rsidP="00FF5E8E">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Для количественного определения концентрации пероральных антикоагулянтов использовался автоматизированн</w:t>
      </w:r>
      <w:r>
        <w:rPr>
          <w:rFonts w:ascii="Times New Roman" w:hAnsi="Times New Roman" w:cs="Times New Roman"/>
          <w:sz w:val="28"/>
          <w:szCs w:val="28"/>
          <w:lang w:bidi="ar-SA"/>
        </w:rPr>
        <w:t>ый</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коагулометр </w:t>
      </w:r>
      <w:r>
        <w:rPr>
          <w:rFonts w:ascii="Times New Roman" w:hAnsi="Times New Roman" w:cs="Times New Roman"/>
          <w:sz w:val="28"/>
          <w:szCs w:val="28"/>
          <w:lang w:val="en-US" w:bidi="ar-SA"/>
        </w:rPr>
        <w:t>ACL</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TOP</w:t>
      </w:r>
      <w:r w:rsidRPr="00A41B41">
        <w:rPr>
          <w:rFonts w:ascii="Times New Roman" w:hAnsi="Times New Roman" w:cs="Times New Roman"/>
          <w:sz w:val="28"/>
          <w:szCs w:val="28"/>
          <w:lang w:bidi="ar-SA"/>
        </w:rPr>
        <w:t xml:space="preserve"> 500 (</w:t>
      </w:r>
      <w:r>
        <w:rPr>
          <w:rFonts w:ascii="Times New Roman" w:hAnsi="Times New Roman" w:cs="Times New Roman"/>
          <w:sz w:val="28"/>
          <w:szCs w:val="28"/>
          <w:lang w:val="en-US" w:bidi="ar-SA"/>
        </w:rPr>
        <w:t>Instrumental</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Laboratory</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США</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Исследования проводились с применением оригинальных реагентов этой же фирмы в полном соответствии с утвержденной методикой</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Перед анализом плазма</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полученные из цит</w:t>
      </w:r>
      <w:r>
        <w:rPr>
          <w:rFonts w:ascii="Times New Roman" w:hAnsi="Times New Roman" w:cs="Times New Roman"/>
          <w:sz w:val="28"/>
          <w:szCs w:val="28"/>
          <w:lang w:bidi="ar-SA"/>
        </w:rPr>
        <w:t>р</w:t>
      </w:r>
      <w:r w:rsidRPr="00A41B41">
        <w:rPr>
          <w:rFonts w:ascii="Times New Roman" w:hAnsi="Times New Roman" w:cs="Times New Roman"/>
          <w:sz w:val="28"/>
          <w:szCs w:val="28"/>
          <w:lang w:bidi="ar-SA"/>
        </w:rPr>
        <w:t>атной крови</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подвергалась центрифугированию</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при 3000</w:t>
      </w:r>
      <w:r>
        <w:rPr>
          <w:rFonts w:ascii="Times New Roman" w:hAnsi="Times New Roman" w:cs="Times New Roman"/>
          <w:sz w:val="28"/>
          <w:szCs w:val="28"/>
          <w:lang w:bidi="ar-SA"/>
        </w:rPr>
        <w:t xml:space="preserve">об/мин </w:t>
      </w:r>
      <w:r w:rsidRPr="00A41B41">
        <w:rPr>
          <w:rFonts w:ascii="Times New Roman" w:hAnsi="Times New Roman" w:cs="Times New Roman"/>
          <w:sz w:val="28"/>
          <w:szCs w:val="28"/>
          <w:lang w:bidi="ar-SA"/>
        </w:rPr>
        <w:t>в течение 10 минут</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Концентрацию</w:t>
      </w:r>
      <w:r>
        <w:rPr>
          <w:rFonts w:ascii="Times New Roman" w:hAnsi="Times New Roman" w:cs="Times New Roman"/>
          <w:sz w:val="28"/>
          <w:szCs w:val="28"/>
          <w:lang w:bidi="ar-SA"/>
        </w:rPr>
        <w:t xml:space="preserve"> дабигатрана </w:t>
      </w:r>
      <w:r w:rsidRPr="00A41B41">
        <w:rPr>
          <w:rFonts w:ascii="Times New Roman" w:hAnsi="Times New Roman" w:cs="Times New Roman"/>
          <w:sz w:val="28"/>
          <w:szCs w:val="28"/>
          <w:lang w:bidi="ar-SA"/>
        </w:rPr>
        <w:t>определяли методом разведенного тромбинового времени</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dTT</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с использованием набора</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Hemoclot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Thrombin</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Inhibitor</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Assay</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в</w:t>
      </w:r>
      <w:r w:rsidRPr="00A41B41">
        <w:rPr>
          <w:rFonts w:ascii="Times New Roman" w:hAnsi="Times New Roman" w:cs="Times New Roman"/>
          <w:sz w:val="28"/>
          <w:szCs w:val="28"/>
          <w:lang w:bidi="ar-SA"/>
        </w:rPr>
        <w:t>ключающ</w:t>
      </w:r>
      <w:r>
        <w:rPr>
          <w:rFonts w:ascii="Times New Roman" w:hAnsi="Times New Roman" w:cs="Times New Roman"/>
          <w:sz w:val="28"/>
          <w:szCs w:val="28"/>
          <w:lang w:bidi="ar-SA"/>
        </w:rPr>
        <w:t>ие</w:t>
      </w:r>
      <w:r w:rsidRPr="00A41B41">
        <w:rPr>
          <w:rFonts w:ascii="Times New Roman" w:hAnsi="Times New Roman" w:cs="Times New Roman"/>
          <w:sz w:val="28"/>
          <w:szCs w:val="28"/>
          <w:lang w:bidi="ar-SA"/>
        </w:rPr>
        <w:t xml:space="preserve"> препарат-специфичные калибраторы</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Для</w:t>
      </w:r>
      <w:r>
        <w:rPr>
          <w:rFonts w:ascii="Times New Roman" w:hAnsi="Times New Roman" w:cs="Times New Roman"/>
          <w:sz w:val="28"/>
          <w:szCs w:val="28"/>
          <w:lang w:bidi="ar-SA"/>
        </w:rPr>
        <w:t xml:space="preserve"> апиксабана </w:t>
      </w:r>
      <w:r w:rsidRPr="00A41B41">
        <w:rPr>
          <w:rFonts w:ascii="Times New Roman" w:hAnsi="Times New Roman" w:cs="Times New Roman"/>
          <w:sz w:val="28"/>
          <w:szCs w:val="28"/>
          <w:lang w:bidi="ar-SA"/>
        </w:rPr>
        <w:t>применяли хромогенный анти</w:t>
      </w:r>
      <w:r>
        <w:rPr>
          <w:rFonts w:ascii="Times New Roman" w:hAnsi="Times New Roman" w:cs="Times New Roman"/>
          <w:sz w:val="28"/>
          <w:szCs w:val="28"/>
          <w:lang w:bidi="ar-SA"/>
        </w:rPr>
        <w:t>-Ха тест (</w:t>
      </w:r>
      <w:r>
        <w:rPr>
          <w:rFonts w:ascii="Times New Roman" w:hAnsi="Times New Roman" w:cs="Times New Roman"/>
          <w:sz w:val="28"/>
          <w:szCs w:val="28"/>
          <w:lang w:val="en-US" w:bidi="ar-SA"/>
        </w:rPr>
        <w:t>Liquid</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Anti</w:t>
      </w:r>
      <w:r w:rsidRPr="00A41B41">
        <w:rPr>
          <w:rFonts w:ascii="Times New Roman" w:hAnsi="Times New Roman" w:cs="Times New Roman"/>
          <w:sz w:val="28"/>
          <w:szCs w:val="28"/>
          <w:lang w:bidi="ar-SA"/>
        </w:rPr>
        <w:t>-</w:t>
      </w:r>
      <w:r>
        <w:rPr>
          <w:rFonts w:ascii="Times New Roman" w:hAnsi="Times New Roman" w:cs="Times New Roman"/>
          <w:sz w:val="28"/>
          <w:szCs w:val="28"/>
          <w:lang w:val="en-US" w:bidi="ar-SA"/>
        </w:rPr>
        <w:t>Xa</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HemosIL</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калибровочной </w:t>
      </w:r>
      <w:r w:rsidRPr="00A41B41">
        <w:rPr>
          <w:rFonts w:ascii="Times New Roman" w:hAnsi="Times New Roman" w:cs="Times New Roman"/>
          <w:sz w:val="28"/>
          <w:szCs w:val="28"/>
          <w:lang w:bidi="ar-SA"/>
        </w:rPr>
        <w:t>кривой на основе стандартов</w:t>
      </w:r>
      <w:r>
        <w:rPr>
          <w:rFonts w:ascii="Times New Roman" w:hAnsi="Times New Roman" w:cs="Times New Roman"/>
          <w:sz w:val="28"/>
          <w:szCs w:val="28"/>
          <w:lang w:bidi="ar-SA"/>
        </w:rPr>
        <w:t xml:space="preserve"> апиксабана. </w:t>
      </w:r>
      <w:r w:rsidRPr="00A41B41">
        <w:rPr>
          <w:rFonts w:ascii="Times New Roman" w:hAnsi="Times New Roman" w:cs="Times New Roman"/>
          <w:sz w:val="28"/>
          <w:szCs w:val="28"/>
          <w:lang w:bidi="ar-SA"/>
        </w:rPr>
        <w:t>В обоих случаях измерени</w:t>
      </w:r>
      <w:r>
        <w:rPr>
          <w:rFonts w:ascii="Times New Roman" w:hAnsi="Times New Roman" w:cs="Times New Roman"/>
          <w:sz w:val="28"/>
          <w:szCs w:val="28"/>
          <w:lang w:bidi="ar-SA"/>
        </w:rPr>
        <w:t>е</w:t>
      </w:r>
      <w:r w:rsidRPr="00A41B41">
        <w:rPr>
          <w:rFonts w:ascii="Times New Roman" w:hAnsi="Times New Roman" w:cs="Times New Roman"/>
          <w:sz w:val="28"/>
          <w:szCs w:val="28"/>
          <w:lang w:bidi="ar-SA"/>
        </w:rPr>
        <w:t xml:space="preserve"> проводилось с использованием калибраторов и контрольных материалов</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обеспечивающих воспроизводимость результатов</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Калибровка проводилась при запуске методики и при смене лотов реагентов</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Ежедневно осуществлялся внутренний контроль качества согласно протоколу производителя</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Методика соответствует международным рекомендациям и была ранее описана в ряде исследований</w:t>
      </w:r>
      <w:r>
        <w:rPr>
          <w:rFonts w:ascii="Times New Roman" w:hAnsi="Times New Roman" w:cs="Times New Roman"/>
          <w:sz w:val="28"/>
          <w:szCs w:val="28"/>
          <w:lang w:bidi="ar-SA"/>
        </w:rPr>
        <w:t>.</w:t>
      </w:r>
    </w:p>
    <w:p w14:paraId="7D44DCA5" w14:textId="77777777" w:rsidR="00A41B41" w:rsidRDefault="00A41B41" w:rsidP="00FF5E8E">
      <w:pPr>
        <w:pStyle w:val="LO-normal"/>
        <w:spacing w:after="0" w:line="240" w:lineRule="auto"/>
        <w:ind w:firstLine="567"/>
        <w:jc w:val="both"/>
        <w:rPr>
          <w:rFonts w:ascii="Times New Roman" w:hAnsi="Times New Roman" w:cs="Times New Roman"/>
          <w:sz w:val="28"/>
          <w:szCs w:val="28"/>
          <w:lang w:bidi="ar-SA"/>
        </w:rPr>
      </w:pPr>
    </w:p>
    <w:p w14:paraId="6541BDCF" w14:textId="5EFFCE33" w:rsidR="00A41B41" w:rsidRPr="00A41B41" w:rsidRDefault="00A41B41" w:rsidP="00FF5E8E">
      <w:pPr>
        <w:pStyle w:val="LO-normal"/>
        <w:spacing w:after="0" w:line="240" w:lineRule="auto"/>
        <w:ind w:firstLine="567"/>
        <w:jc w:val="both"/>
        <w:rPr>
          <w:rFonts w:ascii="Times New Roman" w:hAnsi="Times New Roman" w:cs="Times New Roman"/>
          <w:b/>
          <w:bCs/>
          <w:sz w:val="28"/>
          <w:szCs w:val="28"/>
          <w:lang w:bidi="ar-SA"/>
        </w:rPr>
      </w:pPr>
      <w:r w:rsidRPr="00A41B41">
        <w:rPr>
          <w:rFonts w:ascii="Times New Roman" w:hAnsi="Times New Roman" w:cs="Times New Roman"/>
          <w:b/>
          <w:bCs/>
          <w:sz w:val="28"/>
          <w:szCs w:val="28"/>
          <w:lang w:bidi="ar-SA"/>
        </w:rPr>
        <w:t>2.2.2. Методы</w:t>
      </w:r>
      <w:r w:rsidRPr="00926EC0">
        <w:rPr>
          <w:rFonts w:ascii="Times New Roman" w:hAnsi="Times New Roman" w:cs="Times New Roman"/>
          <w:b/>
          <w:bCs/>
          <w:sz w:val="28"/>
          <w:szCs w:val="28"/>
          <w:lang w:bidi="ar-SA"/>
        </w:rPr>
        <w:t xml:space="preserve"> </w:t>
      </w:r>
      <w:r w:rsidRPr="00A41B41">
        <w:rPr>
          <w:rFonts w:ascii="Times New Roman" w:hAnsi="Times New Roman" w:cs="Times New Roman"/>
          <w:b/>
          <w:bCs/>
          <w:sz w:val="28"/>
          <w:szCs w:val="28"/>
          <w:lang w:val="en-US" w:bidi="ar-SA"/>
        </w:rPr>
        <w:t>SNP</w:t>
      </w:r>
      <w:r w:rsidRPr="00926EC0">
        <w:rPr>
          <w:rFonts w:ascii="Times New Roman" w:hAnsi="Times New Roman" w:cs="Times New Roman"/>
          <w:b/>
          <w:bCs/>
          <w:sz w:val="28"/>
          <w:szCs w:val="28"/>
          <w:lang w:bidi="ar-SA"/>
        </w:rPr>
        <w:t>-</w:t>
      </w:r>
      <w:r w:rsidRPr="00A41B41">
        <w:rPr>
          <w:rFonts w:ascii="Times New Roman" w:hAnsi="Times New Roman" w:cs="Times New Roman"/>
          <w:b/>
          <w:bCs/>
          <w:sz w:val="28"/>
          <w:szCs w:val="28"/>
          <w:lang w:bidi="ar-SA"/>
        </w:rPr>
        <w:t>генотипирования</w:t>
      </w:r>
    </w:p>
    <w:p w14:paraId="21B93A1B" w14:textId="06CD802D" w:rsidR="00A41B41" w:rsidRDefault="00A41B41" w:rsidP="00FF5E8E">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w:t>
      </w:r>
      <w:r w:rsidRPr="00A41B41">
        <w:rPr>
          <w:rFonts w:ascii="Times New Roman" w:hAnsi="Times New Roman" w:cs="Times New Roman"/>
          <w:sz w:val="28"/>
          <w:szCs w:val="28"/>
          <w:lang w:bidi="ar-SA"/>
        </w:rPr>
        <w:t xml:space="preserve">ыделение геномной </w:t>
      </w:r>
      <w:r>
        <w:rPr>
          <w:rFonts w:ascii="Times New Roman" w:hAnsi="Times New Roman" w:cs="Times New Roman"/>
          <w:sz w:val="28"/>
          <w:szCs w:val="28"/>
          <w:lang w:bidi="ar-SA"/>
        </w:rPr>
        <w:t xml:space="preserve">ДНК. </w:t>
      </w:r>
      <w:r w:rsidRPr="00A41B41">
        <w:rPr>
          <w:rFonts w:ascii="Times New Roman" w:hAnsi="Times New Roman" w:cs="Times New Roman"/>
          <w:sz w:val="28"/>
          <w:szCs w:val="28"/>
          <w:lang w:bidi="ar-SA"/>
        </w:rPr>
        <w:t>Транспортировка биоматериалов осуществлялась в герметичных контейнерах при строгом соблюдении противоэпидемических норм</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Генотипирование</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 xml:space="preserve">однонуклеотидных полиморфизмов выполнялась на базе лаборатории Национального центра биотехнологий </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г</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Астана</w:t>
      </w:r>
      <w:r>
        <w:rPr>
          <w:rFonts w:ascii="Times New Roman" w:hAnsi="Times New Roman" w:cs="Times New Roman"/>
          <w:sz w:val="28"/>
          <w:szCs w:val="28"/>
          <w:lang w:bidi="ar-SA"/>
        </w:rPr>
        <w:t xml:space="preserve">). </w:t>
      </w:r>
    </w:p>
    <w:p w14:paraId="620D06A2" w14:textId="75A40542" w:rsidR="00A41B41" w:rsidRPr="00CB3A02" w:rsidRDefault="00A41B41" w:rsidP="00FF5E8E">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 xml:space="preserve">Геномную </w:t>
      </w:r>
      <w:r>
        <w:rPr>
          <w:rFonts w:ascii="Times New Roman" w:hAnsi="Times New Roman" w:cs="Times New Roman"/>
          <w:sz w:val="28"/>
          <w:szCs w:val="28"/>
          <w:lang w:bidi="ar-SA"/>
        </w:rPr>
        <w:t>ДНК</w:t>
      </w:r>
      <w:r w:rsidRPr="00A41B41">
        <w:rPr>
          <w:rFonts w:ascii="Times New Roman" w:hAnsi="Times New Roman" w:cs="Times New Roman"/>
          <w:sz w:val="28"/>
          <w:szCs w:val="28"/>
          <w:lang w:bidi="ar-SA"/>
        </w:rPr>
        <w:t xml:space="preserve"> выделяли из 200 </w:t>
      </w:r>
      <w:r>
        <w:rPr>
          <w:rFonts w:ascii="Times New Roman" w:hAnsi="Times New Roman" w:cs="Times New Roman"/>
          <w:sz w:val="28"/>
          <w:szCs w:val="28"/>
          <w:lang w:bidi="ar-SA"/>
        </w:rPr>
        <w:t>мкл</w:t>
      </w:r>
      <w:r w:rsidRPr="00A41B41">
        <w:rPr>
          <w:rFonts w:ascii="Times New Roman" w:hAnsi="Times New Roman" w:cs="Times New Roman"/>
          <w:sz w:val="28"/>
          <w:szCs w:val="28"/>
          <w:lang w:bidi="ar-SA"/>
        </w:rPr>
        <w:t xml:space="preserve"> цельной венозной кров</w:t>
      </w:r>
      <w:r>
        <w:rPr>
          <w:rFonts w:ascii="Times New Roman" w:hAnsi="Times New Roman" w:cs="Times New Roman"/>
          <w:sz w:val="28"/>
          <w:szCs w:val="28"/>
          <w:lang w:bidi="ar-SA"/>
        </w:rPr>
        <w:t xml:space="preserve">и, </w:t>
      </w:r>
      <w:r w:rsidRPr="00A41B41">
        <w:rPr>
          <w:rFonts w:ascii="Times New Roman" w:hAnsi="Times New Roman" w:cs="Times New Roman"/>
          <w:sz w:val="28"/>
          <w:szCs w:val="28"/>
          <w:lang w:bidi="ar-SA"/>
        </w:rPr>
        <w:t>стабилизированн</w:t>
      </w:r>
      <w:r>
        <w:rPr>
          <w:rFonts w:ascii="Times New Roman" w:hAnsi="Times New Roman" w:cs="Times New Roman"/>
          <w:sz w:val="28"/>
          <w:szCs w:val="28"/>
          <w:lang w:bidi="ar-SA"/>
        </w:rPr>
        <w:t>ой К</w:t>
      </w:r>
      <w:r w:rsidRPr="00CB3A02">
        <w:rPr>
          <w:rFonts w:ascii="Times New Roman" w:hAnsi="Times New Roman" w:cs="Times New Roman"/>
          <w:sz w:val="28"/>
          <w:szCs w:val="28"/>
          <w:vertAlign w:val="subscript"/>
          <w:lang w:bidi="ar-SA"/>
        </w:rPr>
        <w:t>3</w:t>
      </w:r>
      <w:r>
        <w:rPr>
          <w:rFonts w:ascii="Times New Roman" w:hAnsi="Times New Roman" w:cs="Times New Roman"/>
          <w:sz w:val="28"/>
          <w:szCs w:val="28"/>
          <w:lang w:bidi="ar-SA"/>
        </w:rPr>
        <w:t>-ЭДТА (</w:t>
      </w:r>
      <w:r w:rsidRPr="00A41B41">
        <w:rPr>
          <w:rFonts w:ascii="Times New Roman" w:hAnsi="Times New Roman" w:cs="Times New Roman"/>
          <w:sz w:val="28"/>
          <w:szCs w:val="28"/>
          <w:lang w:bidi="ar-SA"/>
        </w:rPr>
        <w:t>динатри</w:t>
      </w:r>
      <w:r>
        <w:rPr>
          <w:rFonts w:ascii="Times New Roman" w:hAnsi="Times New Roman" w:cs="Times New Roman"/>
          <w:sz w:val="28"/>
          <w:szCs w:val="28"/>
          <w:lang w:bidi="ar-SA"/>
        </w:rPr>
        <w:t>ева</w:t>
      </w:r>
      <w:r w:rsidRPr="00A41B41">
        <w:rPr>
          <w:rFonts w:ascii="Times New Roman" w:hAnsi="Times New Roman" w:cs="Times New Roman"/>
          <w:sz w:val="28"/>
          <w:szCs w:val="28"/>
          <w:lang w:bidi="ar-SA"/>
        </w:rPr>
        <w:t>я соль этилен</w:t>
      </w:r>
      <w:r>
        <w:rPr>
          <w:rFonts w:ascii="Times New Roman" w:hAnsi="Times New Roman" w:cs="Times New Roman"/>
          <w:sz w:val="28"/>
          <w:szCs w:val="28"/>
          <w:lang w:bidi="ar-SA"/>
        </w:rPr>
        <w:t>диаминтетра</w:t>
      </w:r>
      <w:r w:rsidRPr="00A41B41">
        <w:rPr>
          <w:rFonts w:ascii="Times New Roman" w:hAnsi="Times New Roman" w:cs="Times New Roman"/>
          <w:sz w:val="28"/>
          <w:szCs w:val="28"/>
          <w:lang w:bidi="ar-SA"/>
        </w:rPr>
        <w:t>уксусной кислоты</w:t>
      </w:r>
      <w:r>
        <w:rPr>
          <w:rFonts w:ascii="Times New Roman" w:hAnsi="Times New Roman" w:cs="Times New Roman"/>
          <w:sz w:val="28"/>
          <w:szCs w:val="28"/>
          <w:lang w:bidi="ar-SA"/>
        </w:rPr>
        <w:t xml:space="preserve">), </w:t>
      </w:r>
      <w:r w:rsidR="00CB3A02">
        <w:rPr>
          <w:rFonts w:ascii="Times New Roman" w:hAnsi="Times New Roman" w:cs="Times New Roman"/>
          <w:sz w:val="28"/>
          <w:szCs w:val="28"/>
          <w:lang w:bidi="ar-SA"/>
        </w:rPr>
        <w:t>с</w:t>
      </w:r>
      <w:r w:rsidRPr="00A41B41">
        <w:rPr>
          <w:rFonts w:ascii="Times New Roman" w:hAnsi="Times New Roman" w:cs="Times New Roman"/>
          <w:sz w:val="28"/>
          <w:szCs w:val="28"/>
          <w:lang w:bidi="ar-SA"/>
        </w:rPr>
        <w:t xml:space="preserve"> использованием коммерческого набора</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Illustra</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blood</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genomic</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DNA</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Mini</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Prep</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Kit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Pr>
          <w:rFonts w:ascii="Times New Roman" w:hAnsi="Times New Roman" w:cs="Times New Roman"/>
          <w:sz w:val="28"/>
          <w:szCs w:val="28"/>
          <w:lang w:val="en-US" w:bidi="ar-SA"/>
        </w:rPr>
        <w:t>GE</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Healthcare</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Великобритания, </w:t>
      </w:r>
      <w:r>
        <w:rPr>
          <w:rFonts w:ascii="Times New Roman" w:hAnsi="Times New Roman" w:cs="Times New Roman"/>
          <w:sz w:val="28"/>
          <w:szCs w:val="28"/>
          <w:lang w:val="en-US" w:bidi="ar-SA"/>
        </w:rPr>
        <w:t>Cat</w:t>
      </w:r>
      <w:r w:rsidRPr="00A41B41">
        <w:rPr>
          <w:rFonts w:ascii="Times New Roman" w:hAnsi="Times New Roman" w:cs="Times New Roman"/>
          <w:sz w:val="28"/>
          <w:szCs w:val="28"/>
          <w:lang w:bidi="ar-SA"/>
        </w:rPr>
        <w:t>.</w:t>
      </w:r>
      <w:r>
        <w:rPr>
          <w:rFonts w:ascii="Times New Roman" w:hAnsi="Times New Roman" w:cs="Times New Roman"/>
          <w:sz w:val="28"/>
          <w:szCs w:val="28"/>
          <w:lang w:val="en-US" w:bidi="ar-SA"/>
        </w:rPr>
        <w:t>No</w:t>
      </w:r>
      <w:r w:rsidRPr="00A41B41">
        <w:rPr>
          <w:rFonts w:ascii="Times New Roman" w:hAnsi="Times New Roman" w:cs="Times New Roman"/>
          <w:sz w:val="28"/>
          <w:szCs w:val="28"/>
          <w:lang w:bidi="ar-SA"/>
        </w:rPr>
        <w:t>.28-9045-70</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Протокол включал</w:t>
      </w:r>
      <w:r w:rsidRPr="00CB3A02">
        <w:rPr>
          <w:rFonts w:ascii="Times New Roman" w:hAnsi="Times New Roman" w:cs="Times New Roman"/>
          <w:sz w:val="28"/>
          <w:szCs w:val="28"/>
          <w:lang w:bidi="ar-SA"/>
        </w:rPr>
        <w:t>:</w:t>
      </w:r>
    </w:p>
    <w:p w14:paraId="78322AE9" w14:textId="306AB302" w:rsidR="00A41B41" w:rsidRDefault="00A41B41" w:rsidP="00A41B41">
      <w:pPr>
        <w:pStyle w:val="LO-normal"/>
        <w:numPr>
          <w:ilvl w:val="0"/>
          <w:numId w:val="17"/>
        </w:numPr>
        <w:spacing w:after="0" w:line="240" w:lineRule="auto"/>
        <w:jc w:val="both"/>
        <w:rPr>
          <w:rFonts w:ascii="Times New Roman" w:hAnsi="Times New Roman" w:cs="Times New Roman"/>
          <w:sz w:val="28"/>
          <w:szCs w:val="28"/>
          <w:lang w:bidi="ar-SA"/>
        </w:rPr>
      </w:pPr>
      <w:r>
        <w:rPr>
          <w:rFonts w:ascii="Times New Roman" w:hAnsi="Times New Roman" w:cs="Times New Roman"/>
          <w:sz w:val="28"/>
          <w:szCs w:val="28"/>
          <w:lang w:bidi="ar-SA"/>
        </w:rPr>
        <w:t>Л</w:t>
      </w:r>
      <w:r w:rsidRPr="00A41B41">
        <w:rPr>
          <w:rFonts w:ascii="Times New Roman" w:hAnsi="Times New Roman" w:cs="Times New Roman"/>
          <w:sz w:val="28"/>
          <w:szCs w:val="28"/>
          <w:lang w:bidi="ar-SA"/>
        </w:rPr>
        <w:t xml:space="preserve">изис клеток буфером </w:t>
      </w:r>
      <w:r>
        <w:rPr>
          <w:rFonts w:ascii="Times New Roman" w:hAnsi="Times New Roman" w:cs="Times New Roman"/>
          <w:sz w:val="28"/>
          <w:szCs w:val="28"/>
          <w:lang w:val="en-US" w:bidi="ar-SA"/>
        </w:rPr>
        <w:t>GB</w:t>
      </w:r>
      <w:r w:rsidRPr="00A41B41">
        <w:rPr>
          <w:rFonts w:ascii="Times New Roman" w:hAnsi="Times New Roman" w:cs="Times New Roman"/>
          <w:sz w:val="28"/>
          <w:szCs w:val="28"/>
          <w:lang w:bidi="ar-SA"/>
        </w:rPr>
        <w:t>1</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с протеина</w:t>
      </w:r>
      <w:r>
        <w:rPr>
          <w:rFonts w:ascii="Times New Roman" w:hAnsi="Times New Roman" w:cs="Times New Roman"/>
          <w:sz w:val="28"/>
          <w:szCs w:val="28"/>
          <w:lang w:bidi="ar-SA"/>
        </w:rPr>
        <w:t>зой К (</w:t>
      </w:r>
      <w:r w:rsidRPr="00A41B41">
        <w:rPr>
          <w:rFonts w:ascii="Times New Roman" w:hAnsi="Times New Roman" w:cs="Times New Roman"/>
          <w:sz w:val="28"/>
          <w:szCs w:val="28"/>
          <w:lang w:bidi="ar-SA"/>
        </w:rPr>
        <w:t>56</w:t>
      </w:r>
      <w:r>
        <w:rPr>
          <w:rFonts w:ascii="Times New Roman" w:hAnsi="Times New Roman" w:cs="Times New Roman"/>
          <w:sz w:val="28"/>
          <w:szCs w:val="28"/>
          <w:vertAlign w:val="superscript"/>
          <w:lang w:bidi="ar-SA"/>
        </w:rPr>
        <w:sym w:font="Symbol" w:char="F0B0"/>
      </w:r>
      <w:r>
        <w:rPr>
          <w:rFonts w:ascii="Times New Roman" w:hAnsi="Times New Roman" w:cs="Times New Roman"/>
          <w:sz w:val="28"/>
          <w:szCs w:val="28"/>
          <w:lang w:bidi="ar-SA"/>
        </w:rPr>
        <w:t>С, 10 мин).</w:t>
      </w:r>
    </w:p>
    <w:p w14:paraId="28C0B833" w14:textId="7D5F1F70" w:rsidR="00A41B41" w:rsidRDefault="00A41B41" w:rsidP="00A41B41">
      <w:pPr>
        <w:pStyle w:val="LO-normal"/>
        <w:numPr>
          <w:ilvl w:val="0"/>
          <w:numId w:val="17"/>
        </w:numPr>
        <w:spacing w:after="0" w:line="240" w:lineRule="auto"/>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Осаждение белков добавлением этанола</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96</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и центрифугирование</w:t>
      </w:r>
      <w:r>
        <w:rPr>
          <w:rFonts w:ascii="Times New Roman" w:hAnsi="Times New Roman" w:cs="Times New Roman"/>
          <w:sz w:val="28"/>
          <w:szCs w:val="28"/>
          <w:lang w:bidi="ar-SA"/>
        </w:rPr>
        <w:t xml:space="preserve"> (10000х</w:t>
      </w:r>
      <w:r>
        <w:rPr>
          <w:rFonts w:ascii="Times New Roman" w:hAnsi="Times New Roman" w:cs="Times New Roman"/>
          <w:sz w:val="28"/>
          <w:szCs w:val="28"/>
          <w:lang w:val="en-US" w:bidi="ar-SA"/>
        </w:rPr>
        <w:t>g</w:t>
      </w:r>
      <w:r w:rsidRPr="00A41B41">
        <w:rPr>
          <w:rFonts w:ascii="Times New Roman" w:hAnsi="Times New Roman" w:cs="Times New Roman"/>
          <w:sz w:val="28"/>
          <w:szCs w:val="28"/>
          <w:lang w:bidi="ar-SA"/>
        </w:rPr>
        <w:t xml:space="preserve">, 1 </w:t>
      </w:r>
      <w:r>
        <w:rPr>
          <w:rFonts w:ascii="Times New Roman" w:hAnsi="Times New Roman" w:cs="Times New Roman"/>
          <w:sz w:val="28"/>
          <w:szCs w:val="28"/>
          <w:lang w:bidi="ar-SA"/>
        </w:rPr>
        <w:t>мин).</w:t>
      </w:r>
    </w:p>
    <w:p w14:paraId="2C0392D6" w14:textId="7D80EF45" w:rsidR="00A41B41" w:rsidRPr="00A41B41" w:rsidRDefault="00A41B41" w:rsidP="00A41B41">
      <w:pPr>
        <w:pStyle w:val="LO-normal"/>
        <w:numPr>
          <w:ilvl w:val="0"/>
          <w:numId w:val="17"/>
        </w:numPr>
        <w:spacing w:after="0" w:line="240" w:lineRule="auto"/>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Промывку сорбента буфером</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GW</w:t>
      </w:r>
      <w:r w:rsidRPr="00A41B41">
        <w:rPr>
          <w:rFonts w:ascii="Times New Roman" w:hAnsi="Times New Roman" w:cs="Times New Roman"/>
          <w:sz w:val="28"/>
          <w:szCs w:val="28"/>
          <w:lang w:bidi="ar-SA"/>
        </w:rPr>
        <w:t>1 (содержащим 70% этанола).</w:t>
      </w:r>
    </w:p>
    <w:p w14:paraId="72812963" w14:textId="213431FF" w:rsidR="00A41B41" w:rsidRPr="00A41B41" w:rsidRDefault="00A41B41" w:rsidP="00A41B41">
      <w:pPr>
        <w:pStyle w:val="LO-normal"/>
        <w:numPr>
          <w:ilvl w:val="0"/>
          <w:numId w:val="17"/>
        </w:numPr>
        <w:spacing w:after="0" w:line="240" w:lineRule="auto"/>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Элю</w:t>
      </w:r>
      <w:r>
        <w:rPr>
          <w:rFonts w:ascii="Times New Roman" w:hAnsi="Times New Roman" w:cs="Times New Roman"/>
          <w:sz w:val="28"/>
          <w:szCs w:val="28"/>
          <w:lang w:bidi="ar-SA"/>
        </w:rPr>
        <w:t xml:space="preserve">цию ДНК </w:t>
      </w:r>
      <w:r w:rsidRPr="00A41B41">
        <w:rPr>
          <w:rFonts w:ascii="Times New Roman" w:hAnsi="Times New Roman" w:cs="Times New Roman"/>
          <w:sz w:val="28"/>
          <w:szCs w:val="28"/>
          <w:lang w:bidi="ar-SA"/>
        </w:rPr>
        <w:t>в 50</w:t>
      </w:r>
      <w:r>
        <w:rPr>
          <w:rFonts w:ascii="Times New Roman" w:hAnsi="Times New Roman" w:cs="Times New Roman"/>
          <w:sz w:val="28"/>
          <w:szCs w:val="28"/>
          <w:lang w:bidi="ar-SA"/>
        </w:rPr>
        <w:t xml:space="preserve">мкл </w:t>
      </w:r>
      <w:r w:rsidRPr="00A41B41">
        <w:rPr>
          <w:rFonts w:ascii="Times New Roman" w:hAnsi="Times New Roman" w:cs="Times New Roman"/>
          <w:sz w:val="28"/>
          <w:szCs w:val="28"/>
          <w:lang w:bidi="ar-SA"/>
        </w:rPr>
        <w:t>буфера</w:t>
      </w:r>
      <w:r>
        <w:rPr>
          <w:rFonts w:ascii="Times New Roman" w:hAnsi="Times New Roman" w:cs="Times New Roman"/>
          <w:sz w:val="28"/>
          <w:szCs w:val="28"/>
          <w:lang w:bidi="ar-SA"/>
        </w:rPr>
        <w:t xml:space="preserve"> ЕВ (10 </w:t>
      </w:r>
      <w:proofErr w:type="spellStart"/>
      <w:r>
        <w:rPr>
          <w:rFonts w:ascii="Times New Roman" w:hAnsi="Times New Roman" w:cs="Times New Roman"/>
          <w:sz w:val="28"/>
          <w:szCs w:val="28"/>
          <w:lang w:bidi="ar-SA"/>
        </w:rPr>
        <w:t>мМ</w:t>
      </w:r>
      <w:proofErr w:type="spellEnd"/>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val="en-US" w:bidi="ar-SA"/>
        </w:rPr>
        <w:t>Tris</w:t>
      </w:r>
      <w:proofErr w:type="spellEnd"/>
      <w:r w:rsidRPr="00A41B41">
        <w:rPr>
          <w:rFonts w:ascii="Times New Roman" w:hAnsi="Times New Roman" w:cs="Times New Roman"/>
          <w:sz w:val="28"/>
          <w:szCs w:val="28"/>
          <w:lang w:bidi="ar-SA"/>
        </w:rPr>
        <w:t>-</w:t>
      </w:r>
      <w:r>
        <w:rPr>
          <w:rFonts w:ascii="Times New Roman" w:hAnsi="Times New Roman" w:cs="Times New Roman"/>
          <w:sz w:val="28"/>
          <w:szCs w:val="28"/>
          <w:lang w:val="en-US" w:bidi="ar-SA"/>
        </w:rPr>
        <w:t>HCL</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pH</w:t>
      </w:r>
      <w:r w:rsidRPr="00A41B41">
        <w:rPr>
          <w:rFonts w:ascii="Times New Roman" w:hAnsi="Times New Roman" w:cs="Times New Roman"/>
          <w:sz w:val="28"/>
          <w:szCs w:val="28"/>
          <w:lang w:bidi="ar-SA"/>
        </w:rPr>
        <w:t xml:space="preserve"> 8,5</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w:t>
      </w:r>
    </w:p>
    <w:p w14:paraId="35E0B4C9" w14:textId="57D78B5B" w:rsidR="00A41B41" w:rsidRDefault="00A41B41" w:rsidP="00A41B41">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Контроль качества ДНК.</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Концентрацию и чистоту препаратов оценивали спектрофотометри</w:t>
      </w:r>
      <w:r>
        <w:rPr>
          <w:rFonts w:ascii="Times New Roman" w:hAnsi="Times New Roman" w:cs="Times New Roman"/>
          <w:sz w:val="28"/>
          <w:szCs w:val="28"/>
          <w:lang w:bidi="ar-SA"/>
        </w:rPr>
        <w:t xml:space="preserve">чески </w:t>
      </w:r>
      <w:r w:rsidRPr="00A41B41">
        <w:rPr>
          <w:rFonts w:ascii="Times New Roman" w:hAnsi="Times New Roman" w:cs="Times New Roman"/>
          <w:sz w:val="28"/>
          <w:szCs w:val="28"/>
          <w:lang w:bidi="ar-SA"/>
        </w:rPr>
        <w:t>на приборе</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NanoDrop</w:t>
      </w:r>
      <w:r w:rsidRPr="00A41B41">
        <w:rPr>
          <w:rFonts w:ascii="Times New Roman" w:hAnsi="Times New Roman" w:cs="Times New Roman"/>
          <w:sz w:val="28"/>
          <w:szCs w:val="28"/>
          <w:lang w:bidi="ar-SA"/>
        </w:rPr>
        <w:t xml:space="preserve"> 2000</w:t>
      </w:r>
      <w:r>
        <w:rPr>
          <w:rFonts w:ascii="Times New Roman" w:hAnsi="Times New Roman" w:cs="Times New Roman"/>
          <w:sz w:val="28"/>
          <w:szCs w:val="28"/>
          <w:lang w:val="en-US" w:bidi="ar-SA"/>
        </w:rPr>
        <w:t>c</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Thermo</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Fisher</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Scientific</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США</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К</w:t>
      </w:r>
      <w:r w:rsidRPr="00A41B41">
        <w:rPr>
          <w:rFonts w:ascii="Times New Roman" w:hAnsi="Times New Roman" w:cs="Times New Roman"/>
          <w:sz w:val="28"/>
          <w:szCs w:val="28"/>
          <w:lang w:bidi="ar-SA"/>
        </w:rPr>
        <w:t>ритерии пригодности для генотипирования: концентрация</w:t>
      </w:r>
      <w:r>
        <w:rPr>
          <w:rFonts w:ascii="Times New Roman" w:hAnsi="Times New Roman" w:cs="Times New Roman"/>
          <w:sz w:val="28"/>
          <w:szCs w:val="28"/>
          <w:lang w:bidi="ar-SA"/>
        </w:rPr>
        <w:sym w:font="Symbol" w:char="F0B3"/>
      </w:r>
      <w:r>
        <w:rPr>
          <w:rFonts w:ascii="Times New Roman" w:hAnsi="Times New Roman" w:cs="Times New Roman"/>
          <w:sz w:val="28"/>
          <w:szCs w:val="28"/>
          <w:lang w:bidi="ar-SA"/>
        </w:rPr>
        <w:t>15 нг/мкл;</w:t>
      </w:r>
      <w:r w:rsidRPr="00A41B41">
        <w:rPr>
          <w:rFonts w:ascii="Times New Roman" w:hAnsi="Times New Roman" w:cs="Times New Roman"/>
          <w:sz w:val="28"/>
          <w:szCs w:val="28"/>
          <w:lang w:bidi="ar-SA"/>
        </w:rPr>
        <w:t xml:space="preserve"> оптическое соотношение</w:t>
      </w:r>
      <w:r>
        <w:rPr>
          <w:rFonts w:ascii="Times New Roman" w:hAnsi="Times New Roman" w:cs="Times New Roman"/>
          <w:sz w:val="28"/>
          <w:szCs w:val="28"/>
          <w:lang w:bidi="ar-SA"/>
        </w:rPr>
        <w:t xml:space="preserve"> А260/А280=1.7-2.0.</w:t>
      </w:r>
    </w:p>
    <w:p w14:paraId="5CD9CE8E" w14:textId="1E4E3EAE" w:rsidR="00A41B41" w:rsidRPr="00A41B41" w:rsidRDefault="00A41B41" w:rsidP="00A41B41">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Протокол аллель</w:t>
      </w:r>
      <w:r>
        <w:rPr>
          <w:rFonts w:ascii="Times New Roman" w:hAnsi="Times New Roman" w:cs="Times New Roman"/>
          <w:i/>
          <w:iCs/>
          <w:sz w:val="28"/>
          <w:szCs w:val="28"/>
          <w:lang w:bidi="ar-SA"/>
        </w:rPr>
        <w:t>-</w:t>
      </w:r>
      <w:r w:rsidRPr="00A41B41">
        <w:rPr>
          <w:rFonts w:ascii="Times New Roman" w:hAnsi="Times New Roman" w:cs="Times New Roman"/>
          <w:i/>
          <w:iCs/>
          <w:sz w:val="28"/>
          <w:szCs w:val="28"/>
          <w:lang w:bidi="ar-SA"/>
        </w:rPr>
        <w:t>специфич</w:t>
      </w:r>
      <w:r>
        <w:rPr>
          <w:rFonts w:ascii="Times New Roman" w:hAnsi="Times New Roman" w:cs="Times New Roman"/>
          <w:i/>
          <w:iCs/>
          <w:sz w:val="28"/>
          <w:szCs w:val="28"/>
          <w:lang w:bidi="ar-SA"/>
        </w:rPr>
        <w:t>но</w:t>
      </w:r>
      <w:r w:rsidRPr="00A41B41">
        <w:rPr>
          <w:rFonts w:ascii="Times New Roman" w:hAnsi="Times New Roman" w:cs="Times New Roman"/>
          <w:i/>
          <w:iCs/>
          <w:sz w:val="28"/>
          <w:szCs w:val="28"/>
          <w:lang w:bidi="ar-SA"/>
        </w:rPr>
        <w:t xml:space="preserve">й </w:t>
      </w:r>
      <w:r>
        <w:rPr>
          <w:rFonts w:ascii="Times New Roman" w:hAnsi="Times New Roman" w:cs="Times New Roman"/>
          <w:i/>
          <w:iCs/>
          <w:sz w:val="28"/>
          <w:szCs w:val="28"/>
          <w:lang w:bidi="ar-SA"/>
        </w:rPr>
        <w:t xml:space="preserve">ПЦР </w:t>
      </w:r>
      <w:r w:rsidRPr="00A41B41">
        <w:rPr>
          <w:rFonts w:ascii="Times New Roman" w:hAnsi="Times New Roman" w:cs="Times New Roman"/>
          <w:i/>
          <w:iCs/>
          <w:sz w:val="28"/>
          <w:szCs w:val="28"/>
          <w:lang w:bidi="ar-SA"/>
        </w:rPr>
        <w:t>в реальном времени</w:t>
      </w:r>
      <w:r>
        <w:rPr>
          <w:rFonts w:ascii="Times New Roman" w:hAnsi="Times New Roman" w:cs="Times New Roman"/>
          <w:i/>
          <w:iCs/>
          <w:sz w:val="28"/>
          <w:szCs w:val="28"/>
          <w:lang w:bidi="ar-SA"/>
        </w:rPr>
        <w:t xml:space="preserve"> (</w:t>
      </w:r>
      <w:r>
        <w:rPr>
          <w:rFonts w:ascii="Times New Roman" w:hAnsi="Times New Roman" w:cs="Times New Roman"/>
          <w:i/>
          <w:iCs/>
          <w:sz w:val="28"/>
          <w:szCs w:val="28"/>
          <w:lang w:val="en-US" w:bidi="ar-SA"/>
        </w:rPr>
        <w:t>TaqMan</w:t>
      </w:r>
      <w:r w:rsidRPr="00A41B41">
        <w:rPr>
          <w:rFonts w:ascii="Times New Roman" w:hAnsi="Times New Roman" w:cs="Times New Roman"/>
          <w:i/>
          <w:iCs/>
          <w:sz w:val="28"/>
          <w:szCs w:val="28"/>
          <w:lang w:bidi="ar-SA"/>
        </w:rPr>
        <w:t xml:space="preserve"> </w:t>
      </w:r>
      <w:r>
        <w:rPr>
          <w:rFonts w:ascii="Times New Roman" w:hAnsi="Times New Roman" w:cs="Times New Roman"/>
          <w:i/>
          <w:iCs/>
          <w:sz w:val="28"/>
          <w:szCs w:val="28"/>
          <w:lang w:bidi="ar-SA"/>
        </w:rPr>
        <w:t>анализ)</w:t>
      </w:r>
      <w:r w:rsidRPr="00A41B41">
        <w:rPr>
          <w:rFonts w:ascii="Times New Roman" w:hAnsi="Times New Roman" w:cs="Times New Roman"/>
          <w:i/>
          <w:iCs/>
          <w:sz w:val="28"/>
          <w:szCs w:val="28"/>
          <w:lang w:bidi="ar-SA"/>
        </w:rPr>
        <w:t>.</w:t>
      </w:r>
      <w:r w:rsidRPr="00A41B41">
        <w:rPr>
          <w:rFonts w:ascii="Times New Roman" w:hAnsi="Times New Roman" w:cs="Times New Roman"/>
          <w:sz w:val="28"/>
          <w:szCs w:val="28"/>
          <w:lang w:bidi="ar-SA"/>
        </w:rPr>
        <w:t xml:space="preserve"> Генотипирование </w:t>
      </w:r>
      <w:r>
        <w:rPr>
          <w:rFonts w:ascii="Times New Roman" w:hAnsi="Times New Roman" w:cs="Times New Roman"/>
          <w:sz w:val="28"/>
          <w:szCs w:val="28"/>
          <w:lang w:bidi="ar-SA"/>
        </w:rPr>
        <w:t xml:space="preserve">семи </w:t>
      </w:r>
      <w:r>
        <w:rPr>
          <w:rFonts w:ascii="Times New Roman" w:hAnsi="Times New Roman" w:cs="Times New Roman"/>
          <w:sz w:val="28"/>
          <w:szCs w:val="28"/>
          <w:lang w:val="en-US" w:bidi="ar-SA"/>
        </w:rPr>
        <w:t>SNP</w:t>
      </w:r>
      <w:r w:rsidRPr="00A41B41">
        <w:rPr>
          <w:rFonts w:ascii="Times New Roman" w:hAnsi="Times New Roman" w:cs="Times New Roman"/>
          <w:sz w:val="28"/>
          <w:szCs w:val="28"/>
          <w:lang w:bidi="ar-SA"/>
        </w:rPr>
        <w:t xml:space="preserve"> проводили на системе </w:t>
      </w:r>
      <w:r>
        <w:rPr>
          <w:rFonts w:ascii="Times New Roman" w:hAnsi="Times New Roman" w:cs="Times New Roman"/>
          <w:sz w:val="28"/>
          <w:szCs w:val="28"/>
          <w:lang w:val="en-US" w:bidi="ar-SA"/>
        </w:rPr>
        <w:t>QuantStudio</w:t>
      </w:r>
      <w:r w:rsidRPr="00A41B41">
        <w:rPr>
          <w:rFonts w:ascii="Times New Roman" w:hAnsi="Times New Roman" w:cs="Times New Roman"/>
          <w:sz w:val="28"/>
          <w:szCs w:val="28"/>
          <w:lang w:bidi="ar-SA"/>
        </w:rPr>
        <w:t xml:space="preserve"> 7</w:t>
      </w:r>
      <w:r>
        <w:rPr>
          <w:rFonts w:ascii="Times New Roman" w:hAnsi="Times New Roman" w:cs="Times New Roman"/>
          <w:sz w:val="28"/>
          <w:szCs w:val="28"/>
          <w:lang w:bidi="ar-SA"/>
        </w:rPr>
        <w:t> </w:t>
      </w:r>
      <w:r w:rsidRPr="00A41B41">
        <w:rPr>
          <w:rFonts w:ascii="Times New Roman" w:hAnsi="Times New Roman" w:cs="Times New Roman"/>
          <w:sz w:val="28"/>
          <w:szCs w:val="28"/>
          <w:lang w:bidi="ar-SA"/>
        </w:rPr>
        <w:t>900</w:t>
      </w:r>
      <w:r>
        <w:rPr>
          <w:rFonts w:ascii="Times New Roman" w:hAnsi="Times New Roman" w:cs="Times New Roman"/>
          <w:sz w:val="28"/>
          <w:szCs w:val="28"/>
          <w:lang w:val="en-US" w:bidi="ar-SA"/>
        </w:rPr>
        <w:t>HT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Applied</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Biosystems</w:t>
      </w:r>
      <w:r w:rsidRPr="00A41B41">
        <w:rPr>
          <w:rFonts w:ascii="Times New Roman" w:hAnsi="Times New Roman" w:cs="Times New Roman"/>
          <w:sz w:val="28"/>
          <w:szCs w:val="28"/>
          <w:lang w:bidi="ar-SA"/>
        </w:rPr>
        <w:t xml:space="preserve">, США) с использованием фирменных </w:t>
      </w:r>
      <w:r>
        <w:rPr>
          <w:rFonts w:ascii="Times New Roman" w:hAnsi="Times New Roman" w:cs="Times New Roman"/>
          <w:sz w:val="28"/>
          <w:szCs w:val="28"/>
          <w:lang w:val="en-US" w:bidi="ar-SA"/>
        </w:rPr>
        <w:t>TaqMan</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SNP</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Genotyping</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Assays</w:t>
      </w:r>
      <w:r w:rsidRPr="00A41B41">
        <w:rPr>
          <w:rFonts w:ascii="Times New Roman" w:hAnsi="Times New Roman" w:cs="Times New Roman"/>
          <w:sz w:val="28"/>
          <w:szCs w:val="28"/>
          <w:lang w:bidi="ar-SA"/>
        </w:rPr>
        <w:t xml:space="preserve">, в которых используются </w:t>
      </w:r>
      <w:r>
        <w:rPr>
          <w:rFonts w:ascii="Times New Roman" w:hAnsi="Times New Roman" w:cs="Times New Roman"/>
          <w:sz w:val="28"/>
          <w:szCs w:val="28"/>
          <w:lang w:val="en-US" w:bidi="ar-SA"/>
        </w:rPr>
        <w:t>TaqMan</w:t>
      </w:r>
      <w:r w:rsidRPr="00A41B41">
        <w:rPr>
          <w:rFonts w:ascii="Times New Roman" w:hAnsi="Times New Roman" w:cs="Times New Roman"/>
          <w:sz w:val="28"/>
          <w:szCs w:val="28"/>
          <w:lang w:bidi="ar-SA"/>
        </w:rPr>
        <w:t xml:space="preserve"> зонды,</w:t>
      </w:r>
      <w:r>
        <w:rPr>
          <w:rFonts w:ascii="Times New Roman" w:hAnsi="Times New Roman" w:cs="Times New Roman"/>
          <w:sz w:val="28"/>
          <w:szCs w:val="28"/>
          <w:lang w:bidi="ar-SA"/>
        </w:rPr>
        <w:t xml:space="preserve"> двумя</w:t>
      </w:r>
      <w:r w:rsidRPr="00A41B41">
        <w:rPr>
          <w:rFonts w:ascii="Times New Roman" w:hAnsi="Times New Roman" w:cs="Times New Roman"/>
          <w:sz w:val="28"/>
          <w:szCs w:val="28"/>
          <w:lang w:bidi="ar-SA"/>
        </w:rPr>
        <w:t xml:space="preserve"> концами конъюгированные с флуоресцентными красителями (</w:t>
      </w:r>
      <w:r>
        <w:rPr>
          <w:rFonts w:ascii="Times New Roman" w:hAnsi="Times New Roman" w:cs="Times New Roman"/>
          <w:sz w:val="28"/>
          <w:szCs w:val="28"/>
          <w:lang w:val="en-US" w:bidi="ar-SA"/>
        </w:rPr>
        <w:t>FAM</w:t>
      </w:r>
      <w:r w:rsidRPr="00A41B41">
        <w:rPr>
          <w:rFonts w:ascii="Times New Roman" w:hAnsi="Times New Roman" w:cs="Times New Roman"/>
          <w:sz w:val="28"/>
          <w:szCs w:val="28"/>
          <w:lang w:bidi="ar-SA"/>
        </w:rPr>
        <w:t xml:space="preserve"> или </w:t>
      </w:r>
      <w:r>
        <w:rPr>
          <w:rFonts w:ascii="Times New Roman" w:hAnsi="Times New Roman" w:cs="Times New Roman"/>
          <w:sz w:val="28"/>
          <w:szCs w:val="28"/>
          <w:lang w:val="en-US" w:bidi="ar-SA"/>
        </w:rPr>
        <w:t>VIC</w:t>
      </w:r>
      <w:r w:rsidRPr="00A41B41">
        <w:rPr>
          <w:rFonts w:ascii="Times New Roman" w:hAnsi="Times New Roman" w:cs="Times New Roman"/>
          <w:sz w:val="28"/>
          <w:szCs w:val="28"/>
          <w:lang w:bidi="ar-SA"/>
        </w:rPr>
        <w:t xml:space="preserve">). Каждый набор примеров из зондов использовался в анализах </w:t>
      </w:r>
      <w:proofErr w:type="spellStart"/>
      <w:r w:rsidRPr="00A41B41">
        <w:rPr>
          <w:rFonts w:ascii="Times New Roman" w:hAnsi="Times New Roman" w:cs="Times New Roman"/>
          <w:sz w:val="28"/>
          <w:szCs w:val="28"/>
          <w:lang w:bidi="ar-SA"/>
        </w:rPr>
        <w:t>генотипирования</w:t>
      </w:r>
      <w:proofErr w:type="spellEnd"/>
      <w:r w:rsidRPr="00A41B41">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val="en-US" w:bidi="ar-SA"/>
        </w:rPr>
        <w:t>TaqMan</w:t>
      </w:r>
      <w:proofErr w:type="spellEnd"/>
      <w:r>
        <w:rPr>
          <w:rFonts w:ascii="Times New Roman" w:hAnsi="Times New Roman" w:cs="Times New Roman"/>
          <w:sz w:val="28"/>
          <w:szCs w:val="28"/>
          <w:lang w:val="en-US" w:bidi="ar-SA"/>
        </w:rPr>
        <w:sym w:font="Symbol" w:char="F0D2"/>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SNP</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в </w:t>
      </w:r>
      <w:r w:rsidRPr="00A41B41">
        <w:rPr>
          <w:rFonts w:ascii="Times New Roman" w:hAnsi="Times New Roman" w:cs="Times New Roman"/>
          <w:sz w:val="28"/>
          <w:szCs w:val="28"/>
          <w:lang w:bidi="ar-SA"/>
        </w:rPr>
        <w:t xml:space="preserve">соответствии с информацией на веб-сайте </w:t>
      </w:r>
      <w:proofErr w:type="spellStart"/>
      <w:r>
        <w:rPr>
          <w:rFonts w:ascii="Times New Roman" w:hAnsi="Times New Roman" w:cs="Times New Roman"/>
          <w:sz w:val="28"/>
          <w:szCs w:val="28"/>
          <w:lang w:val="en-US" w:bidi="ar-SA"/>
        </w:rPr>
        <w:t>Thermo</w:t>
      </w:r>
      <w:proofErr w:type="spellEnd"/>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Fisher</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Scientific</w:t>
      </w:r>
      <w:r w:rsidRPr="00A41B41">
        <w:rPr>
          <w:rFonts w:ascii="Times New Roman" w:hAnsi="Times New Roman" w:cs="Times New Roman"/>
          <w:sz w:val="28"/>
          <w:szCs w:val="28"/>
          <w:lang w:bidi="ar-SA"/>
        </w:rPr>
        <w:t xml:space="preserve"> (</w:t>
      </w:r>
      <w:hyperlink r:id="rId10"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www</w:t>
        </w:r>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thermofisher</w:t>
        </w:r>
        <w:proofErr w:type="spellEnd"/>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com</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order</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genome</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database</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details</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genotyping</w:t>
        </w:r>
      </w:hyperlink>
      <w:r w:rsidRPr="00A41B41">
        <w:rPr>
          <w:rFonts w:ascii="Times New Roman" w:hAnsi="Times New Roman" w:cs="Times New Roman"/>
          <w:sz w:val="28"/>
          <w:szCs w:val="28"/>
          <w:lang w:bidi="ar-SA"/>
        </w:rPr>
        <w:t>). На предварительном этапе проводил</w:t>
      </w:r>
      <w:r>
        <w:rPr>
          <w:rFonts w:ascii="Times New Roman" w:hAnsi="Times New Roman" w:cs="Times New Roman"/>
          <w:sz w:val="28"/>
          <w:szCs w:val="28"/>
          <w:lang w:bidi="ar-SA"/>
        </w:rPr>
        <w:t>а</w:t>
      </w:r>
      <w:r w:rsidRPr="00A41B41">
        <w:rPr>
          <w:rFonts w:ascii="Times New Roman" w:hAnsi="Times New Roman" w:cs="Times New Roman"/>
          <w:sz w:val="28"/>
          <w:szCs w:val="28"/>
          <w:lang w:bidi="ar-SA"/>
        </w:rPr>
        <w:t xml:space="preserve">сь калибровка концентрации геномной </w:t>
      </w:r>
      <w:r>
        <w:rPr>
          <w:rFonts w:ascii="Times New Roman" w:hAnsi="Times New Roman" w:cs="Times New Roman"/>
          <w:sz w:val="28"/>
          <w:szCs w:val="28"/>
          <w:lang w:bidi="ar-SA"/>
        </w:rPr>
        <w:t>ДНК</w:t>
      </w:r>
      <w:r w:rsidRPr="00A41B41">
        <w:rPr>
          <w:rFonts w:ascii="Times New Roman" w:hAnsi="Times New Roman" w:cs="Times New Roman"/>
          <w:sz w:val="28"/>
          <w:szCs w:val="28"/>
          <w:lang w:bidi="ar-SA"/>
        </w:rPr>
        <w:t xml:space="preserve"> для обеспечения оптимальных условий при создании </w:t>
      </w:r>
      <w:r>
        <w:rPr>
          <w:rFonts w:ascii="Times New Roman" w:hAnsi="Times New Roman" w:cs="Times New Roman"/>
          <w:sz w:val="28"/>
          <w:szCs w:val="28"/>
          <w:lang w:bidi="ar-SA"/>
        </w:rPr>
        <w:t>ДНК-</w:t>
      </w:r>
      <w:r w:rsidRPr="00A41B41">
        <w:rPr>
          <w:rFonts w:ascii="Times New Roman" w:hAnsi="Times New Roman" w:cs="Times New Roman"/>
          <w:sz w:val="28"/>
          <w:szCs w:val="28"/>
          <w:lang w:bidi="ar-SA"/>
        </w:rPr>
        <w:t xml:space="preserve">библиотек, необходимых для проведения количественной </w:t>
      </w:r>
      <w:r>
        <w:rPr>
          <w:rFonts w:ascii="Times New Roman" w:hAnsi="Times New Roman" w:cs="Times New Roman"/>
          <w:sz w:val="28"/>
          <w:szCs w:val="28"/>
          <w:lang w:bidi="ar-SA"/>
        </w:rPr>
        <w:t>ПЦР</w:t>
      </w:r>
      <w:r w:rsidRPr="00A41B41">
        <w:rPr>
          <w:rFonts w:ascii="Times New Roman" w:hAnsi="Times New Roman" w:cs="Times New Roman"/>
          <w:sz w:val="28"/>
          <w:szCs w:val="28"/>
          <w:lang w:bidi="ar-SA"/>
        </w:rPr>
        <w:t xml:space="preserve"> в режиме реального времени. На следующем этапе методом</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Real</w:t>
      </w:r>
      <w:r w:rsidRPr="00A41B41">
        <w:rPr>
          <w:rFonts w:ascii="Times New Roman" w:hAnsi="Times New Roman" w:cs="Times New Roman"/>
          <w:sz w:val="28"/>
          <w:szCs w:val="28"/>
          <w:lang w:bidi="ar-SA"/>
        </w:rPr>
        <w:t>-</w:t>
      </w:r>
      <w:r>
        <w:rPr>
          <w:rFonts w:ascii="Times New Roman" w:hAnsi="Times New Roman" w:cs="Times New Roman"/>
          <w:sz w:val="28"/>
          <w:szCs w:val="28"/>
          <w:lang w:val="en-US" w:bidi="ar-SA"/>
        </w:rPr>
        <w:t>Time</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PCR</w:t>
      </w:r>
      <w:r w:rsidRPr="00A41B41">
        <w:rPr>
          <w:rFonts w:ascii="Times New Roman" w:hAnsi="Times New Roman" w:cs="Times New Roman"/>
          <w:sz w:val="28"/>
          <w:szCs w:val="28"/>
          <w:lang w:bidi="ar-SA"/>
        </w:rPr>
        <w:t xml:space="preserve"> анализировали </w:t>
      </w:r>
      <w:r>
        <w:rPr>
          <w:rFonts w:ascii="Times New Roman" w:hAnsi="Times New Roman" w:cs="Times New Roman"/>
          <w:sz w:val="28"/>
          <w:szCs w:val="28"/>
          <w:lang w:val="en-US" w:bidi="ar-SA"/>
        </w:rPr>
        <w:t>SNP</w:t>
      </w:r>
      <w:r w:rsidRPr="00A41B41">
        <w:rPr>
          <w:rFonts w:ascii="Times New Roman" w:hAnsi="Times New Roman" w:cs="Times New Roman"/>
          <w:sz w:val="28"/>
          <w:szCs w:val="28"/>
          <w:lang w:bidi="ar-SA"/>
        </w:rPr>
        <w:t>, связанные с особенностями фармакокинетики</w:t>
      </w:r>
      <w:r>
        <w:rPr>
          <w:rFonts w:ascii="Times New Roman" w:hAnsi="Times New Roman" w:cs="Times New Roman"/>
          <w:sz w:val="28"/>
          <w:szCs w:val="28"/>
          <w:lang w:bidi="ar-SA"/>
        </w:rPr>
        <w:t xml:space="preserve"> дабигатрана и апиксабана. </w:t>
      </w:r>
      <w:r w:rsidRPr="00A41B41">
        <w:rPr>
          <w:rFonts w:ascii="Times New Roman" w:hAnsi="Times New Roman" w:cs="Times New Roman"/>
          <w:sz w:val="28"/>
          <w:szCs w:val="28"/>
          <w:lang w:bidi="ar-SA"/>
        </w:rPr>
        <w:t>Критерием для выбора исследуемых полиморфизмов послужили данные систематического обзора литератур</w:t>
      </w:r>
      <w:r>
        <w:rPr>
          <w:rFonts w:ascii="Times New Roman" w:hAnsi="Times New Roman" w:cs="Times New Roman"/>
          <w:sz w:val="28"/>
          <w:szCs w:val="28"/>
          <w:lang w:bidi="ar-SA"/>
        </w:rPr>
        <w:t>ы,</w:t>
      </w:r>
      <w:r w:rsidRPr="00A41B41">
        <w:rPr>
          <w:rFonts w:ascii="Times New Roman" w:hAnsi="Times New Roman" w:cs="Times New Roman"/>
          <w:sz w:val="28"/>
          <w:szCs w:val="28"/>
          <w:lang w:bidi="ar-SA"/>
        </w:rPr>
        <w:t xml:space="preserve"> в результате которого идентифицированы функционально значимые</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SNP</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 xml:space="preserve">в генах </w:t>
      </w:r>
      <w:r>
        <w:rPr>
          <w:rFonts w:ascii="Times New Roman" w:hAnsi="Times New Roman" w:cs="Times New Roman"/>
          <w:sz w:val="28"/>
          <w:szCs w:val="28"/>
          <w:lang w:val="en-US" w:bidi="ar-SA"/>
        </w:rPr>
        <w:t>ABCB</w:t>
      </w:r>
      <w:r w:rsidRPr="00A41B41">
        <w:rPr>
          <w:rFonts w:ascii="Times New Roman" w:hAnsi="Times New Roman" w:cs="Times New Roman"/>
          <w:sz w:val="28"/>
          <w:szCs w:val="28"/>
          <w:lang w:bidi="ar-SA"/>
        </w:rPr>
        <w:t xml:space="preserve">1 (транспортер белка </w:t>
      </w:r>
      <w:r>
        <w:rPr>
          <w:rFonts w:ascii="Times New Roman" w:hAnsi="Times New Roman" w:cs="Times New Roman"/>
          <w:sz w:val="28"/>
          <w:szCs w:val="28"/>
          <w:lang w:val="en-US" w:bidi="ar-SA"/>
        </w:rPr>
        <w:t>P</w:t>
      </w:r>
      <w:r w:rsidRPr="00A41B41">
        <w:rPr>
          <w:rFonts w:ascii="Times New Roman" w:hAnsi="Times New Roman" w:cs="Times New Roman"/>
          <w:sz w:val="28"/>
          <w:szCs w:val="28"/>
          <w:lang w:bidi="ar-SA"/>
        </w:rPr>
        <w:t>-гликопротеина)</w:t>
      </w:r>
      <w:r>
        <w:rPr>
          <w:rFonts w:ascii="Times New Roman" w:hAnsi="Times New Roman" w:cs="Times New Roman"/>
          <w:sz w:val="28"/>
          <w:szCs w:val="28"/>
          <w:lang w:bidi="ar-SA"/>
        </w:rPr>
        <w:t xml:space="preserve"> и </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A41B41">
        <w:rPr>
          <w:rFonts w:ascii="Times New Roman" w:hAnsi="Times New Roman" w:cs="Times New Roman"/>
          <w:sz w:val="28"/>
          <w:szCs w:val="28"/>
          <w:lang w:bidi="ar-SA"/>
        </w:rPr>
        <w:t>1 (</w:t>
      </w:r>
      <w:r>
        <w:rPr>
          <w:rFonts w:ascii="Times New Roman" w:hAnsi="Times New Roman" w:cs="Times New Roman"/>
          <w:sz w:val="28"/>
          <w:szCs w:val="28"/>
          <w:lang w:bidi="ar-SA"/>
        </w:rPr>
        <w:t>карбоксилэтераза 1</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 в</w:t>
      </w:r>
      <w:r w:rsidRPr="00A41B41">
        <w:rPr>
          <w:rFonts w:ascii="Times New Roman" w:hAnsi="Times New Roman" w:cs="Times New Roman"/>
          <w:sz w:val="28"/>
          <w:szCs w:val="28"/>
          <w:lang w:bidi="ar-SA"/>
        </w:rPr>
        <w:t>лияющие на метаболизм изучаемых антикоагулянтов</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{"citationID":"kI7z4ATm","properties":{"unsorted":false,"formattedCitation":"[198]","plainCitation":"[198]","noteIndex":0},"citationItems":[{"id":701,"uris":["http://zotero.org/users/14784094/items/VPE5JM7S"],"itemData":{"id":701,"type":"article-journal","abstract":"Nowadays, direct oral anticoagulants (DOACs) are the ﬁrst-line anticoagulant strategy in patients with non-valvular atrial ﬁbrillation (NVAF). We aimed to identify the inﬂuence of polymorphisms of the genes encoding P-glycoprotein (ABCB1) and carboxylesterase 1 (CES1) on the variability of plasma concentrations of DOACs in Kazakhstani patients with NVAF. We analyzed polymorphisms rs4148738, rs1045642, rs2032582 and rs1128503 in ABCB1 and rs8192935, rs2244613 and rs71647871 CES1 genes and measured the plasma concentrations of dabigatran/apixaban and biochemical parameters in 150 Kazakhstani NVAF patients. Polymorphism rs8192935 in the CES1 gene (p = 0.04), BMI (p = 0.01) and APTT level (p = 0.01) were statistically signiﬁcant independent factors of trough plasma concentration of dabigatran. In contrast, polymorphisms rs4148738, rs1045642, rs2032582 and rs1128503 in ABCB1 and rs8192935, rs2244613 and rs71647871 CES1 genes did not show signiﬁcant inﬂuence on plasma concentrations of dabigatran/apixaban drugs (p &gt; 0.05). Patients with GG genotype (138.8 ± 100.1 ng/mL) had higher peak plasma concentration of dabigatran than with AA genotype (100.9 ± 59.6 ng/mL) and AG genotype (98.7 ± 72.3 ng/mL) (Kruskal–Wallis test, p = 0.25). Thus, CES1 rs8192935 is signiﬁcantly associated with plasma concentrations of dabigatran in Kazakhstani NVAF patients (p &lt; 0.05). The level of the plasma concentration shows that biotransformation of the dabigatran processed faster in individual carriers of GG genotype rs8192935 in the CES1 gene than with AA genotype.","container-title":"Genes","DOI":"10.3390/genes14061192","ISSN":"2073-4425","issue":"6","journalAbbreviation":"Genes","language":"en","license":"https://creativecommons.org/licenses/by/4.0/","page":"1192","source":"DOI.org (Crossref)","title":"The Distribution of the Genotypes of ABCB1 and CES1 Polymorphisms in Kazakhstani Patients with Atrial Fibrillation Treated with DOAC","volume":"14","author":[{"family":"Abdrakhmanov","given":"Ayan"},{"family":"Akilzhanova","given":"Ainur"},{"family":"Shaimerdinova","given":"Aizhan"},{"family":"Zhalbinova","given":"Madina"},{"family":"Tuyakova","given":"Gulnara"},{"family":"Abildinova","given":"Svetlana"},{"family":"Albayev","given":"Rustam"},{"family":"Ainabekova","given":"Bayan"},{"family":"Chinybayeva","given":"Assel"},{"family":"Suleimen","given":"Zhanasyl"},{"family":"Bekbossynova","given":"Makhabbat"}],"issued":{"date-parts":[["2023",5,29]]}}}],"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[198]</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w:t>
      </w:r>
    </w:p>
    <w:p w14:paraId="3150B562" w14:textId="76A5411F" w:rsidR="00A41B41" w:rsidRDefault="00A41B41" w:rsidP="00A41B41">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Условия ПЦР.</w:t>
      </w:r>
      <w:r>
        <w:rPr>
          <w:rFonts w:ascii="Times New Roman" w:hAnsi="Times New Roman" w:cs="Times New Roman"/>
          <w:i/>
          <w:iCs/>
          <w:sz w:val="28"/>
          <w:szCs w:val="28"/>
          <w:lang w:bidi="ar-SA"/>
        </w:rPr>
        <w:t xml:space="preserve"> </w:t>
      </w:r>
      <w:r>
        <w:rPr>
          <w:rFonts w:ascii="Times New Roman" w:hAnsi="Times New Roman" w:cs="Times New Roman"/>
          <w:sz w:val="28"/>
          <w:szCs w:val="28"/>
          <w:lang w:bidi="ar-SA"/>
        </w:rPr>
        <w:t xml:space="preserve">Реакционная смесь (10 мкл): 5 мкл </w:t>
      </w:r>
      <w:r>
        <w:rPr>
          <w:rFonts w:ascii="Times New Roman" w:hAnsi="Times New Roman" w:cs="Times New Roman"/>
          <w:sz w:val="28"/>
          <w:szCs w:val="28"/>
          <w:lang w:val="en-US" w:bidi="ar-SA"/>
        </w:rPr>
        <w:t>TaqMan</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Genotyping</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Master</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Mix</w:t>
      </w:r>
      <w:r w:rsidRPr="00A41B41">
        <w:rPr>
          <w:rFonts w:ascii="Times New Roman" w:hAnsi="Times New Roman" w:cs="Times New Roman"/>
          <w:sz w:val="28"/>
          <w:szCs w:val="28"/>
          <w:lang w:bidi="ar-SA"/>
        </w:rPr>
        <w:t xml:space="preserve"> (2</w:t>
      </w:r>
      <w:r>
        <w:rPr>
          <w:rFonts w:ascii="Times New Roman" w:hAnsi="Times New Roman" w:cs="Times New Roman"/>
          <w:sz w:val="28"/>
          <w:szCs w:val="28"/>
          <w:lang w:val="en-US" w:bidi="ar-SA"/>
        </w:rPr>
        <w:t>x</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0,5мкл аллель-специфичного </w:t>
      </w:r>
      <w:r>
        <w:rPr>
          <w:rFonts w:ascii="Times New Roman" w:hAnsi="Times New Roman" w:cs="Times New Roman"/>
          <w:sz w:val="28"/>
          <w:szCs w:val="28"/>
          <w:lang w:val="en-US" w:bidi="ar-SA"/>
        </w:rPr>
        <w:t>Assay</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микса (40х); 10-50 нг геномной ДНК.</w:t>
      </w:r>
    </w:p>
    <w:p w14:paraId="353E925D" w14:textId="73BAD1E8" w:rsidR="00A41B41" w:rsidRDefault="00A41B41" w:rsidP="00A41B41">
      <w:pPr>
        <w:pStyle w:val="LO-normal"/>
        <w:spacing w:after="0" w:line="240" w:lineRule="auto"/>
        <w:ind w:firstLine="567"/>
        <w:jc w:val="both"/>
        <w:rPr>
          <w:rFonts w:ascii="Times New Roman" w:hAnsi="Times New Roman" w:cs="Times New Roman"/>
          <w:sz w:val="28"/>
          <w:szCs w:val="28"/>
          <w:lang w:bidi="ar-SA"/>
        </w:rPr>
      </w:pPr>
      <w:proofErr w:type="spellStart"/>
      <w:r>
        <w:rPr>
          <w:rFonts w:ascii="Times New Roman" w:hAnsi="Times New Roman" w:cs="Times New Roman"/>
          <w:sz w:val="28"/>
          <w:szCs w:val="28"/>
          <w:lang w:bidi="ar-SA"/>
        </w:rPr>
        <w:t>Термоциклирование</w:t>
      </w:r>
      <w:proofErr w:type="spellEnd"/>
      <w:r>
        <w:rPr>
          <w:rFonts w:ascii="Times New Roman" w:hAnsi="Times New Roman" w:cs="Times New Roman"/>
          <w:sz w:val="28"/>
          <w:szCs w:val="28"/>
          <w:lang w:bidi="ar-SA"/>
        </w:rPr>
        <w:t>: 1) Денатурация: 95</w:t>
      </w:r>
      <w:r>
        <w:rPr>
          <w:rFonts w:ascii="Times New Roman" w:hAnsi="Times New Roman" w:cs="Times New Roman"/>
          <w:sz w:val="28"/>
          <w:szCs w:val="28"/>
          <w:lang w:bidi="ar-SA"/>
        </w:rPr>
        <w:sym w:font="Symbol" w:char="F0B0"/>
      </w:r>
      <w:r>
        <w:rPr>
          <w:rFonts w:ascii="Times New Roman" w:hAnsi="Times New Roman" w:cs="Times New Roman"/>
          <w:sz w:val="28"/>
          <w:szCs w:val="28"/>
          <w:lang w:bidi="ar-SA"/>
        </w:rPr>
        <w:t>С, 10 мин (1 цикл). 2) Амплификация: 95</w:t>
      </w:r>
      <w:r>
        <w:rPr>
          <w:rFonts w:ascii="Times New Roman" w:hAnsi="Times New Roman" w:cs="Times New Roman"/>
          <w:sz w:val="28"/>
          <w:szCs w:val="28"/>
          <w:lang w:bidi="ar-SA"/>
        </w:rPr>
        <w:sym w:font="Symbol" w:char="F0B0"/>
      </w:r>
      <w:r>
        <w:rPr>
          <w:rFonts w:ascii="Times New Roman" w:hAnsi="Times New Roman" w:cs="Times New Roman"/>
          <w:sz w:val="28"/>
          <w:szCs w:val="28"/>
          <w:lang w:bidi="ar-SA"/>
        </w:rPr>
        <w:t xml:space="preserve">С, 15 сек </w:t>
      </w:r>
      <w:r>
        <w:rPr>
          <w:rFonts w:ascii="Times New Roman" w:hAnsi="Times New Roman" w:cs="Times New Roman"/>
          <w:sz w:val="28"/>
          <w:szCs w:val="28"/>
          <w:lang w:bidi="ar-SA"/>
        </w:rPr>
        <w:sym w:font="Symbol" w:char="F0AE"/>
      </w:r>
      <w:r>
        <w:rPr>
          <w:rFonts w:ascii="Times New Roman" w:hAnsi="Times New Roman" w:cs="Times New Roman"/>
          <w:sz w:val="28"/>
          <w:szCs w:val="28"/>
          <w:lang w:bidi="ar-SA"/>
        </w:rPr>
        <w:t xml:space="preserve"> 60</w:t>
      </w:r>
      <w:r>
        <w:rPr>
          <w:rFonts w:ascii="Times New Roman" w:hAnsi="Times New Roman" w:cs="Times New Roman"/>
          <w:sz w:val="28"/>
          <w:szCs w:val="28"/>
          <w:lang w:bidi="ar-SA"/>
        </w:rPr>
        <w:sym w:font="Symbol" w:char="F0B0"/>
      </w:r>
      <w:r>
        <w:rPr>
          <w:rFonts w:ascii="Times New Roman" w:hAnsi="Times New Roman" w:cs="Times New Roman"/>
          <w:sz w:val="28"/>
          <w:szCs w:val="28"/>
          <w:lang w:bidi="ar-SA"/>
        </w:rPr>
        <w:t>С, 60 сек (45 циклов).</w:t>
      </w:r>
    </w:p>
    <w:p w14:paraId="4936CEB1" w14:textId="66B0BAFE" w:rsidR="00A41B41" w:rsidRPr="00A41B41" w:rsidRDefault="00A41B41" w:rsidP="00A41B41">
      <w:pPr>
        <w:pStyle w:val="LO-normal"/>
        <w:spacing w:after="0" w:line="240" w:lineRule="auto"/>
        <w:ind w:firstLine="567"/>
        <w:jc w:val="both"/>
        <w:rPr>
          <w:rFonts w:ascii="Times New Roman" w:hAnsi="Times New Roman" w:cs="Times New Roman"/>
          <w:i/>
          <w:iCs/>
          <w:sz w:val="28"/>
          <w:szCs w:val="28"/>
          <w:lang w:bidi="ar-SA"/>
        </w:rPr>
      </w:pPr>
      <w:r w:rsidRPr="00A41B41">
        <w:rPr>
          <w:rFonts w:ascii="Times New Roman" w:hAnsi="Times New Roman" w:cs="Times New Roman"/>
          <w:i/>
          <w:iCs/>
          <w:sz w:val="28"/>
          <w:szCs w:val="28"/>
          <w:lang w:bidi="ar-SA"/>
        </w:rPr>
        <w:t>Контроль качества</w:t>
      </w:r>
    </w:p>
    <w:p w14:paraId="6FF0B1AC" w14:textId="5E54C08C" w:rsidR="00A41B41" w:rsidRDefault="00A41B41" w:rsidP="00A41B41">
      <w:pPr>
        <w:pStyle w:val="LO-normal"/>
        <w:numPr>
          <w:ilvl w:val="0"/>
          <w:numId w:val="18"/>
        </w:numPr>
        <w:spacing w:after="0" w:line="240" w:lineRule="auto"/>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Отрицательный контроль</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реакционн</w:t>
      </w:r>
      <w:r>
        <w:rPr>
          <w:rFonts w:ascii="Times New Roman" w:hAnsi="Times New Roman" w:cs="Times New Roman"/>
          <w:sz w:val="28"/>
          <w:szCs w:val="28"/>
          <w:lang w:bidi="ar-SA"/>
        </w:rPr>
        <w:t>ая</w:t>
      </w:r>
      <w:r w:rsidRPr="00A41B41">
        <w:rPr>
          <w:rFonts w:ascii="Times New Roman" w:hAnsi="Times New Roman" w:cs="Times New Roman"/>
          <w:sz w:val="28"/>
          <w:szCs w:val="28"/>
          <w:lang w:bidi="ar-SA"/>
        </w:rPr>
        <w:t xml:space="preserve"> смесь без матрицы</w:t>
      </w:r>
      <w:r>
        <w:rPr>
          <w:rFonts w:ascii="Times New Roman" w:hAnsi="Times New Roman" w:cs="Times New Roman"/>
          <w:sz w:val="28"/>
          <w:szCs w:val="28"/>
          <w:lang w:bidi="ar-SA"/>
        </w:rPr>
        <w:t xml:space="preserve"> ДНК.</w:t>
      </w:r>
    </w:p>
    <w:p w14:paraId="5FC6D698" w14:textId="6B147C05" w:rsidR="00A41B41" w:rsidRDefault="00A41B41" w:rsidP="00A41B41">
      <w:pPr>
        <w:pStyle w:val="LO-normal"/>
        <w:numPr>
          <w:ilvl w:val="0"/>
          <w:numId w:val="18"/>
        </w:numPr>
        <w:spacing w:after="0" w:line="240" w:lineRule="auto"/>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Положительные контроли</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ДНК с известными генотипами</w:t>
      </w:r>
      <w:r>
        <w:rPr>
          <w:rFonts w:ascii="Times New Roman" w:hAnsi="Times New Roman" w:cs="Times New Roman"/>
          <w:sz w:val="28"/>
          <w:szCs w:val="28"/>
          <w:lang w:bidi="ar-SA"/>
        </w:rPr>
        <w:t xml:space="preserve"> (СС, СТ, ТТ).</w:t>
      </w:r>
    </w:p>
    <w:p w14:paraId="5F9627BC" w14:textId="72156FDB" w:rsidR="00A41B41" w:rsidRPr="00A41B41" w:rsidRDefault="00A41B41" w:rsidP="00A41B41">
      <w:pPr>
        <w:pStyle w:val="LO-normal"/>
        <w:numPr>
          <w:ilvl w:val="0"/>
          <w:numId w:val="18"/>
        </w:numPr>
        <w:spacing w:after="0" w:line="240" w:lineRule="auto"/>
        <w:jc w:val="both"/>
        <w:rPr>
          <w:rFonts w:ascii="Times New Roman" w:hAnsi="Times New Roman" w:cs="Times New Roman"/>
          <w:sz w:val="28"/>
          <w:szCs w:val="28"/>
          <w:lang w:bidi="ar-SA"/>
        </w:rPr>
      </w:pPr>
      <w:r w:rsidRPr="00A41B41">
        <w:rPr>
          <w:rFonts w:ascii="Times New Roman" w:hAnsi="Times New Roman" w:cs="Times New Roman"/>
          <w:sz w:val="28"/>
          <w:szCs w:val="28"/>
          <w:lang w:bidi="ar-SA"/>
        </w:rPr>
        <w:t>Критери</w:t>
      </w:r>
      <w:r>
        <w:rPr>
          <w:rFonts w:ascii="Times New Roman" w:hAnsi="Times New Roman" w:cs="Times New Roman"/>
          <w:sz w:val="28"/>
          <w:szCs w:val="28"/>
          <w:lang w:bidi="ar-SA"/>
        </w:rPr>
        <w:t>й</w:t>
      </w:r>
      <w:r w:rsidRPr="00A41B41">
        <w:rPr>
          <w:rFonts w:ascii="Times New Roman" w:hAnsi="Times New Roman" w:cs="Times New Roman"/>
          <w:sz w:val="28"/>
          <w:szCs w:val="28"/>
          <w:lang w:bidi="ar-SA"/>
        </w:rPr>
        <w:t xml:space="preserve"> валидации</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четкая кластеризация сигналов в программе</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Thermo</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Fisher</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Cloud</w:t>
      </w:r>
      <w:r w:rsidRPr="00A41B41">
        <w:rPr>
          <w:rFonts w:ascii="Times New Roman" w:hAnsi="Times New Roman" w:cs="Times New Roman"/>
          <w:sz w:val="28"/>
          <w:szCs w:val="28"/>
          <w:lang w:bidi="ar-SA"/>
        </w:rPr>
        <w:t xml:space="preserve"> (порог разделения аллелей</w:t>
      </w:r>
      <w:r>
        <w:rPr>
          <w:rFonts w:ascii="Times New Roman" w:hAnsi="Times New Roman" w:cs="Times New Roman"/>
          <w:sz w:val="28"/>
          <w:szCs w:val="28"/>
          <w:lang w:bidi="ar-SA"/>
        </w:rPr>
        <w:t xml:space="preserve"> </w:t>
      </w:r>
      <w:r>
        <w:rPr>
          <w:rFonts w:ascii="Times New Roman" w:hAnsi="Times New Roman" w:cs="Times New Roman"/>
          <w:sz w:val="28"/>
          <w:szCs w:val="28"/>
          <w:lang w:bidi="ar-SA"/>
        </w:rPr>
        <w:sym w:font="Symbol" w:char="F044"/>
      </w:r>
      <w:r>
        <w:rPr>
          <w:rFonts w:ascii="Times New Roman" w:hAnsi="Times New Roman" w:cs="Times New Roman"/>
          <w:sz w:val="28"/>
          <w:szCs w:val="28"/>
          <w:lang w:val="en-US" w:bidi="ar-SA"/>
        </w:rPr>
        <w:t>Rn</w:t>
      </w:r>
      <w:r>
        <w:rPr>
          <w:rFonts w:ascii="Times New Roman" w:hAnsi="Times New Roman" w:cs="Times New Roman"/>
          <w:sz w:val="28"/>
          <w:szCs w:val="28"/>
          <w:lang w:val="en-US" w:bidi="ar-SA"/>
        </w:rPr>
        <w:sym w:font="Symbol" w:char="F0B3"/>
      </w:r>
      <w:r w:rsidRPr="00A41B41">
        <w:rPr>
          <w:rFonts w:ascii="Times New Roman" w:hAnsi="Times New Roman" w:cs="Times New Roman"/>
          <w:sz w:val="28"/>
          <w:szCs w:val="28"/>
          <w:lang w:bidi="ar-SA"/>
        </w:rPr>
        <w:t>0,5).</w:t>
      </w:r>
    </w:p>
    <w:p w14:paraId="7A54EFC8" w14:textId="77777777" w:rsidR="00A41B41" w:rsidRDefault="00A41B41" w:rsidP="00A41B41">
      <w:pPr>
        <w:pStyle w:val="LO-normal"/>
        <w:spacing w:after="0" w:line="240" w:lineRule="auto"/>
        <w:ind w:left="567"/>
        <w:jc w:val="both"/>
        <w:rPr>
          <w:rFonts w:ascii="Times New Roman" w:hAnsi="Times New Roman" w:cs="Times New Roman"/>
          <w:sz w:val="28"/>
          <w:szCs w:val="28"/>
          <w:lang w:bidi="ar-SA"/>
        </w:rPr>
      </w:pPr>
    </w:p>
    <w:p w14:paraId="36B7C52A" w14:textId="77777777" w:rsidR="00CB3A02" w:rsidRDefault="00CB3A02" w:rsidP="00A41B41">
      <w:pPr>
        <w:pStyle w:val="LO-normal"/>
        <w:spacing w:after="0" w:line="240" w:lineRule="auto"/>
        <w:ind w:left="567"/>
        <w:jc w:val="both"/>
        <w:rPr>
          <w:rFonts w:ascii="Times New Roman" w:hAnsi="Times New Roman" w:cs="Times New Roman"/>
          <w:sz w:val="28"/>
          <w:szCs w:val="28"/>
          <w:lang w:bidi="ar-SA"/>
        </w:rPr>
      </w:pPr>
    </w:p>
    <w:p w14:paraId="62DF558D" w14:textId="77777777" w:rsidR="00CB3A02" w:rsidRPr="00926EC0" w:rsidRDefault="00CB3A02" w:rsidP="00A41B41">
      <w:pPr>
        <w:pStyle w:val="LO-normal"/>
        <w:spacing w:after="0" w:line="240" w:lineRule="auto"/>
        <w:ind w:left="567"/>
        <w:jc w:val="both"/>
        <w:rPr>
          <w:rFonts w:ascii="Times New Roman" w:hAnsi="Times New Roman" w:cs="Times New Roman"/>
          <w:sz w:val="28"/>
          <w:szCs w:val="28"/>
          <w:lang w:bidi="ar-SA"/>
        </w:rPr>
      </w:pPr>
    </w:p>
    <w:p w14:paraId="6C40EE27" w14:textId="629E001A" w:rsidR="00A41B41" w:rsidRPr="00A41B41" w:rsidRDefault="00A41B41" w:rsidP="00A41B41">
      <w:pPr>
        <w:pStyle w:val="LO-normal"/>
        <w:spacing w:after="0" w:line="240" w:lineRule="auto"/>
        <w:ind w:left="567"/>
        <w:jc w:val="both"/>
        <w:rPr>
          <w:rFonts w:ascii="Times New Roman" w:hAnsi="Times New Roman" w:cs="Times New Roman"/>
          <w:b/>
          <w:bCs/>
          <w:sz w:val="28"/>
          <w:szCs w:val="28"/>
          <w:lang w:bidi="ar-SA"/>
        </w:rPr>
      </w:pPr>
      <w:r w:rsidRPr="00926EC0">
        <w:rPr>
          <w:rFonts w:ascii="Times New Roman" w:hAnsi="Times New Roman" w:cs="Times New Roman"/>
          <w:b/>
          <w:bCs/>
          <w:sz w:val="28"/>
          <w:szCs w:val="28"/>
          <w:lang w:bidi="ar-SA"/>
        </w:rPr>
        <w:t xml:space="preserve">2.2.3. </w:t>
      </w:r>
      <w:r w:rsidRPr="00A41B41">
        <w:rPr>
          <w:rFonts w:ascii="Times New Roman" w:hAnsi="Times New Roman" w:cs="Times New Roman"/>
          <w:b/>
          <w:bCs/>
          <w:sz w:val="28"/>
          <w:szCs w:val="28"/>
          <w:lang w:bidi="ar-SA"/>
        </w:rPr>
        <w:t>Статистическая обработка данных</w:t>
      </w:r>
    </w:p>
    <w:p w14:paraId="05C52972" w14:textId="2CE1E44E" w:rsidR="00A41B41" w:rsidRPr="00926EC0" w:rsidRDefault="00A41B41" w:rsidP="00A41B41">
      <w:pPr>
        <w:pStyle w:val="LO-normal"/>
        <w:spacing w:after="0" w:line="240" w:lineRule="auto"/>
        <w:ind w:firstLine="567"/>
        <w:jc w:val="both"/>
        <w:rPr>
          <w:rFonts w:ascii="Times New Roman" w:hAnsi="Times New Roman" w:cs="Times New Roman"/>
          <w:i/>
          <w:iCs/>
          <w:sz w:val="28"/>
          <w:szCs w:val="28"/>
          <w:lang w:bidi="ar-SA"/>
        </w:rPr>
      </w:pPr>
      <w:r w:rsidRPr="00A41B41">
        <w:rPr>
          <w:rFonts w:ascii="Times New Roman" w:hAnsi="Times New Roman" w:cs="Times New Roman"/>
          <w:i/>
          <w:iCs/>
          <w:sz w:val="28"/>
          <w:szCs w:val="28"/>
          <w:lang w:bidi="ar-SA"/>
        </w:rPr>
        <w:t>Описательная статистика</w:t>
      </w:r>
      <w:r>
        <w:rPr>
          <w:rFonts w:ascii="Times New Roman" w:hAnsi="Times New Roman" w:cs="Times New Roman"/>
          <w:i/>
          <w:iCs/>
          <w:sz w:val="28"/>
          <w:szCs w:val="28"/>
          <w:lang w:bidi="ar-SA"/>
        </w:rPr>
        <w:t>.</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Количественные переменные представлены в формате</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w:t>
      </w:r>
      <w:r>
        <w:rPr>
          <w:rFonts w:ascii="Times New Roman" w:hAnsi="Times New Roman" w:cs="Times New Roman"/>
          <w:sz w:val="28"/>
          <w:szCs w:val="28"/>
          <w:lang w:val="en-US" w:bidi="ar-SA"/>
        </w:rPr>
        <w:sym w:font="Symbol" w:char="F0B1"/>
      </w:r>
      <w:r>
        <w:rPr>
          <w:rFonts w:ascii="Times New Roman" w:hAnsi="Times New Roman" w:cs="Times New Roman"/>
          <w:sz w:val="28"/>
          <w:szCs w:val="28"/>
          <w:lang w:val="en-US" w:bidi="ar-SA"/>
        </w:rPr>
        <w:t>SD</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с</w:t>
      </w:r>
      <w:r w:rsidRPr="00A41B41">
        <w:rPr>
          <w:rFonts w:ascii="Times New Roman" w:hAnsi="Times New Roman" w:cs="Times New Roman"/>
          <w:sz w:val="28"/>
          <w:szCs w:val="28"/>
          <w:lang w:bidi="ar-SA"/>
        </w:rPr>
        <w:t>редн</w:t>
      </w:r>
      <w:r>
        <w:rPr>
          <w:rFonts w:ascii="Times New Roman" w:hAnsi="Times New Roman" w:cs="Times New Roman"/>
          <w:sz w:val="28"/>
          <w:szCs w:val="28"/>
          <w:lang w:bidi="ar-SA"/>
        </w:rPr>
        <w:t>ее</w:t>
      </w:r>
      <w:r w:rsidRPr="00A41B41">
        <w:rPr>
          <w:rFonts w:ascii="Times New Roman" w:hAnsi="Times New Roman" w:cs="Times New Roman"/>
          <w:sz w:val="28"/>
          <w:szCs w:val="28"/>
          <w:lang w:bidi="ar-SA"/>
        </w:rPr>
        <w:t xml:space="preserve"> арифметическ</w:t>
      </w:r>
      <w:r>
        <w:rPr>
          <w:rFonts w:ascii="Times New Roman" w:hAnsi="Times New Roman" w:cs="Times New Roman"/>
          <w:sz w:val="28"/>
          <w:szCs w:val="28"/>
          <w:lang w:bidi="ar-SA"/>
        </w:rPr>
        <w:t>ое</w:t>
      </w:r>
      <w:r>
        <w:rPr>
          <w:rFonts w:ascii="Times New Roman" w:hAnsi="Times New Roman" w:cs="Times New Roman"/>
          <w:sz w:val="28"/>
          <w:szCs w:val="28"/>
          <w:lang w:bidi="ar-SA"/>
        </w:rPr>
        <w:sym w:font="Symbol" w:char="F0B1"/>
      </w:r>
      <w:r w:rsidRPr="00A41B41">
        <w:rPr>
          <w:rFonts w:ascii="Times New Roman" w:hAnsi="Times New Roman" w:cs="Times New Roman"/>
          <w:sz w:val="28"/>
          <w:szCs w:val="28"/>
          <w:lang w:bidi="ar-SA"/>
        </w:rPr>
        <w:t>стандартное отклонение)</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Нормальность распределения проверялась критерием Колмогорова</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Смирнова с поправкой Лил</w:t>
      </w:r>
      <w:r>
        <w:rPr>
          <w:rFonts w:ascii="Times New Roman" w:hAnsi="Times New Roman" w:cs="Times New Roman"/>
          <w:sz w:val="28"/>
          <w:szCs w:val="28"/>
          <w:lang w:bidi="ar-SA"/>
        </w:rPr>
        <w:t>лие</w:t>
      </w:r>
      <w:r w:rsidRPr="00A41B41">
        <w:rPr>
          <w:rFonts w:ascii="Times New Roman" w:hAnsi="Times New Roman" w:cs="Times New Roman"/>
          <w:sz w:val="28"/>
          <w:szCs w:val="28"/>
          <w:lang w:bidi="ar-SA"/>
        </w:rPr>
        <w:t>форса</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пороговым значением</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для принятия нулевой гипотезы служил уровень</w:t>
      </w:r>
      <w:r>
        <w:rPr>
          <w:rFonts w:ascii="Times New Roman" w:hAnsi="Times New Roman" w:cs="Times New Roman"/>
          <w:sz w:val="28"/>
          <w:szCs w:val="28"/>
          <w:lang w:bidi="ar-SA"/>
        </w:rPr>
        <w:t xml:space="preserve"> </w:t>
      </w:r>
      <w:r w:rsidRPr="00A41B41">
        <w:rPr>
          <w:rFonts w:ascii="Times New Roman" w:hAnsi="Times New Roman" w:cs="Times New Roman"/>
          <w:i/>
          <w:iCs/>
          <w:sz w:val="28"/>
          <w:szCs w:val="28"/>
          <w:lang w:bidi="ar-SA"/>
        </w:rPr>
        <w:t xml:space="preserve">р&gt;0,05. </w:t>
      </w:r>
    </w:p>
    <w:p w14:paraId="7F16E71A" w14:textId="6FF6A284" w:rsidR="00A41B41" w:rsidRDefault="00A41B41" w:rsidP="00A41B41">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 xml:space="preserve">Сравнительный анализ групп. </w:t>
      </w:r>
      <w:r w:rsidRPr="00A41B41">
        <w:rPr>
          <w:rFonts w:ascii="Times New Roman" w:hAnsi="Times New Roman" w:cs="Times New Roman"/>
          <w:sz w:val="28"/>
          <w:szCs w:val="28"/>
          <w:lang w:bidi="ar-SA"/>
        </w:rPr>
        <w:t xml:space="preserve">Для сравнения </w:t>
      </w:r>
      <w:r>
        <w:rPr>
          <w:rFonts w:ascii="Times New Roman" w:hAnsi="Times New Roman" w:cs="Times New Roman"/>
          <w:sz w:val="28"/>
          <w:szCs w:val="28"/>
          <w:lang w:bidi="ar-SA"/>
        </w:rPr>
        <w:t xml:space="preserve">двух </w:t>
      </w:r>
      <w:r w:rsidRPr="00A41B41">
        <w:rPr>
          <w:rFonts w:ascii="Times New Roman" w:hAnsi="Times New Roman" w:cs="Times New Roman"/>
          <w:sz w:val="28"/>
          <w:szCs w:val="28"/>
          <w:lang w:bidi="ar-SA"/>
        </w:rPr>
        <w:t xml:space="preserve">независимых выборок применялись: </w:t>
      </w:r>
      <w:r>
        <w:rPr>
          <w:rFonts w:ascii="Times New Roman" w:hAnsi="Times New Roman" w:cs="Times New Roman"/>
          <w:sz w:val="28"/>
          <w:szCs w:val="28"/>
          <w:lang w:val="en-US" w:bidi="ar-SA"/>
        </w:rPr>
        <w:t>t</w:t>
      </w:r>
      <w:r w:rsidRPr="00A41B41">
        <w:rPr>
          <w:rFonts w:ascii="Times New Roman" w:hAnsi="Times New Roman" w:cs="Times New Roman"/>
          <w:sz w:val="28"/>
          <w:szCs w:val="28"/>
          <w:lang w:bidi="ar-SA"/>
        </w:rPr>
        <w:t>-критери</w:t>
      </w:r>
      <w:r>
        <w:rPr>
          <w:rFonts w:ascii="Times New Roman" w:hAnsi="Times New Roman" w:cs="Times New Roman"/>
          <w:sz w:val="28"/>
          <w:szCs w:val="28"/>
          <w:lang w:bidi="ar-SA"/>
        </w:rPr>
        <w:t>й Стьюдента (</w:t>
      </w:r>
      <w:r w:rsidRPr="00A41B41">
        <w:rPr>
          <w:rFonts w:ascii="Times New Roman" w:hAnsi="Times New Roman" w:cs="Times New Roman"/>
          <w:sz w:val="28"/>
          <w:szCs w:val="28"/>
          <w:lang w:bidi="ar-SA"/>
        </w:rPr>
        <w:t>параметрические данные</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U</w:t>
      </w:r>
      <w:r w:rsidRPr="00A41B41">
        <w:rPr>
          <w:rFonts w:ascii="Times New Roman" w:hAnsi="Times New Roman" w:cs="Times New Roman"/>
          <w:sz w:val="28"/>
          <w:szCs w:val="28"/>
          <w:lang w:bidi="ar-SA"/>
        </w:rPr>
        <w:t>-критери</w:t>
      </w:r>
      <w:r>
        <w:rPr>
          <w:rFonts w:ascii="Times New Roman" w:hAnsi="Times New Roman" w:cs="Times New Roman"/>
          <w:sz w:val="28"/>
          <w:szCs w:val="28"/>
          <w:lang w:bidi="ar-SA"/>
        </w:rPr>
        <w:t>й Манна-Уитни (</w:t>
      </w:r>
      <w:r w:rsidRPr="00A41B41">
        <w:rPr>
          <w:rFonts w:ascii="Times New Roman" w:hAnsi="Times New Roman" w:cs="Times New Roman"/>
          <w:sz w:val="28"/>
          <w:szCs w:val="28"/>
          <w:lang w:bidi="ar-SA"/>
        </w:rPr>
        <w:t>не параметрические данные</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 xml:space="preserve">При сравнении </w:t>
      </w:r>
      <w:r>
        <w:rPr>
          <w:rFonts w:ascii="Times New Roman" w:hAnsi="Times New Roman" w:cs="Times New Roman"/>
          <w:sz w:val="28"/>
          <w:szCs w:val="28"/>
          <w:lang w:bidi="ar-SA"/>
        </w:rPr>
        <w:t xml:space="preserve">трех </w:t>
      </w:r>
      <w:r w:rsidRPr="00A41B41">
        <w:rPr>
          <w:rFonts w:ascii="Times New Roman" w:hAnsi="Times New Roman" w:cs="Times New Roman"/>
          <w:sz w:val="28"/>
          <w:szCs w:val="28"/>
          <w:lang w:bidi="ar-SA"/>
        </w:rPr>
        <w:t>генотипических групп</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SNP</w:t>
      </w:r>
      <w:r w:rsidRPr="00A41B41">
        <w:rPr>
          <w:rFonts w:ascii="Times New Roman" w:hAnsi="Times New Roman" w:cs="Times New Roman"/>
          <w:sz w:val="28"/>
          <w:szCs w:val="28"/>
          <w:lang w:bidi="ar-SA"/>
        </w:rPr>
        <w:t xml:space="preserve"> использовались: одн</w:t>
      </w:r>
      <w:r>
        <w:rPr>
          <w:rFonts w:ascii="Times New Roman" w:hAnsi="Times New Roman" w:cs="Times New Roman"/>
          <w:sz w:val="28"/>
          <w:szCs w:val="28"/>
          <w:lang w:bidi="ar-SA"/>
        </w:rPr>
        <w:t>о</w:t>
      </w:r>
      <w:r w:rsidRPr="00A41B41">
        <w:rPr>
          <w:rFonts w:ascii="Times New Roman" w:hAnsi="Times New Roman" w:cs="Times New Roman"/>
          <w:sz w:val="28"/>
          <w:szCs w:val="28"/>
          <w:lang w:bidi="ar-SA"/>
        </w:rPr>
        <w:t xml:space="preserve">факторный </w:t>
      </w:r>
      <w:r>
        <w:rPr>
          <w:rFonts w:ascii="Times New Roman" w:hAnsi="Times New Roman" w:cs="Times New Roman"/>
          <w:sz w:val="28"/>
          <w:szCs w:val="28"/>
          <w:lang w:val="en-US" w:bidi="ar-SA"/>
        </w:rPr>
        <w:t>ANOVA</w:t>
      </w:r>
      <w:r w:rsidRPr="00A41B41">
        <w:rPr>
          <w:rFonts w:ascii="Times New Roman" w:hAnsi="Times New Roman" w:cs="Times New Roman"/>
          <w:sz w:val="28"/>
          <w:szCs w:val="28"/>
          <w:lang w:bidi="ar-SA"/>
        </w:rPr>
        <w:t xml:space="preserve"> с апостериорным тестом </w:t>
      </w:r>
      <w:r>
        <w:rPr>
          <w:rFonts w:ascii="Times New Roman" w:hAnsi="Times New Roman" w:cs="Times New Roman"/>
          <w:sz w:val="28"/>
          <w:szCs w:val="28"/>
          <w:lang w:bidi="ar-SA"/>
        </w:rPr>
        <w:t>Т</w:t>
      </w:r>
      <w:r w:rsidRPr="00A41B41">
        <w:rPr>
          <w:rFonts w:ascii="Times New Roman" w:hAnsi="Times New Roman" w:cs="Times New Roman"/>
          <w:sz w:val="28"/>
          <w:szCs w:val="28"/>
          <w:lang w:bidi="ar-SA"/>
        </w:rPr>
        <w:t>ьюки</w:t>
      </w:r>
      <w:r>
        <w:rPr>
          <w:rFonts w:ascii="Times New Roman" w:hAnsi="Times New Roman" w:cs="Times New Roman"/>
          <w:sz w:val="28"/>
          <w:szCs w:val="28"/>
          <w:lang w:bidi="ar-SA"/>
        </w:rPr>
        <w:t xml:space="preserve"> (нормальное распределение); критерий Краскела-Уоллиса с поправкой Данна (отклонение от нормальности).</w:t>
      </w:r>
    </w:p>
    <w:p w14:paraId="2C3BD4B3" w14:textId="0762D239" w:rsidR="00A41B41" w:rsidRPr="00926EC0" w:rsidRDefault="00A41B41" w:rsidP="00A41B41">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Анализ категориальных переменных</w:t>
      </w:r>
      <w:r>
        <w:rPr>
          <w:rFonts w:ascii="Times New Roman" w:hAnsi="Times New Roman" w:cs="Times New Roman"/>
          <w:sz w:val="28"/>
          <w:szCs w:val="28"/>
          <w:lang w:bidi="ar-SA"/>
        </w:rPr>
        <w:t xml:space="preserve">. Категориальные данные описывались как абсолютные частоты и доли (%). Для их сравнения применялись: </w:t>
      </w:r>
      <w:r>
        <w:rPr>
          <w:rFonts w:ascii="Times New Roman" w:hAnsi="Times New Roman" w:cs="Times New Roman"/>
          <w:sz w:val="28"/>
          <w:szCs w:val="28"/>
          <w:lang w:bidi="ar-SA"/>
        </w:rPr>
        <w:sym w:font="Symbol" w:char="F063"/>
      </w:r>
      <w:r w:rsidRPr="00A41B41">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-критерий Пирсона (ожидаемые частоты </w:t>
      </w:r>
      <w:r>
        <w:rPr>
          <w:rFonts w:ascii="Times New Roman" w:hAnsi="Times New Roman" w:cs="Times New Roman"/>
          <w:sz w:val="28"/>
          <w:szCs w:val="28"/>
          <w:lang w:bidi="ar-SA"/>
        </w:rPr>
        <w:sym w:font="Symbol" w:char="F0B3"/>
      </w:r>
      <w:r>
        <w:rPr>
          <w:rFonts w:ascii="Times New Roman" w:hAnsi="Times New Roman" w:cs="Times New Roman"/>
          <w:sz w:val="28"/>
          <w:szCs w:val="28"/>
          <w:lang w:bidi="ar-SA"/>
        </w:rPr>
        <w:t xml:space="preserve">5); точный критерий Фишера (ожидаемые </w:t>
      </w:r>
      <w:r w:rsidR="00CB3A02">
        <w:rPr>
          <w:rFonts w:ascii="Times New Roman" w:hAnsi="Times New Roman" w:cs="Times New Roman"/>
          <w:sz w:val="28"/>
          <w:szCs w:val="28"/>
          <w:lang w:bidi="ar-SA"/>
        </w:rPr>
        <w:t>частоты</w:t>
      </w:r>
      <w:r w:rsidR="00CB3A02" w:rsidRPr="00A41B41">
        <w:rPr>
          <w:rFonts w:ascii="Times New Roman" w:hAnsi="Times New Roman" w:cs="Times New Roman"/>
          <w:sz w:val="28"/>
          <w:szCs w:val="28"/>
          <w:lang w:bidi="ar-SA"/>
        </w:rPr>
        <w:t xml:space="preserve"> &lt;</w:t>
      </w:r>
      <w:r w:rsidRPr="00A41B41">
        <w:rPr>
          <w:rFonts w:ascii="Times New Roman" w:hAnsi="Times New Roman" w:cs="Times New Roman"/>
          <w:sz w:val="28"/>
          <w:szCs w:val="28"/>
          <w:lang w:bidi="ar-SA"/>
        </w:rPr>
        <w:t>5</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w:t>
      </w:r>
    </w:p>
    <w:p w14:paraId="28F61FC6" w14:textId="04ADFD4A" w:rsidR="00FF5E8E" w:rsidRPr="004467D0" w:rsidRDefault="00A41B41" w:rsidP="00FF5E8E">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Расчет мощности и объема выборки</w:t>
      </w:r>
      <w:r>
        <w:rPr>
          <w:rFonts w:ascii="Times New Roman" w:hAnsi="Times New Roman" w:cs="Times New Roman"/>
          <w:sz w:val="28"/>
          <w:szCs w:val="28"/>
          <w:lang w:bidi="ar-SA"/>
        </w:rPr>
        <w:t>. Мощность исследования (85%) и минимальный размер выборки (</w:t>
      </w:r>
      <w:r>
        <w:rPr>
          <w:rFonts w:ascii="Times New Roman" w:hAnsi="Times New Roman" w:cs="Times New Roman"/>
          <w:sz w:val="28"/>
          <w:szCs w:val="28"/>
          <w:lang w:val="en-US" w:bidi="ar-SA"/>
        </w:rPr>
        <w:t>n</w:t>
      </w:r>
      <w:r w:rsidRPr="00A41B41">
        <w:rPr>
          <w:rFonts w:ascii="Times New Roman" w:hAnsi="Times New Roman" w:cs="Times New Roman"/>
          <w:sz w:val="28"/>
          <w:szCs w:val="28"/>
          <w:lang w:bidi="ar-SA"/>
        </w:rPr>
        <w:t>=150</w:t>
      </w:r>
      <w:r>
        <w:rPr>
          <w:rFonts w:ascii="Times New Roman" w:hAnsi="Times New Roman" w:cs="Times New Roman"/>
          <w:sz w:val="28"/>
          <w:szCs w:val="28"/>
          <w:lang w:bidi="ar-SA"/>
        </w:rPr>
        <w:t xml:space="preserve">) </w:t>
      </w:r>
      <w:r w:rsidR="00CB3A02">
        <w:rPr>
          <w:rFonts w:ascii="Times New Roman" w:hAnsi="Times New Roman" w:cs="Times New Roman"/>
          <w:sz w:val="28"/>
          <w:szCs w:val="28"/>
          <w:lang w:bidi="ar-SA"/>
        </w:rPr>
        <w:t>рассчитаны</w:t>
      </w:r>
      <w:r>
        <w:rPr>
          <w:rFonts w:ascii="Times New Roman" w:hAnsi="Times New Roman" w:cs="Times New Roman"/>
          <w:sz w:val="28"/>
          <w:szCs w:val="28"/>
          <w:lang w:bidi="ar-SA"/>
        </w:rPr>
        <w:t xml:space="preserve"> в онлайн-калькуляторе </w:t>
      </w:r>
      <w:proofErr w:type="spellStart"/>
      <w:r>
        <w:rPr>
          <w:rFonts w:ascii="Times New Roman" w:hAnsi="Times New Roman" w:cs="Times New Roman"/>
          <w:sz w:val="28"/>
          <w:szCs w:val="28"/>
          <w:lang w:val="en-US" w:bidi="ar-SA"/>
        </w:rPr>
        <w:t>Clincalc</w:t>
      </w:r>
      <w:proofErr w:type="spellEnd"/>
      <w:r w:rsidRPr="00A41B41">
        <w:rPr>
          <w:rFonts w:ascii="Times New Roman" w:hAnsi="Times New Roman" w:cs="Times New Roman"/>
          <w:sz w:val="28"/>
          <w:szCs w:val="28"/>
          <w:lang w:bidi="ar-SA"/>
        </w:rPr>
        <w:t xml:space="preserve"> (</w:t>
      </w:r>
      <w:hyperlink r:id="rId11"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clincalc</w:t>
        </w:r>
        <w:proofErr w:type="spellEnd"/>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com</w:t>
        </w:r>
      </w:hyperlink>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дата обращения 04.03.2023</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 xml:space="preserve"> при условиях: распределение по полу: 60% мужчины (</w:t>
      </w:r>
      <w:r>
        <w:rPr>
          <w:rFonts w:ascii="Times New Roman" w:hAnsi="Times New Roman" w:cs="Times New Roman"/>
          <w:sz w:val="28"/>
          <w:szCs w:val="28"/>
          <w:lang w:val="en-US" w:bidi="ar-SA"/>
        </w:rPr>
        <w:t>n</w:t>
      </w:r>
      <w:r w:rsidRPr="00A41B41">
        <w:rPr>
          <w:rFonts w:ascii="Times New Roman" w:hAnsi="Times New Roman" w:cs="Times New Roman"/>
          <w:sz w:val="28"/>
          <w:szCs w:val="28"/>
          <w:lang w:bidi="ar-SA"/>
        </w:rPr>
        <w:t>=90</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40% женщины (</w:t>
      </w:r>
      <w:r>
        <w:rPr>
          <w:rFonts w:ascii="Times New Roman" w:hAnsi="Times New Roman" w:cs="Times New Roman"/>
          <w:sz w:val="28"/>
          <w:szCs w:val="28"/>
          <w:lang w:val="en-US" w:bidi="ar-SA"/>
        </w:rPr>
        <w:t>n</w:t>
      </w:r>
      <w:r w:rsidRPr="00A41B41">
        <w:rPr>
          <w:rFonts w:ascii="Times New Roman" w:hAnsi="Times New Roman" w:cs="Times New Roman"/>
          <w:sz w:val="28"/>
          <w:szCs w:val="28"/>
          <w:lang w:bidi="ar-SA"/>
        </w:rPr>
        <w:t>=60</w:t>
      </w:r>
      <w:r>
        <w:rPr>
          <w:rFonts w:ascii="Times New Roman" w:hAnsi="Times New Roman" w:cs="Times New Roman"/>
          <w:sz w:val="28"/>
          <w:szCs w:val="28"/>
          <w:lang w:bidi="ar-SA"/>
        </w:rPr>
        <w:t xml:space="preserve">); уровень значимости </w:t>
      </w:r>
      <w:r>
        <w:rPr>
          <w:rFonts w:ascii="Times New Roman" w:hAnsi="Times New Roman" w:cs="Times New Roman"/>
          <w:sz w:val="28"/>
          <w:szCs w:val="28"/>
          <w:lang w:bidi="ar-SA"/>
        </w:rPr>
        <w:sym w:font="Symbol" w:char="F061"/>
      </w:r>
      <w:r>
        <w:rPr>
          <w:rFonts w:ascii="Times New Roman" w:hAnsi="Times New Roman" w:cs="Times New Roman"/>
          <w:sz w:val="28"/>
          <w:szCs w:val="28"/>
          <w:lang w:bidi="ar-SA"/>
        </w:rPr>
        <w:t xml:space="preserve">=0,05; эффект размера </w:t>
      </w:r>
      <w:r w:rsidRPr="00A41B41">
        <w:rPr>
          <w:rFonts w:ascii="Times New Roman" w:hAnsi="Times New Roman" w:cs="Times New Roman"/>
          <w:i/>
          <w:iCs/>
          <w:sz w:val="28"/>
          <w:szCs w:val="28"/>
          <w:lang w:val="en-US" w:bidi="ar-SA"/>
        </w:rPr>
        <w:t>d</w:t>
      </w:r>
      <w:r w:rsidRPr="00A41B41">
        <w:rPr>
          <w:rFonts w:ascii="Times New Roman" w:hAnsi="Times New Roman" w:cs="Times New Roman"/>
          <w:i/>
          <w:iCs/>
          <w:sz w:val="28"/>
          <w:szCs w:val="28"/>
          <w:lang w:bidi="ar-SA"/>
        </w:rPr>
        <w:t xml:space="preserve">=0,5 </w:t>
      </w:r>
      <w:r>
        <w:rPr>
          <w:rFonts w:ascii="Times New Roman" w:hAnsi="Times New Roman" w:cs="Times New Roman"/>
          <w:sz w:val="28"/>
          <w:szCs w:val="28"/>
          <w:lang w:bidi="ar-SA"/>
        </w:rPr>
        <w:t>(средний)</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{"citationID":"cKSu1zXV","properties":{"unsorted":false,"formattedCitation":"[198]","plainCitation":"[198]","noteIndex":0},"citationItems":[{"id":701,"uris":["http://zotero.org/users/14784094/items/VPE5JM7S"],"itemData":{"id":701,"type":"article-journal","abstract":"Nowadays, direct oral anticoagulants (DOACs) are the ﬁrst-line anticoagulant strategy in patients with non-valvular atrial ﬁbrillation (NVAF). We aimed to identify the inﬂuence of polymorphisms of the genes encoding P-glycoprotein (ABCB1) and carboxylesterase 1 (CES1) on the variability of plasma concentrations of DOACs in Kazakhstani patients with NVAF. We analyzed polymorphisms rs4148738, rs1045642, rs2032582 and rs1128503 in ABCB1 and rs8192935, rs2244613 and rs71647871 CES1 genes and measured the plasma concentrations of dabigatran/apixaban and biochemical parameters in 150 Kazakhstani NVAF patients. Polymorphism rs8192935 in the CES1 gene (p = 0.04), BMI (p = 0.01) and APTT level (p = 0.01) were statistically signiﬁcant independent factors of trough plasma concentration of dabigatran. In contrast, polymorphisms rs4148738, rs1045642, rs2032582 and rs1128503 in ABCB1 and rs8192935, rs2244613 and rs71647871 CES1 genes did not show signiﬁcant inﬂuence on plasma concentrations of dabigatran/apixaban drugs (p &gt; 0.05). Patients with GG genotype (138.8 ± 100.1 ng/mL) had higher peak plasma concentration of dabigatran than with AA genotype (100.9 ± 59.6 ng/mL) and AG genotype (98.7 ± 72.3 ng/mL) (Kruskal–Wallis test, p = 0.25). Thus, CES1 rs8192935 is signiﬁcantly associated with plasma concentrations of dabigatran in Kazakhstani NVAF patients (p &lt; 0.05). The level of the plasma concentration shows that biotransformation of the dabigatran processed faster in individual carriers of GG genotype rs8192935 in the CES1 gene than with AA genotype.","container-title":"Genes","DOI":"10.3390/genes14061192","ISSN":"2073-4425","issue":"6","journalAbbreviation":"Genes","language":"en","license":"https://creativecommons.org/licenses/by/4.0/","page":"1192","source":"DOI.org (Crossref)","title":"The Distribution of the Genotypes of ABCB1 and CES1 Polymorphisms in Kazakhstani Patients with Atrial Fibrillation Treated with DOAC","volume":"14","author":[{"family":"Abdrakhmanov","given":"Ayan"},{"family":"Akilzhanova","given":"Ainur"},{"family":"Shaimerdinova","given":"Aizhan"},{"family":"Zhalbinova","given":"Madina"},{"family":"Tuyakova","given":"Gulnara"},{"family":"Abildinova","given":"Svetlana"},{"family":"Albayev","given":"Rustam"},{"family":"Ainabekova","given":"Bayan"},{"family":"Chinybayeva","given":"Assel"},{"family":"Suleimen","given":"Zhanasyl"},{"family":"Bekbossynova","given":"Makhabbat"}],"issued":{"date-parts":[["2023",5,29]]}}}],"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[198]</w:t>
      </w:r>
      <w:r>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w:t>
      </w:r>
    </w:p>
    <w:p w14:paraId="70500246" w14:textId="7467C7EF" w:rsidR="00A41B41" w:rsidRDefault="00A41B41" w:rsidP="00FF5E8E">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Проверка равновесия Хайди-Вайнберга (</w:t>
      </w:r>
      <w:r w:rsidRPr="00A41B41">
        <w:rPr>
          <w:rFonts w:ascii="Times New Roman" w:hAnsi="Times New Roman" w:cs="Times New Roman"/>
          <w:i/>
          <w:iCs/>
          <w:sz w:val="28"/>
          <w:szCs w:val="28"/>
          <w:lang w:val="en-US" w:bidi="ar-SA"/>
        </w:rPr>
        <w:t>HWE</w:t>
      </w:r>
      <w:r w:rsidRPr="00A41B41">
        <w:rPr>
          <w:rFonts w:ascii="Times New Roman" w:hAnsi="Times New Roman" w:cs="Times New Roman"/>
          <w:i/>
          <w:iCs/>
          <w:sz w:val="28"/>
          <w:szCs w:val="28"/>
          <w:lang w:bidi="ar-SA"/>
        </w:rPr>
        <w:t xml:space="preserve">). </w:t>
      </w:r>
      <w:r w:rsidRPr="00A41B41">
        <w:rPr>
          <w:rFonts w:ascii="Times New Roman" w:hAnsi="Times New Roman" w:cs="Times New Roman"/>
          <w:sz w:val="28"/>
          <w:szCs w:val="28"/>
          <w:lang w:bidi="ar-SA"/>
        </w:rPr>
        <w:t>Соответствие распределени</w:t>
      </w:r>
      <w:r>
        <w:rPr>
          <w:rFonts w:ascii="Times New Roman" w:hAnsi="Times New Roman" w:cs="Times New Roman"/>
          <w:sz w:val="28"/>
          <w:szCs w:val="28"/>
          <w:lang w:bidi="ar-SA"/>
        </w:rPr>
        <w:t xml:space="preserve">я </w:t>
      </w:r>
      <w:r w:rsidRPr="00A41B41">
        <w:rPr>
          <w:rFonts w:ascii="Times New Roman" w:hAnsi="Times New Roman" w:cs="Times New Roman"/>
          <w:sz w:val="28"/>
          <w:szCs w:val="28"/>
          <w:lang w:bidi="ar-SA"/>
        </w:rPr>
        <w:t>ген</w:t>
      </w:r>
      <w:r>
        <w:rPr>
          <w:rFonts w:ascii="Times New Roman" w:hAnsi="Times New Roman" w:cs="Times New Roman"/>
          <w:sz w:val="28"/>
          <w:szCs w:val="28"/>
          <w:lang w:bidi="ar-SA"/>
        </w:rPr>
        <w:t>отип</w:t>
      </w:r>
      <w:r w:rsidRPr="00A41B41">
        <w:rPr>
          <w:rFonts w:ascii="Times New Roman" w:hAnsi="Times New Roman" w:cs="Times New Roman"/>
          <w:sz w:val="28"/>
          <w:szCs w:val="28"/>
          <w:lang w:bidi="ar-SA"/>
        </w:rPr>
        <w:t>ов</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HWE</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о</w:t>
      </w:r>
      <w:r w:rsidRPr="00A41B41">
        <w:rPr>
          <w:rFonts w:ascii="Times New Roman" w:hAnsi="Times New Roman" w:cs="Times New Roman"/>
          <w:sz w:val="28"/>
          <w:szCs w:val="28"/>
          <w:lang w:bidi="ar-SA"/>
        </w:rPr>
        <w:t>ценивалась комбинацией</w:t>
      </w:r>
      <w:r>
        <w:rPr>
          <w:rFonts w:ascii="Times New Roman" w:hAnsi="Times New Roman" w:cs="Times New Roman"/>
          <w:sz w:val="28"/>
          <w:szCs w:val="28"/>
          <w:lang w:bidi="ar-SA"/>
        </w:rPr>
        <w:t xml:space="preserve"> </w:t>
      </w:r>
      <w:r>
        <w:rPr>
          <w:rFonts w:ascii="Times New Roman" w:hAnsi="Times New Roman" w:cs="Times New Roman"/>
          <w:sz w:val="28"/>
          <w:szCs w:val="28"/>
          <w:lang w:bidi="ar-SA"/>
        </w:rPr>
        <w:sym w:font="Symbol" w:char="F063"/>
      </w:r>
      <w:r w:rsidRPr="00A41B41">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-теста и </w:t>
      </w:r>
      <w:r w:rsidRPr="00A41B41">
        <w:rPr>
          <w:rFonts w:ascii="Times New Roman" w:hAnsi="Times New Roman" w:cs="Times New Roman"/>
          <w:sz w:val="28"/>
          <w:szCs w:val="28"/>
          <w:lang w:bidi="ar-SA"/>
        </w:rPr>
        <w:t xml:space="preserve">точного критерия </w:t>
      </w:r>
      <w:r>
        <w:rPr>
          <w:rFonts w:ascii="Times New Roman" w:hAnsi="Times New Roman" w:cs="Times New Roman"/>
          <w:sz w:val="28"/>
          <w:szCs w:val="28"/>
          <w:lang w:bidi="ar-SA"/>
        </w:rPr>
        <w:t>Ф</w:t>
      </w:r>
      <w:r w:rsidRPr="00A41B41">
        <w:rPr>
          <w:rFonts w:ascii="Times New Roman" w:hAnsi="Times New Roman" w:cs="Times New Roman"/>
          <w:sz w:val="28"/>
          <w:szCs w:val="28"/>
          <w:lang w:bidi="ar-SA"/>
        </w:rPr>
        <w:t>ишера</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 xml:space="preserve">Отклонением считалось значение </w:t>
      </w:r>
      <w:proofErr w:type="gramStart"/>
      <w:r>
        <w:rPr>
          <w:rFonts w:ascii="Times New Roman" w:hAnsi="Times New Roman" w:cs="Times New Roman"/>
          <w:sz w:val="28"/>
          <w:szCs w:val="28"/>
          <w:lang w:val="en-US" w:bidi="ar-SA"/>
        </w:rPr>
        <w:t>p</w:t>
      </w:r>
      <w:r w:rsidRPr="00926EC0">
        <w:rPr>
          <w:rFonts w:ascii="Times New Roman" w:hAnsi="Times New Roman" w:cs="Times New Roman"/>
          <w:sz w:val="28"/>
          <w:szCs w:val="28"/>
          <w:lang w:bidi="ar-SA"/>
        </w:rPr>
        <w:t>&lt;</w:t>
      </w:r>
      <w:proofErr w:type="gramEnd"/>
      <w:r w:rsidRPr="00926EC0">
        <w:rPr>
          <w:rFonts w:ascii="Times New Roman" w:hAnsi="Times New Roman" w:cs="Times New Roman"/>
          <w:sz w:val="28"/>
          <w:szCs w:val="28"/>
          <w:lang w:bidi="ar-SA"/>
        </w:rPr>
        <w:t xml:space="preserve">0,01 </w:t>
      </w:r>
      <w:r w:rsidRPr="00A41B41">
        <w:rPr>
          <w:rFonts w:ascii="Times New Roman" w:hAnsi="Times New Roman" w:cs="Times New Roman"/>
          <w:sz w:val="28"/>
          <w:szCs w:val="28"/>
          <w:lang w:bidi="ar-SA"/>
        </w:rPr>
        <w:t>после коррекции</w:t>
      </w:r>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Бонферрони</w:t>
      </w:r>
      <w:proofErr w:type="spellEnd"/>
      <w:r>
        <w:rPr>
          <w:rFonts w:ascii="Times New Roman" w:hAnsi="Times New Roman" w:cs="Times New Roman"/>
          <w:sz w:val="28"/>
          <w:szCs w:val="28"/>
          <w:lang w:bidi="ar-SA"/>
        </w:rPr>
        <w:t>.</w:t>
      </w:r>
    </w:p>
    <w:p w14:paraId="1F74E4BA" w14:textId="378B0C75" w:rsidR="00A41B41" w:rsidRDefault="00A41B41" w:rsidP="00FF5E8E">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Регрессионный анализ</w:t>
      </w:r>
      <w:r>
        <w:rPr>
          <w:rFonts w:ascii="Times New Roman" w:hAnsi="Times New Roman" w:cs="Times New Roman"/>
          <w:sz w:val="28"/>
          <w:szCs w:val="28"/>
          <w:lang w:bidi="ar-SA"/>
        </w:rPr>
        <w:t xml:space="preserve">. 1) </w:t>
      </w:r>
      <w:r w:rsidRPr="00A41B41">
        <w:rPr>
          <w:rFonts w:ascii="Times New Roman" w:hAnsi="Times New Roman" w:cs="Times New Roman"/>
          <w:i/>
          <w:iCs/>
          <w:sz w:val="28"/>
          <w:szCs w:val="28"/>
          <w:lang w:bidi="ar-SA"/>
        </w:rPr>
        <w:t>Логистическая регрессия</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оценка ассоциаци</w:t>
      </w:r>
      <w:r>
        <w:rPr>
          <w:rFonts w:ascii="Times New Roman" w:hAnsi="Times New Roman" w:cs="Times New Roman"/>
          <w:sz w:val="28"/>
          <w:szCs w:val="28"/>
          <w:lang w:bidi="ar-SA"/>
        </w:rPr>
        <w:t xml:space="preserve">й </w:t>
      </w:r>
      <w:r>
        <w:rPr>
          <w:rFonts w:ascii="Times New Roman" w:hAnsi="Times New Roman" w:cs="Times New Roman"/>
          <w:sz w:val="28"/>
          <w:szCs w:val="28"/>
          <w:lang w:val="en-US" w:bidi="ar-SA"/>
        </w:rPr>
        <w:t>SNP</w:t>
      </w:r>
      <w:r w:rsidRPr="00A41B41">
        <w:rPr>
          <w:rFonts w:ascii="Times New Roman" w:hAnsi="Times New Roman" w:cs="Times New Roman"/>
          <w:sz w:val="28"/>
          <w:szCs w:val="28"/>
          <w:lang w:bidi="ar-SA"/>
        </w:rPr>
        <w:t xml:space="preserve"> с полом через отношение шансов</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OR</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и 95</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доверительный интервал</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CI</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выполнена в веб-интерфейсе</w:t>
      </w:r>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val="en-US" w:bidi="ar-SA"/>
        </w:rPr>
        <w:t>SNPstats</w:t>
      </w:r>
      <w:proofErr w:type="spellEnd"/>
      <w:r w:rsidRPr="00A41B41">
        <w:rPr>
          <w:rFonts w:ascii="Times New Roman" w:hAnsi="Times New Roman" w:cs="Times New Roman"/>
          <w:sz w:val="28"/>
          <w:szCs w:val="28"/>
          <w:lang w:bidi="ar-SA"/>
        </w:rPr>
        <w:t xml:space="preserve"> (</w:t>
      </w:r>
      <w:hyperlink r:id="rId12"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snpstats</w:t>
        </w:r>
        <w:proofErr w:type="spellEnd"/>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net</w:t>
        </w:r>
      </w:hyperlink>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дата обращения: 06.02.2023</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2) </w:t>
      </w:r>
      <w:r w:rsidRPr="00A41B41">
        <w:rPr>
          <w:rFonts w:ascii="Times New Roman" w:hAnsi="Times New Roman" w:cs="Times New Roman"/>
          <w:i/>
          <w:iCs/>
          <w:sz w:val="28"/>
          <w:szCs w:val="28"/>
          <w:lang w:bidi="ar-SA"/>
        </w:rPr>
        <w:t>Множественная линейная регрессия:</w:t>
      </w:r>
      <w:r w:rsidRPr="00A41B41">
        <w:rPr>
          <w:rFonts w:ascii="Times New Roman" w:hAnsi="Times New Roman" w:cs="Times New Roman"/>
          <w:sz w:val="28"/>
          <w:szCs w:val="28"/>
          <w:lang w:bidi="ar-SA"/>
        </w:rPr>
        <w:t xml:space="preserve"> анализ влияния полиморфизмов </w:t>
      </w:r>
      <w:r>
        <w:rPr>
          <w:rFonts w:ascii="Times New Roman" w:hAnsi="Times New Roman" w:cs="Times New Roman"/>
          <w:sz w:val="28"/>
          <w:szCs w:val="28"/>
          <w:lang w:val="en-US" w:bidi="ar-SA"/>
        </w:rPr>
        <w:t>ABCB</w:t>
      </w:r>
      <w:r w:rsidRPr="00A41B41">
        <w:rPr>
          <w:rFonts w:ascii="Times New Roman" w:hAnsi="Times New Roman" w:cs="Times New Roman"/>
          <w:sz w:val="28"/>
          <w:szCs w:val="28"/>
          <w:lang w:bidi="ar-SA"/>
        </w:rPr>
        <w:t>1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 xml:space="preserve"> 1128503)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CES</w:t>
      </w:r>
      <w:r w:rsidRPr="00A41B41">
        <w:rPr>
          <w:rFonts w:ascii="Times New Roman" w:hAnsi="Times New Roman" w:cs="Times New Roman"/>
          <w:sz w:val="28"/>
          <w:szCs w:val="28"/>
          <w:lang w:bidi="ar-SA"/>
        </w:rPr>
        <w:t>1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 xml:space="preserve">8192935,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 xml:space="preserve">2244613,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71647871) на концентрации</w:t>
      </w:r>
      <w:r>
        <w:rPr>
          <w:rFonts w:ascii="Times New Roman" w:hAnsi="Times New Roman" w:cs="Times New Roman"/>
          <w:sz w:val="28"/>
          <w:szCs w:val="28"/>
          <w:lang w:bidi="ar-SA"/>
        </w:rPr>
        <w:t xml:space="preserve"> дабигатрана/апиксабана</w:t>
      </w:r>
      <w:r w:rsidRPr="00A41B41">
        <w:rPr>
          <w:rFonts w:ascii="Times New Roman" w:hAnsi="Times New Roman" w:cs="Times New Roman"/>
          <w:sz w:val="28"/>
          <w:szCs w:val="28"/>
          <w:lang w:bidi="ar-SA"/>
        </w:rPr>
        <w:t xml:space="preserve"> в плазме; учтены поправки на возраст, </w:t>
      </w:r>
      <w:r>
        <w:rPr>
          <w:rFonts w:ascii="Times New Roman" w:hAnsi="Times New Roman" w:cs="Times New Roman"/>
          <w:sz w:val="28"/>
          <w:szCs w:val="28"/>
          <w:lang w:bidi="ar-SA"/>
        </w:rPr>
        <w:t xml:space="preserve">ИМТ, </w:t>
      </w:r>
      <w:r w:rsidRPr="00A41B41">
        <w:rPr>
          <w:rFonts w:ascii="Times New Roman" w:hAnsi="Times New Roman" w:cs="Times New Roman"/>
          <w:sz w:val="28"/>
          <w:szCs w:val="28"/>
          <w:lang w:bidi="ar-SA"/>
        </w:rPr>
        <w:t>клиренс креатинина</w:t>
      </w:r>
      <w:r>
        <w:rPr>
          <w:rFonts w:ascii="Times New Roman" w:hAnsi="Times New Roman" w:cs="Times New Roman"/>
          <w:sz w:val="28"/>
          <w:szCs w:val="28"/>
          <w:lang w:bidi="ar-SA"/>
        </w:rPr>
        <w:t>.</w:t>
      </w:r>
    </w:p>
    <w:p w14:paraId="2C25F0C5" w14:textId="5855FEE8" w:rsidR="00A41B41" w:rsidRDefault="00A41B41" w:rsidP="00FF5E8E">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i/>
          <w:iCs/>
          <w:sz w:val="28"/>
          <w:szCs w:val="28"/>
          <w:lang w:bidi="ar-SA"/>
        </w:rPr>
        <w:t xml:space="preserve">Многофакторная модель: </w:t>
      </w:r>
      <w:r>
        <w:rPr>
          <w:rFonts w:ascii="Times New Roman" w:hAnsi="Times New Roman" w:cs="Times New Roman"/>
          <w:sz w:val="28"/>
          <w:szCs w:val="28"/>
          <w:lang w:bidi="ar-SA"/>
        </w:rPr>
        <w:t xml:space="preserve">исследование взаимосвязи генотипа </w:t>
      </w:r>
      <w:r>
        <w:rPr>
          <w:rFonts w:ascii="Times New Roman" w:hAnsi="Times New Roman" w:cs="Times New Roman"/>
          <w:sz w:val="28"/>
          <w:szCs w:val="28"/>
          <w:lang w:val="en-US" w:bidi="ar-SA"/>
        </w:rPr>
        <w:t>CES</w:t>
      </w:r>
      <w:r w:rsidRPr="00A41B41">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rs</w:t>
      </w:r>
      <w:r w:rsidRPr="00A41B41">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с пиковыми концентрациями антикоагулянтов и биохимическими маркерами.</w:t>
      </w:r>
    </w:p>
    <w:p w14:paraId="1C31AD7E" w14:textId="3A9733C7" w:rsidR="00A41B41" w:rsidRDefault="00A41B41" w:rsidP="00A41B41">
      <w:pPr>
        <w:pStyle w:val="LO-normal"/>
        <w:spacing w:after="0" w:line="240" w:lineRule="auto"/>
        <w:ind w:firstLine="567"/>
        <w:jc w:val="both"/>
        <w:rPr>
          <w:rFonts w:ascii="Times New Roman" w:hAnsi="Times New Roman" w:cs="Times New Roman"/>
          <w:sz w:val="28"/>
          <w:szCs w:val="28"/>
          <w:lang w:bidi="ar-SA"/>
        </w:rPr>
      </w:pPr>
      <w:r w:rsidRPr="00A41B41">
        <w:rPr>
          <w:rFonts w:ascii="Times New Roman" w:hAnsi="Times New Roman" w:cs="Times New Roman"/>
          <w:i/>
          <w:iCs/>
          <w:sz w:val="28"/>
          <w:szCs w:val="28"/>
          <w:lang w:bidi="ar-SA"/>
        </w:rPr>
        <w:t>Программное обеспечение.</w:t>
      </w:r>
      <w:r>
        <w:rPr>
          <w:rFonts w:ascii="Times New Roman" w:hAnsi="Times New Roman" w:cs="Times New Roman"/>
          <w:sz w:val="28"/>
          <w:szCs w:val="28"/>
          <w:lang w:bidi="ar-SA"/>
        </w:rPr>
        <w:t xml:space="preserve"> Все расчеты выполнены в </w:t>
      </w:r>
      <w:r>
        <w:rPr>
          <w:rFonts w:ascii="Times New Roman" w:hAnsi="Times New Roman" w:cs="Times New Roman"/>
          <w:sz w:val="28"/>
          <w:szCs w:val="28"/>
          <w:lang w:val="en-US" w:bidi="ar-SA"/>
        </w:rPr>
        <w:t>SPSS</w:t>
      </w:r>
      <w:r w:rsidRPr="00A41B41">
        <w:rPr>
          <w:rFonts w:ascii="Times New Roman" w:hAnsi="Times New Roman" w:cs="Times New Roman"/>
          <w:sz w:val="28"/>
          <w:szCs w:val="28"/>
          <w:lang w:bidi="ar-SA"/>
        </w:rPr>
        <w:t xml:space="preserve"> 23.0 (</w:t>
      </w:r>
      <w:r>
        <w:rPr>
          <w:rFonts w:ascii="Times New Roman" w:hAnsi="Times New Roman" w:cs="Times New Roman"/>
          <w:sz w:val="28"/>
          <w:szCs w:val="28"/>
          <w:lang w:val="en-US" w:bidi="ar-SA"/>
        </w:rPr>
        <w:t>IBM</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Corp</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США</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 xml:space="preserve"> с использованием модулей: </w:t>
      </w:r>
      <w:r>
        <w:rPr>
          <w:rFonts w:ascii="Times New Roman" w:hAnsi="Times New Roman" w:cs="Times New Roman"/>
          <w:sz w:val="28"/>
          <w:szCs w:val="28"/>
          <w:lang w:val="en-US" w:bidi="ar-SA"/>
        </w:rPr>
        <w:t>Descriptive</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Statistics</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для первичной обработки; </w:t>
      </w:r>
      <w:r>
        <w:rPr>
          <w:rFonts w:ascii="Times New Roman" w:hAnsi="Times New Roman" w:cs="Times New Roman"/>
          <w:sz w:val="28"/>
          <w:szCs w:val="28"/>
          <w:lang w:val="en-US" w:bidi="ar-SA"/>
        </w:rPr>
        <w:t>Generalized</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Linear</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Models</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для регрессионного анализа; </w:t>
      </w:r>
      <w:r>
        <w:rPr>
          <w:rFonts w:ascii="Times New Roman" w:hAnsi="Times New Roman" w:cs="Times New Roman"/>
          <w:sz w:val="28"/>
          <w:szCs w:val="28"/>
          <w:lang w:val="en-US" w:bidi="ar-SA"/>
        </w:rPr>
        <w:t>Nonparametric</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Tests</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bidi="ar-SA"/>
        </w:rPr>
        <w:t>для работы с непараметрическими данными.</w:t>
      </w:r>
    </w:p>
    <w:p w14:paraId="7A1A17D1" w14:textId="77777777" w:rsidR="00A41B41" w:rsidRDefault="00A41B41" w:rsidP="00A41B41">
      <w:pPr>
        <w:pStyle w:val="LO-normal"/>
        <w:spacing w:after="0" w:line="240" w:lineRule="auto"/>
        <w:ind w:firstLine="567"/>
        <w:jc w:val="both"/>
        <w:rPr>
          <w:rFonts w:ascii="Times New Roman" w:hAnsi="Times New Roman" w:cs="Times New Roman"/>
          <w:sz w:val="28"/>
          <w:szCs w:val="28"/>
          <w:lang w:bidi="ar-SA"/>
        </w:rPr>
      </w:pPr>
    </w:p>
    <w:p w14:paraId="5A0ACE82" w14:textId="353B781D" w:rsidR="00A41B41" w:rsidRDefault="00A41B41" w:rsidP="00A41B41">
      <w:pPr>
        <w:pStyle w:val="LO-normal"/>
        <w:spacing w:after="0" w:line="240" w:lineRule="auto"/>
        <w:ind w:firstLine="567"/>
        <w:jc w:val="both"/>
        <w:rPr>
          <w:rFonts w:ascii="Times New Roman" w:hAnsi="Times New Roman" w:cs="Times New Roman"/>
          <w:b/>
          <w:bCs/>
          <w:sz w:val="28"/>
          <w:szCs w:val="28"/>
          <w:lang w:bidi="ar-SA"/>
        </w:rPr>
      </w:pPr>
      <w:r w:rsidRPr="00A41B41">
        <w:rPr>
          <w:rFonts w:ascii="Times New Roman" w:hAnsi="Times New Roman" w:cs="Times New Roman"/>
          <w:b/>
          <w:bCs/>
          <w:sz w:val="28"/>
          <w:szCs w:val="28"/>
          <w:lang w:bidi="ar-SA"/>
        </w:rPr>
        <w:t>Информационный анализ</w:t>
      </w:r>
    </w:p>
    <w:p w14:paraId="38745D88" w14:textId="6B792414" w:rsidR="00A41B41" w:rsidRDefault="00A41B41" w:rsidP="00A41B4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И</w:t>
      </w:r>
      <w:r w:rsidRPr="00A41B41">
        <w:rPr>
          <w:rFonts w:ascii="Times New Roman" w:hAnsi="Times New Roman" w:cs="Times New Roman"/>
          <w:sz w:val="28"/>
          <w:szCs w:val="28"/>
          <w:lang w:bidi="ar-SA"/>
        </w:rPr>
        <w:t>нформационный анализ статей по теме исследования проводился в открытых научных базах данных</w:t>
      </w:r>
      <w:r>
        <w:rPr>
          <w:rFonts w:ascii="Times New Roman" w:hAnsi="Times New Roman" w:cs="Times New Roman"/>
          <w:sz w:val="28"/>
          <w:szCs w:val="28"/>
          <w:lang w:bidi="ar-SA"/>
        </w:rPr>
        <w:t xml:space="preserve"> </w:t>
      </w:r>
      <w:hyperlink r:id="rId13" w:history="1">
        <w:r w:rsidRPr="00817721">
          <w:rPr>
            <w:rStyle w:val="af0"/>
            <w:rFonts w:ascii="Times New Roman" w:hAnsi="Times New Roman" w:cs="Times New Roman"/>
            <w:sz w:val="28"/>
            <w:szCs w:val="28"/>
            <w:lang w:val="en-US" w:bidi="ar-SA"/>
          </w:rPr>
          <w:t>http</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www</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ncbi</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nlm</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nih</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gov</w:t>
        </w:r>
        <w:r w:rsidRPr="00817721">
          <w:rPr>
            <w:rStyle w:val="af0"/>
            <w:rFonts w:ascii="Times New Roman" w:hAnsi="Times New Roman" w:cs="Times New Roman"/>
            <w:sz w:val="28"/>
            <w:szCs w:val="28"/>
            <w:lang w:bidi="ar-SA"/>
          </w:rPr>
          <w:t>/</w:t>
        </w:r>
      </w:hyperlink>
      <w:r w:rsidRPr="00A41B41">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val="en-US" w:bidi="ar-SA"/>
        </w:rPr>
        <w:t>Pubmed</w:t>
      </w:r>
      <w:proofErr w:type="spellEnd"/>
      <w:r w:rsidRPr="00A41B41">
        <w:rPr>
          <w:rFonts w:ascii="Times New Roman" w:hAnsi="Times New Roman" w:cs="Times New Roman"/>
          <w:sz w:val="28"/>
          <w:szCs w:val="28"/>
          <w:lang w:bidi="ar-SA"/>
        </w:rPr>
        <w:t xml:space="preserve">), </w:t>
      </w:r>
      <w:hyperlink r:id="rId14"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scholar</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google</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com</w:t>
        </w:r>
        <w:r w:rsidRPr="00A41B41">
          <w:rPr>
            <w:rStyle w:val="af0"/>
            <w:rFonts w:ascii="Times New Roman" w:hAnsi="Times New Roman" w:cs="Times New Roman"/>
            <w:sz w:val="28"/>
            <w:szCs w:val="28"/>
            <w:lang w:bidi="ar-SA"/>
          </w:rPr>
          <w:t>/</w:t>
        </w:r>
      </w:hyperlink>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Google</w:t>
      </w:r>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Scholar</w:t>
      </w:r>
      <w:r w:rsidRPr="00A41B41">
        <w:rPr>
          <w:rFonts w:ascii="Times New Roman" w:hAnsi="Times New Roman" w:cs="Times New Roman"/>
          <w:sz w:val="28"/>
          <w:szCs w:val="28"/>
          <w:lang w:bidi="ar-SA"/>
        </w:rPr>
        <w:t xml:space="preserve">), </w:t>
      </w:r>
      <w:hyperlink r:id="rId15"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www</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nlm</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nih</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gov</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medline</w:t>
        </w:r>
        <w:r w:rsidRPr="00817721">
          <w:rPr>
            <w:rStyle w:val="af0"/>
            <w:rFonts w:ascii="Times New Roman" w:hAnsi="Times New Roman" w:cs="Times New Roman"/>
            <w:sz w:val="28"/>
            <w:szCs w:val="28"/>
            <w:lang w:bidi="ar-SA"/>
          </w:rPr>
          <w:t>_</w:t>
        </w:r>
        <w:r w:rsidRPr="00817721">
          <w:rPr>
            <w:rStyle w:val="af0"/>
            <w:rFonts w:ascii="Times New Roman" w:hAnsi="Times New Roman" w:cs="Times New Roman"/>
            <w:sz w:val="28"/>
            <w:szCs w:val="28"/>
            <w:lang w:val="en-US" w:bidi="ar-SA"/>
          </w:rPr>
          <w:t>overview</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html</w:t>
        </w:r>
      </w:hyperlink>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Medline</w:t>
      </w:r>
      <w:r w:rsidRPr="00A41B41">
        <w:rPr>
          <w:rFonts w:ascii="Times New Roman" w:hAnsi="Times New Roman" w:cs="Times New Roman"/>
          <w:sz w:val="28"/>
          <w:szCs w:val="28"/>
          <w:lang w:bidi="ar-SA"/>
        </w:rPr>
        <w:t xml:space="preserve">), </w:t>
      </w:r>
      <w:hyperlink r:id="rId16"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www</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cochrane</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org</w:t>
        </w:r>
        <w:r w:rsidRPr="00A41B41">
          <w:rPr>
            <w:rStyle w:val="af0"/>
            <w:rFonts w:ascii="Times New Roman" w:hAnsi="Times New Roman" w:cs="Times New Roman"/>
            <w:sz w:val="28"/>
            <w:szCs w:val="28"/>
            <w:lang w:bidi="ar-SA"/>
          </w:rPr>
          <w:t>/</w:t>
        </w:r>
      </w:hyperlink>
      <w:r w:rsidRPr="00A41B4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Cochrane</w:t>
      </w:r>
      <w:r w:rsidRPr="00A41B41">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r w:rsidRPr="00A41B41">
        <w:rPr>
          <w:rFonts w:ascii="Times New Roman" w:hAnsi="Times New Roman" w:cs="Times New Roman"/>
          <w:sz w:val="28"/>
          <w:szCs w:val="28"/>
          <w:lang w:bidi="ar-SA"/>
        </w:rPr>
        <w:t xml:space="preserve">Поиск русскоязычных статей проводился в базе данных </w:t>
      </w:r>
      <w:hyperlink r:id="rId17"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cyberleninka</w:t>
        </w:r>
        <w:proofErr w:type="spellEnd"/>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ru</w:t>
        </w:r>
        <w:proofErr w:type="spellEnd"/>
      </w:hyperlink>
      <w:r w:rsidRPr="00A41B41">
        <w:rPr>
          <w:rFonts w:ascii="Times New Roman" w:hAnsi="Times New Roman" w:cs="Times New Roman"/>
          <w:sz w:val="28"/>
          <w:szCs w:val="28"/>
          <w:lang w:bidi="ar-SA"/>
        </w:rPr>
        <w:t xml:space="preserve">. </w:t>
      </w:r>
    </w:p>
    <w:p w14:paraId="2169F87F" w14:textId="77777777" w:rsidR="00A41B41" w:rsidRDefault="00A41B41" w:rsidP="00A41B41">
      <w:pPr>
        <w:pStyle w:val="LO-normal"/>
      </w:pPr>
      <w:r>
        <w:br w:type="page"/>
      </w:r>
    </w:p>
    <w:p w14:paraId="54195906" w14:textId="2C59D88C" w:rsidR="00A41B41" w:rsidRPr="00A41B41" w:rsidRDefault="00CB3A02" w:rsidP="00CB3A02">
      <w:pPr>
        <w:pStyle w:val="LO-normal"/>
        <w:spacing w:after="0" w:line="240" w:lineRule="auto"/>
        <w:ind w:left="567"/>
        <w:jc w:val="center"/>
        <w:rPr>
          <w:rFonts w:ascii="Times New Roman" w:hAnsi="Times New Roman" w:cs="Times New Roman"/>
          <w:b/>
          <w:bCs/>
          <w:sz w:val="28"/>
          <w:szCs w:val="28"/>
          <w:lang w:bidi="ar-SA"/>
        </w:rPr>
      </w:pPr>
      <w:r>
        <w:rPr>
          <w:rFonts w:ascii="Times New Roman" w:hAnsi="Times New Roman" w:cs="Times New Roman"/>
          <w:b/>
          <w:bCs/>
          <w:sz w:val="28"/>
          <w:szCs w:val="28"/>
          <w:lang w:bidi="ar-SA"/>
        </w:rPr>
        <w:t xml:space="preserve">3. </w:t>
      </w:r>
      <w:r w:rsidR="00A41B41" w:rsidRPr="00A41B41">
        <w:rPr>
          <w:rFonts w:ascii="Times New Roman" w:hAnsi="Times New Roman" w:cs="Times New Roman"/>
          <w:b/>
          <w:bCs/>
          <w:sz w:val="28"/>
          <w:szCs w:val="28"/>
          <w:lang w:bidi="ar-SA"/>
        </w:rPr>
        <w:t>РЕЗУЛЬТАТЫ И ОБСУЖДЕНИЕ</w:t>
      </w:r>
    </w:p>
    <w:p w14:paraId="338EB8A0" w14:textId="6026C3F8" w:rsidR="005202B2" w:rsidRDefault="00A41B41" w:rsidP="005202B2">
      <w:pPr>
        <w:pStyle w:val="LO-normal"/>
        <w:numPr>
          <w:ilvl w:val="1"/>
          <w:numId w:val="18"/>
        </w:numPr>
        <w:spacing w:after="0" w:line="240" w:lineRule="auto"/>
        <w:ind w:left="0" w:firstLine="567"/>
        <w:jc w:val="both"/>
        <w:rPr>
          <w:rFonts w:ascii="Times New Roman" w:hAnsi="Times New Roman" w:cs="Times New Roman"/>
          <w:b/>
          <w:bCs/>
          <w:sz w:val="28"/>
          <w:szCs w:val="28"/>
          <w:lang w:bidi="ar-SA"/>
        </w:rPr>
      </w:pPr>
      <w:r w:rsidRPr="00A41B41">
        <w:rPr>
          <w:rFonts w:ascii="Times New Roman" w:hAnsi="Times New Roman" w:cs="Times New Roman"/>
          <w:b/>
          <w:bCs/>
          <w:sz w:val="28"/>
          <w:szCs w:val="28"/>
          <w:lang w:bidi="ar-SA"/>
        </w:rPr>
        <w:t>Клинико-лабораторные данные поперечного этапа исследования</w:t>
      </w:r>
    </w:p>
    <w:p w14:paraId="061947A0" w14:textId="354D4E61" w:rsidR="005202B2" w:rsidRDefault="005202B2" w:rsidP="005202B2">
      <w:pPr>
        <w:pStyle w:val="LO-normal"/>
        <w:spacing w:after="0" w:line="240" w:lineRule="auto"/>
        <w:ind w:firstLine="567"/>
        <w:jc w:val="both"/>
        <w:rPr>
          <w:rFonts w:ascii="Times New Roman" w:hAnsi="Times New Roman" w:cs="Times New Roman"/>
          <w:sz w:val="28"/>
          <w:szCs w:val="28"/>
          <w:lang w:bidi="ar-SA"/>
        </w:rPr>
      </w:pPr>
      <w:r w:rsidRPr="005202B2">
        <w:rPr>
          <w:rFonts w:ascii="Times New Roman" w:hAnsi="Times New Roman" w:cs="Times New Roman"/>
          <w:sz w:val="28"/>
          <w:szCs w:val="28"/>
          <w:lang w:bidi="ar-SA"/>
        </w:rPr>
        <w:t>Средние антропометрические показатели составили</w:t>
      </w:r>
      <w:r w:rsidR="00CB3161">
        <w:rPr>
          <w:rFonts w:ascii="Times New Roman" w:hAnsi="Times New Roman" w:cs="Times New Roman"/>
          <w:sz w:val="28"/>
          <w:szCs w:val="28"/>
          <w:lang w:bidi="ar-SA"/>
        </w:rPr>
        <w:t>: возраст 58,9</w:t>
      </w:r>
      <w:r w:rsidR="00CB3161">
        <w:rPr>
          <w:rFonts w:ascii="Times New Roman" w:hAnsi="Times New Roman" w:cs="Times New Roman"/>
          <w:sz w:val="28"/>
          <w:szCs w:val="28"/>
          <w:lang w:bidi="ar-SA"/>
        </w:rPr>
        <w:sym w:font="Symbol" w:char="F0B1"/>
      </w:r>
      <w:r w:rsidR="00CB3161">
        <w:rPr>
          <w:rFonts w:ascii="Times New Roman" w:hAnsi="Times New Roman" w:cs="Times New Roman"/>
          <w:sz w:val="28"/>
          <w:szCs w:val="28"/>
          <w:lang w:bidi="ar-SA"/>
        </w:rPr>
        <w:t>10,3 года, масса тела 78,1</w:t>
      </w:r>
      <w:r w:rsidR="00CB3161">
        <w:rPr>
          <w:rFonts w:ascii="Times New Roman" w:hAnsi="Times New Roman" w:cs="Times New Roman"/>
          <w:sz w:val="28"/>
          <w:szCs w:val="28"/>
          <w:lang w:bidi="ar-SA"/>
        </w:rPr>
        <w:sym w:font="Symbol" w:char="F0B1"/>
      </w:r>
      <w:r w:rsidR="00CB3161">
        <w:rPr>
          <w:rFonts w:ascii="Times New Roman" w:hAnsi="Times New Roman" w:cs="Times New Roman"/>
          <w:sz w:val="28"/>
          <w:szCs w:val="28"/>
          <w:lang w:bidi="ar-SA"/>
        </w:rPr>
        <w:t>13,8кг; ИМТ – 28,2</w:t>
      </w:r>
      <w:r w:rsidR="00CB3161">
        <w:rPr>
          <w:rFonts w:ascii="Times New Roman" w:hAnsi="Times New Roman" w:cs="Times New Roman"/>
          <w:sz w:val="28"/>
          <w:szCs w:val="28"/>
          <w:lang w:bidi="ar-SA"/>
        </w:rPr>
        <w:sym w:font="Symbol" w:char="F0B1"/>
      </w:r>
      <w:r w:rsidR="00CB3161">
        <w:rPr>
          <w:rFonts w:ascii="Times New Roman" w:hAnsi="Times New Roman" w:cs="Times New Roman"/>
          <w:sz w:val="28"/>
          <w:szCs w:val="28"/>
          <w:lang w:bidi="ar-SA"/>
        </w:rPr>
        <w:t>3,65 кг/м</w:t>
      </w:r>
      <w:r w:rsidR="00CB3161">
        <w:rPr>
          <w:rFonts w:ascii="Times New Roman" w:hAnsi="Times New Roman" w:cs="Times New Roman"/>
          <w:sz w:val="28"/>
          <w:szCs w:val="28"/>
          <w:vertAlign w:val="superscript"/>
          <w:lang w:bidi="ar-SA"/>
        </w:rPr>
        <w:t>2</w:t>
      </w:r>
      <w:r w:rsidR="00CB3161">
        <w:rPr>
          <w:rFonts w:ascii="Times New Roman" w:hAnsi="Times New Roman" w:cs="Times New Roman"/>
          <w:sz w:val="28"/>
          <w:szCs w:val="28"/>
          <w:lang w:bidi="ar-SA"/>
        </w:rPr>
        <w:t xml:space="preserve">, что соответствует категории избыточной массы тела. </w:t>
      </w:r>
    </w:p>
    <w:p w14:paraId="1EBE76D3" w14:textId="5746D0EB" w:rsidR="00CB3161" w:rsidRDefault="00CB3161" w:rsidP="005202B2">
      <w:pPr>
        <w:pStyle w:val="LO-normal"/>
        <w:spacing w:after="0" w:line="240" w:lineRule="auto"/>
        <w:ind w:firstLine="567"/>
        <w:jc w:val="both"/>
        <w:rPr>
          <w:rFonts w:ascii="Times New Roman" w:hAnsi="Times New Roman" w:cs="Times New Roman"/>
          <w:color w:val="C00000"/>
          <w:sz w:val="28"/>
          <w:szCs w:val="28"/>
          <w:lang w:bidi="ar-SA"/>
        </w:rPr>
      </w:pPr>
      <w:r>
        <w:rPr>
          <w:rFonts w:ascii="Times New Roman" w:hAnsi="Times New Roman" w:cs="Times New Roman"/>
          <w:sz w:val="28"/>
          <w:szCs w:val="28"/>
          <w:lang w:bidi="ar-SA"/>
        </w:rPr>
        <w:t xml:space="preserve">Для сравнительного анализа пациенты были разделены на две группы по полу: мужчины, </w:t>
      </w:r>
      <w:r>
        <w:rPr>
          <w:rFonts w:ascii="Times New Roman" w:hAnsi="Times New Roman" w:cs="Times New Roman"/>
          <w:sz w:val="28"/>
          <w:szCs w:val="28"/>
          <w:lang w:val="en-US" w:bidi="ar-SA"/>
        </w:rPr>
        <w:t>n</w:t>
      </w:r>
      <w:r w:rsidRPr="00CB3161">
        <w:rPr>
          <w:rFonts w:ascii="Times New Roman" w:hAnsi="Times New Roman" w:cs="Times New Roman"/>
          <w:sz w:val="28"/>
          <w:szCs w:val="28"/>
          <w:lang w:bidi="ar-SA"/>
        </w:rPr>
        <w:t>=</w:t>
      </w:r>
      <w:r>
        <w:rPr>
          <w:rFonts w:ascii="Times New Roman" w:hAnsi="Times New Roman" w:cs="Times New Roman"/>
          <w:sz w:val="28"/>
          <w:szCs w:val="28"/>
          <w:lang w:bidi="ar-SA"/>
        </w:rPr>
        <w:t xml:space="preserve">90 (группа 1); женщины, </w:t>
      </w:r>
      <w:r>
        <w:rPr>
          <w:rFonts w:ascii="Times New Roman" w:hAnsi="Times New Roman" w:cs="Times New Roman"/>
          <w:sz w:val="28"/>
          <w:szCs w:val="28"/>
          <w:lang w:val="en-US" w:bidi="ar-SA"/>
        </w:rPr>
        <w:t>n</w:t>
      </w:r>
      <w:r w:rsidRPr="00CB3161">
        <w:rPr>
          <w:rFonts w:ascii="Times New Roman" w:hAnsi="Times New Roman" w:cs="Times New Roman"/>
          <w:sz w:val="28"/>
          <w:szCs w:val="28"/>
          <w:lang w:bidi="ar-SA"/>
        </w:rPr>
        <w:t>=60 (</w:t>
      </w:r>
      <w:r>
        <w:rPr>
          <w:rFonts w:ascii="Times New Roman" w:hAnsi="Times New Roman" w:cs="Times New Roman"/>
          <w:sz w:val="28"/>
          <w:szCs w:val="28"/>
          <w:lang w:bidi="ar-SA"/>
        </w:rPr>
        <w:t>группа 2</w:t>
      </w:r>
      <w:r w:rsidRPr="00CB3161">
        <w:rPr>
          <w:rFonts w:ascii="Times New Roman" w:hAnsi="Times New Roman" w:cs="Times New Roman"/>
          <w:sz w:val="28"/>
          <w:szCs w:val="28"/>
          <w:lang w:bidi="ar-SA"/>
        </w:rPr>
        <w:t>)</w:t>
      </w:r>
      <w:r>
        <w:rPr>
          <w:rFonts w:ascii="Times New Roman" w:hAnsi="Times New Roman" w:cs="Times New Roman"/>
          <w:sz w:val="28"/>
          <w:szCs w:val="28"/>
          <w:lang w:bidi="ar-SA"/>
        </w:rPr>
        <w:t xml:space="preserve">. Основные клинические характеристики сравнивали между гендерными группами </w:t>
      </w:r>
      <w:r w:rsidRPr="004925AD">
        <w:rPr>
          <w:rFonts w:ascii="Times New Roman" w:hAnsi="Times New Roman" w:cs="Times New Roman"/>
          <w:color w:val="000000" w:themeColor="text1"/>
          <w:sz w:val="28"/>
          <w:szCs w:val="28"/>
          <w:lang w:bidi="ar-SA"/>
        </w:rPr>
        <w:t>(рисунок 2).</w:t>
      </w:r>
    </w:p>
    <w:p w14:paraId="1AA6A345" w14:textId="1203FCA7" w:rsidR="004925AD" w:rsidRDefault="00EE4DC9" w:rsidP="005202B2">
      <w:pPr>
        <w:pStyle w:val="LO-normal"/>
        <w:spacing w:after="0" w:line="240" w:lineRule="auto"/>
        <w:ind w:firstLine="567"/>
        <w:jc w:val="both"/>
        <w:rPr>
          <w:rFonts w:ascii="Times New Roman" w:hAnsi="Times New Roman" w:cs="Times New Roman"/>
          <w:color w:val="C00000"/>
          <w:sz w:val="28"/>
          <w:szCs w:val="28"/>
          <w:lang w:bidi="ar-SA"/>
        </w:rPr>
      </w:pPr>
      <w:r>
        <w:rPr>
          <w:rFonts w:ascii="Times New Roman" w:eastAsia="Times New Roman" w:hAnsi="Times New Roman" w:cs="Times New Roman"/>
          <w:noProof/>
          <w:sz w:val="28"/>
          <w:szCs w:val="28"/>
          <w:lang w:eastAsia="ru-RU" w:bidi="ar-SA"/>
        </w:rPr>
        <w:drawing>
          <wp:anchor distT="0" distB="0" distL="114300" distR="114300" simplePos="0" relativeHeight="251661312" behindDoc="0" locked="0" layoutInCell="0" allowOverlap="1" wp14:anchorId="6954FA8F" wp14:editId="2FBFF689">
            <wp:simplePos x="0" y="0"/>
            <wp:positionH relativeFrom="column">
              <wp:posOffset>463753</wp:posOffset>
            </wp:positionH>
            <wp:positionV relativeFrom="paragraph">
              <wp:posOffset>98101</wp:posOffset>
            </wp:positionV>
            <wp:extent cx="4662170" cy="2561590"/>
            <wp:effectExtent l="0" t="0" r="0" b="3810"/>
            <wp:wrapSquare wrapText="bothSides"/>
            <wp:docPr id="2" name="Image19" descr="Изображение выглядит как текст, снимок экран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9" descr="Изображение выглядит как текст, снимок экрана, График, линия&#10;&#10;Содержимое, созданное искусственным интеллектом, может быть неверным."/>
                    <pic:cNvPicPr>
                      <a:picLocks noChangeAspect="1" noChangeArrowheads="1"/>
                    </pic:cNvPicPr>
                  </pic:nvPicPr>
                  <pic:blipFill>
                    <a:blip r:embed="rId18"/>
                    <a:srcRect t="6063" r="1035"/>
                    <a:stretch>
                      <a:fillRect/>
                    </a:stretch>
                  </pic:blipFill>
                  <pic:spPr bwMode="auto">
                    <a:xfrm>
                      <a:off x="0" y="0"/>
                      <a:ext cx="4662170" cy="2561590"/>
                    </a:xfrm>
                    <a:prstGeom prst="rect">
                      <a:avLst/>
                    </a:prstGeom>
                  </pic:spPr>
                </pic:pic>
              </a:graphicData>
            </a:graphic>
            <wp14:sizeRelH relativeFrom="margin">
              <wp14:pctWidth>0</wp14:pctWidth>
            </wp14:sizeRelH>
            <wp14:sizeRelV relativeFrom="margin">
              <wp14:pctHeight>0</wp14:pctHeight>
            </wp14:sizeRelV>
          </wp:anchor>
        </w:drawing>
      </w:r>
      <w:r w:rsidR="004925AD">
        <w:rPr>
          <w:rFonts w:ascii="Times New Roman" w:hAnsi="Times New Roman" w:cs="Times New Roman"/>
          <w:color w:val="C00000"/>
          <w:sz w:val="28"/>
          <w:szCs w:val="28"/>
          <w:lang w:bidi="ar-SA"/>
        </w:rPr>
        <w:t xml:space="preserve"> </w:t>
      </w:r>
    </w:p>
    <w:p w14:paraId="1BEFA9A7" w14:textId="34112D4F" w:rsidR="00CB3161" w:rsidRDefault="00CB3161" w:rsidP="005202B2">
      <w:pPr>
        <w:pStyle w:val="LO-normal"/>
        <w:spacing w:after="0" w:line="240" w:lineRule="auto"/>
        <w:ind w:firstLine="567"/>
        <w:jc w:val="both"/>
        <w:rPr>
          <w:rFonts w:ascii="Times New Roman" w:hAnsi="Times New Roman" w:cs="Times New Roman"/>
          <w:color w:val="C00000"/>
          <w:sz w:val="28"/>
          <w:szCs w:val="28"/>
          <w:lang w:bidi="ar-SA"/>
        </w:rPr>
      </w:pPr>
    </w:p>
    <w:p w14:paraId="0BD16C63" w14:textId="6ED2F644" w:rsidR="00CB3161" w:rsidRPr="004925AD" w:rsidRDefault="00CB3161" w:rsidP="005202B2">
      <w:pPr>
        <w:pStyle w:val="LO-normal"/>
        <w:spacing w:after="0" w:line="240" w:lineRule="auto"/>
        <w:ind w:firstLine="567"/>
        <w:jc w:val="both"/>
        <w:rPr>
          <w:rFonts w:ascii="Times New Roman" w:hAnsi="Times New Roman" w:cs="Times New Roman"/>
          <w:color w:val="000000" w:themeColor="text1"/>
          <w:sz w:val="28"/>
          <w:szCs w:val="28"/>
          <w:lang w:bidi="ar-SA"/>
        </w:rPr>
      </w:pPr>
      <w:r w:rsidRPr="004925AD">
        <w:rPr>
          <w:rFonts w:ascii="Times New Roman" w:hAnsi="Times New Roman" w:cs="Times New Roman"/>
          <w:color w:val="000000" w:themeColor="text1"/>
          <w:sz w:val="28"/>
          <w:szCs w:val="28"/>
          <w:lang w:bidi="ar-SA"/>
        </w:rPr>
        <w:t>Рисунок 2. Клинические характеристики между гендерными группами</w:t>
      </w:r>
    </w:p>
    <w:p w14:paraId="2D1A98C7" w14:textId="77777777" w:rsidR="00CB3161" w:rsidRDefault="00CB3161" w:rsidP="005202B2">
      <w:pPr>
        <w:pStyle w:val="LO-normal"/>
        <w:spacing w:after="0" w:line="240" w:lineRule="auto"/>
        <w:ind w:firstLine="567"/>
        <w:jc w:val="both"/>
        <w:rPr>
          <w:rFonts w:ascii="Times New Roman" w:hAnsi="Times New Roman" w:cs="Times New Roman"/>
          <w:color w:val="C00000"/>
          <w:sz w:val="28"/>
          <w:szCs w:val="28"/>
          <w:lang w:bidi="ar-SA"/>
        </w:rPr>
      </w:pPr>
    </w:p>
    <w:p w14:paraId="3F6549DE" w14:textId="3D1E747A" w:rsidR="00CB3161" w:rsidRPr="00CB3161" w:rsidRDefault="00CB3161" w:rsidP="005202B2">
      <w:pPr>
        <w:pStyle w:val="LO-normal"/>
        <w:spacing w:after="0" w:line="240" w:lineRule="auto"/>
        <w:ind w:firstLine="567"/>
        <w:jc w:val="both"/>
        <w:rPr>
          <w:rFonts w:ascii="Times New Roman" w:hAnsi="Times New Roman" w:cs="Times New Roman"/>
          <w:color w:val="000000" w:themeColor="text1"/>
          <w:sz w:val="28"/>
          <w:szCs w:val="28"/>
          <w:lang w:bidi="ar-SA"/>
        </w:rPr>
      </w:pPr>
      <w:r w:rsidRPr="00CB3161">
        <w:rPr>
          <w:rFonts w:ascii="Times New Roman" w:hAnsi="Times New Roman" w:cs="Times New Roman"/>
          <w:color w:val="000000" w:themeColor="text1"/>
          <w:sz w:val="28"/>
          <w:szCs w:val="28"/>
          <w:lang w:bidi="ar-SA"/>
        </w:rPr>
        <w:t>В нашем исследовании женщины оказались старше мужчин (62,1</w:t>
      </w:r>
      <w:r w:rsidRPr="00CB3161">
        <w:rPr>
          <w:rFonts w:ascii="Times New Roman" w:hAnsi="Times New Roman" w:cs="Times New Roman"/>
          <w:color w:val="000000" w:themeColor="text1"/>
          <w:sz w:val="28"/>
          <w:szCs w:val="28"/>
          <w:lang w:bidi="ar-SA"/>
        </w:rPr>
        <w:sym w:font="Symbol" w:char="F0B1"/>
      </w:r>
      <w:r w:rsidRPr="00CB3161">
        <w:rPr>
          <w:rFonts w:ascii="Times New Roman" w:hAnsi="Times New Roman" w:cs="Times New Roman"/>
          <w:color w:val="000000" w:themeColor="text1"/>
          <w:sz w:val="28"/>
          <w:szCs w:val="28"/>
          <w:lang w:bidi="ar-SA"/>
        </w:rPr>
        <w:t>7,52 против 56,7</w:t>
      </w:r>
      <w:r w:rsidRPr="00CB3161">
        <w:rPr>
          <w:rFonts w:ascii="Times New Roman" w:hAnsi="Times New Roman" w:cs="Times New Roman"/>
          <w:color w:val="000000" w:themeColor="text1"/>
          <w:sz w:val="28"/>
          <w:szCs w:val="28"/>
          <w:lang w:bidi="ar-SA"/>
        </w:rPr>
        <w:sym w:font="Symbol" w:char="F0B1"/>
      </w:r>
      <w:r w:rsidRPr="00CB3161">
        <w:rPr>
          <w:rFonts w:ascii="Times New Roman" w:hAnsi="Times New Roman" w:cs="Times New Roman"/>
          <w:color w:val="000000" w:themeColor="text1"/>
          <w:sz w:val="28"/>
          <w:szCs w:val="28"/>
          <w:lang w:bidi="ar-SA"/>
        </w:rPr>
        <w:t xml:space="preserve">11,3 лет; р=0,002 по </w:t>
      </w:r>
      <w:r w:rsidRPr="00CB3161">
        <w:rPr>
          <w:rFonts w:ascii="Times New Roman" w:hAnsi="Times New Roman" w:cs="Times New Roman"/>
          <w:color w:val="000000" w:themeColor="text1"/>
          <w:sz w:val="28"/>
          <w:szCs w:val="28"/>
          <w:lang w:val="en-US" w:bidi="ar-SA"/>
        </w:rPr>
        <w:t>t</w:t>
      </w:r>
      <w:r w:rsidRPr="00CB3161">
        <w:rPr>
          <w:rFonts w:ascii="Times New Roman" w:hAnsi="Times New Roman" w:cs="Times New Roman"/>
          <w:color w:val="000000" w:themeColor="text1"/>
          <w:sz w:val="28"/>
          <w:szCs w:val="28"/>
          <w:lang w:bidi="ar-SA"/>
        </w:rPr>
        <w:t>-критерию) и имели меньшую массу тела (69,8</w:t>
      </w:r>
      <w:r w:rsidRPr="00CB3161">
        <w:rPr>
          <w:rFonts w:ascii="Times New Roman" w:hAnsi="Times New Roman" w:cs="Times New Roman"/>
          <w:color w:val="000000" w:themeColor="text1"/>
          <w:sz w:val="28"/>
          <w:szCs w:val="28"/>
          <w:lang w:bidi="ar-SA"/>
        </w:rPr>
        <w:sym w:font="Symbol" w:char="F0B1"/>
      </w:r>
      <w:r w:rsidRPr="00CB3161">
        <w:rPr>
          <w:rFonts w:ascii="Times New Roman" w:hAnsi="Times New Roman" w:cs="Times New Roman"/>
          <w:color w:val="000000" w:themeColor="text1"/>
          <w:sz w:val="28"/>
          <w:szCs w:val="28"/>
          <w:lang w:bidi="ar-SA"/>
        </w:rPr>
        <w:t>11,5 кг против 83,6</w:t>
      </w:r>
      <w:r w:rsidRPr="00CB3161">
        <w:rPr>
          <w:rFonts w:ascii="Times New Roman" w:hAnsi="Times New Roman" w:cs="Times New Roman"/>
          <w:color w:val="000000" w:themeColor="text1"/>
          <w:sz w:val="28"/>
          <w:szCs w:val="28"/>
          <w:lang w:bidi="ar-SA"/>
        </w:rPr>
        <w:sym w:font="Symbol" w:char="F0B1"/>
      </w:r>
      <w:r w:rsidRPr="00CB3161">
        <w:rPr>
          <w:rFonts w:ascii="Times New Roman" w:hAnsi="Times New Roman" w:cs="Times New Roman"/>
          <w:color w:val="000000" w:themeColor="text1"/>
          <w:sz w:val="28"/>
          <w:szCs w:val="28"/>
          <w:lang w:bidi="ar-SA"/>
        </w:rPr>
        <w:t>12,4 кг; р=0,001), тогда как индекс массы тела (ИМТ) не различался между полами (28,4</w:t>
      </w:r>
      <w:r w:rsidRPr="00CB3161">
        <w:rPr>
          <w:rFonts w:ascii="Times New Roman" w:hAnsi="Times New Roman" w:cs="Times New Roman"/>
          <w:color w:val="000000" w:themeColor="text1"/>
          <w:sz w:val="28"/>
          <w:szCs w:val="28"/>
          <w:lang w:bidi="ar-SA"/>
        </w:rPr>
        <w:sym w:font="Symbol" w:char="F0B1"/>
      </w:r>
      <w:r w:rsidRPr="00CB3161">
        <w:rPr>
          <w:rFonts w:ascii="Times New Roman" w:hAnsi="Times New Roman" w:cs="Times New Roman"/>
          <w:color w:val="000000" w:themeColor="text1"/>
          <w:sz w:val="28"/>
          <w:szCs w:val="28"/>
          <w:lang w:bidi="ar-SA"/>
        </w:rPr>
        <w:t>3,1 против 28,0</w:t>
      </w:r>
      <w:r w:rsidRPr="00CB3161">
        <w:rPr>
          <w:rFonts w:ascii="Times New Roman" w:hAnsi="Times New Roman" w:cs="Times New Roman"/>
          <w:color w:val="000000" w:themeColor="text1"/>
          <w:sz w:val="28"/>
          <w:szCs w:val="28"/>
          <w:lang w:bidi="ar-SA"/>
        </w:rPr>
        <w:sym w:font="Symbol" w:char="F0B1"/>
      </w:r>
      <w:r w:rsidRPr="00CB3161">
        <w:rPr>
          <w:rFonts w:ascii="Times New Roman" w:hAnsi="Times New Roman" w:cs="Times New Roman"/>
          <w:color w:val="000000" w:themeColor="text1"/>
          <w:sz w:val="28"/>
          <w:szCs w:val="28"/>
          <w:lang w:bidi="ar-SA"/>
        </w:rPr>
        <w:t>3,9кг/м</w:t>
      </w:r>
      <w:r w:rsidRPr="00CB3161">
        <w:rPr>
          <w:rFonts w:ascii="Times New Roman" w:hAnsi="Times New Roman" w:cs="Times New Roman"/>
          <w:color w:val="000000" w:themeColor="text1"/>
          <w:sz w:val="28"/>
          <w:szCs w:val="28"/>
          <w:vertAlign w:val="superscript"/>
          <w:lang w:bidi="ar-SA"/>
        </w:rPr>
        <w:t>2</w:t>
      </w:r>
      <w:r w:rsidRPr="00CB3161">
        <w:rPr>
          <w:rFonts w:ascii="Times New Roman" w:hAnsi="Times New Roman" w:cs="Times New Roman"/>
          <w:color w:val="000000" w:themeColor="text1"/>
          <w:sz w:val="28"/>
          <w:szCs w:val="28"/>
          <w:lang w:bidi="ar-SA"/>
        </w:rPr>
        <w:t>; р=0,73). Эти результаты соответствуют ранее опубликованным данным; сохранении пропорций массы и роста вне зависимости от пола</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ViO8sq0m","properties":{"unsorted":false,"formattedCitation":"[230]","plainCitation":"[230]","noteIndex":0},"citationItems":[{"id":43,"uris":["http://zotero.org/users/14784094/items/KI4WJ7MF"],"itemData":{"id":43,"type":"article-journal","abstract":"Background\nHigher body mass index (BMI) is associated with increased risk of incident atrial fibrillation (AF), but it is not known whether this relationship varies by race/ethnicity.\n\nMethods and Results\nEligible participants (6739) from MESA (Multi‐Ethnic Study of Atherosclerosis) were surveilled for incident AF using MESA hospital surveillance, scheduled MESA study ECG, and Medicare claims data. After a median 13.8 years of follow‐up, 970 participants (14.4%) had incident AF. With BMI modeled categorically in a Cox proportional hazards model, only those with grade II and grade III obesity had increased risks of AF (hazard ratio [HR], 1.50; 95% CI, 1.14–1.98, P=0.004 for grade II obesity and HR, 2.13; 95% CI, 1.48–3.05, P&lt;0.0001 for grade III obesity). The relationship between BMI and AF risk was J‐shaped. However, the risk of AF as a function of BMI varied substantially by race/ethnicity (P value for interaction=0.02), with Chinese‐American participants having a much higher risk of AF with higher BMI and Black participants having minimal increased risk of AF with higher BMI.\n\nConclusions\nObesity is associated with an increased risk of incident AF, but the relationship between BMI and the risk of AF is J‐shaped and this relationship differs by race/ethnicity, such that Chinese‐American participants have a more pronounced increased risk of AF with higher BMI, while Black participants have minimal increased risk. Further exploration of the differential effects of BMI by race/ethnicity on cardiovascular outcomes is needed.","container-title":"Journal of the American Heart Association: Cardiovascular and Cerebrovascular Disease","DOI":"10.1161/JAHA.120.018592","ISSN":"2047-9980","issue":"1","journalAbbreviation":"J Am Heart Assoc","page":"e018592","PMID":"33382342","PMCID":"PMC7955459","source":"PubMed Central","title":"Race, Body Mass Index, and the Risk of Atrial Fibrillation: The Multi‐Ethnic Study of Atherosclerosis","title-short":"Race, Body Mass Index, and the Risk of Atrial Fibrillation","volume":"10","author":[{"family":"Singleton","given":"Matthew J."},{"family":"German","given":"Charles A."},{"family":"Carnethon","given":"Mercedes"},{"family":"Soliman","given":"Elsayed Z."},{"family":"Bertoni","given":"Alain G."},{"family":"Yeboah","given":"Joseph"}],"issued":{"date-parts":[["2020",12,31]]}}}],"schema":"https://github.com/citation-style-language/schema/raw/master/csl-citation.json"}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[230]</w:t>
      </w:r>
      <w:r>
        <w:rPr>
          <w:rFonts w:ascii="Times New Roman" w:hAnsi="Times New Roman" w:cs="Times New Roman"/>
          <w:color w:val="000000" w:themeColor="text1"/>
          <w:sz w:val="28"/>
          <w:szCs w:val="28"/>
          <w:lang w:bidi="ar-SA"/>
        </w:rPr>
        <w:fldChar w:fldCharType="end"/>
      </w:r>
      <w:r w:rsidRPr="00CB3161">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 xml:space="preserve">Подобная демографическая картина наблюдается и в регистре </w:t>
      </w:r>
      <w:r>
        <w:rPr>
          <w:rFonts w:ascii="Times New Roman" w:hAnsi="Times New Roman" w:cs="Times New Roman"/>
          <w:color w:val="000000" w:themeColor="text1"/>
          <w:sz w:val="28"/>
          <w:szCs w:val="28"/>
          <w:lang w:val="en-US" w:bidi="ar-SA"/>
        </w:rPr>
        <w:t>GLORIA</w:t>
      </w:r>
      <w:r w:rsidRPr="00CB3161">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AF</w:t>
      </w:r>
      <w:r w:rsidRPr="00CB3161">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женщины с фибрилляцией предсердий обычно старше мужчин в среднем на 5-7 лет, что связывается с поздним началом заболевания после менопаузы</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{"citationID":"lzToOste","properties":{"unsorted":false,"formattedCitation":"[231]","plainCitation":"[231]","noteIndex":0},"citationItems":[{"id":42,"uris":["http://zotero.org/users/14784094/items/4KYSAHHS"],"itemData":{"id":42,"type":"article-journal","abstract":"AIMS: Data on gender differences in oral anticoagulation for stroke prevention in patients with atrial fibrillation are conflicting, largely limited to regional reports and vitamin K antagonist use. We aimed to analyze gender-specific anticoagulant prescription patterns early following the introduction of non-vitamin K antagonist oral anticoagulants (NOACs) in a large, global registry on atrial fibrillation.\nMETHODS: The Global Registry on Long-Term Oral Antithrombotic Treatment in Patients with Atrial Fibrillation (GLORIA-AF) is an international registry program involving patients with newly diagnosed atrial fibrillation (&lt;3 months from arrhythmia onset). We used data from 15,092 consecutive patients (median age, 71.0 years; 45.5% were women) enrolled between 2011 and 2014. Globally, 79.7% of women and 80.2% of men were anticoagulated; the absolute between-gender difference in prevalence of anticoagulant use was -0.5% (95% confidence interval, -1.8% to 0.8%). Vitamin K antagonists were prescribed to 32.8% and 31.9% (NOACs 46.8% and 48.3%) of women and men, respectively.\nRESULTS: No confounder for the association between gender and anticoagulant prescription was identified. Between-gender differences in anticoagulant use (lower use in women compared with men by decreasing order of magnitude of the difference) were found for CHA2DS2-VASc (congestive heart failure, hypertension, age ≥75 years, diabetes mellitus, stroke/transient ischemic attack, vascular disease, age 65-74 years, sex category [female]) score = 1; CHADS2 (congestive heart failure, hypertension, age ≥75 years, diabetes mellitus, stroke) score = 0; previous bleeding; age &lt;65 years; no history of hypertension; myocardial infarction; coronary artery disease; North America region; and specialist office setting.\nCONCLUSION: Globally, the prevalence of anticoagulant use is similar in women and men. The decision to prescribe oral anticoagulation seems to depend predominantly on guideline-related differences in stroke risk stratification rather than on gender.","container-title":"The American Journal of Medicine","DOI":"10.1016/j.amjmed.2018.03.024","ISSN":"1555-7162","issue":"8","journalAbbreviation":"Am J Med","language":"eng","page":"945-955.e3","PMID":"29654720","source":"PubMed","title":"Gender Differences in Antithrombotic Treatment for Newly Diagnosed Atrial Fibrillation: The GLORIA-AF Registry Program","title-short":"Gender Differences in Antithrombotic Treatment for Newly Diagnosed Atrial Fibrillation","volume":"131","author":[{"family":"Mazurek","given":"Michał"},{"family":"Huisman","given":"Menno V."},{"family":"Rothman","given":"Kenneth J."},{"family":"Paquette","given":"Miney"},{"family":"Teutsch","given":"Christine"},{"family":"Diener","given":"Hans-Christoph"},{"family":"Dubner","given":"Sergio J."},{"family":"Halperin","given":"Jonathan L."},{"family":"Zint","given":"Kristina"},{"family":"França","given":"Lionel Riou"},{"family":"Lu","given":"Shihai"},{"family":"Lip","given":"Gregory Y. H."},{"literal":"GLORIA-AF Investigators"}],"issued":{"date-parts":[["2018",8]]}}}],"schema":"https://github.com/citation-style-language/schema/raw/master/csl-citation.json"}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[231]</w:t>
      </w:r>
      <w:r>
        <w:rPr>
          <w:rFonts w:ascii="Times New Roman" w:hAnsi="Times New Roman" w:cs="Times New Roman"/>
          <w:color w:val="000000" w:themeColor="text1"/>
          <w:sz w:val="28"/>
          <w:szCs w:val="28"/>
          <w:lang w:bidi="ar-SA"/>
        </w:rPr>
        <w:fldChar w:fldCharType="end"/>
      </w:r>
      <w:r w:rsidRPr="00CB3161">
        <w:rPr>
          <w:rFonts w:ascii="Times New Roman" w:hAnsi="Times New Roman" w:cs="Times New Roman"/>
          <w:color w:val="000000" w:themeColor="text1"/>
          <w:sz w:val="28"/>
          <w:szCs w:val="28"/>
          <w:lang w:bidi="ar-SA"/>
        </w:rPr>
        <w:t>.</w:t>
      </w:r>
    </w:p>
    <w:p w14:paraId="5A63F534" w14:textId="3DE6CB7A" w:rsidR="00CB3161" w:rsidRDefault="00CB3161" w:rsidP="00CB3161">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Для углубленного анализа мы разделили пациентов на две возрастные группы: до 65 лет (</w:t>
      </w:r>
      <w:r>
        <w:rPr>
          <w:rFonts w:ascii="Times New Roman" w:hAnsi="Times New Roman" w:cs="Times New Roman"/>
          <w:color w:val="000000" w:themeColor="text1"/>
          <w:sz w:val="28"/>
          <w:szCs w:val="28"/>
          <w:lang w:val="en-US" w:bidi="ar-SA"/>
        </w:rPr>
        <w:t>n</w:t>
      </w:r>
      <w:r w:rsidRPr="00CB3161">
        <w:rPr>
          <w:rFonts w:ascii="Times New Roman" w:hAnsi="Times New Roman" w:cs="Times New Roman"/>
          <w:color w:val="000000" w:themeColor="text1"/>
          <w:sz w:val="28"/>
          <w:szCs w:val="28"/>
          <w:lang w:bidi="ar-SA"/>
        </w:rPr>
        <w:t>=100</w:t>
      </w:r>
      <w:r>
        <w:rPr>
          <w:rFonts w:ascii="Times New Roman" w:hAnsi="Times New Roman" w:cs="Times New Roman"/>
          <w:color w:val="000000" w:themeColor="text1"/>
          <w:sz w:val="28"/>
          <w:szCs w:val="28"/>
          <w:lang w:bidi="ar-SA"/>
        </w:rPr>
        <w:t>)</w:t>
      </w:r>
      <w:r w:rsidRPr="00CB3161">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и 65 лет и старше (</w:t>
      </w:r>
      <w:r>
        <w:rPr>
          <w:rFonts w:ascii="Times New Roman" w:hAnsi="Times New Roman" w:cs="Times New Roman"/>
          <w:color w:val="000000" w:themeColor="text1"/>
          <w:sz w:val="28"/>
          <w:szCs w:val="28"/>
          <w:lang w:val="en-US" w:bidi="ar-SA"/>
        </w:rPr>
        <w:t>n</w:t>
      </w:r>
      <w:r w:rsidRPr="00CB3161">
        <w:rPr>
          <w:rFonts w:ascii="Times New Roman" w:hAnsi="Times New Roman" w:cs="Times New Roman"/>
          <w:color w:val="000000" w:themeColor="text1"/>
          <w:sz w:val="28"/>
          <w:szCs w:val="28"/>
          <w:lang w:bidi="ar-SA"/>
        </w:rPr>
        <w:t>=50</w:t>
      </w:r>
      <w:r>
        <w:rPr>
          <w:rFonts w:ascii="Times New Roman" w:hAnsi="Times New Roman" w:cs="Times New Roman"/>
          <w:color w:val="000000" w:themeColor="text1"/>
          <w:sz w:val="28"/>
          <w:szCs w:val="28"/>
          <w:lang w:bidi="ar-SA"/>
        </w:rPr>
        <w:t>)</w:t>
      </w:r>
      <w:r w:rsidRPr="00CB3161">
        <w:rPr>
          <w:rFonts w:ascii="Times New Roman" w:hAnsi="Times New Roman" w:cs="Times New Roman"/>
          <w:color w:val="000000" w:themeColor="text1"/>
          <w:sz w:val="28"/>
          <w:szCs w:val="28"/>
          <w:lang w:bidi="ar-SA"/>
        </w:rPr>
        <w:t xml:space="preserve"> </w:t>
      </w:r>
      <w:r w:rsidRPr="004925AD">
        <w:rPr>
          <w:rFonts w:ascii="Times New Roman" w:hAnsi="Times New Roman" w:cs="Times New Roman"/>
          <w:color w:val="000000" w:themeColor="text1"/>
          <w:sz w:val="28"/>
          <w:szCs w:val="28"/>
          <w:lang w:bidi="ar-SA"/>
        </w:rPr>
        <w:t>(рисунок 3).</w:t>
      </w:r>
      <w:r>
        <w:rPr>
          <w:rFonts w:ascii="Times New Roman" w:hAnsi="Times New Roman" w:cs="Times New Roman"/>
          <w:color w:val="000000" w:themeColor="text1"/>
          <w:sz w:val="28"/>
          <w:szCs w:val="28"/>
          <w:lang w:bidi="ar-SA"/>
        </w:rPr>
        <w:t xml:space="preserve"> Старшая группа имела статистически меньшую массу тела (73,7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11,7кг против 80,2</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 xml:space="preserve">14,2 кг; р=0,005б </w:t>
      </w:r>
      <w:r>
        <w:rPr>
          <w:rFonts w:ascii="Times New Roman" w:hAnsi="Times New Roman" w:cs="Times New Roman"/>
          <w:color w:val="000000" w:themeColor="text1"/>
          <w:sz w:val="28"/>
          <w:szCs w:val="28"/>
          <w:lang w:val="en-US" w:bidi="ar-SA"/>
        </w:rPr>
        <w:t>U</w:t>
      </w:r>
      <w:r w:rsidRPr="00CB3161">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bidi="ar-SA"/>
        </w:rPr>
        <w:t>критерий), при этом ИМТ в обеих группах оставался на схожем уровне (27,9</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3,5 против 28,4</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3,8 кг/м</w:t>
      </w:r>
      <w:r w:rsidRPr="00CB3161">
        <w:rPr>
          <w:rFonts w:ascii="Times New Roman" w:hAnsi="Times New Roman" w:cs="Times New Roman"/>
          <w:color w:val="000000" w:themeColor="text1"/>
          <w:sz w:val="28"/>
          <w:szCs w:val="28"/>
          <w:vertAlign w:val="superscript"/>
          <w:lang w:bidi="ar-SA"/>
        </w:rPr>
        <w:t>2</w:t>
      </w:r>
      <w:r>
        <w:rPr>
          <w:rFonts w:ascii="Times New Roman" w:hAnsi="Times New Roman" w:cs="Times New Roman"/>
          <w:color w:val="000000" w:themeColor="text1"/>
          <w:sz w:val="28"/>
          <w:szCs w:val="28"/>
          <w:lang w:bidi="ar-SA"/>
        </w:rPr>
        <w:t>; р=0,53). Это согласуется с представлениями о возрастной саркопении и перераспределении жировой и мышечной ткани – снижении мышечной массы при стабильном ИМТ</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{"citationID":"uvhfNJXT","properties":{"unsorted":false,"formattedCitation":"[232]","plainCitation":"[232]","noteIndex":0},"citationItems":[{"id":41,"uris":["http://zotero.org/users/14784094/items/8L2FDWK4"],"itemData":{"id":41,"type":"article-journal","abstract":"The number of adults 65 years and older is increasing worldwide and will represent the 20% of the population by 2030. Half of them will suffer from obesity. The decline in muscle mass and strength, known as sarcopenia, is very common among older adults with obesity (sarcopenic obesity). Sarcopenic obesity is strongly associated with frailty, cardiometabolic dysfunction, physical disability, and mortality. Increasing efforts have been hence made to identify effective strategies able to promote healthy aging and curb the obesity pandemic. Among these, lifestyle interventions consisting of diet and exercise protocols have been extensively explored. Importantly, diet-induced weight loss is associated with fat, muscle, and bone mass losses, and may further exacerbate age-related sarcopenia and frailty outcomes in older adults. Successful approaches to induce fat mass loss while preserving lean and bone mass are critical to reduce the aging- and obesity-related physical and metabolic complications and at the same time ameliorate frailty. In this review article, we discuss the most recent evidence on the age-related alterations in adipose tissue and muscle health and on the effect of calorie restriction and exercise approaches for older adults with obesity and sarcopenia, emphasizing the existing gaps in the literature that need further investigation.","container-title":"Experimental gerontology","DOI":"10.1016/j.exger.2021.111561","ISSN":"0531-5565","journalAbbreviation":"Exp Gerontol","page":"111561","PMID":"34562568","PMCID":"PMC8807026","source":"PubMed Central","title":"Aging, Obesity, Sarcopenia and the Effect of Diet and Exercise Intervention","volume":"155","author":[{"family":"Colleluori","given":"Georgia"},{"family":"Villareal","given":"Dennis T."}],"issued":{"date-parts":[["2021",11]]}}}],"schema":"https://github.com/citation-style-language/schema/raw/master/csl-citation.json"}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[232]</w:t>
      </w:r>
      <w:r>
        <w:rPr>
          <w:rFonts w:ascii="Times New Roman" w:hAnsi="Times New Roman" w:cs="Times New Roman"/>
          <w:color w:val="000000" w:themeColor="text1"/>
          <w:sz w:val="28"/>
          <w:szCs w:val="28"/>
          <w:lang w:bidi="ar-SA"/>
        </w:rPr>
        <w:fldChar w:fldCharType="end"/>
      </w:r>
      <w:r w:rsidRPr="00CB3161">
        <w:rPr>
          <w:rFonts w:ascii="Times New Roman" w:hAnsi="Times New Roman" w:cs="Times New Roman"/>
          <w:color w:val="000000" w:themeColor="text1"/>
          <w:sz w:val="28"/>
          <w:szCs w:val="28"/>
          <w:lang w:bidi="ar-SA"/>
        </w:rPr>
        <w:t xml:space="preserve">. </w:t>
      </w:r>
    </w:p>
    <w:p w14:paraId="7C9406BB" w14:textId="474131BA" w:rsidR="00CB3161" w:rsidRPr="00926EC0" w:rsidRDefault="004925AD" w:rsidP="004925AD">
      <w:pPr>
        <w:pStyle w:val="LO-normal"/>
        <w:spacing w:after="0" w:line="240" w:lineRule="auto"/>
        <w:jc w:val="both"/>
        <w:rPr>
          <w:rFonts w:ascii="Times New Roman" w:hAnsi="Times New Roman" w:cs="Times New Roman"/>
          <w:color w:val="000000" w:themeColor="text1"/>
          <w:sz w:val="28"/>
          <w:szCs w:val="28"/>
          <w:lang w:bidi="ar-SA"/>
        </w:rPr>
      </w:pPr>
      <w:r>
        <w:rPr>
          <w:noProof/>
          <w:lang w:eastAsia="ru-RU" w:bidi="ar-SA"/>
        </w:rPr>
        <w:drawing>
          <wp:anchor distT="0" distB="0" distL="114300" distR="114300" simplePos="0" relativeHeight="251663360" behindDoc="0" locked="0" layoutInCell="0" allowOverlap="1" wp14:anchorId="79C23B43" wp14:editId="103829A3">
            <wp:simplePos x="0" y="0"/>
            <wp:positionH relativeFrom="column">
              <wp:posOffset>-3175</wp:posOffset>
            </wp:positionH>
            <wp:positionV relativeFrom="paragraph">
              <wp:posOffset>194310</wp:posOffset>
            </wp:positionV>
            <wp:extent cx="5015230" cy="2806065"/>
            <wp:effectExtent l="0" t="0" r="1270" b="635"/>
            <wp:wrapTopAndBottom/>
            <wp:docPr id="3" name="Image5" descr="Изображение выглядит как текст, снимок экрана, График,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 descr="Изображение выглядит как текст, снимок экрана, График, число&#10;&#10;Содержимое, созданное искусственным интеллектом, может быть неверным."/>
                    <pic:cNvPicPr>
                      <a:picLocks noChangeAspect="1" noChangeArrowheads="1"/>
                    </pic:cNvPicPr>
                  </pic:nvPicPr>
                  <pic:blipFill>
                    <a:blip r:embed="rId19"/>
                    <a:srcRect t="4564"/>
                    <a:stretch>
                      <a:fillRect/>
                    </a:stretch>
                  </pic:blipFill>
                  <pic:spPr bwMode="auto">
                    <a:xfrm>
                      <a:off x="0" y="0"/>
                      <a:ext cx="5015230" cy="2806065"/>
                    </a:xfrm>
                    <a:prstGeom prst="rect">
                      <a:avLst/>
                    </a:prstGeom>
                  </pic:spPr>
                </pic:pic>
              </a:graphicData>
            </a:graphic>
            <wp14:sizeRelH relativeFrom="margin">
              <wp14:pctWidth>0</wp14:pctWidth>
            </wp14:sizeRelH>
            <wp14:sizeRelV relativeFrom="margin">
              <wp14:pctHeight>0</wp14:pctHeight>
            </wp14:sizeRelV>
          </wp:anchor>
        </w:drawing>
      </w:r>
    </w:p>
    <w:p w14:paraId="21DA5C05" w14:textId="24407F62" w:rsidR="00CB3161" w:rsidRPr="004925AD" w:rsidRDefault="00CB3161" w:rsidP="00CB3161">
      <w:pPr>
        <w:pStyle w:val="LO-normal"/>
        <w:spacing w:after="0" w:line="240" w:lineRule="auto"/>
        <w:ind w:firstLine="567"/>
        <w:jc w:val="both"/>
        <w:rPr>
          <w:rFonts w:ascii="Times New Roman" w:hAnsi="Times New Roman" w:cs="Times New Roman"/>
          <w:color w:val="000000" w:themeColor="text1"/>
          <w:sz w:val="28"/>
          <w:szCs w:val="28"/>
          <w:lang w:bidi="ar-SA"/>
        </w:rPr>
      </w:pPr>
      <w:r w:rsidRPr="004925AD">
        <w:rPr>
          <w:rFonts w:ascii="Times New Roman" w:hAnsi="Times New Roman" w:cs="Times New Roman"/>
          <w:color w:val="000000" w:themeColor="text1"/>
          <w:sz w:val="28"/>
          <w:szCs w:val="28"/>
          <w:lang w:bidi="ar-SA"/>
        </w:rPr>
        <w:t>Рисунок 3. Клинические характеристики пациентов с ФП по возрасту</w:t>
      </w:r>
    </w:p>
    <w:p w14:paraId="5E880BFB" w14:textId="77777777" w:rsidR="00CB3161" w:rsidRDefault="00CB3161" w:rsidP="00CB3161">
      <w:pPr>
        <w:pStyle w:val="LO-normal"/>
        <w:spacing w:after="0" w:line="240" w:lineRule="auto"/>
        <w:ind w:firstLine="567"/>
        <w:jc w:val="both"/>
        <w:rPr>
          <w:rFonts w:ascii="Times New Roman" w:hAnsi="Times New Roman" w:cs="Times New Roman"/>
          <w:color w:val="000000" w:themeColor="text1"/>
          <w:sz w:val="28"/>
          <w:szCs w:val="28"/>
          <w:lang w:bidi="ar-SA"/>
        </w:rPr>
      </w:pPr>
    </w:p>
    <w:p w14:paraId="5BCDE9E1" w14:textId="572916E7" w:rsidR="00CB3161" w:rsidRDefault="00CB3161" w:rsidP="00CB3161">
      <w:pPr>
        <w:pStyle w:val="LO-normal"/>
        <w:spacing w:after="0" w:line="240" w:lineRule="auto"/>
        <w:ind w:firstLine="567"/>
        <w:jc w:val="both"/>
        <w:rPr>
          <w:rFonts w:ascii="Times New Roman" w:hAnsi="Times New Roman" w:cs="Times New Roman"/>
          <w:color w:val="000000" w:themeColor="text1"/>
          <w:sz w:val="28"/>
          <w:szCs w:val="28"/>
          <w:lang w:bidi="ar-SA"/>
        </w:rPr>
      </w:pPr>
      <w:r w:rsidRPr="004925AD">
        <w:rPr>
          <w:rFonts w:ascii="Times New Roman" w:hAnsi="Times New Roman" w:cs="Times New Roman"/>
          <w:b/>
          <w:bCs/>
          <w:color w:val="000000" w:themeColor="text1"/>
          <w:sz w:val="28"/>
          <w:szCs w:val="28"/>
          <w:lang w:bidi="ar-SA"/>
        </w:rPr>
        <w:t>Форма фибрилляции предсердий:</w:t>
      </w:r>
      <w:r>
        <w:rPr>
          <w:rFonts w:ascii="Times New Roman" w:hAnsi="Times New Roman" w:cs="Times New Roman"/>
          <w:color w:val="000000" w:themeColor="text1"/>
          <w:sz w:val="28"/>
          <w:szCs w:val="28"/>
          <w:lang w:bidi="ar-SA"/>
        </w:rPr>
        <w:t xml:space="preserve"> персистирующая форма ФП диагностирована у 84 пациентов (56%), пароксизмальная у 66 (44%).</w:t>
      </w:r>
    </w:p>
    <w:p w14:paraId="56C7B73E" w14:textId="77777777" w:rsidR="004925AD" w:rsidRDefault="004925AD" w:rsidP="004925AD">
      <w:pPr>
        <w:pStyle w:val="LO-normal"/>
        <w:spacing w:after="0" w:line="240" w:lineRule="auto"/>
        <w:ind w:firstLine="567"/>
        <w:jc w:val="both"/>
        <w:rPr>
          <w:rFonts w:ascii="Times New Roman" w:hAnsi="Times New Roman" w:cs="Times New Roman"/>
          <w:color w:val="000000" w:themeColor="text1"/>
          <w:sz w:val="28"/>
          <w:szCs w:val="28"/>
          <w:lang w:bidi="ar-SA"/>
        </w:rPr>
      </w:pPr>
      <w:r>
        <w:rPr>
          <w:noProof/>
          <w:lang w:eastAsia="ru-RU" w:bidi="ar-SA"/>
        </w:rPr>
        <w:drawing>
          <wp:anchor distT="0" distB="0" distL="0" distR="0" simplePos="0" relativeHeight="251667456" behindDoc="0" locked="0" layoutInCell="0" allowOverlap="1" wp14:anchorId="401A5400" wp14:editId="225670A6">
            <wp:simplePos x="0" y="0"/>
            <wp:positionH relativeFrom="column">
              <wp:posOffset>2851565</wp:posOffset>
            </wp:positionH>
            <wp:positionV relativeFrom="paragraph">
              <wp:posOffset>212725</wp:posOffset>
            </wp:positionV>
            <wp:extent cx="3133725" cy="2802890"/>
            <wp:effectExtent l="0" t="0" r="0" b="0"/>
            <wp:wrapSquare wrapText="largest"/>
            <wp:docPr id="5" name="Image8"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8" descr="Изображение выглядит как текст, снимок экрана, диаграмма, График&#10;&#10;Содержимое, созданное искусственным интеллектом, может быть неверным."/>
                    <pic:cNvPicPr>
                      <a:picLocks noChangeAspect="1" noChangeArrowheads="1"/>
                    </pic:cNvPicPr>
                  </pic:nvPicPr>
                  <pic:blipFill>
                    <a:blip r:embed="rId20"/>
                    <a:srcRect l="1301" r="1416" b="1689"/>
                    <a:stretch>
                      <a:fillRect/>
                    </a:stretch>
                  </pic:blipFill>
                  <pic:spPr bwMode="auto">
                    <a:xfrm>
                      <a:off x="0" y="0"/>
                      <a:ext cx="3133725" cy="2802890"/>
                    </a:xfrm>
                    <a:prstGeom prst="rect">
                      <a:avLst/>
                    </a:prstGeom>
                  </pic:spPr>
                </pic:pic>
              </a:graphicData>
            </a:graphic>
          </wp:anchor>
        </w:drawing>
      </w:r>
      <w:r>
        <w:rPr>
          <w:noProof/>
          <w:lang w:eastAsia="ru-RU" w:bidi="ar-SA"/>
        </w:rPr>
        <w:drawing>
          <wp:anchor distT="0" distB="0" distL="0" distR="0" simplePos="0" relativeHeight="251665408" behindDoc="0" locked="0" layoutInCell="0" allowOverlap="1" wp14:anchorId="435DDF38" wp14:editId="4220A19D">
            <wp:simplePos x="0" y="0"/>
            <wp:positionH relativeFrom="column">
              <wp:posOffset>0</wp:posOffset>
            </wp:positionH>
            <wp:positionV relativeFrom="paragraph">
              <wp:posOffset>207645</wp:posOffset>
            </wp:positionV>
            <wp:extent cx="2856230" cy="2902585"/>
            <wp:effectExtent l="0" t="0" r="0" b="0"/>
            <wp:wrapSquare wrapText="largest"/>
            <wp:docPr id="4" name="Image2" descr="Изображение выглядит как текст, снимок экрана,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Изображение выглядит как текст, снимок экрана, диаграмма, Шрифт&#10;&#10;Содержимое, созданное искусственным интеллектом, может быть неверным."/>
                    <pic:cNvPicPr>
                      <a:picLocks noChangeAspect="1" noChangeArrowheads="1"/>
                    </pic:cNvPicPr>
                  </pic:nvPicPr>
                  <pic:blipFill>
                    <a:blip r:embed="rId21"/>
                    <a:srcRect b="1635"/>
                    <a:stretch>
                      <a:fillRect/>
                    </a:stretch>
                  </pic:blipFill>
                  <pic:spPr bwMode="auto">
                    <a:xfrm>
                      <a:off x="0" y="0"/>
                      <a:ext cx="2856230" cy="2902585"/>
                    </a:xfrm>
                    <a:prstGeom prst="rect">
                      <a:avLst/>
                    </a:prstGeom>
                  </pic:spPr>
                </pic:pic>
              </a:graphicData>
            </a:graphic>
          </wp:anchor>
        </w:drawing>
      </w:r>
    </w:p>
    <w:p w14:paraId="5C220508" w14:textId="77777777" w:rsidR="004925AD" w:rsidRDefault="004925AD" w:rsidP="004925AD">
      <w:pPr>
        <w:pStyle w:val="LO-normal"/>
        <w:spacing w:after="0" w:line="240" w:lineRule="auto"/>
        <w:ind w:firstLine="567"/>
        <w:jc w:val="both"/>
        <w:rPr>
          <w:rFonts w:ascii="Times New Roman" w:hAnsi="Times New Roman" w:cs="Times New Roman"/>
          <w:color w:val="000000" w:themeColor="text1"/>
          <w:sz w:val="28"/>
          <w:szCs w:val="28"/>
          <w:lang w:bidi="ar-SA"/>
        </w:rPr>
      </w:pPr>
    </w:p>
    <w:p w14:paraId="683AFB43" w14:textId="46CDB192" w:rsidR="00CB3161" w:rsidRPr="004925AD" w:rsidRDefault="00CB3161" w:rsidP="004925AD">
      <w:pPr>
        <w:pStyle w:val="LO-normal"/>
        <w:spacing w:after="0" w:line="240" w:lineRule="auto"/>
        <w:ind w:firstLine="567"/>
        <w:jc w:val="both"/>
        <w:rPr>
          <w:rFonts w:ascii="Times New Roman" w:hAnsi="Times New Roman" w:cs="Times New Roman"/>
          <w:color w:val="000000" w:themeColor="text1"/>
          <w:sz w:val="28"/>
          <w:szCs w:val="28"/>
          <w:lang w:bidi="ar-SA"/>
        </w:rPr>
      </w:pPr>
      <w:r w:rsidRPr="004925AD">
        <w:rPr>
          <w:rFonts w:ascii="Times New Roman" w:hAnsi="Times New Roman" w:cs="Times New Roman"/>
          <w:color w:val="000000" w:themeColor="text1"/>
          <w:sz w:val="28"/>
          <w:szCs w:val="28"/>
          <w:lang w:bidi="ar-SA"/>
        </w:rPr>
        <w:t xml:space="preserve">Рисунок 4. Распределение форм фибрилляции предсердий по полу и возрасту </w:t>
      </w:r>
    </w:p>
    <w:p w14:paraId="1F797E6A" w14:textId="43787F8C" w:rsidR="00CB3161" w:rsidRPr="00171CCC" w:rsidRDefault="00CB3161" w:rsidP="00CB3161">
      <w:pPr>
        <w:pStyle w:val="LO-normal"/>
        <w:spacing w:after="0" w:line="240" w:lineRule="auto"/>
        <w:ind w:firstLine="567"/>
        <w:jc w:val="both"/>
        <w:rPr>
          <w:rFonts w:ascii="Times New Roman" w:hAnsi="Times New Roman" w:cs="Times New Roman"/>
          <w:color w:val="000000" w:themeColor="text1"/>
          <w:sz w:val="28"/>
          <w:szCs w:val="28"/>
          <w:lang w:bidi="ar-SA"/>
        </w:rPr>
      </w:pPr>
      <w:r w:rsidRPr="004925AD">
        <w:rPr>
          <w:rFonts w:ascii="Times New Roman" w:hAnsi="Times New Roman" w:cs="Times New Roman"/>
          <w:i/>
          <w:iCs/>
          <w:color w:val="000000" w:themeColor="text1"/>
          <w:sz w:val="28"/>
          <w:szCs w:val="28"/>
          <w:lang w:bidi="ar-SA"/>
        </w:rPr>
        <w:t>Гендерные различия.</w:t>
      </w:r>
      <w:r>
        <w:rPr>
          <w:rFonts w:ascii="Times New Roman" w:hAnsi="Times New Roman" w:cs="Times New Roman"/>
          <w:color w:val="000000" w:themeColor="text1"/>
          <w:sz w:val="28"/>
          <w:szCs w:val="28"/>
          <w:lang w:bidi="ar-SA"/>
        </w:rPr>
        <w:t xml:space="preserve"> Среди мужчин преобладала персистирующая форма ФП (66,7% против 33,3% у женщин; р=0,087, </w:t>
      </w:r>
      <w:r>
        <w:rPr>
          <w:rFonts w:ascii="Times New Roman" w:hAnsi="Times New Roman" w:cs="Times New Roman"/>
          <w:color w:val="000000" w:themeColor="text1"/>
          <w:sz w:val="28"/>
          <w:szCs w:val="28"/>
          <w:lang w:bidi="ar-SA"/>
        </w:rPr>
        <w:sym w:font="Symbol" w:char="F063"/>
      </w:r>
      <w:r>
        <w:rPr>
          <w:rFonts w:ascii="Times New Roman" w:hAnsi="Times New Roman" w:cs="Times New Roman"/>
          <w:color w:val="000000" w:themeColor="text1"/>
          <w:sz w:val="28"/>
          <w:szCs w:val="28"/>
          <w:vertAlign w:val="superscript"/>
          <w:lang w:bidi="ar-SA"/>
        </w:rPr>
        <w:t>2</w:t>
      </w:r>
      <w:r>
        <w:rPr>
          <w:rFonts w:ascii="Times New Roman" w:hAnsi="Times New Roman" w:cs="Times New Roman"/>
          <w:color w:val="000000" w:themeColor="text1"/>
          <w:sz w:val="28"/>
          <w:szCs w:val="28"/>
          <w:lang w:bidi="ar-SA"/>
        </w:rPr>
        <w:t>), однако различия не достигли статистической значимости</w:t>
      </w:r>
      <w:r w:rsidRPr="00CB3161">
        <w:rPr>
          <w:rFonts w:ascii="Times New Roman" w:hAnsi="Times New Roman" w:cs="Times New Roman"/>
          <w:color w:val="C00000"/>
          <w:sz w:val="28"/>
          <w:szCs w:val="28"/>
          <w:lang w:bidi="ar-SA"/>
        </w:rPr>
        <w:t xml:space="preserve"> </w:t>
      </w:r>
      <w:r w:rsidRPr="004925AD">
        <w:rPr>
          <w:rFonts w:ascii="Times New Roman" w:hAnsi="Times New Roman" w:cs="Times New Roman"/>
          <w:color w:val="000000" w:themeColor="text1"/>
          <w:sz w:val="28"/>
          <w:szCs w:val="28"/>
          <w:lang w:bidi="ar-SA"/>
        </w:rPr>
        <w:t xml:space="preserve">(рисунок 4). </w:t>
      </w:r>
      <w:r>
        <w:rPr>
          <w:rFonts w:ascii="Times New Roman" w:hAnsi="Times New Roman" w:cs="Times New Roman"/>
          <w:color w:val="000000" w:themeColor="text1"/>
          <w:sz w:val="28"/>
          <w:szCs w:val="28"/>
          <w:lang w:bidi="ar-SA"/>
        </w:rPr>
        <w:t>Данная тенденция согласуется с работами, указывающими на большую склонность к электрической ремоделяции предсердий у мужчин из-за андроген-зависимых механизмов</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{"citationID":"K4HbDZsa","properties":{"unsorted":false,"formattedCitation":"[233]","plainCitation":"[233]","noteIndex":0},"citationItems":[{"id":40,"uris":["http://zotero.org/users/14784094/items/3SH8WAE6"],"itemData":{"id":40,"type":"article-journal","abstract":"Atrial fibrillation (AF) is the clinically most prevalent rhythm disorder with large impact on quality of life and increased risk for hospitalizations and mortality in both men and women. In recent years, knowledge regarding epidemiology, risk factors, and patho-physiological mechanisms of AF has greatly increased. Sex differences have been identified in the prevalence, clinical presentation, associated comorbidities, and therapy outcomes of AF. Although it is known that age-related prevalence of AF is lower in women than in men, women have worse and often atypical symptoms and worse quality of life as well as a higher risk for adverse events such as stroke and death associated with AF. In this review, we evaluate what is known about sex differences in AF mechanisms-covering structural, electrophysiological, and hormonal factors-and underscore areas of knowledge gaps for future studies. Increasing our understanding of mechanisms accounting for these sex differences in AF is important both for prognostic purposes and the optimization of (targeted, mechanism-based, and sex-specific) therapeutic approaches.","container-title":"Europace: European Pacing, Arrhythmias, and Cardiac Electrophysiology: Journal of the Working Groups on Cardiac Pacing, Arrhythmias, and Cardiac Cellular Electrophysiology of the European Society of Cardiology","DOI":"10.1093/europace/euy215","ISSN":"1532-2092","issue":"3","journalAbbreviation":"Europace","language":"eng","page":"366-376","PMID":"30351414","source":"PubMed","title":"Mechanisms of sex differences in atrial fibrillation: role of hormones and differences in electrophysiology, structure, function, and remodelling","title-short":"Mechanisms of sex differences in atrial fibrillation","volume":"21","author":[{"family":"Odening","given":"Katja E."},{"family":"Deiß","given":"Sebastian"},{"family":"Dilling-Boer","given":"Dagmara"},{"family":"Didenko","given":"Maxim"},{"family":"Eriksson","given":"Urs"},{"family":"Nedios","given":"Sotirios"},{"family":"Ng","given":"Fu Siong"},{"family":"Roca Luque","given":"Ivo"},{"family":"Sanchez Borque","given":"Pepa"},{"family":"Vernooy","given":"Kevin"},{"family":"Wijnmaalen","given":"Adrianus P."},{"family":"Yorgun","given":"Hikmet"}],"issued":{"date-parts":[["2019",3,1]]}}}],"schema":"https://github.com/citation-style-language/schema/raw/master/csl-citation.json"}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[233]</w:t>
      </w:r>
      <w:r>
        <w:rPr>
          <w:rFonts w:ascii="Times New Roman" w:hAnsi="Times New Roman" w:cs="Times New Roman"/>
          <w:color w:val="000000" w:themeColor="text1"/>
          <w:sz w:val="28"/>
          <w:szCs w:val="28"/>
          <w:lang w:bidi="ar-SA"/>
        </w:rPr>
        <w:fldChar w:fldCharType="end"/>
      </w:r>
      <w:r w:rsidRPr="00CB3161">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 xml:space="preserve">Пароксизмальная форма распределялась равномерно (51,5% мужчины против 48,5% женщины). </w:t>
      </w:r>
      <w:r w:rsidRPr="004925AD">
        <w:rPr>
          <w:rFonts w:ascii="Times New Roman" w:hAnsi="Times New Roman" w:cs="Times New Roman"/>
          <w:i/>
          <w:iCs/>
          <w:color w:val="000000" w:themeColor="text1"/>
          <w:sz w:val="28"/>
          <w:szCs w:val="28"/>
          <w:lang w:bidi="ar-SA"/>
        </w:rPr>
        <w:t>Возрастные особенности</w:t>
      </w:r>
      <w:r>
        <w:rPr>
          <w:rFonts w:ascii="Times New Roman" w:hAnsi="Times New Roman" w:cs="Times New Roman"/>
          <w:color w:val="000000" w:themeColor="text1"/>
          <w:sz w:val="28"/>
          <w:szCs w:val="28"/>
          <w:lang w:bidi="ar-SA"/>
        </w:rPr>
        <w:t>. В обеих возрастных группах (</w:t>
      </w:r>
      <w:r w:rsidRPr="00CB3161">
        <w:rPr>
          <w:rFonts w:ascii="Times New Roman" w:hAnsi="Times New Roman" w:cs="Times New Roman"/>
          <w:color w:val="000000" w:themeColor="text1"/>
          <w:sz w:val="28"/>
          <w:szCs w:val="28"/>
          <w:lang w:bidi="ar-SA"/>
        </w:rPr>
        <w:t xml:space="preserve">&lt;65 </w:t>
      </w:r>
      <w:r>
        <w:rPr>
          <w:rFonts w:ascii="Times New Roman" w:hAnsi="Times New Roman" w:cs="Times New Roman"/>
          <w:color w:val="000000" w:themeColor="text1"/>
          <w:sz w:val="28"/>
          <w:szCs w:val="28"/>
          <w:lang w:bidi="ar-SA"/>
        </w:rPr>
        <w:t xml:space="preserve">и </w:t>
      </w:r>
      <w:r>
        <w:rPr>
          <w:rFonts w:ascii="Times New Roman" w:hAnsi="Times New Roman" w:cs="Times New Roman"/>
          <w:color w:val="000000" w:themeColor="text1"/>
          <w:sz w:val="28"/>
          <w:szCs w:val="28"/>
          <w:lang w:val="en-US" w:bidi="ar-SA"/>
        </w:rPr>
        <w:sym w:font="Symbol" w:char="F0B3"/>
      </w:r>
      <w:r w:rsidRPr="00CB3161">
        <w:rPr>
          <w:rFonts w:ascii="Times New Roman" w:hAnsi="Times New Roman" w:cs="Times New Roman"/>
          <w:color w:val="000000" w:themeColor="text1"/>
          <w:sz w:val="28"/>
          <w:szCs w:val="28"/>
          <w:lang w:bidi="ar-SA"/>
        </w:rPr>
        <w:t>65</w:t>
      </w:r>
      <w:r>
        <w:rPr>
          <w:rFonts w:ascii="Times New Roman" w:hAnsi="Times New Roman" w:cs="Times New Roman"/>
          <w:color w:val="000000" w:themeColor="text1"/>
          <w:sz w:val="28"/>
          <w:szCs w:val="28"/>
          <w:lang w:bidi="ar-SA"/>
        </w:rPr>
        <w:t xml:space="preserve">лет) соотношение форм ФП сохранялось: персистирующая – 56% и пароксизмальная формы – 44%; между группами не было выявлено различий (р=1,000) </w:t>
      </w:r>
      <w:r w:rsidRPr="004925AD">
        <w:rPr>
          <w:rFonts w:ascii="Times New Roman" w:hAnsi="Times New Roman" w:cs="Times New Roman"/>
          <w:color w:val="000000" w:themeColor="text1"/>
          <w:sz w:val="28"/>
          <w:szCs w:val="28"/>
          <w:lang w:bidi="ar-SA"/>
        </w:rPr>
        <w:t>(рисунок 4).</w:t>
      </w:r>
      <w:r>
        <w:rPr>
          <w:rFonts w:ascii="Times New Roman" w:hAnsi="Times New Roman" w:cs="Times New Roman"/>
          <w:color w:val="C00000"/>
          <w:sz w:val="28"/>
          <w:szCs w:val="28"/>
          <w:lang w:bidi="ar-SA"/>
        </w:rPr>
        <w:t xml:space="preserve"> </w:t>
      </w:r>
      <w:r w:rsidRPr="00CB3161">
        <w:rPr>
          <w:rFonts w:ascii="Times New Roman" w:hAnsi="Times New Roman" w:cs="Times New Roman"/>
          <w:color w:val="000000" w:themeColor="text1"/>
          <w:sz w:val="28"/>
          <w:szCs w:val="28"/>
          <w:lang w:bidi="ar-SA"/>
        </w:rPr>
        <w:t xml:space="preserve">Наблюдения </w:t>
      </w:r>
      <w:r w:rsidRPr="00CB3161">
        <w:rPr>
          <w:rFonts w:ascii="Times New Roman" w:hAnsi="Times New Roman" w:cs="Times New Roman"/>
          <w:color w:val="000000" w:themeColor="text1"/>
          <w:sz w:val="28"/>
          <w:szCs w:val="28"/>
          <w:lang w:val="en-US" w:bidi="ar-SA"/>
        </w:rPr>
        <w:t>G</w:t>
      </w:r>
      <w:r w:rsidRPr="00CB3161">
        <w:rPr>
          <w:rFonts w:ascii="Times New Roman" w:hAnsi="Times New Roman" w:cs="Times New Roman"/>
          <w:color w:val="000000" w:themeColor="text1"/>
          <w:sz w:val="28"/>
          <w:szCs w:val="28"/>
          <w:lang w:bidi="ar-SA"/>
        </w:rPr>
        <w:t>.</w:t>
      </w:r>
      <w:r w:rsidRPr="00CB3161">
        <w:rPr>
          <w:rFonts w:ascii="Times New Roman" w:hAnsi="Times New Roman" w:cs="Times New Roman"/>
          <w:color w:val="000000" w:themeColor="text1"/>
          <w:sz w:val="28"/>
          <w:szCs w:val="28"/>
          <w:lang w:val="en-US" w:bidi="ar-SA"/>
        </w:rPr>
        <w:t>Padfield</w:t>
      </w:r>
      <w:r w:rsidRPr="00CB3161">
        <w:rPr>
          <w:rFonts w:ascii="Times New Roman" w:hAnsi="Times New Roman" w:cs="Times New Roman"/>
          <w:color w:val="000000" w:themeColor="text1"/>
          <w:sz w:val="28"/>
          <w:szCs w:val="28"/>
          <w:lang w:bidi="ar-SA"/>
        </w:rPr>
        <w:t xml:space="preserve"> </w:t>
      </w:r>
      <w:r w:rsidRPr="00CB3161">
        <w:rPr>
          <w:rFonts w:ascii="Times New Roman" w:hAnsi="Times New Roman" w:cs="Times New Roman"/>
          <w:color w:val="000000" w:themeColor="text1"/>
          <w:sz w:val="28"/>
          <w:szCs w:val="28"/>
          <w:lang w:val="en-US" w:bidi="ar-SA"/>
        </w:rPr>
        <w:t>et</w:t>
      </w:r>
      <w:r w:rsidRPr="00CB3161">
        <w:rPr>
          <w:rFonts w:ascii="Times New Roman" w:hAnsi="Times New Roman" w:cs="Times New Roman"/>
          <w:color w:val="000000" w:themeColor="text1"/>
          <w:sz w:val="28"/>
          <w:szCs w:val="28"/>
          <w:lang w:bidi="ar-SA"/>
        </w:rPr>
        <w:t xml:space="preserve"> </w:t>
      </w:r>
      <w:r w:rsidRPr="00CB3161">
        <w:rPr>
          <w:rFonts w:ascii="Times New Roman" w:hAnsi="Times New Roman" w:cs="Times New Roman"/>
          <w:color w:val="000000" w:themeColor="text1"/>
          <w:sz w:val="28"/>
          <w:szCs w:val="28"/>
          <w:lang w:val="en-US" w:bidi="ar-SA"/>
        </w:rPr>
        <w:t>al</w:t>
      </w:r>
      <w:r w:rsidRPr="00CB3161">
        <w:rPr>
          <w:rFonts w:ascii="Times New Roman" w:hAnsi="Times New Roman" w:cs="Times New Roman"/>
          <w:color w:val="000000" w:themeColor="text1"/>
          <w:sz w:val="28"/>
          <w:szCs w:val="28"/>
          <w:lang w:bidi="ar-SA"/>
        </w:rPr>
        <w:t>.показали, что у более 50% пациентов пароксизмальная ФП хронизируется через 10 лет</w:t>
      </w:r>
      <w:r w:rsidRPr="00CB3161">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{"citationID":"GLW3b7FP","properties":{"unsorted":false,"formattedCitation":"[234]","plainCitation":"[234]","noteIndex":0},"citationItems":[{"id":39,"uris":["http://zotero.org/users/14784094/items/DRNDFH96"],"itemData":{"id":39,"type":"article-journal","abstract":"BACKGROUND: Progression from paroxysmal to persistent atrial fibrillation (AF) has important clinical implications and is relevant to the management of patients with AF.\nOBJECTIVE: The purpose of this study was to define the long-term rate of progression from paroxysmal to persistent AF and the relevant clinical variables.\nMETHODS: The Canadian Registry of Atrial Fibrillation enrolled patients after a first electrocardiographic diagnosis of paroxysmal AF. Associations between baseline characteristics and clinical outcomes were evaluated using a multivariable Cox proportional hazard model and a competing risk model accounting for death as a competing risk, where appropriate.\nRESULTS: We enrolled 755 patients (61.7% men) aged between 14 and 91 years (mean age 61.2 ± 14.2 years). The median follow-up was 6.35 years (interquartile range 2.93-10.04 years), with a rate of progression to persistent AF at 1, 5, and 10 years was 8.6%, 24.3%, and 36.3%, respectively. All-cause mortality was 30.3% at 10 years. Factors associated with AF progression were increasing age (hazard ratio [HR] 1.40; 95% confidence interval [CI] 1.23-1.60, for each 10-year increment), mitral regurgitation (HR 1.87; 95% CI 1.28-2.73), left atrial dilatation (HR 3.01; 95% CI 2.03-4.47), aortic stenosis (HR 2.40; 95% CI 1.05-5.48), and left ventricular hypertrophy (HR .47; 95% CI 1.04-2.08). Factors associated with a lower rate of progression were a faster heart rate during AF (HR 0.94; 95% CI 0.92-0.96 per 5-beat/min increment) and angina (HR 0.54; 95% CI 0.38-0.77). After accounting for death as a competing risk, left ventricular hypertrophy and aortic stenosis were no longer significant.\nCONCLUSION: Within 10 years of presenting with paroxysmal AF, &gt;50% of patients will progress to persistent AF or be dead. Increasing age, mitral regurgitation, aortic stenosis, left ventricular hypertrophy, and left atrial dilatation were associated with progression to persistent AF.","container-title":"Heart Rhythm","DOI":"10.1016/j.hrthm.2017.01.038","ISSN":"1556-3871","issue":"6","journalAbbreviation":"Heart Rhythm","language":"eng","page":"801-807","PMID":"28232263","source":"PubMed","title":"Progression of paroxysmal to persistent atrial fibrillation: 10-year follow-up in the Canadian Registry of Atrial Fibrillation","title-short":"Progression of paroxysmal to persistent atrial fibrillation","volume":"14","author":[{"family":"Padfield","given":"Gareth J."},{"family":"Steinberg","given":"Christian"},{"family":"Swampillai","given":"Janice"},{"family":"Qian","given":"Hong"},{"family":"Connolly","given":"Stuart J."},{"family":"Dorian","given":"Paul"},{"family":"Green","given":"Martin S."},{"family":"Humphries","given":"Karin H."},{"family":"Klein","given":"George J."},{"family":"Sheldon","given":"Robert"},{"family":"Talajic","given":"Mario"},{"family":"Kerr","given":"Charles R."}],"issued":{"date-parts":[["2017",6]]}}}],"schema":"https://github.com/citation-style-language/schema/raw/master/csl-citation.json"} </w:instrText>
      </w:r>
      <w:r w:rsidRPr="00CB3161">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[234]</w:t>
      </w:r>
      <w:r w:rsidRPr="00CB3161">
        <w:rPr>
          <w:rFonts w:ascii="Times New Roman" w:hAnsi="Times New Roman" w:cs="Times New Roman"/>
          <w:color w:val="000000" w:themeColor="text1"/>
          <w:sz w:val="28"/>
          <w:szCs w:val="28"/>
          <w:lang w:bidi="ar-SA"/>
        </w:rPr>
        <w:fldChar w:fldCharType="end"/>
      </w:r>
      <w:r w:rsidRPr="00926EC0">
        <w:rPr>
          <w:rFonts w:ascii="Times New Roman" w:hAnsi="Times New Roman" w:cs="Times New Roman"/>
          <w:color w:val="000000" w:themeColor="text1"/>
          <w:sz w:val="28"/>
          <w:szCs w:val="28"/>
          <w:lang w:bidi="ar-SA"/>
        </w:rPr>
        <w:t>.</w:t>
      </w:r>
    </w:p>
    <w:p w14:paraId="6DD3D730" w14:textId="77777777" w:rsidR="004925AD" w:rsidRPr="00171CCC" w:rsidRDefault="004925AD" w:rsidP="00CB3161">
      <w:pPr>
        <w:pStyle w:val="LO-normal"/>
        <w:spacing w:after="0" w:line="240" w:lineRule="auto"/>
        <w:ind w:firstLine="567"/>
        <w:jc w:val="both"/>
        <w:rPr>
          <w:rFonts w:ascii="Times New Roman" w:hAnsi="Times New Roman" w:cs="Times New Roman"/>
          <w:color w:val="000000" w:themeColor="text1"/>
          <w:sz w:val="28"/>
          <w:szCs w:val="28"/>
          <w:lang w:bidi="ar-SA"/>
        </w:rPr>
      </w:pPr>
    </w:p>
    <w:p w14:paraId="60149435" w14:textId="4E629620" w:rsidR="00703F92" w:rsidRDefault="00703F92" w:rsidP="00CB3161">
      <w:pPr>
        <w:pStyle w:val="LO-normal"/>
        <w:spacing w:after="0" w:line="240" w:lineRule="auto"/>
        <w:ind w:firstLine="567"/>
        <w:jc w:val="both"/>
        <w:rPr>
          <w:rFonts w:ascii="Times New Roman" w:hAnsi="Times New Roman" w:cs="Times New Roman"/>
          <w:color w:val="C00000"/>
          <w:sz w:val="28"/>
          <w:szCs w:val="28"/>
          <w:lang w:bidi="ar-SA"/>
        </w:rPr>
      </w:pPr>
      <w:r>
        <w:rPr>
          <w:rFonts w:ascii="Times New Roman" w:hAnsi="Times New Roman" w:cs="Times New Roman"/>
          <w:color w:val="000000" w:themeColor="text1"/>
          <w:sz w:val="28"/>
          <w:szCs w:val="28"/>
          <w:lang w:bidi="ar-SA"/>
        </w:rPr>
        <w:t xml:space="preserve">У 150 пациентов с неклапанной ФП проведена стратификация рисков по шкалам </w:t>
      </w:r>
      <w:r>
        <w:rPr>
          <w:rFonts w:ascii="Times New Roman" w:hAnsi="Times New Roman" w:cs="Times New Roman"/>
          <w:color w:val="000000" w:themeColor="text1"/>
          <w:sz w:val="28"/>
          <w:szCs w:val="28"/>
          <w:lang w:val="en-US" w:bidi="ar-SA"/>
        </w:rPr>
        <w:t>CHA</w:t>
      </w:r>
      <w:r w:rsidRPr="00703F92">
        <w:rPr>
          <w:rFonts w:ascii="Times New Roman" w:hAnsi="Times New Roman" w:cs="Times New Roman"/>
          <w:color w:val="000000" w:themeColor="text1"/>
          <w:sz w:val="28"/>
          <w:szCs w:val="28"/>
          <w:vertAlign w:val="subscript"/>
          <w:lang w:bidi="ar-SA"/>
        </w:rPr>
        <w:t>2</w:t>
      </w:r>
      <w:r>
        <w:rPr>
          <w:rFonts w:ascii="Times New Roman" w:hAnsi="Times New Roman" w:cs="Times New Roman"/>
          <w:color w:val="000000" w:themeColor="text1"/>
          <w:sz w:val="28"/>
          <w:szCs w:val="28"/>
          <w:lang w:val="en-US" w:bidi="ar-SA"/>
        </w:rPr>
        <w:t>DS</w:t>
      </w:r>
      <w:r w:rsidRPr="00703F92">
        <w:rPr>
          <w:rFonts w:ascii="Times New Roman" w:hAnsi="Times New Roman" w:cs="Times New Roman"/>
          <w:color w:val="000000" w:themeColor="text1"/>
          <w:sz w:val="28"/>
          <w:szCs w:val="28"/>
          <w:vertAlign w:val="subscript"/>
          <w:lang w:bidi="ar-SA"/>
        </w:rPr>
        <w:t>2</w:t>
      </w:r>
      <w:r w:rsidRPr="00703F92">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VASc</w:t>
      </w:r>
      <w:r w:rsidRPr="00703F92">
        <w:rPr>
          <w:rFonts w:ascii="Times New Roman" w:hAnsi="Times New Roman" w:cs="Times New Roman"/>
          <w:color w:val="000000" w:themeColor="text1"/>
          <w:sz w:val="28"/>
          <w:szCs w:val="28"/>
          <w:lang w:bidi="ar-SA"/>
        </w:rPr>
        <w:t xml:space="preserve"> </w:t>
      </w:r>
      <w:r w:rsidRPr="00AB796B">
        <w:rPr>
          <w:rFonts w:ascii="Times New Roman" w:hAnsi="Times New Roman" w:cs="Times New Roman"/>
          <w:color w:val="000000" w:themeColor="text1"/>
          <w:sz w:val="28"/>
          <w:szCs w:val="28"/>
          <w:lang w:bidi="ar-SA"/>
        </w:rPr>
        <w:t xml:space="preserve">(таблица </w:t>
      </w:r>
      <w:r w:rsidR="004925AD" w:rsidRPr="00AB796B">
        <w:rPr>
          <w:rFonts w:ascii="Times New Roman" w:hAnsi="Times New Roman" w:cs="Times New Roman"/>
          <w:color w:val="000000" w:themeColor="text1"/>
          <w:sz w:val="28"/>
          <w:szCs w:val="28"/>
          <w:lang w:bidi="ar-SA"/>
        </w:rPr>
        <w:t>1</w:t>
      </w:r>
      <w:r w:rsidRPr="00AB796B">
        <w:rPr>
          <w:rFonts w:ascii="Times New Roman" w:hAnsi="Times New Roman" w:cs="Times New Roman"/>
          <w:color w:val="000000" w:themeColor="text1"/>
          <w:sz w:val="28"/>
          <w:szCs w:val="28"/>
          <w:lang w:bidi="ar-SA"/>
        </w:rPr>
        <w:t xml:space="preserve">) и </w:t>
      </w:r>
      <w:r w:rsidRPr="00AB796B">
        <w:rPr>
          <w:rFonts w:ascii="Times New Roman" w:hAnsi="Times New Roman" w:cs="Times New Roman"/>
          <w:color w:val="000000" w:themeColor="text1"/>
          <w:sz w:val="28"/>
          <w:szCs w:val="28"/>
          <w:lang w:val="en-US" w:bidi="ar-SA"/>
        </w:rPr>
        <w:t>HAS</w:t>
      </w:r>
      <w:r w:rsidRPr="00AB796B">
        <w:rPr>
          <w:rFonts w:ascii="Times New Roman" w:hAnsi="Times New Roman" w:cs="Times New Roman"/>
          <w:color w:val="000000" w:themeColor="text1"/>
          <w:sz w:val="28"/>
          <w:szCs w:val="28"/>
          <w:lang w:bidi="ar-SA"/>
        </w:rPr>
        <w:t>-</w:t>
      </w:r>
      <w:r w:rsidRPr="00AB796B">
        <w:rPr>
          <w:rFonts w:ascii="Times New Roman" w:hAnsi="Times New Roman" w:cs="Times New Roman"/>
          <w:color w:val="000000" w:themeColor="text1"/>
          <w:sz w:val="28"/>
          <w:szCs w:val="28"/>
          <w:lang w:val="en-US" w:bidi="ar-SA"/>
        </w:rPr>
        <w:t>BLED</w:t>
      </w:r>
      <w:r w:rsidRPr="00AB796B">
        <w:rPr>
          <w:rFonts w:ascii="Times New Roman" w:hAnsi="Times New Roman" w:cs="Times New Roman"/>
          <w:color w:val="000000" w:themeColor="text1"/>
          <w:sz w:val="28"/>
          <w:szCs w:val="28"/>
          <w:lang w:bidi="ar-SA"/>
        </w:rPr>
        <w:t xml:space="preserve"> (таблица </w:t>
      </w:r>
      <w:r w:rsidR="004925AD" w:rsidRPr="00AB796B">
        <w:rPr>
          <w:rFonts w:ascii="Times New Roman" w:hAnsi="Times New Roman" w:cs="Times New Roman"/>
          <w:color w:val="000000" w:themeColor="text1"/>
          <w:sz w:val="28"/>
          <w:szCs w:val="28"/>
          <w:lang w:bidi="ar-SA"/>
        </w:rPr>
        <w:t>2</w:t>
      </w:r>
      <w:r w:rsidRPr="00AB796B">
        <w:rPr>
          <w:rFonts w:ascii="Times New Roman" w:hAnsi="Times New Roman" w:cs="Times New Roman"/>
          <w:color w:val="000000" w:themeColor="text1"/>
          <w:sz w:val="28"/>
          <w:szCs w:val="28"/>
          <w:lang w:bidi="ar-SA"/>
        </w:rPr>
        <w:t>).</w:t>
      </w:r>
    </w:p>
    <w:p w14:paraId="5FB81BE0" w14:textId="3876638B" w:rsidR="00703F92" w:rsidRPr="00926EC0" w:rsidRDefault="00703F92" w:rsidP="00CB3161">
      <w:pPr>
        <w:pStyle w:val="LO-normal"/>
        <w:spacing w:after="0" w:line="240" w:lineRule="auto"/>
        <w:ind w:firstLine="567"/>
        <w:jc w:val="both"/>
        <w:rPr>
          <w:rFonts w:ascii="Times New Roman" w:hAnsi="Times New Roman" w:cs="Times New Roman"/>
          <w:color w:val="C00000"/>
          <w:sz w:val="28"/>
          <w:szCs w:val="28"/>
          <w:lang w:bidi="ar-SA"/>
        </w:rPr>
      </w:pPr>
      <w:r w:rsidRPr="00AB796B">
        <w:rPr>
          <w:rFonts w:ascii="Times New Roman" w:hAnsi="Times New Roman" w:cs="Times New Roman"/>
          <w:color w:val="000000" w:themeColor="text1"/>
          <w:sz w:val="28"/>
          <w:szCs w:val="28"/>
          <w:lang w:bidi="ar-SA"/>
        </w:rPr>
        <w:t xml:space="preserve">Таблица </w:t>
      </w:r>
      <w:r w:rsidR="00AB796B" w:rsidRPr="00D904DE">
        <w:rPr>
          <w:rFonts w:ascii="Times New Roman" w:hAnsi="Times New Roman" w:cs="Times New Roman"/>
          <w:color w:val="000000" w:themeColor="text1"/>
          <w:sz w:val="28"/>
          <w:szCs w:val="28"/>
          <w:lang w:bidi="ar-SA"/>
        </w:rPr>
        <w:t>1</w:t>
      </w:r>
      <w:r w:rsidRPr="00AB796B">
        <w:rPr>
          <w:rFonts w:ascii="Times New Roman" w:hAnsi="Times New Roman" w:cs="Times New Roman"/>
          <w:color w:val="000000" w:themeColor="text1"/>
          <w:sz w:val="28"/>
          <w:szCs w:val="28"/>
          <w:lang w:bidi="ar-SA"/>
        </w:rPr>
        <w:t xml:space="preserve">. </w:t>
      </w:r>
      <w:r w:rsidRPr="00703F92">
        <w:rPr>
          <w:rFonts w:ascii="Times New Roman" w:hAnsi="Times New Roman" w:cs="Times New Roman"/>
          <w:color w:val="000000" w:themeColor="text1"/>
          <w:sz w:val="28"/>
          <w:szCs w:val="28"/>
          <w:lang w:bidi="ar-SA"/>
        </w:rPr>
        <w:t xml:space="preserve">Распределение баллов </w:t>
      </w:r>
      <w:r w:rsidRPr="00703F92">
        <w:rPr>
          <w:rFonts w:ascii="Times New Roman" w:hAnsi="Times New Roman" w:cs="Times New Roman"/>
          <w:color w:val="000000" w:themeColor="text1"/>
          <w:sz w:val="28"/>
          <w:szCs w:val="28"/>
          <w:lang w:val="en-US" w:bidi="ar-SA"/>
        </w:rPr>
        <w:t>CHA</w:t>
      </w:r>
      <w:r w:rsidRPr="00703F92">
        <w:rPr>
          <w:rFonts w:ascii="Times New Roman" w:hAnsi="Times New Roman" w:cs="Times New Roman"/>
          <w:color w:val="000000" w:themeColor="text1"/>
          <w:sz w:val="28"/>
          <w:szCs w:val="28"/>
          <w:vertAlign w:val="subscript"/>
          <w:lang w:bidi="ar-SA"/>
        </w:rPr>
        <w:t>2</w:t>
      </w:r>
      <w:r w:rsidRPr="00703F92">
        <w:rPr>
          <w:rFonts w:ascii="Times New Roman" w:hAnsi="Times New Roman" w:cs="Times New Roman"/>
          <w:color w:val="000000" w:themeColor="text1"/>
          <w:sz w:val="28"/>
          <w:szCs w:val="28"/>
          <w:lang w:val="en-US" w:bidi="ar-SA"/>
        </w:rPr>
        <w:t>DS</w:t>
      </w:r>
      <w:r w:rsidRPr="00703F92">
        <w:rPr>
          <w:rFonts w:ascii="Times New Roman" w:hAnsi="Times New Roman" w:cs="Times New Roman"/>
          <w:color w:val="000000" w:themeColor="text1"/>
          <w:sz w:val="28"/>
          <w:szCs w:val="28"/>
          <w:vertAlign w:val="subscript"/>
          <w:lang w:bidi="ar-SA"/>
        </w:rPr>
        <w:t>2</w:t>
      </w:r>
      <w:r w:rsidRPr="00703F92">
        <w:rPr>
          <w:rFonts w:ascii="Times New Roman" w:hAnsi="Times New Roman" w:cs="Times New Roman"/>
          <w:color w:val="000000" w:themeColor="text1"/>
          <w:sz w:val="28"/>
          <w:szCs w:val="28"/>
          <w:lang w:bidi="ar-SA"/>
        </w:rPr>
        <w:t>-</w:t>
      </w:r>
      <w:r w:rsidRPr="00703F92">
        <w:rPr>
          <w:rFonts w:ascii="Times New Roman" w:hAnsi="Times New Roman" w:cs="Times New Roman"/>
          <w:color w:val="000000" w:themeColor="text1"/>
          <w:sz w:val="28"/>
          <w:szCs w:val="28"/>
          <w:lang w:val="en-US" w:bidi="ar-SA"/>
        </w:rPr>
        <w:t>VASc</w:t>
      </w:r>
      <w:r w:rsidRPr="00703F92">
        <w:rPr>
          <w:rFonts w:ascii="Times New Roman" w:hAnsi="Times New Roman" w:cs="Times New Roman"/>
          <w:color w:val="000000" w:themeColor="text1"/>
          <w:sz w:val="28"/>
          <w:szCs w:val="28"/>
          <w:lang w:bidi="ar-SA"/>
        </w:rPr>
        <w:t xml:space="preserve"> в общей популяции пациентов с ФП (</w:t>
      </w:r>
      <w:r w:rsidRPr="00703F92">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=150)</w:t>
      </w:r>
    </w:p>
    <w:tbl>
      <w:tblPr>
        <w:tblW w:w="8391" w:type="dxa"/>
        <w:tblInd w:w="-5" w:type="dxa"/>
        <w:tblLayout w:type="fixed"/>
        <w:tblCellMar>
          <w:top w:w="55" w:type="dxa"/>
          <w:left w:w="55" w:type="dxa"/>
          <w:bottom w:w="55" w:type="dxa"/>
          <w:right w:w="55" w:type="dxa"/>
        </w:tblCellMar>
        <w:tblLook w:val="0000" w:firstRow="0" w:lastRow="0" w:firstColumn="0" w:lastColumn="0" w:noHBand="0" w:noVBand="0"/>
      </w:tblPr>
      <w:tblGrid>
        <w:gridCol w:w="2784"/>
        <w:gridCol w:w="2882"/>
        <w:gridCol w:w="2725"/>
      </w:tblGrid>
      <w:tr w:rsidR="00AB796B" w14:paraId="1CC81B8F" w14:textId="77777777" w:rsidTr="00B57F2E">
        <w:tc>
          <w:tcPr>
            <w:tcW w:w="2784" w:type="dxa"/>
            <w:tcBorders>
              <w:top w:val="single" w:sz="4" w:space="0" w:color="000000"/>
              <w:left w:val="single" w:sz="4" w:space="0" w:color="000000"/>
              <w:bottom w:val="single" w:sz="4" w:space="0" w:color="000000"/>
            </w:tcBorders>
            <w:shd w:val="clear" w:color="auto" w:fill="CCFFFF"/>
            <w:vAlign w:val="center"/>
          </w:tcPr>
          <w:p w14:paraId="56C2D65D" w14:textId="77777777" w:rsidR="00AB796B" w:rsidRDefault="00AB796B" w:rsidP="00B57F2E">
            <w:pPr>
              <w:pStyle w:val="TableHeading"/>
              <w:spacing w:after="29"/>
              <w:rPr>
                <w:rFonts w:ascii="Liberation Serif" w:hAnsi="Liberation Serif" w:hint="eastAsia"/>
                <w:b w:val="0"/>
                <w:bCs w:val="0"/>
                <w:color w:val="000000"/>
                <w:sz w:val="24"/>
                <w:szCs w:val="24"/>
              </w:rPr>
            </w:pPr>
            <w:r>
              <w:rPr>
                <w:rFonts w:ascii="Times New Roman" w:hAnsi="Times New Roman"/>
                <w:color w:val="000000"/>
                <w:sz w:val="24"/>
                <w:szCs w:val="24"/>
              </w:rPr>
              <w:t xml:space="preserve">Балл </w:t>
            </w:r>
            <w:r>
              <w:rPr>
                <w:rStyle w:val="StrongEmphasis"/>
                <w:rFonts w:ascii="Times New Roman" w:hAnsi="Times New Roman"/>
                <w:color w:val="000000"/>
                <w:sz w:val="24"/>
                <w:szCs w:val="24"/>
              </w:rPr>
              <w:t>CHADS₂-</w:t>
            </w:r>
            <w:proofErr w:type="spellStart"/>
            <w:r>
              <w:rPr>
                <w:rStyle w:val="StrongEmphasis"/>
                <w:rFonts w:ascii="Times New Roman" w:hAnsi="Times New Roman"/>
                <w:color w:val="000000"/>
                <w:sz w:val="24"/>
                <w:szCs w:val="24"/>
              </w:rPr>
              <w:t>VASc</w:t>
            </w:r>
            <w:proofErr w:type="spellEnd"/>
            <w:r>
              <w:rPr>
                <w:rStyle w:val="StrongEmphasis"/>
                <w:rFonts w:ascii="Times New Roman" w:hAnsi="Times New Roman"/>
                <w:color w:val="000000"/>
                <w:sz w:val="24"/>
                <w:szCs w:val="24"/>
              </w:rPr>
              <w:t xml:space="preserve"> </w:t>
            </w:r>
          </w:p>
        </w:tc>
        <w:tc>
          <w:tcPr>
            <w:tcW w:w="2882" w:type="dxa"/>
            <w:tcBorders>
              <w:top w:val="single" w:sz="4" w:space="0" w:color="000000"/>
              <w:left w:val="single" w:sz="4" w:space="0" w:color="000000"/>
              <w:bottom w:val="single" w:sz="4" w:space="0" w:color="000000"/>
            </w:tcBorders>
            <w:shd w:val="clear" w:color="auto" w:fill="CCFFFF"/>
            <w:vAlign w:val="center"/>
          </w:tcPr>
          <w:p w14:paraId="0BA680BC" w14:textId="77777777" w:rsidR="00AB796B" w:rsidRDefault="00AB796B" w:rsidP="00B57F2E">
            <w:pPr>
              <w:pStyle w:val="TableHeading"/>
              <w:spacing w:after="29"/>
              <w:rPr>
                <w:rFonts w:ascii="Times New Roman" w:hAnsi="Times New Roman"/>
                <w:color w:val="000000"/>
                <w:sz w:val="24"/>
                <w:szCs w:val="24"/>
              </w:rPr>
            </w:pPr>
            <w:proofErr w:type="spellStart"/>
            <w:r>
              <w:rPr>
                <w:rFonts w:ascii="Times New Roman" w:hAnsi="Times New Roman"/>
                <w:color w:val="000000"/>
                <w:sz w:val="24"/>
                <w:szCs w:val="24"/>
              </w:rPr>
              <w:t>Абс</w:t>
            </w:r>
            <w:proofErr w:type="spellEnd"/>
            <w:r>
              <w:rPr>
                <w:rFonts w:ascii="Times New Roman" w:hAnsi="Times New Roman"/>
                <w:color w:val="000000"/>
                <w:sz w:val="24"/>
                <w:szCs w:val="24"/>
              </w:rPr>
              <w:t>. число пациентов</w:t>
            </w:r>
          </w:p>
        </w:tc>
        <w:tc>
          <w:tcPr>
            <w:tcW w:w="2725" w:type="dxa"/>
            <w:tcBorders>
              <w:top w:val="single" w:sz="4" w:space="0" w:color="000000"/>
              <w:left w:val="single" w:sz="4" w:space="0" w:color="000000"/>
              <w:bottom w:val="single" w:sz="4" w:space="0" w:color="000000"/>
              <w:right w:val="single" w:sz="4" w:space="0" w:color="000000"/>
            </w:tcBorders>
            <w:shd w:val="clear" w:color="auto" w:fill="CCFFFF"/>
            <w:vAlign w:val="center"/>
          </w:tcPr>
          <w:p w14:paraId="0DA562B3" w14:textId="77777777" w:rsidR="00AB796B" w:rsidRDefault="00AB796B" w:rsidP="00B57F2E">
            <w:pPr>
              <w:pStyle w:val="TableHeading"/>
              <w:spacing w:after="29"/>
              <w:rPr>
                <w:rFonts w:ascii="Times New Roman" w:hAnsi="Times New Roman"/>
                <w:color w:val="000000"/>
                <w:sz w:val="24"/>
                <w:szCs w:val="24"/>
              </w:rPr>
            </w:pPr>
            <w:r>
              <w:rPr>
                <w:rFonts w:ascii="Times New Roman" w:hAnsi="Times New Roman"/>
                <w:color w:val="000000"/>
                <w:sz w:val="24"/>
                <w:szCs w:val="24"/>
              </w:rPr>
              <w:t>Доля от когорты (%)</w:t>
            </w:r>
          </w:p>
        </w:tc>
      </w:tr>
      <w:tr w:rsidR="00AB796B" w14:paraId="57F338A9" w14:textId="77777777" w:rsidTr="00B57F2E">
        <w:tc>
          <w:tcPr>
            <w:tcW w:w="2784" w:type="dxa"/>
            <w:tcBorders>
              <w:left w:val="single" w:sz="4" w:space="0" w:color="000000"/>
              <w:bottom w:val="single" w:sz="4" w:space="0" w:color="000000"/>
            </w:tcBorders>
            <w:vAlign w:val="center"/>
          </w:tcPr>
          <w:p w14:paraId="43D60F12"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0</w:t>
            </w:r>
          </w:p>
        </w:tc>
        <w:tc>
          <w:tcPr>
            <w:tcW w:w="2882" w:type="dxa"/>
            <w:tcBorders>
              <w:left w:val="single" w:sz="4" w:space="0" w:color="000000"/>
              <w:bottom w:val="single" w:sz="4" w:space="0" w:color="000000"/>
            </w:tcBorders>
            <w:vAlign w:val="center"/>
          </w:tcPr>
          <w:p w14:paraId="060D0261"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11</w:t>
            </w:r>
          </w:p>
        </w:tc>
        <w:tc>
          <w:tcPr>
            <w:tcW w:w="2725" w:type="dxa"/>
            <w:tcBorders>
              <w:left w:val="single" w:sz="4" w:space="0" w:color="000000"/>
              <w:bottom w:val="single" w:sz="4" w:space="0" w:color="000000"/>
              <w:right w:val="single" w:sz="4" w:space="0" w:color="000000"/>
            </w:tcBorders>
            <w:vAlign w:val="center"/>
          </w:tcPr>
          <w:p w14:paraId="3C20F8BD"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7.3 %</w:t>
            </w:r>
          </w:p>
        </w:tc>
      </w:tr>
      <w:tr w:rsidR="00AB796B" w14:paraId="0739CEE6" w14:textId="77777777" w:rsidTr="00B57F2E">
        <w:tc>
          <w:tcPr>
            <w:tcW w:w="2784" w:type="dxa"/>
            <w:tcBorders>
              <w:left w:val="single" w:sz="4" w:space="0" w:color="000000"/>
              <w:bottom w:val="single" w:sz="4" w:space="0" w:color="000000"/>
            </w:tcBorders>
            <w:vAlign w:val="center"/>
          </w:tcPr>
          <w:p w14:paraId="28D1889B"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882" w:type="dxa"/>
            <w:tcBorders>
              <w:left w:val="single" w:sz="4" w:space="0" w:color="000000"/>
              <w:bottom w:val="single" w:sz="4" w:space="0" w:color="000000"/>
            </w:tcBorders>
            <w:vAlign w:val="center"/>
          </w:tcPr>
          <w:p w14:paraId="09727AA7"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77</w:t>
            </w:r>
          </w:p>
        </w:tc>
        <w:tc>
          <w:tcPr>
            <w:tcW w:w="2725" w:type="dxa"/>
            <w:tcBorders>
              <w:left w:val="single" w:sz="4" w:space="0" w:color="000000"/>
              <w:bottom w:val="single" w:sz="4" w:space="0" w:color="000000"/>
              <w:right w:val="single" w:sz="4" w:space="0" w:color="000000"/>
            </w:tcBorders>
            <w:vAlign w:val="center"/>
          </w:tcPr>
          <w:p w14:paraId="07D81211"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51.3 %</w:t>
            </w:r>
          </w:p>
        </w:tc>
      </w:tr>
      <w:tr w:rsidR="00AB796B" w14:paraId="46FF04DE" w14:textId="77777777" w:rsidTr="00B57F2E">
        <w:tc>
          <w:tcPr>
            <w:tcW w:w="2784" w:type="dxa"/>
            <w:tcBorders>
              <w:left w:val="single" w:sz="4" w:space="0" w:color="000000"/>
              <w:bottom w:val="single" w:sz="4" w:space="0" w:color="000000"/>
            </w:tcBorders>
            <w:vAlign w:val="center"/>
          </w:tcPr>
          <w:p w14:paraId="4FC31449"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882" w:type="dxa"/>
            <w:tcBorders>
              <w:left w:val="single" w:sz="4" w:space="0" w:color="000000"/>
              <w:bottom w:val="single" w:sz="4" w:space="0" w:color="000000"/>
            </w:tcBorders>
            <w:vAlign w:val="center"/>
          </w:tcPr>
          <w:p w14:paraId="09EE2058"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37</w:t>
            </w:r>
          </w:p>
        </w:tc>
        <w:tc>
          <w:tcPr>
            <w:tcW w:w="2725" w:type="dxa"/>
            <w:tcBorders>
              <w:left w:val="single" w:sz="4" w:space="0" w:color="000000"/>
              <w:bottom w:val="single" w:sz="4" w:space="0" w:color="000000"/>
              <w:right w:val="single" w:sz="4" w:space="0" w:color="000000"/>
            </w:tcBorders>
            <w:vAlign w:val="center"/>
          </w:tcPr>
          <w:p w14:paraId="0F5B920F"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24.7 %</w:t>
            </w:r>
          </w:p>
        </w:tc>
      </w:tr>
      <w:tr w:rsidR="00AB796B" w14:paraId="38FD544D" w14:textId="77777777" w:rsidTr="00B57F2E">
        <w:tc>
          <w:tcPr>
            <w:tcW w:w="2784" w:type="dxa"/>
            <w:tcBorders>
              <w:left w:val="single" w:sz="4" w:space="0" w:color="000000"/>
              <w:bottom w:val="single" w:sz="4" w:space="0" w:color="000000"/>
            </w:tcBorders>
            <w:vAlign w:val="center"/>
          </w:tcPr>
          <w:p w14:paraId="406A9410"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3</w:t>
            </w:r>
          </w:p>
        </w:tc>
        <w:tc>
          <w:tcPr>
            <w:tcW w:w="2882" w:type="dxa"/>
            <w:tcBorders>
              <w:left w:val="single" w:sz="4" w:space="0" w:color="000000"/>
              <w:bottom w:val="single" w:sz="4" w:space="0" w:color="000000"/>
            </w:tcBorders>
            <w:vAlign w:val="center"/>
          </w:tcPr>
          <w:p w14:paraId="53BEF45E"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22</w:t>
            </w:r>
          </w:p>
        </w:tc>
        <w:tc>
          <w:tcPr>
            <w:tcW w:w="2725" w:type="dxa"/>
            <w:tcBorders>
              <w:left w:val="single" w:sz="4" w:space="0" w:color="000000"/>
              <w:bottom w:val="single" w:sz="4" w:space="0" w:color="000000"/>
              <w:right w:val="single" w:sz="4" w:space="0" w:color="000000"/>
            </w:tcBorders>
            <w:vAlign w:val="center"/>
          </w:tcPr>
          <w:p w14:paraId="5FB189B8"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14.7 %</w:t>
            </w:r>
          </w:p>
        </w:tc>
      </w:tr>
      <w:tr w:rsidR="00AB796B" w14:paraId="71ABF40B" w14:textId="77777777" w:rsidTr="00B57F2E">
        <w:tc>
          <w:tcPr>
            <w:tcW w:w="2784" w:type="dxa"/>
            <w:tcBorders>
              <w:left w:val="single" w:sz="4" w:space="0" w:color="000000"/>
              <w:bottom w:val="single" w:sz="4" w:space="0" w:color="000000"/>
            </w:tcBorders>
            <w:vAlign w:val="center"/>
          </w:tcPr>
          <w:p w14:paraId="6997DC7F"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4</w:t>
            </w:r>
          </w:p>
        </w:tc>
        <w:tc>
          <w:tcPr>
            <w:tcW w:w="2882" w:type="dxa"/>
            <w:tcBorders>
              <w:left w:val="single" w:sz="4" w:space="0" w:color="000000"/>
              <w:bottom w:val="single" w:sz="4" w:space="0" w:color="000000"/>
            </w:tcBorders>
            <w:vAlign w:val="center"/>
          </w:tcPr>
          <w:p w14:paraId="01F2DBC4"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2</w:t>
            </w:r>
          </w:p>
        </w:tc>
        <w:tc>
          <w:tcPr>
            <w:tcW w:w="2725" w:type="dxa"/>
            <w:tcBorders>
              <w:left w:val="single" w:sz="4" w:space="0" w:color="000000"/>
              <w:bottom w:val="single" w:sz="4" w:space="0" w:color="000000"/>
              <w:right w:val="single" w:sz="4" w:space="0" w:color="000000"/>
            </w:tcBorders>
            <w:vAlign w:val="center"/>
          </w:tcPr>
          <w:p w14:paraId="5CE5A9B2"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1.3 %</w:t>
            </w:r>
          </w:p>
        </w:tc>
      </w:tr>
      <w:tr w:rsidR="00AB796B" w14:paraId="387DDA17" w14:textId="77777777" w:rsidTr="00B57F2E">
        <w:tc>
          <w:tcPr>
            <w:tcW w:w="2784" w:type="dxa"/>
            <w:tcBorders>
              <w:left w:val="single" w:sz="4" w:space="0" w:color="000000"/>
              <w:bottom w:val="single" w:sz="4" w:space="0" w:color="000000"/>
            </w:tcBorders>
            <w:vAlign w:val="center"/>
          </w:tcPr>
          <w:p w14:paraId="6CBE4DCB"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7</w:t>
            </w:r>
          </w:p>
        </w:tc>
        <w:tc>
          <w:tcPr>
            <w:tcW w:w="2882" w:type="dxa"/>
            <w:tcBorders>
              <w:left w:val="single" w:sz="4" w:space="0" w:color="000000"/>
              <w:bottom w:val="single" w:sz="4" w:space="0" w:color="000000"/>
            </w:tcBorders>
            <w:vAlign w:val="center"/>
          </w:tcPr>
          <w:p w14:paraId="5BBB5211"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1</w:t>
            </w:r>
          </w:p>
        </w:tc>
        <w:tc>
          <w:tcPr>
            <w:tcW w:w="2725" w:type="dxa"/>
            <w:tcBorders>
              <w:left w:val="single" w:sz="4" w:space="0" w:color="000000"/>
              <w:bottom w:val="single" w:sz="4" w:space="0" w:color="000000"/>
              <w:right w:val="single" w:sz="4" w:space="0" w:color="000000"/>
            </w:tcBorders>
            <w:vAlign w:val="center"/>
          </w:tcPr>
          <w:p w14:paraId="3C48309D"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0.7 %</w:t>
            </w:r>
          </w:p>
        </w:tc>
      </w:tr>
    </w:tbl>
    <w:p w14:paraId="53011D80" w14:textId="77777777" w:rsidR="00703F92" w:rsidRPr="00AB796B" w:rsidRDefault="00703F92" w:rsidP="00AB796B">
      <w:pPr>
        <w:pStyle w:val="LO-normal"/>
        <w:spacing w:after="0" w:line="240" w:lineRule="auto"/>
        <w:jc w:val="both"/>
        <w:rPr>
          <w:rFonts w:ascii="Times New Roman" w:hAnsi="Times New Roman" w:cs="Times New Roman"/>
          <w:color w:val="000000" w:themeColor="text1"/>
          <w:sz w:val="28"/>
          <w:szCs w:val="28"/>
          <w:lang w:val="en-US" w:bidi="ar-SA"/>
        </w:rPr>
      </w:pPr>
    </w:p>
    <w:p w14:paraId="4833FB39" w14:textId="69815A54" w:rsidR="00703F92" w:rsidRDefault="00703F92" w:rsidP="00AB796B">
      <w:pPr>
        <w:pStyle w:val="LO-normal"/>
        <w:spacing w:after="0" w:line="240" w:lineRule="auto"/>
        <w:ind w:firstLine="709"/>
        <w:jc w:val="both"/>
        <w:rPr>
          <w:rFonts w:ascii="Times New Roman" w:hAnsi="Times New Roman" w:cs="Times New Roman"/>
          <w:color w:val="000000" w:themeColor="text1"/>
          <w:sz w:val="28"/>
          <w:szCs w:val="28"/>
          <w:lang w:bidi="ar-SA"/>
        </w:rPr>
      </w:pPr>
      <w:r w:rsidRPr="00703F92">
        <w:rPr>
          <w:rFonts w:ascii="Times New Roman" w:hAnsi="Times New Roman" w:cs="Times New Roman"/>
          <w:b/>
          <w:bCs/>
          <w:color w:val="000000" w:themeColor="text1"/>
          <w:sz w:val="28"/>
          <w:szCs w:val="28"/>
          <w:lang w:bidi="ar-SA"/>
        </w:rPr>
        <w:t xml:space="preserve">Результаты по шкале </w:t>
      </w:r>
      <w:r w:rsidRPr="00703F92">
        <w:rPr>
          <w:rFonts w:ascii="Times New Roman" w:hAnsi="Times New Roman" w:cs="Times New Roman"/>
          <w:b/>
          <w:bCs/>
          <w:color w:val="000000" w:themeColor="text1"/>
          <w:sz w:val="28"/>
          <w:szCs w:val="28"/>
          <w:lang w:val="en-US" w:bidi="ar-SA"/>
        </w:rPr>
        <w:t>CHA</w:t>
      </w:r>
      <w:r w:rsidRPr="00703F92">
        <w:rPr>
          <w:rFonts w:ascii="Times New Roman" w:hAnsi="Times New Roman" w:cs="Times New Roman"/>
          <w:b/>
          <w:bCs/>
          <w:color w:val="000000" w:themeColor="text1"/>
          <w:sz w:val="28"/>
          <w:szCs w:val="28"/>
          <w:vertAlign w:val="subscript"/>
          <w:lang w:bidi="ar-SA"/>
        </w:rPr>
        <w:t>2</w:t>
      </w:r>
      <w:r w:rsidRPr="00703F92">
        <w:rPr>
          <w:rFonts w:ascii="Times New Roman" w:hAnsi="Times New Roman" w:cs="Times New Roman"/>
          <w:b/>
          <w:bCs/>
          <w:color w:val="000000" w:themeColor="text1"/>
          <w:sz w:val="28"/>
          <w:szCs w:val="28"/>
          <w:lang w:val="en-US" w:bidi="ar-SA"/>
        </w:rPr>
        <w:t>DS</w:t>
      </w:r>
      <w:r w:rsidRPr="00703F92">
        <w:rPr>
          <w:rFonts w:ascii="Times New Roman" w:hAnsi="Times New Roman" w:cs="Times New Roman"/>
          <w:b/>
          <w:bCs/>
          <w:color w:val="000000" w:themeColor="text1"/>
          <w:sz w:val="28"/>
          <w:szCs w:val="28"/>
          <w:vertAlign w:val="subscript"/>
          <w:lang w:bidi="ar-SA"/>
        </w:rPr>
        <w:t>2</w:t>
      </w:r>
      <w:r w:rsidRPr="00703F92">
        <w:rPr>
          <w:rFonts w:ascii="Times New Roman" w:hAnsi="Times New Roman" w:cs="Times New Roman"/>
          <w:b/>
          <w:bCs/>
          <w:color w:val="000000" w:themeColor="text1"/>
          <w:sz w:val="28"/>
          <w:szCs w:val="28"/>
          <w:lang w:bidi="ar-SA"/>
        </w:rPr>
        <w:t>-</w:t>
      </w:r>
      <w:r w:rsidRPr="00703F92">
        <w:rPr>
          <w:rFonts w:ascii="Times New Roman" w:hAnsi="Times New Roman" w:cs="Times New Roman"/>
          <w:b/>
          <w:bCs/>
          <w:color w:val="000000" w:themeColor="text1"/>
          <w:sz w:val="28"/>
          <w:szCs w:val="28"/>
          <w:lang w:val="en-US" w:bidi="ar-SA"/>
        </w:rPr>
        <w:t>VASc</w:t>
      </w:r>
      <w:r w:rsidRPr="00703F92">
        <w:rPr>
          <w:rFonts w:ascii="Times New Roman" w:hAnsi="Times New Roman" w:cs="Times New Roman"/>
          <w:b/>
          <w:bCs/>
          <w:color w:val="000000" w:themeColor="text1"/>
          <w:sz w:val="28"/>
          <w:szCs w:val="28"/>
          <w:lang w:bidi="ar-SA"/>
        </w:rPr>
        <w:t>:</w:t>
      </w:r>
      <w:r>
        <w:rPr>
          <w:rFonts w:ascii="Times New Roman" w:hAnsi="Times New Roman" w:cs="Times New Roman"/>
          <w:color w:val="000000" w:themeColor="text1"/>
          <w:sz w:val="28"/>
          <w:szCs w:val="28"/>
          <w:lang w:bidi="ar-SA"/>
        </w:rPr>
        <w:t xml:space="preserve"> Наибольшая доля пациентов (51,3%) имела 1 балл, что соответствует промежуточному уровню риска. Далее следуют пациенты с 2 баллами (24,7%) и 3 баллами (14,7%). Пациенты с нулевым баллом составляли лишь 7,3% популяции, что указывает на редкость «низкорисковых» профилей даже среди относительно молодой части выборки. Высокие значения (4 и 7 баллов) встречались эпизодически (по 1-2 случая).</w:t>
      </w:r>
    </w:p>
    <w:p w14:paraId="4E76BEA8" w14:textId="675D794C" w:rsidR="00703F92" w:rsidRPr="00703F92" w:rsidRDefault="00703F92" w:rsidP="00CB3161">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 xml:space="preserve">Анализ распределения баллов </w:t>
      </w:r>
      <w:r>
        <w:rPr>
          <w:rFonts w:ascii="Times New Roman" w:hAnsi="Times New Roman" w:cs="Times New Roman"/>
          <w:color w:val="000000" w:themeColor="text1"/>
          <w:sz w:val="28"/>
          <w:szCs w:val="28"/>
          <w:lang w:val="en-US" w:bidi="ar-SA"/>
        </w:rPr>
        <w:t>CHA</w:t>
      </w:r>
      <w:r w:rsidRPr="00703F92">
        <w:rPr>
          <w:rFonts w:ascii="Times New Roman" w:hAnsi="Times New Roman" w:cs="Times New Roman"/>
          <w:color w:val="000000" w:themeColor="text1"/>
          <w:sz w:val="28"/>
          <w:szCs w:val="28"/>
          <w:vertAlign w:val="subscript"/>
          <w:lang w:bidi="ar-SA"/>
        </w:rPr>
        <w:t>2</w:t>
      </w:r>
      <w:r>
        <w:rPr>
          <w:rFonts w:ascii="Times New Roman" w:hAnsi="Times New Roman" w:cs="Times New Roman"/>
          <w:color w:val="000000" w:themeColor="text1"/>
          <w:sz w:val="28"/>
          <w:szCs w:val="28"/>
          <w:lang w:val="en-US" w:bidi="ar-SA"/>
        </w:rPr>
        <w:t>DS</w:t>
      </w:r>
      <w:r w:rsidRPr="00703F92">
        <w:rPr>
          <w:rFonts w:ascii="Times New Roman" w:hAnsi="Times New Roman" w:cs="Times New Roman"/>
          <w:color w:val="000000" w:themeColor="text1"/>
          <w:sz w:val="28"/>
          <w:szCs w:val="28"/>
          <w:vertAlign w:val="subscript"/>
          <w:lang w:bidi="ar-SA"/>
        </w:rPr>
        <w:t>2</w:t>
      </w:r>
      <w:r w:rsidRPr="00703F92">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VASc</w:t>
      </w:r>
      <w:r>
        <w:rPr>
          <w:rFonts w:ascii="Times New Roman" w:hAnsi="Times New Roman" w:cs="Times New Roman"/>
          <w:color w:val="000000" w:themeColor="text1"/>
          <w:sz w:val="28"/>
          <w:szCs w:val="28"/>
          <w:lang w:bidi="ar-SA"/>
        </w:rPr>
        <w:t xml:space="preserve"> в зависимости от пола </w:t>
      </w:r>
      <w:r w:rsidRPr="00AB796B">
        <w:rPr>
          <w:rFonts w:ascii="Times New Roman" w:hAnsi="Times New Roman" w:cs="Times New Roman"/>
          <w:color w:val="000000" w:themeColor="text1"/>
          <w:sz w:val="28"/>
          <w:szCs w:val="28"/>
          <w:lang w:bidi="ar-SA"/>
        </w:rPr>
        <w:t xml:space="preserve">(рисунок 5) </w:t>
      </w:r>
      <w:r>
        <w:rPr>
          <w:rFonts w:ascii="Times New Roman" w:hAnsi="Times New Roman" w:cs="Times New Roman"/>
          <w:color w:val="000000" w:themeColor="text1"/>
          <w:sz w:val="28"/>
          <w:szCs w:val="28"/>
          <w:lang w:bidi="ar-SA"/>
        </w:rPr>
        <w:t>выявил статистически значимые различия между мужчинами и женщинами (р=0,001). В категории пациентов с нулевым баллом по шкале абсолютно преобладали мужчины, составляя 90,9% (10 их 11 пациентов). Однако с возрастанием суммарного балла доля женщин заметно увеличивалась. Так, среди пациентов, набравших 3 балла, женщины уже составляли большинство - 63,6% (14 из 22 пациентов). Примечательно, что все случаи с максимальными баллами в выборке (4 балла - 2 пациента и 7 баллов - 1 пациент) были исключительно женскими. Эта динамика распределения соответствует данным, указывающим на специфику риска тромбоэмболических событий у женщин с фибрилляцией предсердий</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{"citationID":"IFZEvmNB","properties":{"unsorted":false,"formattedCitation":"[235,236]","plainCitation":"[235,236]","noteIndex":0},"citationItems":[{"id":37,"uris":["http://zotero.org/users/14784094/items/EB8G3EHZ"],"itemData":{"id":37,"type":"article-journal","abstract":"Is there a Concordance between CHA2DS2 VASc and HAS-BLED Scores in Middle Eastern Patients with Nonvalvular AF? Analysis of the Jordan Atrial Fibrillation (JoFib) Study","DOI":"10.2174/18741924-v16-e2203290","language":"en","source":"opencardiovascularmedicinejournal.com","title":"Is there a Concordance between CHA2DS2 VASc and HAS-BLED Scores in Middle Eastern Patients with Nonvalvular AF? Analysis of the Jordan Atrial Fibrillation (JoFib) Study","title-short":"Is there a Concordance between CHA2DS2 VASc and HAS-BLED Scores in Middle Eastern Patients with Nonvalvular AF?","URL":"https://opencardiovascularmedicinejournal.com/VOLUME/16/ELOCATOR/e187419242203290/FULLTEXT/?utm_source=chatgpt.com","author":[{"family":"Jarrah","given":"Mohamad I."},{"family":"Alrabadi","given":"Nasr"},{"family":"Alzoubi","given":"Karem H."},{"family":"Mhaidat","given":"Qasim N."},{"family":"Hammoudeh","given":"Ayman"}],"accessed":{"date-parts":[["2025",6,15]]}}},{"id":38,"uris":["http://zotero.org/users/14784094/items/B7IB7PSD"],"itemData":{"id":38,"type":"article-journal","abstract":"Atrial fibrillation (AF) is the most common cardiac arrhythmia associated with an increased thromboembolic risk. The impact of the female sex as an independent risk factor for thromboembolic events in AF is still debated. Background and Objectives: The aim of this review is to evaluate the gender-related differences in cardioembolic risk and response to anticoagulants among AF patients. Materials and Methods: The PubMed database is used to review the reports about gender differences and thromboembolic risk in atrial fibrillation. Results: Non-vitamin K oral anticoagulants (NOACs) represent the gold standard for thromboembolic risk prevention in patients with non-valvular atrial fibrillation (NVAF). Despite a similar rate of stroke and systemic embolism (SE) among men and women in NOACs or vitamin K antagonists (VKAs) treatment, the use of NOACs in AF women is associated with a lower risk of intracranial bleeding, major bleeding, and all-cause mortality than in men. Conclusions: The female sex can be defined as a stroke risk modifier rather than a stroke risk factor since it mainly increases the thromboembolic risk in the presence of other risk factors. Further studies about the efficacy and safety profile of NOACs according to sex are needed to support clinicians in performing the most appropriate and tailored anticoagulant therapy, either in male or female AF patients.","container-title":"Medicina","DOI":"10.3390/medicina59020254","ISSN":"1648-9144","issue":"2","language":"en","license":"http://creativecommons.org/licenses/by/3.0/","note":"number: 2","page":"254","publisher":"Multidisciplinary Digital Publishing Institute","source":"www.mdpi.com","title":"Gender Differences in Atrial Fibrillation: From the Thromboembolic Risk to the Anticoagulant Treatment Response","title-short":"Gender Differences in Atrial Fibrillation","volume":"59","author":[{"family":"Rago","given":"Anna"},{"family":"Pirozzi","given":"Ciro"},{"family":"D’Andrea","given":"Antonello"},{"family":"Di Micco","given":"Pierpaolo"},{"family":"Papa","given":"Andrea Antonio"},{"family":"D’Onofrio","given":"Antonio"},{"family":"Golino","given":"Paolo"},{"family":"Nigro","given":"Gerardo"},{"family":"Russo","given":"Vincenzo"}],"issued":{"date-parts":[["2023",2]]}}}],"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[235,236]</w:t>
      </w:r>
      <w:r>
        <w:rPr>
          <w:rFonts w:ascii="Times New Roman" w:hAnsi="Times New Roman" w:cs="Times New Roman"/>
          <w:color w:val="000000" w:themeColor="text1"/>
          <w:sz w:val="28"/>
          <w:szCs w:val="28"/>
          <w:lang w:bidi="ar-SA"/>
        </w:rPr>
        <w:fldChar w:fldCharType="end"/>
      </w:r>
      <w:r w:rsidRPr="00703F92">
        <w:rPr>
          <w:rFonts w:ascii="Times New Roman" w:hAnsi="Times New Roman" w:cs="Times New Roman"/>
          <w:color w:val="000000" w:themeColor="text1"/>
          <w:sz w:val="28"/>
          <w:szCs w:val="28"/>
          <w:lang w:bidi="ar-SA"/>
        </w:rPr>
        <w:t>.</w:t>
      </w:r>
    </w:p>
    <w:p w14:paraId="30905B02" w14:textId="63DA4285" w:rsidR="00703F92" w:rsidRPr="00926EC0"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 xml:space="preserve">Распределение баллов </w:t>
      </w:r>
      <w:r>
        <w:rPr>
          <w:rFonts w:ascii="Times New Roman" w:hAnsi="Times New Roman" w:cs="Times New Roman"/>
          <w:color w:val="000000" w:themeColor="text1"/>
          <w:sz w:val="28"/>
          <w:szCs w:val="28"/>
          <w:lang w:val="en-US" w:bidi="ar-SA"/>
        </w:rPr>
        <w:t>CHA</w:t>
      </w:r>
      <w:r w:rsidRPr="00703F92">
        <w:rPr>
          <w:rFonts w:ascii="Times New Roman" w:hAnsi="Times New Roman" w:cs="Times New Roman"/>
          <w:color w:val="000000" w:themeColor="text1"/>
          <w:sz w:val="28"/>
          <w:szCs w:val="28"/>
          <w:vertAlign w:val="subscript"/>
          <w:lang w:bidi="ar-SA"/>
        </w:rPr>
        <w:t>2</w:t>
      </w:r>
      <w:r>
        <w:rPr>
          <w:rFonts w:ascii="Times New Roman" w:hAnsi="Times New Roman" w:cs="Times New Roman"/>
          <w:color w:val="000000" w:themeColor="text1"/>
          <w:sz w:val="28"/>
          <w:szCs w:val="28"/>
          <w:lang w:val="en-US" w:bidi="ar-SA"/>
        </w:rPr>
        <w:t>DS</w:t>
      </w:r>
      <w:r w:rsidRPr="00703F92">
        <w:rPr>
          <w:rFonts w:ascii="Times New Roman" w:hAnsi="Times New Roman" w:cs="Times New Roman"/>
          <w:color w:val="000000" w:themeColor="text1"/>
          <w:sz w:val="28"/>
          <w:szCs w:val="28"/>
          <w:vertAlign w:val="subscript"/>
          <w:lang w:bidi="ar-SA"/>
        </w:rPr>
        <w:t>2</w:t>
      </w:r>
      <w:r w:rsidRPr="00703F92">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VASc</w:t>
      </w:r>
      <w:r>
        <w:rPr>
          <w:rFonts w:ascii="Times New Roman" w:hAnsi="Times New Roman" w:cs="Times New Roman"/>
          <w:color w:val="000000" w:themeColor="text1"/>
          <w:sz w:val="28"/>
          <w:szCs w:val="28"/>
          <w:lang w:bidi="ar-SA"/>
        </w:rPr>
        <w:t xml:space="preserve"> также существенно </w:t>
      </w:r>
      <w:r w:rsidR="00AB796B">
        <w:rPr>
          <w:rFonts w:ascii="Times New Roman" w:hAnsi="Times New Roman" w:cs="Times New Roman"/>
          <w:color w:val="000000" w:themeColor="text1"/>
          <w:sz w:val="28"/>
          <w:szCs w:val="28"/>
          <w:lang w:bidi="ar-SA"/>
        </w:rPr>
        <w:t>различалось</w:t>
      </w:r>
      <w:r>
        <w:rPr>
          <w:rFonts w:ascii="Times New Roman" w:hAnsi="Times New Roman" w:cs="Times New Roman"/>
          <w:color w:val="000000" w:themeColor="text1"/>
          <w:sz w:val="28"/>
          <w:szCs w:val="28"/>
          <w:lang w:bidi="ar-SA"/>
        </w:rPr>
        <w:t xml:space="preserve"> между возрастными группами (</w:t>
      </w:r>
      <w:r w:rsidRPr="00703F92">
        <w:rPr>
          <w:rFonts w:ascii="Times New Roman" w:hAnsi="Times New Roman" w:cs="Times New Roman"/>
          <w:color w:val="000000" w:themeColor="text1"/>
          <w:sz w:val="28"/>
          <w:szCs w:val="28"/>
          <w:lang w:bidi="ar-SA"/>
        </w:rPr>
        <w:t xml:space="preserve">&lt;65 </w:t>
      </w:r>
      <w:r>
        <w:rPr>
          <w:rFonts w:ascii="Times New Roman" w:hAnsi="Times New Roman" w:cs="Times New Roman"/>
          <w:color w:val="000000" w:themeColor="text1"/>
          <w:sz w:val="28"/>
          <w:szCs w:val="28"/>
          <w:lang w:bidi="ar-SA"/>
        </w:rPr>
        <w:t xml:space="preserve">лет и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 xml:space="preserve">65 лет), что подтверждено статистически (р=0,002) </w:t>
      </w:r>
      <w:r w:rsidRPr="00AB796B">
        <w:rPr>
          <w:rFonts w:ascii="Times New Roman" w:hAnsi="Times New Roman" w:cs="Times New Roman"/>
          <w:color w:val="000000" w:themeColor="text1"/>
          <w:sz w:val="28"/>
          <w:szCs w:val="28"/>
          <w:lang w:bidi="ar-SA"/>
        </w:rPr>
        <w:t xml:space="preserve">(рисунок 6). </w:t>
      </w:r>
      <w:r>
        <w:rPr>
          <w:rFonts w:ascii="Times New Roman" w:hAnsi="Times New Roman" w:cs="Times New Roman"/>
          <w:color w:val="000000" w:themeColor="text1"/>
          <w:sz w:val="28"/>
          <w:szCs w:val="28"/>
          <w:lang w:bidi="ar-SA"/>
        </w:rPr>
        <w:t>Все пациенты с нулевым баллом по шкале (11 пациентов) относились исключительно к младшей возрастной группе (</w:t>
      </w:r>
      <w:r w:rsidRPr="00703F92">
        <w:rPr>
          <w:rFonts w:ascii="Times New Roman" w:hAnsi="Times New Roman" w:cs="Times New Roman"/>
          <w:color w:val="000000" w:themeColor="text1"/>
          <w:sz w:val="28"/>
          <w:szCs w:val="28"/>
          <w:lang w:bidi="ar-SA"/>
        </w:rPr>
        <w:t>&lt;65</w:t>
      </w:r>
      <w:r>
        <w:rPr>
          <w:rFonts w:ascii="Times New Roman" w:hAnsi="Times New Roman" w:cs="Times New Roman"/>
          <w:color w:val="000000" w:themeColor="text1"/>
          <w:sz w:val="28"/>
          <w:szCs w:val="28"/>
          <w:lang w:bidi="ar-SA"/>
        </w:rPr>
        <w:t xml:space="preserve">лет). Напротив, среди пациентов с более высокими баллами явно преобладали лица старшего возраста. Например, в группе с 3 баллами доля пациентов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 xml:space="preserve">65 лет составляла 15 из 22 пациентов. Единственный пациент с максимальным для выборки баллом (7 баллов) также принадлежал к возрастной группе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 xml:space="preserve">65 лет. Такое распределение наглядно иллюстрирует ключевое влияние возраста как на абсолютный риск ишемического инсульта, так и на </w:t>
      </w:r>
      <w:r w:rsidR="00EE4DC9">
        <w:rPr>
          <w:noProof/>
          <w:lang w:eastAsia="ru-RU" w:bidi="ar-SA"/>
        </w:rPr>
        <w:drawing>
          <wp:anchor distT="0" distB="0" distL="0" distR="0" simplePos="0" relativeHeight="251669504" behindDoc="0" locked="0" layoutInCell="0" allowOverlap="1" wp14:anchorId="320C7AA9" wp14:editId="303F6432">
            <wp:simplePos x="0" y="0"/>
            <wp:positionH relativeFrom="column">
              <wp:posOffset>-3175</wp:posOffset>
            </wp:positionH>
            <wp:positionV relativeFrom="paragraph">
              <wp:posOffset>691610</wp:posOffset>
            </wp:positionV>
            <wp:extent cx="6050915" cy="3413125"/>
            <wp:effectExtent l="0" t="0" r="0" b="3175"/>
            <wp:wrapSquare wrapText="largest"/>
            <wp:docPr id="6" name="Image6" descr="Изображение выглядит как снимок экрана, диаграмма, График,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Изображение выглядит как снимок экрана, диаграмма, График, текст&#10;&#10;Содержимое, созданное искусственным интеллектом, может быть неверным."/>
                    <pic:cNvPicPr>
                      <a:picLocks noChangeAspect="1" noChangeArrowheads="1"/>
                    </pic:cNvPicPr>
                  </pic:nvPicPr>
                  <pic:blipFill>
                    <a:blip r:embed="rId22"/>
                    <a:srcRect t="5549" r="1131" b="1646"/>
                    <a:stretch>
                      <a:fillRect/>
                    </a:stretch>
                  </pic:blipFill>
                  <pic:spPr bwMode="auto">
                    <a:xfrm>
                      <a:off x="0" y="0"/>
                      <a:ext cx="6050915" cy="3413125"/>
                    </a:xfrm>
                    <a:prstGeom prst="rect">
                      <a:avLst/>
                    </a:prstGeom>
                  </pic:spPr>
                </pic:pic>
              </a:graphicData>
            </a:graphic>
            <wp14:sizeRelV relativeFrom="margin">
              <wp14:pctHeight>0</wp14:pctHeight>
            </wp14:sizeRelV>
          </wp:anchor>
        </w:drawing>
      </w:r>
      <w:r>
        <w:rPr>
          <w:rFonts w:ascii="Times New Roman" w:hAnsi="Times New Roman" w:cs="Times New Roman"/>
          <w:color w:val="000000" w:themeColor="text1"/>
          <w:sz w:val="28"/>
          <w:szCs w:val="28"/>
          <w:lang w:bidi="ar-SA"/>
        </w:rPr>
        <w:t>выраженность коморбидной патологии, учитываемой данной шкалой</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{"citationID":"sg8TsUu9","properties":{"unsorted":false,"formattedCitation":"[237]","plainCitation":"[237]","noteIndex":0},"citationItems":[{"id":36,"uris":["http://zotero.org/users/14784094/items/NVKDC3RQ"],"itemData":{"id":36,"type":"article-journal","abstract":"BACKGROUND: The magnitude of increased risk of stroke in women with atrial fibrillation (AF) remains uncertain.\nHYPOTHESIS: We investigated the risk of ischemic stroke and death in women and men with AF, and the risk associated with individual non-sex CHA2 DS2 -VASc risk factors.\nMETHODS: Retrospective cohort study of 231 077 (48.1% women) nonselected patients with AF not receiving oral anticoagulation from 2006 to 2014. Data from cross-linked national Swedish registers. The outcome was the first occurrence of ischemic stroke or death. Median age was 82 and 75 years in women and men, respectively. Mean follow-up was 2.5 years.\nRESULTS: Hazard ratios, adjusted for non-sex CHA2 DS2 -VASc risk factors, for women vs men were 1.53, 95% CI: 1.49-1.58 for ischemic stroke and 1.24, 95% CI: 1.22-1.26 for death, respectively. When divided into age groups the differences in ischemic stroke rates between women and men were attenuated. In patients with only one non-sex CHA2 DS2 -VASc risk factor allotted 1 point, ischemic stroke rates per 100 person-years were 1.22 in women (n = 9838) and 1.02 in men (n = 15 609), respectively, P &lt; .006. In both women and men, age of 65 to 74 years was associated with higher ischemic stroke risk compared to other non-sex CHA2 DS2 -VASc risk factors allotted 1 point.\nCONCLUSIONS: The risk of ischemic stroke was 1.5-fold higher in women compared to men but this association appears to be the result of confounding by age. In the low risk end, the CHA2 DS2 -VASc risk score underestimates the ischemic stroke risk conferred by age 65 to 74 years, while it overestimates the risk conferred by female sex.","container-title":"Clinical Cardiology","DOI":"10.1002/clc.23257","ISSN":"1932-8737","issue":"10","journalAbbreviation":"Clin Cardiol","language":"eng","page":"1003-1009","PMID":"31490011","PMCID":"PMC6788468","source":"PubMed","title":"Risk of ischemic stroke and utility of CHA2 DS2 -VASc score in women and men with atrial fibrillation","volume":"42","author":[{"family":"Tomasdottir","given":"Maria"},{"family":"Friberg","given":"Leif"},{"family":"Hijazi","given":"Ziad"},{"family":"Lindbäck","given":"Johan"},{"family":"Oldgren","given":"Jonas"}],"issued":{"date-parts":[["2019",10]]}}}],"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[237]</w:t>
      </w:r>
      <w:r>
        <w:rPr>
          <w:rFonts w:ascii="Times New Roman" w:hAnsi="Times New Roman" w:cs="Times New Roman"/>
          <w:color w:val="000000" w:themeColor="text1"/>
          <w:sz w:val="28"/>
          <w:szCs w:val="28"/>
          <w:lang w:bidi="ar-SA"/>
        </w:rPr>
        <w:fldChar w:fldCharType="end"/>
      </w:r>
      <w:r w:rsidRPr="00926EC0">
        <w:rPr>
          <w:rFonts w:ascii="Times New Roman" w:hAnsi="Times New Roman" w:cs="Times New Roman"/>
          <w:color w:val="000000" w:themeColor="text1"/>
          <w:sz w:val="28"/>
          <w:szCs w:val="28"/>
          <w:lang w:bidi="ar-SA"/>
        </w:rPr>
        <w:t>.</w:t>
      </w:r>
    </w:p>
    <w:p w14:paraId="58E16D6E" w14:textId="010B009D" w:rsidR="00703F92" w:rsidRPr="00AB796B" w:rsidRDefault="00EE4DC9"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Pr>
          <w:noProof/>
          <w:lang w:eastAsia="ru-RU" w:bidi="ar-SA"/>
        </w:rPr>
        <w:drawing>
          <wp:anchor distT="0" distB="0" distL="0" distR="0" simplePos="0" relativeHeight="251671552" behindDoc="0" locked="0" layoutInCell="0" allowOverlap="1" wp14:anchorId="75CCC018" wp14:editId="0FD349EF">
            <wp:simplePos x="0" y="0"/>
            <wp:positionH relativeFrom="column">
              <wp:posOffset>129256</wp:posOffset>
            </wp:positionH>
            <wp:positionV relativeFrom="paragraph">
              <wp:posOffset>3771684</wp:posOffset>
            </wp:positionV>
            <wp:extent cx="5757545" cy="3447415"/>
            <wp:effectExtent l="0" t="0" r="0" b="0"/>
            <wp:wrapSquare wrapText="largest"/>
            <wp:docPr id="7" name="Image3" descr="Изображение выглядит как диаграмма, снимок экран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Изображение выглядит как диаграмма, снимок экрана, График, линия&#10;&#10;Содержимое, созданное искусственным интеллектом, может быть неверным."/>
                    <pic:cNvPicPr>
                      <a:picLocks noChangeAspect="1" noChangeArrowheads="1"/>
                    </pic:cNvPicPr>
                  </pic:nvPicPr>
                  <pic:blipFill>
                    <a:blip r:embed="rId23"/>
                    <a:stretch>
                      <a:fillRect/>
                    </a:stretch>
                  </pic:blipFill>
                  <pic:spPr bwMode="auto">
                    <a:xfrm>
                      <a:off x="0" y="0"/>
                      <a:ext cx="5757545" cy="3447415"/>
                    </a:xfrm>
                    <a:prstGeom prst="rect">
                      <a:avLst/>
                    </a:prstGeom>
                  </pic:spPr>
                </pic:pic>
              </a:graphicData>
            </a:graphic>
            <wp14:sizeRelH relativeFrom="margin">
              <wp14:pctWidth>0</wp14:pctWidth>
            </wp14:sizeRelH>
            <wp14:sizeRelV relativeFrom="margin">
              <wp14:pctHeight>0</wp14:pctHeight>
            </wp14:sizeRelV>
          </wp:anchor>
        </w:drawing>
      </w:r>
      <w:r w:rsidR="00703F92" w:rsidRPr="00AB796B">
        <w:rPr>
          <w:rFonts w:ascii="Times New Roman" w:hAnsi="Times New Roman" w:cs="Times New Roman"/>
          <w:color w:val="000000" w:themeColor="text1"/>
          <w:sz w:val="28"/>
          <w:szCs w:val="28"/>
          <w:lang w:bidi="ar-SA"/>
        </w:rPr>
        <w:t xml:space="preserve">Рисунок 5. Распределение баллов </w:t>
      </w:r>
      <w:r w:rsidR="00703F92" w:rsidRPr="00AB796B">
        <w:rPr>
          <w:rFonts w:ascii="Times New Roman" w:hAnsi="Times New Roman" w:cs="Times New Roman"/>
          <w:color w:val="000000" w:themeColor="text1"/>
          <w:sz w:val="28"/>
          <w:szCs w:val="28"/>
          <w:lang w:val="en-US" w:bidi="ar-SA"/>
        </w:rPr>
        <w:t>CHA</w:t>
      </w:r>
      <w:r w:rsidR="00703F92" w:rsidRPr="00AB796B">
        <w:rPr>
          <w:rFonts w:ascii="Times New Roman" w:hAnsi="Times New Roman" w:cs="Times New Roman"/>
          <w:color w:val="000000" w:themeColor="text1"/>
          <w:sz w:val="28"/>
          <w:szCs w:val="28"/>
          <w:vertAlign w:val="subscript"/>
          <w:lang w:bidi="ar-SA"/>
        </w:rPr>
        <w:t>2</w:t>
      </w:r>
      <w:r w:rsidR="00703F92" w:rsidRPr="00AB796B">
        <w:rPr>
          <w:rFonts w:ascii="Times New Roman" w:hAnsi="Times New Roman" w:cs="Times New Roman"/>
          <w:color w:val="000000" w:themeColor="text1"/>
          <w:sz w:val="28"/>
          <w:szCs w:val="28"/>
          <w:lang w:val="en-US" w:bidi="ar-SA"/>
        </w:rPr>
        <w:t>DS</w:t>
      </w:r>
      <w:r w:rsidR="00703F92" w:rsidRPr="00AB796B">
        <w:rPr>
          <w:rFonts w:ascii="Times New Roman" w:hAnsi="Times New Roman" w:cs="Times New Roman"/>
          <w:color w:val="000000" w:themeColor="text1"/>
          <w:sz w:val="28"/>
          <w:szCs w:val="28"/>
          <w:vertAlign w:val="subscript"/>
          <w:lang w:bidi="ar-SA"/>
        </w:rPr>
        <w:t>2</w:t>
      </w:r>
      <w:r w:rsidR="00703F92" w:rsidRPr="00AB796B">
        <w:rPr>
          <w:rFonts w:ascii="Times New Roman" w:hAnsi="Times New Roman" w:cs="Times New Roman"/>
          <w:color w:val="000000" w:themeColor="text1"/>
          <w:sz w:val="28"/>
          <w:szCs w:val="28"/>
          <w:lang w:bidi="ar-SA"/>
        </w:rPr>
        <w:t>-</w:t>
      </w:r>
      <w:r w:rsidR="00703F92" w:rsidRPr="00AB796B">
        <w:rPr>
          <w:rFonts w:ascii="Times New Roman" w:hAnsi="Times New Roman" w:cs="Times New Roman"/>
          <w:color w:val="000000" w:themeColor="text1"/>
          <w:sz w:val="28"/>
          <w:szCs w:val="28"/>
          <w:lang w:val="en-US" w:bidi="ar-SA"/>
        </w:rPr>
        <w:t>VASc</w:t>
      </w:r>
      <w:r w:rsidR="00703F92" w:rsidRPr="00AB796B">
        <w:rPr>
          <w:rFonts w:ascii="Times New Roman" w:hAnsi="Times New Roman" w:cs="Times New Roman"/>
          <w:color w:val="000000" w:themeColor="text1"/>
          <w:sz w:val="28"/>
          <w:szCs w:val="28"/>
          <w:lang w:bidi="ar-SA"/>
        </w:rPr>
        <w:t xml:space="preserve"> по гендерным различиям</w:t>
      </w:r>
    </w:p>
    <w:p w14:paraId="73024368" w14:textId="7BA1962C" w:rsidR="00703F92" w:rsidRDefault="00703F92" w:rsidP="00AB796B">
      <w:pPr>
        <w:pStyle w:val="LO-normal"/>
        <w:spacing w:after="0" w:line="240" w:lineRule="auto"/>
        <w:ind w:firstLine="567"/>
        <w:jc w:val="both"/>
        <w:rPr>
          <w:rFonts w:ascii="Times New Roman" w:hAnsi="Times New Roman" w:cs="Times New Roman"/>
          <w:color w:val="000000" w:themeColor="text1"/>
          <w:sz w:val="28"/>
          <w:szCs w:val="28"/>
          <w:lang w:bidi="ar-SA"/>
        </w:rPr>
      </w:pPr>
      <w:r w:rsidRPr="00AB796B">
        <w:rPr>
          <w:rFonts w:ascii="Times New Roman" w:hAnsi="Times New Roman" w:cs="Times New Roman"/>
          <w:color w:val="000000" w:themeColor="text1"/>
          <w:sz w:val="28"/>
          <w:szCs w:val="28"/>
          <w:lang w:bidi="ar-SA"/>
        </w:rPr>
        <w:t xml:space="preserve">Рисунок 6. Распределение баллов </w:t>
      </w:r>
      <w:r w:rsidRPr="00AB796B">
        <w:rPr>
          <w:rFonts w:ascii="Times New Roman" w:hAnsi="Times New Roman" w:cs="Times New Roman"/>
          <w:color w:val="000000" w:themeColor="text1"/>
          <w:sz w:val="28"/>
          <w:szCs w:val="28"/>
          <w:lang w:val="en-US" w:bidi="ar-SA"/>
        </w:rPr>
        <w:t>CHA</w:t>
      </w:r>
      <w:r w:rsidRPr="00AB796B">
        <w:rPr>
          <w:rFonts w:ascii="Times New Roman" w:hAnsi="Times New Roman" w:cs="Times New Roman"/>
          <w:color w:val="000000" w:themeColor="text1"/>
          <w:sz w:val="28"/>
          <w:szCs w:val="28"/>
          <w:vertAlign w:val="subscript"/>
          <w:lang w:bidi="ar-SA"/>
        </w:rPr>
        <w:t>2</w:t>
      </w:r>
      <w:r w:rsidRPr="00AB796B">
        <w:rPr>
          <w:rFonts w:ascii="Times New Roman" w:hAnsi="Times New Roman" w:cs="Times New Roman"/>
          <w:color w:val="000000" w:themeColor="text1"/>
          <w:sz w:val="28"/>
          <w:szCs w:val="28"/>
          <w:lang w:val="en-US" w:bidi="ar-SA"/>
        </w:rPr>
        <w:t>DS</w:t>
      </w:r>
      <w:r w:rsidRPr="00AB796B">
        <w:rPr>
          <w:rFonts w:ascii="Times New Roman" w:hAnsi="Times New Roman" w:cs="Times New Roman"/>
          <w:color w:val="000000" w:themeColor="text1"/>
          <w:sz w:val="28"/>
          <w:szCs w:val="28"/>
          <w:vertAlign w:val="subscript"/>
          <w:lang w:bidi="ar-SA"/>
        </w:rPr>
        <w:t>2</w:t>
      </w:r>
      <w:r w:rsidRPr="00AB796B">
        <w:rPr>
          <w:rFonts w:ascii="Times New Roman" w:hAnsi="Times New Roman" w:cs="Times New Roman"/>
          <w:color w:val="000000" w:themeColor="text1"/>
          <w:sz w:val="28"/>
          <w:szCs w:val="28"/>
          <w:lang w:bidi="ar-SA"/>
        </w:rPr>
        <w:t>-</w:t>
      </w:r>
      <w:r w:rsidRPr="00AB796B">
        <w:rPr>
          <w:rFonts w:ascii="Times New Roman" w:hAnsi="Times New Roman" w:cs="Times New Roman"/>
          <w:color w:val="000000" w:themeColor="text1"/>
          <w:sz w:val="28"/>
          <w:szCs w:val="28"/>
          <w:lang w:val="en-US" w:bidi="ar-SA"/>
        </w:rPr>
        <w:t>VASc</w:t>
      </w:r>
      <w:r w:rsidRPr="00AB796B">
        <w:rPr>
          <w:rFonts w:ascii="Times New Roman" w:hAnsi="Times New Roman" w:cs="Times New Roman"/>
          <w:color w:val="000000" w:themeColor="text1"/>
          <w:sz w:val="28"/>
          <w:szCs w:val="28"/>
          <w:lang w:bidi="ar-SA"/>
        </w:rPr>
        <w:t xml:space="preserve"> по возрасту</w:t>
      </w:r>
    </w:p>
    <w:p w14:paraId="517A3F33" w14:textId="6E36C4B6" w:rsidR="00EE4DC9" w:rsidRPr="00AB796B" w:rsidRDefault="00EE4DC9" w:rsidP="00AB796B">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 xml:space="preserve"> </w:t>
      </w:r>
    </w:p>
    <w:p w14:paraId="4CF6B733" w14:textId="2B4407B5" w:rsidR="00703F92" w:rsidRDefault="00703F92" w:rsidP="00AB796B">
      <w:pPr>
        <w:pStyle w:val="LO-normal"/>
        <w:spacing w:after="0" w:line="240" w:lineRule="auto"/>
        <w:ind w:firstLine="567"/>
        <w:jc w:val="both"/>
        <w:rPr>
          <w:rFonts w:ascii="Times New Roman" w:hAnsi="Times New Roman" w:cs="Times New Roman"/>
          <w:color w:val="000000" w:themeColor="text1"/>
          <w:sz w:val="28"/>
          <w:szCs w:val="28"/>
          <w:lang w:bidi="ar-SA"/>
        </w:rPr>
      </w:pPr>
      <w:r w:rsidRPr="00703F92">
        <w:rPr>
          <w:rFonts w:ascii="Times New Roman" w:hAnsi="Times New Roman" w:cs="Times New Roman"/>
          <w:b/>
          <w:bCs/>
          <w:color w:val="000000" w:themeColor="text1"/>
          <w:sz w:val="28"/>
          <w:szCs w:val="28"/>
          <w:lang w:bidi="ar-SA"/>
        </w:rPr>
        <w:t xml:space="preserve">Результаты по шкале </w:t>
      </w:r>
      <w:r w:rsidRPr="00703F92">
        <w:rPr>
          <w:rFonts w:ascii="Times New Roman" w:hAnsi="Times New Roman" w:cs="Times New Roman"/>
          <w:b/>
          <w:bCs/>
          <w:color w:val="000000" w:themeColor="text1"/>
          <w:sz w:val="28"/>
          <w:szCs w:val="28"/>
          <w:lang w:val="en-US" w:bidi="ar-SA"/>
        </w:rPr>
        <w:t>HAS</w:t>
      </w:r>
      <w:r w:rsidRPr="00703F92">
        <w:rPr>
          <w:rFonts w:ascii="Times New Roman" w:hAnsi="Times New Roman" w:cs="Times New Roman"/>
          <w:b/>
          <w:bCs/>
          <w:color w:val="000000" w:themeColor="text1"/>
          <w:sz w:val="28"/>
          <w:szCs w:val="28"/>
          <w:lang w:bidi="ar-SA"/>
        </w:rPr>
        <w:t>-</w:t>
      </w:r>
      <w:r w:rsidRPr="00703F92">
        <w:rPr>
          <w:rFonts w:ascii="Times New Roman" w:hAnsi="Times New Roman" w:cs="Times New Roman"/>
          <w:b/>
          <w:bCs/>
          <w:color w:val="000000" w:themeColor="text1"/>
          <w:sz w:val="28"/>
          <w:szCs w:val="28"/>
          <w:lang w:val="en-US" w:bidi="ar-SA"/>
        </w:rPr>
        <w:t>BLED</w:t>
      </w:r>
      <w:r w:rsidRPr="00703F92">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 xml:space="preserve">Среди 150 обследованных пациентов с фибрилляцией предсердий оценка по шкале </w:t>
      </w:r>
      <w:r>
        <w:rPr>
          <w:rFonts w:ascii="Times New Roman" w:hAnsi="Times New Roman" w:cs="Times New Roman"/>
          <w:color w:val="000000" w:themeColor="text1"/>
          <w:sz w:val="28"/>
          <w:szCs w:val="28"/>
          <w:lang w:val="en-US" w:bidi="ar-SA"/>
        </w:rPr>
        <w:t>HAS</w:t>
      </w:r>
      <w:r w:rsidRPr="00703F92">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BLED</w:t>
      </w:r>
      <w:r>
        <w:rPr>
          <w:rFonts w:ascii="Times New Roman" w:hAnsi="Times New Roman" w:cs="Times New Roman"/>
          <w:color w:val="000000" w:themeColor="text1"/>
          <w:sz w:val="28"/>
          <w:szCs w:val="28"/>
          <w:lang w:bidi="ar-SA"/>
        </w:rPr>
        <w:t xml:space="preserve"> выявила, что группа с 1 баллом является самой многочисленной – 88 человек (58,7%) </w:t>
      </w:r>
      <w:r w:rsidRPr="00AB796B">
        <w:rPr>
          <w:rFonts w:ascii="Times New Roman" w:hAnsi="Times New Roman" w:cs="Times New Roman"/>
          <w:color w:val="000000" w:themeColor="text1"/>
          <w:sz w:val="28"/>
          <w:szCs w:val="28"/>
          <w:lang w:bidi="ar-SA"/>
        </w:rPr>
        <w:t xml:space="preserve">(таблица </w:t>
      </w:r>
      <w:r w:rsidR="00AB796B" w:rsidRPr="00AB796B">
        <w:rPr>
          <w:rFonts w:ascii="Times New Roman" w:hAnsi="Times New Roman" w:cs="Times New Roman"/>
          <w:color w:val="000000" w:themeColor="text1"/>
          <w:sz w:val="28"/>
          <w:szCs w:val="28"/>
          <w:lang w:bidi="ar-SA"/>
        </w:rPr>
        <w:t>2</w:t>
      </w:r>
      <w:r w:rsidRPr="00AB796B">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Минимальный риск (0 баллов) зарегистрирован у 24 пациентов (16%), тогда как баллы 2 и 3 встречались у 34 (22,7%) и 4 (2,7%) человек соответственно. Общая доля лиц с низким/умеренным риском (0-1 балл) составила 74,7%, однако каждый четвертый пациент (25,4%) имел клинически значимый риск кровотечений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2 баллов).</w:t>
      </w:r>
    </w:p>
    <w:p w14:paraId="616155CE" w14:textId="7B76AB97" w:rsidR="00703F92" w:rsidRPr="00AB796B"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sidRPr="00AB796B">
        <w:rPr>
          <w:rFonts w:ascii="Times New Roman" w:hAnsi="Times New Roman" w:cs="Times New Roman"/>
          <w:color w:val="000000" w:themeColor="text1"/>
          <w:sz w:val="28"/>
          <w:szCs w:val="28"/>
          <w:lang w:bidi="ar-SA"/>
        </w:rPr>
        <w:t xml:space="preserve">Таблица </w:t>
      </w:r>
      <w:r w:rsidR="00AB796B" w:rsidRPr="00AB796B">
        <w:rPr>
          <w:rFonts w:ascii="Times New Roman" w:hAnsi="Times New Roman" w:cs="Times New Roman"/>
          <w:color w:val="000000" w:themeColor="text1"/>
          <w:sz w:val="28"/>
          <w:szCs w:val="28"/>
          <w:lang w:bidi="ar-SA"/>
        </w:rPr>
        <w:t>2</w:t>
      </w:r>
      <w:r w:rsidRPr="00AB796B">
        <w:rPr>
          <w:rFonts w:ascii="Times New Roman" w:hAnsi="Times New Roman" w:cs="Times New Roman"/>
          <w:color w:val="000000" w:themeColor="text1"/>
          <w:sz w:val="28"/>
          <w:szCs w:val="28"/>
          <w:lang w:bidi="ar-SA"/>
        </w:rPr>
        <w:t xml:space="preserve">. Распределение баллов </w:t>
      </w:r>
      <w:r w:rsidRPr="00AB796B">
        <w:rPr>
          <w:rFonts w:ascii="Times New Roman" w:hAnsi="Times New Roman" w:cs="Times New Roman"/>
          <w:color w:val="000000" w:themeColor="text1"/>
          <w:sz w:val="28"/>
          <w:szCs w:val="28"/>
          <w:lang w:val="en-US" w:bidi="ar-SA"/>
        </w:rPr>
        <w:t>HAS</w:t>
      </w:r>
      <w:r w:rsidRPr="00AB796B">
        <w:rPr>
          <w:rFonts w:ascii="Times New Roman" w:hAnsi="Times New Roman" w:cs="Times New Roman"/>
          <w:color w:val="000000" w:themeColor="text1"/>
          <w:sz w:val="28"/>
          <w:szCs w:val="28"/>
          <w:lang w:bidi="ar-SA"/>
        </w:rPr>
        <w:t>-</w:t>
      </w:r>
      <w:r w:rsidRPr="00AB796B">
        <w:rPr>
          <w:rFonts w:ascii="Times New Roman" w:hAnsi="Times New Roman" w:cs="Times New Roman"/>
          <w:color w:val="000000" w:themeColor="text1"/>
          <w:sz w:val="28"/>
          <w:szCs w:val="28"/>
          <w:lang w:val="en-US" w:bidi="ar-SA"/>
        </w:rPr>
        <w:t>BLED</w:t>
      </w:r>
      <w:r w:rsidRPr="00AB796B">
        <w:rPr>
          <w:rFonts w:ascii="Times New Roman" w:hAnsi="Times New Roman" w:cs="Times New Roman"/>
          <w:color w:val="000000" w:themeColor="text1"/>
          <w:sz w:val="28"/>
          <w:szCs w:val="28"/>
          <w:lang w:bidi="ar-SA"/>
        </w:rPr>
        <w:t xml:space="preserve"> в общей популяции пациентов</w:t>
      </w:r>
    </w:p>
    <w:tbl>
      <w:tblPr>
        <w:tblW w:w="8391" w:type="dxa"/>
        <w:tblInd w:w="-5" w:type="dxa"/>
        <w:tblLayout w:type="fixed"/>
        <w:tblCellMar>
          <w:top w:w="55" w:type="dxa"/>
          <w:left w:w="55" w:type="dxa"/>
          <w:bottom w:w="55" w:type="dxa"/>
          <w:right w:w="55" w:type="dxa"/>
        </w:tblCellMar>
        <w:tblLook w:val="0000" w:firstRow="0" w:lastRow="0" w:firstColumn="0" w:lastColumn="0" w:noHBand="0" w:noVBand="0"/>
      </w:tblPr>
      <w:tblGrid>
        <w:gridCol w:w="2784"/>
        <w:gridCol w:w="2882"/>
        <w:gridCol w:w="2725"/>
      </w:tblGrid>
      <w:tr w:rsidR="00AB796B" w14:paraId="360A90D8" w14:textId="77777777" w:rsidTr="00B57F2E">
        <w:tc>
          <w:tcPr>
            <w:tcW w:w="2784" w:type="dxa"/>
            <w:tcBorders>
              <w:top w:val="single" w:sz="4" w:space="0" w:color="000000"/>
              <w:left w:val="single" w:sz="4" w:space="0" w:color="000000"/>
              <w:bottom w:val="single" w:sz="4" w:space="0" w:color="000000"/>
            </w:tcBorders>
            <w:shd w:val="clear" w:color="auto" w:fill="99CCFF"/>
            <w:vAlign w:val="center"/>
          </w:tcPr>
          <w:p w14:paraId="12A1C71B" w14:textId="77777777" w:rsidR="00AB796B" w:rsidRDefault="00AB796B" w:rsidP="00B57F2E">
            <w:pPr>
              <w:pStyle w:val="TableHeading"/>
              <w:spacing w:after="29"/>
              <w:rPr>
                <w:rFonts w:ascii="Liberation Serif" w:hAnsi="Liberation Serif" w:hint="eastAsia"/>
                <w:b w:val="0"/>
                <w:bCs w:val="0"/>
                <w:color w:val="000000"/>
                <w:sz w:val="24"/>
                <w:szCs w:val="24"/>
              </w:rPr>
            </w:pPr>
            <w:r>
              <w:rPr>
                <w:rFonts w:ascii="Times New Roman" w:hAnsi="Times New Roman"/>
                <w:color w:val="000000"/>
                <w:sz w:val="24"/>
                <w:szCs w:val="24"/>
              </w:rPr>
              <w:t xml:space="preserve">Балл </w:t>
            </w:r>
            <w:r>
              <w:rPr>
                <w:rStyle w:val="StrongEmphasis"/>
                <w:rFonts w:ascii="Times New Roman" w:hAnsi="Times New Roman"/>
                <w:color w:val="000000"/>
                <w:sz w:val="24"/>
                <w:szCs w:val="24"/>
              </w:rPr>
              <w:t>HAS-BLED</w:t>
            </w:r>
          </w:p>
        </w:tc>
        <w:tc>
          <w:tcPr>
            <w:tcW w:w="2882" w:type="dxa"/>
            <w:tcBorders>
              <w:top w:val="single" w:sz="4" w:space="0" w:color="000000"/>
              <w:left w:val="single" w:sz="4" w:space="0" w:color="000000"/>
              <w:bottom w:val="single" w:sz="4" w:space="0" w:color="000000"/>
            </w:tcBorders>
            <w:shd w:val="clear" w:color="auto" w:fill="99CCFF"/>
            <w:vAlign w:val="center"/>
          </w:tcPr>
          <w:p w14:paraId="6360050A" w14:textId="77777777" w:rsidR="00AB796B" w:rsidRDefault="00AB796B" w:rsidP="00B57F2E">
            <w:pPr>
              <w:pStyle w:val="TableHeading"/>
              <w:spacing w:after="29"/>
              <w:rPr>
                <w:rFonts w:ascii="Times New Roman" w:hAnsi="Times New Roman"/>
                <w:color w:val="000000"/>
                <w:sz w:val="24"/>
                <w:szCs w:val="24"/>
              </w:rPr>
            </w:pPr>
            <w:proofErr w:type="spellStart"/>
            <w:r>
              <w:rPr>
                <w:rFonts w:ascii="Times New Roman" w:hAnsi="Times New Roman"/>
                <w:color w:val="000000"/>
                <w:sz w:val="24"/>
                <w:szCs w:val="24"/>
              </w:rPr>
              <w:t>Абс</w:t>
            </w:r>
            <w:proofErr w:type="spellEnd"/>
            <w:r>
              <w:rPr>
                <w:rFonts w:ascii="Times New Roman" w:hAnsi="Times New Roman"/>
                <w:color w:val="000000"/>
                <w:sz w:val="24"/>
                <w:szCs w:val="24"/>
              </w:rPr>
              <w:t>. число пациентов</w:t>
            </w:r>
          </w:p>
        </w:tc>
        <w:tc>
          <w:tcPr>
            <w:tcW w:w="272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75AE2D3E" w14:textId="77777777" w:rsidR="00AB796B" w:rsidRDefault="00AB796B" w:rsidP="00B57F2E">
            <w:pPr>
              <w:pStyle w:val="TableHeading"/>
              <w:spacing w:after="29"/>
              <w:rPr>
                <w:rFonts w:ascii="Times New Roman" w:hAnsi="Times New Roman"/>
                <w:color w:val="000000"/>
                <w:sz w:val="24"/>
                <w:szCs w:val="24"/>
              </w:rPr>
            </w:pPr>
            <w:r>
              <w:rPr>
                <w:rFonts w:ascii="Times New Roman" w:hAnsi="Times New Roman"/>
                <w:color w:val="000000"/>
                <w:sz w:val="24"/>
                <w:szCs w:val="24"/>
              </w:rPr>
              <w:t>Доля от когорты (%)</w:t>
            </w:r>
          </w:p>
        </w:tc>
      </w:tr>
      <w:tr w:rsidR="00AB796B" w14:paraId="481C1EC4" w14:textId="77777777" w:rsidTr="00B57F2E">
        <w:tc>
          <w:tcPr>
            <w:tcW w:w="2784" w:type="dxa"/>
            <w:tcBorders>
              <w:left w:val="single" w:sz="4" w:space="0" w:color="000000"/>
              <w:bottom w:val="single" w:sz="4" w:space="0" w:color="000000"/>
            </w:tcBorders>
            <w:vAlign w:val="center"/>
          </w:tcPr>
          <w:p w14:paraId="4E6388E8"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0</w:t>
            </w:r>
          </w:p>
        </w:tc>
        <w:tc>
          <w:tcPr>
            <w:tcW w:w="2882" w:type="dxa"/>
            <w:tcBorders>
              <w:left w:val="single" w:sz="4" w:space="0" w:color="000000"/>
              <w:bottom w:val="single" w:sz="4" w:space="0" w:color="000000"/>
            </w:tcBorders>
            <w:vAlign w:val="center"/>
          </w:tcPr>
          <w:p w14:paraId="5B880F56"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24</w:t>
            </w:r>
          </w:p>
        </w:tc>
        <w:tc>
          <w:tcPr>
            <w:tcW w:w="2725" w:type="dxa"/>
            <w:tcBorders>
              <w:left w:val="single" w:sz="4" w:space="0" w:color="000000"/>
              <w:bottom w:val="single" w:sz="4" w:space="0" w:color="000000"/>
              <w:right w:val="single" w:sz="4" w:space="0" w:color="000000"/>
            </w:tcBorders>
            <w:vAlign w:val="center"/>
          </w:tcPr>
          <w:p w14:paraId="0DC13508"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16%</w:t>
            </w:r>
          </w:p>
        </w:tc>
      </w:tr>
      <w:tr w:rsidR="00AB796B" w14:paraId="26282459" w14:textId="77777777" w:rsidTr="00B57F2E">
        <w:tc>
          <w:tcPr>
            <w:tcW w:w="2784" w:type="dxa"/>
            <w:tcBorders>
              <w:left w:val="single" w:sz="4" w:space="0" w:color="000000"/>
              <w:bottom w:val="single" w:sz="4" w:space="0" w:color="000000"/>
            </w:tcBorders>
            <w:vAlign w:val="center"/>
          </w:tcPr>
          <w:p w14:paraId="79D51B25"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882" w:type="dxa"/>
            <w:tcBorders>
              <w:left w:val="single" w:sz="4" w:space="0" w:color="000000"/>
              <w:bottom w:val="single" w:sz="4" w:space="0" w:color="000000"/>
            </w:tcBorders>
            <w:vAlign w:val="center"/>
          </w:tcPr>
          <w:p w14:paraId="7F7F4164"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88</w:t>
            </w:r>
          </w:p>
        </w:tc>
        <w:tc>
          <w:tcPr>
            <w:tcW w:w="2725" w:type="dxa"/>
            <w:tcBorders>
              <w:left w:val="single" w:sz="4" w:space="0" w:color="000000"/>
              <w:bottom w:val="single" w:sz="4" w:space="0" w:color="000000"/>
              <w:right w:val="single" w:sz="4" w:space="0" w:color="000000"/>
            </w:tcBorders>
            <w:vAlign w:val="center"/>
          </w:tcPr>
          <w:p w14:paraId="4FFC8932"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58,7 %</w:t>
            </w:r>
          </w:p>
        </w:tc>
      </w:tr>
      <w:tr w:rsidR="00AB796B" w14:paraId="2CF4B58C" w14:textId="77777777" w:rsidTr="00B57F2E">
        <w:tc>
          <w:tcPr>
            <w:tcW w:w="2784" w:type="dxa"/>
            <w:tcBorders>
              <w:left w:val="single" w:sz="4" w:space="0" w:color="000000"/>
              <w:bottom w:val="single" w:sz="4" w:space="0" w:color="000000"/>
            </w:tcBorders>
            <w:vAlign w:val="center"/>
          </w:tcPr>
          <w:p w14:paraId="6D07345C"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882" w:type="dxa"/>
            <w:tcBorders>
              <w:left w:val="single" w:sz="4" w:space="0" w:color="000000"/>
              <w:bottom w:val="single" w:sz="4" w:space="0" w:color="000000"/>
            </w:tcBorders>
            <w:vAlign w:val="center"/>
          </w:tcPr>
          <w:p w14:paraId="487098F2"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34</w:t>
            </w:r>
          </w:p>
        </w:tc>
        <w:tc>
          <w:tcPr>
            <w:tcW w:w="2725" w:type="dxa"/>
            <w:tcBorders>
              <w:left w:val="single" w:sz="4" w:space="0" w:color="000000"/>
              <w:bottom w:val="single" w:sz="4" w:space="0" w:color="000000"/>
              <w:right w:val="single" w:sz="4" w:space="0" w:color="000000"/>
            </w:tcBorders>
            <w:vAlign w:val="center"/>
          </w:tcPr>
          <w:p w14:paraId="22A84891"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22.7 %</w:t>
            </w:r>
          </w:p>
        </w:tc>
      </w:tr>
      <w:tr w:rsidR="00AB796B" w14:paraId="160D153A" w14:textId="77777777" w:rsidTr="00B57F2E">
        <w:tc>
          <w:tcPr>
            <w:tcW w:w="2784" w:type="dxa"/>
            <w:tcBorders>
              <w:left w:val="single" w:sz="4" w:space="0" w:color="000000"/>
              <w:bottom w:val="single" w:sz="4" w:space="0" w:color="000000"/>
            </w:tcBorders>
            <w:vAlign w:val="center"/>
          </w:tcPr>
          <w:p w14:paraId="42E591A7" w14:textId="77777777" w:rsidR="00AB796B" w:rsidRDefault="00AB796B" w:rsidP="00B57F2E">
            <w:pPr>
              <w:pStyle w:val="TableContents"/>
              <w:spacing w:after="29"/>
              <w:jc w:val="center"/>
              <w:rPr>
                <w:rFonts w:ascii="Times New Roman" w:hAnsi="Times New Roman"/>
                <w:b/>
                <w:bCs/>
                <w:color w:val="000000"/>
                <w:sz w:val="24"/>
                <w:szCs w:val="24"/>
              </w:rPr>
            </w:pPr>
            <w:r>
              <w:rPr>
                <w:rFonts w:ascii="Times New Roman" w:hAnsi="Times New Roman"/>
                <w:b/>
                <w:bCs/>
                <w:color w:val="000000"/>
                <w:sz w:val="24"/>
                <w:szCs w:val="24"/>
              </w:rPr>
              <w:t>3</w:t>
            </w:r>
          </w:p>
        </w:tc>
        <w:tc>
          <w:tcPr>
            <w:tcW w:w="2882" w:type="dxa"/>
            <w:tcBorders>
              <w:left w:val="single" w:sz="4" w:space="0" w:color="000000"/>
              <w:bottom w:val="single" w:sz="4" w:space="0" w:color="000000"/>
            </w:tcBorders>
            <w:vAlign w:val="center"/>
          </w:tcPr>
          <w:p w14:paraId="7C118CAE"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4</w:t>
            </w:r>
          </w:p>
        </w:tc>
        <w:tc>
          <w:tcPr>
            <w:tcW w:w="2725" w:type="dxa"/>
            <w:tcBorders>
              <w:left w:val="single" w:sz="4" w:space="0" w:color="000000"/>
              <w:bottom w:val="single" w:sz="4" w:space="0" w:color="000000"/>
              <w:right w:val="single" w:sz="4" w:space="0" w:color="000000"/>
            </w:tcBorders>
            <w:shd w:val="clear" w:color="auto" w:fill="FFFFFF"/>
            <w:vAlign w:val="center"/>
          </w:tcPr>
          <w:p w14:paraId="484EE752" w14:textId="77777777" w:rsidR="00AB796B" w:rsidRDefault="00AB796B" w:rsidP="00B57F2E">
            <w:pPr>
              <w:pStyle w:val="TableContents"/>
              <w:spacing w:after="29"/>
              <w:jc w:val="center"/>
              <w:rPr>
                <w:rFonts w:ascii="Times New Roman" w:hAnsi="Times New Roman"/>
                <w:color w:val="000000"/>
                <w:sz w:val="24"/>
                <w:szCs w:val="24"/>
              </w:rPr>
            </w:pPr>
            <w:r>
              <w:rPr>
                <w:rFonts w:ascii="Times New Roman" w:hAnsi="Times New Roman"/>
                <w:color w:val="000000"/>
                <w:sz w:val="24"/>
                <w:szCs w:val="24"/>
              </w:rPr>
              <w:t>2.7 %</w:t>
            </w:r>
          </w:p>
        </w:tc>
      </w:tr>
    </w:tbl>
    <w:p w14:paraId="7B267149" w14:textId="33F3C525" w:rsidR="00975484" w:rsidRDefault="00975484" w:rsidP="00975484">
      <w:pPr>
        <w:pStyle w:val="LO-normal"/>
        <w:spacing w:after="0" w:line="240" w:lineRule="auto"/>
        <w:ind w:firstLine="567"/>
        <w:jc w:val="both"/>
        <w:rPr>
          <w:rFonts w:ascii="Times New Roman" w:hAnsi="Times New Roman" w:cs="Times New Roman"/>
          <w:color w:val="000000" w:themeColor="text1"/>
          <w:sz w:val="28"/>
          <w:szCs w:val="28"/>
          <w:lang w:bidi="ar-SA"/>
        </w:rPr>
      </w:pPr>
      <w:r>
        <w:rPr>
          <w:noProof/>
          <w:lang w:eastAsia="ru-RU" w:bidi="ar-SA"/>
        </w:rPr>
        <w:drawing>
          <wp:anchor distT="0" distB="0" distL="0" distR="0" simplePos="0" relativeHeight="251673600" behindDoc="0" locked="0" layoutInCell="0" allowOverlap="1" wp14:anchorId="637803F8" wp14:editId="47B7D4D6">
            <wp:simplePos x="0" y="0"/>
            <wp:positionH relativeFrom="column">
              <wp:posOffset>-120650</wp:posOffset>
            </wp:positionH>
            <wp:positionV relativeFrom="paragraph">
              <wp:posOffset>250190</wp:posOffset>
            </wp:positionV>
            <wp:extent cx="6228715" cy="3141345"/>
            <wp:effectExtent l="0" t="0" r="0" b="0"/>
            <wp:wrapSquare wrapText="largest"/>
            <wp:docPr id="8" name="Image7" descr="Изображение выглядит как диаграмма, текст,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Изображение выглядит как диаграмма, текст, снимок экрана, линия&#10;&#10;Содержимое, созданное искусственным интеллектом, может быть неверным."/>
                    <pic:cNvPicPr>
                      <a:picLocks noChangeAspect="1" noChangeArrowheads="1"/>
                    </pic:cNvPicPr>
                  </pic:nvPicPr>
                  <pic:blipFill>
                    <a:blip r:embed="rId24"/>
                    <a:srcRect r="788" b="2251"/>
                    <a:stretch>
                      <a:fillRect/>
                    </a:stretch>
                  </pic:blipFill>
                  <pic:spPr bwMode="auto">
                    <a:xfrm>
                      <a:off x="0" y="0"/>
                      <a:ext cx="6228715" cy="3141345"/>
                    </a:xfrm>
                    <a:prstGeom prst="rect">
                      <a:avLst/>
                    </a:prstGeom>
                  </pic:spPr>
                </pic:pic>
              </a:graphicData>
            </a:graphic>
            <wp14:sizeRelH relativeFrom="margin">
              <wp14:pctWidth>0</wp14:pctWidth>
            </wp14:sizeRelH>
            <wp14:sizeRelV relativeFrom="margin">
              <wp14:pctHeight>0</wp14:pctHeight>
            </wp14:sizeRelV>
          </wp:anchor>
        </w:drawing>
      </w:r>
    </w:p>
    <w:p w14:paraId="5BABD872" w14:textId="3CD7A404" w:rsidR="00703F92" w:rsidRPr="00975484"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sidRPr="00975484">
        <w:rPr>
          <w:rFonts w:ascii="Times New Roman" w:hAnsi="Times New Roman" w:cs="Times New Roman"/>
          <w:color w:val="000000" w:themeColor="text1"/>
          <w:sz w:val="28"/>
          <w:szCs w:val="28"/>
          <w:lang w:bidi="ar-SA"/>
        </w:rPr>
        <w:t xml:space="preserve">Рисунок 7. Распределение баллов </w:t>
      </w:r>
      <w:r w:rsidRPr="00975484">
        <w:rPr>
          <w:rFonts w:ascii="Times New Roman" w:hAnsi="Times New Roman" w:cs="Times New Roman"/>
          <w:color w:val="000000" w:themeColor="text1"/>
          <w:sz w:val="28"/>
          <w:szCs w:val="28"/>
          <w:lang w:val="en-US" w:bidi="ar-SA"/>
        </w:rPr>
        <w:t>HAS</w:t>
      </w:r>
      <w:r w:rsidRPr="00975484">
        <w:rPr>
          <w:rFonts w:ascii="Times New Roman" w:hAnsi="Times New Roman" w:cs="Times New Roman"/>
          <w:color w:val="000000" w:themeColor="text1"/>
          <w:sz w:val="28"/>
          <w:szCs w:val="28"/>
          <w:lang w:bidi="ar-SA"/>
        </w:rPr>
        <w:t>-</w:t>
      </w:r>
      <w:r w:rsidRPr="00975484">
        <w:rPr>
          <w:rFonts w:ascii="Times New Roman" w:hAnsi="Times New Roman" w:cs="Times New Roman"/>
          <w:color w:val="000000" w:themeColor="text1"/>
          <w:sz w:val="28"/>
          <w:szCs w:val="28"/>
          <w:lang w:val="en-US" w:bidi="ar-SA"/>
        </w:rPr>
        <w:t>BLED</w:t>
      </w:r>
      <w:r w:rsidRPr="00975484">
        <w:rPr>
          <w:rFonts w:ascii="Times New Roman" w:hAnsi="Times New Roman" w:cs="Times New Roman"/>
          <w:color w:val="000000" w:themeColor="text1"/>
          <w:sz w:val="28"/>
          <w:szCs w:val="28"/>
          <w:lang w:bidi="ar-SA"/>
        </w:rPr>
        <w:t xml:space="preserve"> по полу и возрасту</w:t>
      </w:r>
    </w:p>
    <w:p w14:paraId="56896BD0" w14:textId="77777777" w:rsidR="00975484" w:rsidRDefault="00975484" w:rsidP="00703F92">
      <w:pPr>
        <w:pStyle w:val="LO-normal"/>
        <w:spacing w:after="0" w:line="240" w:lineRule="auto"/>
        <w:ind w:firstLine="567"/>
        <w:jc w:val="both"/>
        <w:rPr>
          <w:rFonts w:ascii="Times New Roman" w:hAnsi="Times New Roman" w:cs="Times New Roman"/>
          <w:color w:val="000000" w:themeColor="text1"/>
          <w:sz w:val="28"/>
          <w:szCs w:val="28"/>
          <w:lang w:bidi="ar-SA"/>
        </w:rPr>
      </w:pPr>
    </w:p>
    <w:p w14:paraId="40F55680" w14:textId="1E79D194"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 xml:space="preserve">При анализе по полу мужчины преобладали в категориях низкого риска: среди пациентов с 0 баллом мужчины составляли 15 из 24 человек (62,5%), с </w:t>
      </w:r>
      <w:r w:rsidR="00EE4DC9">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 xml:space="preserve">1 баллом 57 из 88 (64,8%) </w:t>
      </w:r>
      <w:r w:rsidRPr="00975484">
        <w:rPr>
          <w:rFonts w:ascii="Times New Roman" w:hAnsi="Times New Roman" w:cs="Times New Roman"/>
          <w:color w:val="000000" w:themeColor="text1"/>
          <w:sz w:val="28"/>
          <w:szCs w:val="28"/>
          <w:lang w:bidi="ar-SA"/>
        </w:rPr>
        <w:t>(рисунок 7)</w:t>
      </w:r>
      <w:r>
        <w:rPr>
          <w:rFonts w:ascii="Times New Roman" w:hAnsi="Times New Roman" w:cs="Times New Roman"/>
          <w:color w:val="000000" w:themeColor="text1"/>
          <w:sz w:val="28"/>
          <w:szCs w:val="28"/>
          <w:lang w:bidi="ar-SA"/>
        </w:rPr>
        <w:t>. Среди лиц с 2 баллами доля женщин была выше – 18 против 16 мужчин (52,9% против 47,1%). Максимальный балл (3) встречался одинаково редко у обоих полов (по 2 случая). Статистически значимых различий между полами не выявлено (р=0,3).</w:t>
      </w:r>
    </w:p>
    <w:p w14:paraId="51B826F1" w14:textId="1BCEDD33" w:rsidR="00703F92" w:rsidRPr="00926EC0" w:rsidRDefault="00703F92" w:rsidP="00EE4DC9">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 xml:space="preserve">Наиболее значимые различия связаны с возрастом: все 23 пациента с нулевым баллом были младше 65 лет </w:t>
      </w:r>
      <w:r w:rsidRPr="00975484">
        <w:rPr>
          <w:rFonts w:ascii="Times New Roman" w:hAnsi="Times New Roman" w:cs="Times New Roman"/>
          <w:color w:val="000000" w:themeColor="text1"/>
          <w:sz w:val="28"/>
          <w:szCs w:val="28"/>
          <w:lang w:bidi="ar-SA"/>
        </w:rPr>
        <w:t xml:space="preserve">(рисунок 7). </w:t>
      </w:r>
      <w:r>
        <w:rPr>
          <w:rFonts w:ascii="Times New Roman" w:hAnsi="Times New Roman" w:cs="Times New Roman"/>
          <w:color w:val="000000" w:themeColor="text1"/>
          <w:sz w:val="28"/>
          <w:szCs w:val="28"/>
          <w:lang w:bidi="ar-SA"/>
        </w:rPr>
        <w:t xml:space="preserve">В группе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65 лет доля лиц с высоким риском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 xml:space="preserve">2 балла) достигла 40% (20 из 50 человек) против 18% (18 из 100) у более молодых. Среди пациентов 65 лет и старше максимальный риск кровотечения (3 балла по шкале </w:t>
      </w:r>
      <w:r>
        <w:rPr>
          <w:rFonts w:ascii="Times New Roman" w:hAnsi="Times New Roman" w:cs="Times New Roman"/>
          <w:color w:val="000000" w:themeColor="text1"/>
          <w:sz w:val="28"/>
          <w:szCs w:val="28"/>
          <w:lang w:val="en-US" w:bidi="ar-SA"/>
        </w:rPr>
        <w:t>HAS</w:t>
      </w:r>
      <w:r w:rsidRPr="00703F92">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BLED</w:t>
      </w:r>
      <w:r>
        <w:rPr>
          <w:rFonts w:ascii="Times New Roman" w:hAnsi="Times New Roman" w:cs="Times New Roman"/>
          <w:color w:val="000000" w:themeColor="text1"/>
          <w:sz w:val="28"/>
          <w:szCs w:val="28"/>
          <w:lang w:bidi="ar-SA"/>
        </w:rPr>
        <w:t>)</w:t>
      </w:r>
      <w:r w:rsidRPr="00703F92">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 xml:space="preserve">отмечался в 6% случаев (3 пациента из 50). В группе моложе 65 лет такой результат зафиксирован лишь у 1% </w:t>
      </w:r>
      <w:r w:rsidR="00EE4DC9">
        <w:rPr>
          <w:rFonts w:ascii="Times New Roman" w:hAnsi="Times New Roman" w:cs="Times New Roman"/>
          <w:color w:val="000000" w:themeColor="text1"/>
          <w:sz w:val="28"/>
          <w:szCs w:val="28"/>
          <w:lang w:bidi="ar-SA"/>
        </w:rPr>
        <w:t xml:space="preserve">             </w:t>
      </w:r>
      <w:proofErr w:type="gramStart"/>
      <w:r w:rsidR="00EE4DC9">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w:t>
      </w:r>
      <w:proofErr w:type="gramEnd"/>
      <w:r>
        <w:rPr>
          <w:rFonts w:ascii="Times New Roman" w:hAnsi="Times New Roman" w:cs="Times New Roman"/>
          <w:color w:val="000000" w:themeColor="text1"/>
          <w:sz w:val="28"/>
          <w:szCs w:val="28"/>
          <w:lang w:bidi="ar-SA"/>
        </w:rPr>
        <w:t>1 пациент из 100). Эта закономерность статистически значима (р=0,002) и подтверждает роль возраста как независимого предиктора геморрагических рисков при ФП</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{"citationID":"r8G6MJ2u","properties":{"unsorted":false,"formattedCitation":"[238]","plainCitation":"[238]","noteIndex":0},"citationItems":[{"id":35,"uris":["http://zotero.org/users/14784094/items/87XF4X7I"],"itemData":{"id":35,"type":"article-journal","abstract":"BACKGROUND: Stroke risk in atrial fibrillation (AF) using oral vitamin K antagonists is closely related to bleeding risk. The HAS-BLED (hypertension, abnormal renal/liver function, stroke, bleeding history or predisposition, labile INR [international normalized ratio], elderly, drugs/alcohol concomitantly) bleeding score has demonstrated usefulness in assessing major bleeding risk in patients with AF. However, risk factors for warfarin-associated bleeding also predict stroke risk in patients with AF. We tested the usefulness of the HAS-BLED score for predicting both major bleeding and cardiovascular events in a cohort of anticoagulated patients with AF.\nMETHODS AND RESULTS: We recruited 965 consecutive anticoagulated outpatients with permanent or paroxysmal AF who were stabilized for at least 6 months on oral anticoagulation (international normalized ratio, 2.0-3.0). Medical history and HAS-BLED score were assessed. Cox regression models were used to determine the association between clinical risk factors and bleeding episodes, adverse cardiovascular events, and mortality. The median HAS-BLED score was 2 (range, 0-6; 29% with a score ≥3 [ie, high risk]). Median follow-up was 861 days (range, 718-1016 days). Independent predictors for major bleeding were age ≥75 years (hazard ratio [HR], 1.74; 95% CI, 1.05-2.87; P=0.030), male sex (HR, 1.70; 95% CI, 1.03-2.80; P=0.036), renal impairment (HR, 2.12; 95% CI, 1.20-3.73; P=0.010), previous bleeding episode (HR, 6.00; 95% CI, 3.73-9.67; P&lt;0.001), current alcohol consumption (HR, 2.28; 95% CI, 1.03-5.06; P=0.043), and concomitant malignant disease (HR, 2.17; 95% CI, 1.13-4.18; P=0.020). Independent predictors for adverse cardiovascular events were age &gt;75 years (HR, 2.20; 95% CI, 1.40-3.46; P=0.001), heart failure (HR, 1.78; 95% CI, 1.20-2.86; P=0.001), and previous stroke (HR, 1.85; 95% CI, 1.20-2.86; P&lt;0.001). The HAS-BLED score was highly predictive for major bleeding events (HR, 2.04; 95% CI, 1.68-2.49; P&lt;0.001) and adverse cardiovascular events (HR, 1.51; 95% CI, 1.27-1.81; P&lt;0.001). The incidence of both bleeding and adverse cardiovascular events was higher as HAS-BLED score increased, and crude bleeding rates only exceeded thrombotic events at a HAS-BLED score &gt;3. The HAS-BLED score also predicted all-cause mortality (HR, 1.68; 95% CI, 1.40-2.01; P&lt;0.001).\nCONCLUSIONS: The HAS-BLED score not only is useful in the assessment of bleeding risk, but also shows some predictive value for cardiovascular events and mortality in anticoagulated patients with AF, consistent with the relationship between thrombosis and bleeding. Nonetheless, the HAS-BLED score has been designed for predicting bleeding risk rather than thrombotic events per se, and specific risk scores for cardiovascular events and mortality should be applied for these events.","container-title":"Circulation. Arrhythmia and Electrophysiology","DOI":"10.1161/CIRCEP.111.967000","ISSN":"1941-3084","issue":"2","journalAbbreviation":"Circ Arrhythm Electrophysiol","language":"eng","page":"312-318","PMID":"22319005","source":"PubMed","title":"Relation of the HAS-BLED bleeding risk score to major bleeding, cardiovascular events, and mortality in anticoagulated patients with atrial fibrillation","volume":"5","author":[{"family":"Gallego","given":"Pilar"},{"family":"Roldán","given":"Vanessa"},{"family":"Torregrosa","given":"José Miguel"},{"family":"Gálvez","given":"Josefa"},{"family":"Valdés","given":"Mariano"},{"family":"Vicente","given":"Vicente"},{"family":"Marín","given":"Francisco"},{"family":"Lip","given":"Gregory Y. H."}],"issued":{"date-parts":[["2012",4]]}}}],"schema":"https://github.com/citation-style-language/schema/raw/master/csl-citation.json"}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[238]</w:t>
      </w:r>
      <w:r>
        <w:rPr>
          <w:rFonts w:ascii="Times New Roman" w:hAnsi="Times New Roman" w:cs="Times New Roman"/>
          <w:color w:val="000000" w:themeColor="text1"/>
          <w:sz w:val="28"/>
          <w:szCs w:val="28"/>
          <w:lang w:bidi="ar-SA"/>
        </w:rPr>
        <w:fldChar w:fldCharType="end"/>
      </w:r>
      <w:r w:rsidRPr="00926EC0">
        <w:rPr>
          <w:rFonts w:ascii="Times New Roman" w:hAnsi="Times New Roman" w:cs="Times New Roman"/>
          <w:color w:val="000000" w:themeColor="text1"/>
          <w:sz w:val="28"/>
          <w:szCs w:val="28"/>
          <w:lang w:bidi="ar-SA"/>
        </w:rPr>
        <w:t>.</w:t>
      </w:r>
    </w:p>
    <w:p w14:paraId="3C18C343" w14:textId="77777777"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p>
    <w:p w14:paraId="3F9B57EA" w14:textId="72790AE0"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sidRPr="00975484">
        <w:rPr>
          <w:rFonts w:ascii="Times New Roman" w:hAnsi="Times New Roman" w:cs="Times New Roman"/>
          <w:b/>
          <w:bCs/>
          <w:color w:val="000000" w:themeColor="text1"/>
          <w:sz w:val="28"/>
          <w:szCs w:val="28"/>
          <w:lang w:bidi="ar-SA"/>
        </w:rPr>
        <w:t>Профиль коморбидности пациентов с возрастными и гендерными различиями</w:t>
      </w:r>
      <w:r>
        <w:rPr>
          <w:rFonts w:ascii="Times New Roman" w:hAnsi="Times New Roman" w:cs="Times New Roman"/>
          <w:color w:val="000000" w:themeColor="text1"/>
          <w:sz w:val="28"/>
          <w:szCs w:val="28"/>
          <w:lang w:bidi="ar-SA"/>
        </w:rPr>
        <w:t>. В общей выборке пациентов с ФП (</w:t>
      </w:r>
      <w:r>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=150</w:t>
      </w:r>
      <w:r>
        <w:rPr>
          <w:rFonts w:ascii="Times New Roman" w:hAnsi="Times New Roman" w:cs="Times New Roman"/>
          <w:color w:val="000000" w:themeColor="text1"/>
          <w:sz w:val="28"/>
          <w:szCs w:val="28"/>
          <w:lang w:bidi="ar-SA"/>
        </w:rPr>
        <w:t xml:space="preserve">) наиболее часто встречались артериальная гипертензия (75,3%) и митральная регургитация (62,7%). Доля больных с сахарным диабетом и табакокурением составила по 14%, а ишемическая болезнь сердца – 8,7%. Эти данные представлены на </w:t>
      </w:r>
      <w:r w:rsidRPr="00975484">
        <w:rPr>
          <w:rFonts w:ascii="Times New Roman" w:hAnsi="Times New Roman" w:cs="Times New Roman"/>
          <w:color w:val="000000" w:themeColor="text1"/>
          <w:sz w:val="28"/>
          <w:szCs w:val="28"/>
          <w:lang w:bidi="ar-SA"/>
        </w:rPr>
        <w:t xml:space="preserve">рисунке 8, </w:t>
      </w:r>
      <w:r>
        <w:rPr>
          <w:rFonts w:ascii="Times New Roman" w:hAnsi="Times New Roman" w:cs="Times New Roman"/>
          <w:color w:val="000000" w:themeColor="text1"/>
          <w:sz w:val="28"/>
          <w:szCs w:val="28"/>
          <w:lang w:bidi="ar-SA"/>
        </w:rPr>
        <w:t>и далее служат основой для стратифицированного анализа.</w:t>
      </w:r>
    </w:p>
    <w:p w14:paraId="2CB1FA01" w14:textId="42778067" w:rsidR="00703F92" w:rsidRDefault="00975484"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Pr>
          <w:noProof/>
          <w:lang w:eastAsia="ru-RU" w:bidi="ar-SA"/>
        </w:rPr>
        <w:drawing>
          <wp:anchor distT="0" distB="0" distL="0" distR="0" simplePos="0" relativeHeight="251675648" behindDoc="0" locked="0" layoutInCell="0" allowOverlap="1" wp14:anchorId="7D85DA1D" wp14:editId="232725C2">
            <wp:simplePos x="0" y="0"/>
            <wp:positionH relativeFrom="column">
              <wp:posOffset>-3175</wp:posOffset>
            </wp:positionH>
            <wp:positionV relativeFrom="paragraph">
              <wp:posOffset>206375</wp:posOffset>
            </wp:positionV>
            <wp:extent cx="5839460" cy="3213735"/>
            <wp:effectExtent l="0" t="0" r="2540" b="0"/>
            <wp:wrapTopAndBottom/>
            <wp:docPr id="9" name="Image11"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1" descr="Изображение выглядит как текст, снимок экрана, диаграмма, линия&#10;&#10;Содержимое, созданное искусственным интеллектом, может быть неверным."/>
                    <pic:cNvPicPr>
                      <a:picLocks noChangeAspect="1" noChangeArrowheads="1"/>
                    </pic:cNvPicPr>
                  </pic:nvPicPr>
                  <pic:blipFill>
                    <a:blip r:embed="rId25"/>
                    <a:srcRect t="7137" r="949" b="1342"/>
                    <a:stretch>
                      <a:fillRect/>
                    </a:stretch>
                  </pic:blipFill>
                  <pic:spPr bwMode="auto">
                    <a:xfrm>
                      <a:off x="0" y="0"/>
                      <a:ext cx="5839460" cy="3213735"/>
                    </a:xfrm>
                    <a:prstGeom prst="rect">
                      <a:avLst/>
                    </a:prstGeom>
                  </pic:spPr>
                </pic:pic>
              </a:graphicData>
            </a:graphic>
            <wp14:sizeRelH relativeFrom="margin">
              <wp14:pctWidth>0</wp14:pctWidth>
            </wp14:sizeRelH>
            <wp14:sizeRelV relativeFrom="margin">
              <wp14:pctHeight>0</wp14:pctHeight>
            </wp14:sizeRelV>
          </wp:anchor>
        </w:drawing>
      </w:r>
    </w:p>
    <w:p w14:paraId="6064C354" w14:textId="576E9286"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sidRPr="00975484">
        <w:rPr>
          <w:rFonts w:ascii="Times New Roman" w:hAnsi="Times New Roman" w:cs="Times New Roman"/>
          <w:color w:val="000000" w:themeColor="text1"/>
          <w:sz w:val="28"/>
          <w:szCs w:val="28"/>
          <w:lang w:bidi="ar-SA"/>
        </w:rPr>
        <w:t xml:space="preserve">Рисунок 8. </w:t>
      </w:r>
      <w:r>
        <w:rPr>
          <w:rFonts w:ascii="Times New Roman" w:hAnsi="Times New Roman" w:cs="Times New Roman"/>
          <w:color w:val="000000" w:themeColor="text1"/>
          <w:sz w:val="28"/>
          <w:szCs w:val="28"/>
          <w:lang w:bidi="ar-SA"/>
        </w:rPr>
        <w:t>Распространенность сопутствующих патологий в общей популяции</w:t>
      </w:r>
    </w:p>
    <w:p w14:paraId="6EFEC208" w14:textId="77777777" w:rsidR="00975484" w:rsidRDefault="00975484" w:rsidP="00703F92">
      <w:pPr>
        <w:pStyle w:val="LO-normal"/>
        <w:spacing w:after="0" w:line="240" w:lineRule="auto"/>
        <w:ind w:firstLine="567"/>
        <w:jc w:val="both"/>
        <w:rPr>
          <w:rFonts w:ascii="Times New Roman" w:hAnsi="Times New Roman" w:cs="Times New Roman"/>
          <w:color w:val="000000" w:themeColor="text1"/>
          <w:sz w:val="28"/>
          <w:szCs w:val="28"/>
          <w:lang w:bidi="ar-SA"/>
        </w:rPr>
      </w:pPr>
    </w:p>
    <w:p w14:paraId="1116C032" w14:textId="6937BEF2" w:rsidR="00703F92" w:rsidRP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Распространенность митральной регургитации не отличалась между мужчинами (61,6%) и женщинами (65%, р=0,73). Сахарный диабет 2 типа достоверно чаще выявлялся у женщин (21,7% против 8,9% у мужчин, р=0,03), что согласуется с данными о повышенном кардиометаболическом синдроме у женщин в постменопаузе</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{"citationID":"qPnjwswK","properties":{"unsorted":false,"formattedCitation":"[239]","plainCitation":"[239]","noteIndex":0},"citationItems":[{"id":34,"uris":["http://zotero.org/users/14784094/items/H6UNRFP3"],"itemData":{"id":34,"type":"article-journal","abstract":"Background: The aim of this study is to evaluate the effect of gender and menopause in cardiometabolic risk in a type 2 diabetes mellitus (T2DM) population, based on classical and non-traditional markers.\nMethods: Seventy four volunteers and 110 T2DM patients were enrolled in the study. Anthropometric data, blood pressure, body mass index (BMI), waist circumference (WC) and the following serum markers were analyzed: glucose, Total-c, TGs, LDL-c, Oxidized-LDL, total HDL-c and large and small HDL-c subpopulations, paraoxonase 1 activity, hsCRP, uric acid, TNF-α, adiponectin and VEGF.\nResults: Non-diabetic women, compared to men, presented lower glycemia, WC, small HDL-c, uric acid, TNF-α and increased large HDL-c. Diabetes abrogates the protective effect of female gender, since diabetic women showed increased BMI, WC, small HDL-c, VEGF, uric acid, TNF-α and hsCRP, as well as reduced adiponectin, when compared with non-diabetic. In diabetic females, but not in males, WC is directly and significantly associated with TNF-α, VEGF, hsCRP and uric acid; TNF-α is directly associated with VEGF and hsCRP, and inversely with adiponectin. Postmenopausal females presented a worsen cardiometabolic profile, viewed by the increased WC, small HDL-c, VEGF, uric acid, TNF-α and hsCRP. In this population, WC is directly and significantly associated with TNF-α, VEGF, hsCRP; TNF-α is directly associated with VEGF; and uric acid is inversely associated with large HDL-c and hsCRP with adiponectin, also inversely.\nConclusions: Diabetes abrogates the protective effect of gender on non-diabetic women, and postmenopausal diabetic females presented worsen cardiometabolic risk, including a more atherogenic lipid sketch and a proinflammatory and pro-angiogenic profile. The classical cardiovascular risk factors (CVRFs) fail to completely explain these differences, which are better clarified using “non-traditional” factors, such as HDL-c subpopulations, rather than total HDL-c content, and markers of inflammation and angiogenesis, namely TNF-α, hsCRP, uric acid and VEGF. Multi-therapeutic intervention, directed to obesity, atherogenic lipid particles and inflammatory mediators is advisory in order to efficiently prevent the serious diabetic cardiovascular complications.","container-title":"Cardiovascular Diabetology","DOI":"10.1186/1475-2840-12-61","ISSN":"1475-2840","issue":"1","journalAbbreviation":"Cardiovasc Diabetol","language":"en","page":"61","source":"DOI.org (Crossref)","title":"Diabetes abrogates sex differences and aggravates cardiometabolic risk in postmenopausal women","volume":"12","author":[{"family":"Mascarenhas-Melo","given":"Filipa"},{"family":"Marado","given":"Daniela"},{"family":"Palavra","given":"Filipe"},{"family":"Sereno","given":"José"},{"family":"Coelho","given":"Álvaro"},{"family":"Pinto","given":"Rui"},{"family":"Teixeira-Lemos","given":"Edite"},{"family":"Teixeira","given":"Frederico"},{"family":"Reis","given":"Flávio"}],"issued":{"date-parts":[["2013",12]]}}}],"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[239]</w:t>
      </w:r>
      <w:r>
        <w:rPr>
          <w:rFonts w:ascii="Times New Roman" w:hAnsi="Times New Roman" w:cs="Times New Roman"/>
          <w:color w:val="000000" w:themeColor="text1"/>
          <w:sz w:val="28"/>
          <w:szCs w:val="28"/>
          <w:lang w:bidi="ar-SA"/>
        </w:rPr>
        <w:fldChar w:fldCharType="end"/>
      </w:r>
      <w:r w:rsidRPr="00703F92">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 xml:space="preserve"> Курение значительно преобладало среди мужчин (21,1% против 3,3% у женщин, р=0,002). Ишемическая болезнь сердца чаще регистрировалась у мужчин (11,1% против 5%), но без статистической значимости (р=0,24). Артериальная гипертензия не показала значимых гендерных различий (71,1% у мужчин против 81,7% у женщин, р=0,18). Распространенность атеросклероза (р=1,0) и инсульта (р=1,0) была сопоставима между полами </w:t>
      </w:r>
      <w:r w:rsidRPr="00975484">
        <w:rPr>
          <w:rFonts w:ascii="Times New Roman" w:hAnsi="Times New Roman" w:cs="Times New Roman"/>
          <w:color w:val="000000" w:themeColor="text1"/>
          <w:sz w:val="28"/>
          <w:szCs w:val="28"/>
          <w:lang w:bidi="ar-SA"/>
        </w:rPr>
        <w:t>(рисунок 9).</w:t>
      </w:r>
    </w:p>
    <w:p w14:paraId="6AEE0101" w14:textId="1636199A" w:rsidR="00975484" w:rsidRDefault="00975484" w:rsidP="00975484">
      <w:pPr>
        <w:pStyle w:val="LO-normal"/>
        <w:spacing w:after="0" w:line="240" w:lineRule="auto"/>
        <w:jc w:val="both"/>
        <w:rPr>
          <w:rFonts w:ascii="Times New Roman" w:hAnsi="Times New Roman" w:cs="Times New Roman"/>
          <w:color w:val="C00000"/>
          <w:sz w:val="28"/>
          <w:szCs w:val="28"/>
          <w:lang w:bidi="ar-SA"/>
        </w:rPr>
      </w:pPr>
      <w:r>
        <w:rPr>
          <w:noProof/>
          <w:lang w:eastAsia="ru-RU" w:bidi="ar-SA"/>
        </w:rPr>
        <w:drawing>
          <wp:anchor distT="0" distB="0" distL="0" distR="0" simplePos="0" relativeHeight="251677696" behindDoc="0" locked="0" layoutInCell="0" allowOverlap="1" wp14:anchorId="4B8B360C" wp14:editId="0113324F">
            <wp:simplePos x="0" y="0"/>
            <wp:positionH relativeFrom="column">
              <wp:posOffset>-225934</wp:posOffset>
            </wp:positionH>
            <wp:positionV relativeFrom="paragraph">
              <wp:posOffset>459</wp:posOffset>
            </wp:positionV>
            <wp:extent cx="6120130" cy="3578225"/>
            <wp:effectExtent l="0" t="0" r="0" b="0"/>
            <wp:wrapSquare wrapText="largest"/>
            <wp:docPr id="10" name="Image9"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Изображение выглядит как текст, снимок экрана, диаграмма, График&#10;&#10;Содержимое, созданное искусственным интеллектом, может быть неверным."/>
                    <pic:cNvPicPr>
                      <a:picLocks noChangeAspect="1" noChangeArrowheads="1"/>
                    </pic:cNvPicPr>
                  </pic:nvPicPr>
                  <pic:blipFill>
                    <a:blip r:embed="rId26"/>
                    <a:srcRect b="1874"/>
                    <a:stretch>
                      <a:fillRect/>
                    </a:stretch>
                  </pic:blipFill>
                  <pic:spPr bwMode="auto">
                    <a:xfrm>
                      <a:off x="0" y="0"/>
                      <a:ext cx="6120130" cy="3578225"/>
                    </a:xfrm>
                    <a:prstGeom prst="rect">
                      <a:avLst/>
                    </a:prstGeom>
                  </pic:spPr>
                </pic:pic>
              </a:graphicData>
            </a:graphic>
          </wp:anchor>
        </w:drawing>
      </w:r>
    </w:p>
    <w:p w14:paraId="68A5A381" w14:textId="7904A3AE"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sidRPr="00975484">
        <w:rPr>
          <w:rFonts w:ascii="Times New Roman" w:hAnsi="Times New Roman" w:cs="Times New Roman"/>
          <w:color w:val="000000" w:themeColor="text1"/>
          <w:sz w:val="28"/>
          <w:szCs w:val="28"/>
          <w:lang w:bidi="ar-SA"/>
        </w:rPr>
        <w:t>Рисунок 9</w:t>
      </w:r>
      <w:r>
        <w:rPr>
          <w:rFonts w:ascii="Times New Roman" w:hAnsi="Times New Roman" w:cs="Times New Roman"/>
          <w:color w:val="000000" w:themeColor="text1"/>
          <w:sz w:val="28"/>
          <w:szCs w:val="28"/>
          <w:lang w:bidi="ar-SA"/>
        </w:rPr>
        <w:t>. Клинические характеристики пациентов с ФП: сравнение по полу</w:t>
      </w:r>
    </w:p>
    <w:p w14:paraId="1089D59A" w14:textId="238587DA"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p>
    <w:p w14:paraId="59E2D275" w14:textId="6DB0BEC6" w:rsidR="003C7C22" w:rsidRDefault="003C7C2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Pr>
          <w:noProof/>
          <w:lang w:eastAsia="ru-RU" w:bidi="ar-SA"/>
        </w:rPr>
        <w:drawing>
          <wp:anchor distT="0" distB="0" distL="0" distR="0" simplePos="0" relativeHeight="251679744" behindDoc="0" locked="0" layoutInCell="0" allowOverlap="1" wp14:anchorId="30939DD4" wp14:editId="4593A704">
            <wp:simplePos x="0" y="0"/>
            <wp:positionH relativeFrom="column">
              <wp:posOffset>-3175</wp:posOffset>
            </wp:positionH>
            <wp:positionV relativeFrom="paragraph">
              <wp:posOffset>207010</wp:posOffset>
            </wp:positionV>
            <wp:extent cx="6120130" cy="3865245"/>
            <wp:effectExtent l="0" t="0" r="1270" b="0"/>
            <wp:wrapSquare wrapText="largest"/>
            <wp:docPr id="11" name="Image10" descr="Изображение выглядит как текст, диаграмм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Изображение выглядит как текст, диаграмма, График, линия&#10;&#10;Содержимое, созданное искусственным интеллектом, может быть неверным."/>
                    <pic:cNvPicPr>
                      <a:picLocks noChangeAspect="1" noChangeArrowheads="1"/>
                    </pic:cNvPicPr>
                  </pic:nvPicPr>
                  <pic:blipFill>
                    <a:blip r:embed="rId27"/>
                    <a:stretch>
                      <a:fillRect/>
                    </a:stretch>
                  </pic:blipFill>
                  <pic:spPr bwMode="auto">
                    <a:xfrm>
                      <a:off x="0" y="0"/>
                      <a:ext cx="6120130" cy="3865245"/>
                    </a:xfrm>
                    <a:prstGeom prst="rect">
                      <a:avLst/>
                    </a:prstGeom>
                  </pic:spPr>
                </pic:pic>
              </a:graphicData>
            </a:graphic>
            <wp14:sizeRelV relativeFrom="margin">
              <wp14:pctHeight>0</wp14:pctHeight>
            </wp14:sizeRelV>
          </wp:anchor>
        </w:drawing>
      </w:r>
    </w:p>
    <w:p w14:paraId="6F08B573" w14:textId="423C2CAD"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sidRPr="003C7C22">
        <w:rPr>
          <w:rFonts w:ascii="Times New Roman" w:hAnsi="Times New Roman" w:cs="Times New Roman"/>
          <w:color w:val="000000" w:themeColor="text1"/>
          <w:sz w:val="28"/>
          <w:szCs w:val="28"/>
          <w:lang w:bidi="ar-SA"/>
        </w:rPr>
        <w:t>Рисунок 10</w:t>
      </w:r>
      <w:r>
        <w:rPr>
          <w:rFonts w:ascii="Times New Roman" w:hAnsi="Times New Roman" w:cs="Times New Roman"/>
          <w:color w:val="000000" w:themeColor="text1"/>
          <w:sz w:val="28"/>
          <w:szCs w:val="28"/>
          <w:lang w:bidi="ar-SA"/>
        </w:rPr>
        <w:t xml:space="preserve">. Распределение сопутствующей патологии у пациентов </w:t>
      </w:r>
      <w:r w:rsidRPr="00703F92">
        <w:rPr>
          <w:rFonts w:ascii="Times New Roman" w:hAnsi="Times New Roman" w:cs="Times New Roman"/>
          <w:color w:val="000000" w:themeColor="text1"/>
          <w:sz w:val="28"/>
          <w:szCs w:val="28"/>
          <w:lang w:bidi="ar-SA"/>
        </w:rPr>
        <w:t>&lt;65</w:t>
      </w:r>
      <w:r>
        <w:rPr>
          <w:rFonts w:ascii="Times New Roman" w:hAnsi="Times New Roman" w:cs="Times New Roman"/>
          <w:color w:val="000000" w:themeColor="text1"/>
          <w:sz w:val="28"/>
          <w:szCs w:val="28"/>
          <w:lang w:bidi="ar-SA"/>
        </w:rPr>
        <w:t xml:space="preserve"> и </w:t>
      </w:r>
      <w:r>
        <w:rPr>
          <w:rFonts w:ascii="Times New Roman" w:hAnsi="Times New Roman" w:cs="Times New Roman"/>
          <w:color w:val="000000" w:themeColor="text1"/>
          <w:sz w:val="28"/>
          <w:szCs w:val="28"/>
          <w:lang w:val="en-US" w:bidi="ar-SA"/>
        </w:rPr>
        <w:sym w:font="Symbol" w:char="F0B3"/>
      </w:r>
      <w:r w:rsidRPr="00703F92">
        <w:rPr>
          <w:rFonts w:ascii="Times New Roman" w:hAnsi="Times New Roman" w:cs="Times New Roman"/>
          <w:color w:val="000000" w:themeColor="text1"/>
          <w:sz w:val="28"/>
          <w:szCs w:val="28"/>
          <w:lang w:bidi="ar-SA"/>
        </w:rPr>
        <w:t>65</w:t>
      </w:r>
      <w:r>
        <w:rPr>
          <w:rFonts w:ascii="Times New Roman" w:hAnsi="Times New Roman" w:cs="Times New Roman"/>
          <w:color w:val="000000" w:themeColor="text1"/>
          <w:sz w:val="28"/>
          <w:szCs w:val="28"/>
          <w:lang w:bidi="ar-SA"/>
        </w:rPr>
        <w:t>лет</w:t>
      </w:r>
    </w:p>
    <w:p w14:paraId="0745AE98" w14:textId="78ECDEEF"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p>
    <w:p w14:paraId="2521BBCD" w14:textId="6552027B" w:rsidR="00703F92" w:rsidRDefault="00703F92" w:rsidP="00703F92">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При анализе различий между возрастными подгруппами достоверные расхождения были установлены лишь в отношении распространенности артериальной гипертензии. Среди пациентов моложе 65 лет гипертензия отмечалась у 40,6% (</w:t>
      </w:r>
      <w:r>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=67</w:t>
      </w:r>
      <w:r>
        <w:rPr>
          <w:rFonts w:ascii="Times New Roman" w:hAnsi="Times New Roman" w:cs="Times New Roman"/>
          <w:color w:val="000000" w:themeColor="text1"/>
          <w:sz w:val="28"/>
          <w:szCs w:val="28"/>
          <w:lang w:bidi="ar-SA"/>
        </w:rPr>
        <w:t>), тогда как в группе старше 65 лет – 40,4% (</w:t>
      </w:r>
      <w:r>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=46</w:t>
      </w:r>
      <w:r>
        <w:rPr>
          <w:rFonts w:ascii="Times New Roman" w:hAnsi="Times New Roman" w:cs="Times New Roman"/>
          <w:color w:val="000000" w:themeColor="text1"/>
          <w:sz w:val="28"/>
          <w:szCs w:val="28"/>
          <w:lang w:bidi="ar-SA"/>
        </w:rPr>
        <w:t>); при этом разница оказалась статистически значимой (р=0,03), несмотря на близкие процентный значения. Митральная регургитация наблюдалась у 33,3% представителей младшей возрастной группы (</w:t>
      </w:r>
      <w:r>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=55</w:t>
      </w:r>
      <w:r>
        <w:rPr>
          <w:rFonts w:ascii="Times New Roman" w:hAnsi="Times New Roman" w:cs="Times New Roman"/>
          <w:color w:val="000000" w:themeColor="text1"/>
          <w:sz w:val="28"/>
          <w:szCs w:val="28"/>
          <w:lang w:bidi="ar-SA"/>
        </w:rPr>
        <w:t>)</w:t>
      </w:r>
      <w:r w:rsidRPr="00703F92">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и у 34,2% пожилых пациентов (</w:t>
      </w:r>
      <w:r>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=39</w:t>
      </w:r>
      <w:r>
        <w:rPr>
          <w:rFonts w:ascii="Times New Roman" w:hAnsi="Times New Roman" w:cs="Times New Roman"/>
          <w:color w:val="000000" w:themeColor="text1"/>
          <w:sz w:val="28"/>
          <w:szCs w:val="28"/>
          <w:lang w:bidi="ar-SA"/>
        </w:rPr>
        <w:t>), однако статистическая значимость в этом сравнении достигнута не была (р=0,15). Курение чаще встречалось среди молодых (16 случаев, 9,7%) по сравнению с пожилыми (5 случаев, 4,4%), однако разница статистически не подтверждена (р=0,21). Частота сахарного диабета 2 типа составила 6,7% (</w:t>
      </w:r>
      <w:r>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=11</w:t>
      </w:r>
      <w:r>
        <w:rPr>
          <w:rFonts w:ascii="Times New Roman" w:hAnsi="Times New Roman" w:cs="Times New Roman"/>
          <w:color w:val="000000" w:themeColor="text1"/>
          <w:sz w:val="28"/>
          <w:szCs w:val="28"/>
          <w:lang w:bidi="ar-SA"/>
        </w:rPr>
        <w:t>) у пациентов младше 65 лет и 8,8% (</w:t>
      </w:r>
      <w:r>
        <w:rPr>
          <w:rFonts w:ascii="Times New Roman" w:hAnsi="Times New Roman" w:cs="Times New Roman"/>
          <w:color w:val="000000" w:themeColor="text1"/>
          <w:sz w:val="28"/>
          <w:szCs w:val="28"/>
          <w:lang w:val="en-US" w:bidi="ar-SA"/>
        </w:rPr>
        <w:t>n</w:t>
      </w:r>
      <w:r w:rsidRPr="00703F92">
        <w:rPr>
          <w:rFonts w:ascii="Times New Roman" w:hAnsi="Times New Roman" w:cs="Times New Roman"/>
          <w:color w:val="000000" w:themeColor="text1"/>
          <w:sz w:val="28"/>
          <w:szCs w:val="28"/>
          <w:lang w:bidi="ar-SA"/>
        </w:rPr>
        <w:t>=10</w:t>
      </w:r>
      <w:r>
        <w:rPr>
          <w:rFonts w:ascii="Times New Roman" w:hAnsi="Times New Roman" w:cs="Times New Roman"/>
          <w:color w:val="000000" w:themeColor="text1"/>
          <w:sz w:val="28"/>
          <w:szCs w:val="28"/>
          <w:lang w:bidi="ar-SA"/>
        </w:rPr>
        <w:t>)</w:t>
      </w:r>
      <w:r w:rsidRPr="00703F92">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у пожилых, р=0,82. Признаки ишемической болезни сердца и перенесенного инсульта также не различались достоверно между возрастами (р=0,11 и р=0,16 соответственно). Показатель атеросклероза оказался одинаковым - 3,6% против 2,6%, р=0,48.</w:t>
      </w:r>
    </w:p>
    <w:p w14:paraId="279F9371" w14:textId="77777777" w:rsidR="003C7C22" w:rsidRDefault="003C7C22" w:rsidP="007E0A7E">
      <w:pPr>
        <w:pStyle w:val="LO-normal"/>
        <w:spacing w:after="0" w:line="240" w:lineRule="auto"/>
        <w:ind w:firstLine="567"/>
        <w:jc w:val="both"/>
        <w:rPr>
          <w:rFonts w:ascii="Times New Roman" w:hAnsi="Times New Roman" w:cs="Times New Roman"/>
          <w:color w:val="000000" w:themeColor="text1"/>
          <w:sz w:val="28"/>
          <w:szCs w:val="28"/>
          <w:lang w:bidi="ar-SA"/>
        </w:rPr>
      </w:pPr>
    </w:p>
    <w:p w14:paraId="5E93C06B" w14:textId="75B67B36" w:rsidR="007E0A7E" w:rsidRDefault="007E0A7E" w:rsidP="007E0A7E">
      <w:pPr>
        <w:pStyle w:val="LO-normal"/>
        <w:spacing w:after="0" w:line="240" w:lineRule="auto"/>
        <w:ind w:firstLine="567"/>
        <w:jc w:val="both"/>
        <w:rPr>
          <w:rFonts w:ascii="Times New Roman" w:hAnsi="Times New Roman" w:cs="Times New Roman"/>
          <w:color w:val="000000" w:themeColor="text1"/>
          <w:sz w:val="28"/>
          <w:szCs w:val="28"/>
          <w:lang w:bidi="ar-SA"/>
        </w:rPr>
      </w:pPr>
      <w:r w:rsidRPr="003C7C22">
        <w:rPr>
          <w:rFonts w:ascii="Times New Roman" w:hAnsi="Times New Roman" w:cs="Times New Roman"/>
          <w:b/>
          <w:bCs/>
          <w:color w:val="000000" w:themeColor="text1"/>
          <w:sz w:val="28"/>
          <w:szCs w:val="28"/>
          <w:lang w:bidi="ar-SA"/>
        </w:rPr>
        <w:t>Показатели лабораторных данных крови</w:t>
      </w:r>
      <w:r>
        <w:rPr>
          <w:rFonts w:ascii="Times New Roman" w:hAnsi="Times New Roman" w:cs="Times New Roman"/>
          <w:color w:val="000000" w:themeColor="text1"/>
          <w:sz w:val="28"/>
          <w:szCs w:val="28"/>
          <w:lang w:bidi="ar-SA"/>
        </w:rPr>
        <w:t xml:space="preserve"> и их сравнительный анализ по полу и возрастным группам представлены в </w:t>
      </w:r>
      <w:r w:rsidRPr="003C7C22">
        <w:rPr>
          <w:rFonts w:ascii="Times New Roman" w:hAnsi="Times New Roman" w:cs="Times New Roman"/>
          <w:color w:val="000000" w:themeColor="text1"/>
          <w:sz w:val="28"/>
          <w:szCs w:val="28"/>
          <w:lang w:bidi="ar-SA"/>
        </w:rPr>
        <w:t xml:space="preserve">таблице </w:t>
      </w:r>
      <w:r w:rsidR="003C7C22" w:rsidRPr="003C7C22">
        <w:rPr>
          <w:rFonts w:ascii="Times New Roman" w:hAnsi="Times New Roman" w:cs="Times New Roman"/>
          <w:color w:val="000000" w:themeColor="text1"/>
          <w:sz w:val="28"/>
          <w:szCs w:val="28"/>
          <w:lang w:bidi="ar-SA"/>
        </w:rPr>
        <w:t>3</w:t>
      </w:r>
      <w:r w:rsidRPr="003C7C22">
        <w:rPr>
          <w:rFonts w:ascii="Times New Roman" w:hAnsi="Times New Roman" w:cs="Times New Roman"/>
          <w:color w:val="000000" w:themeColor="text1"/>
          <w:sz w:val="28"/>
          <w:szCs w:val="28"/>
          <w:lang w:bidi="ar-SA"/>
        </w:rPr>
        <w:t>.</w:t>
      </w:r>
    </w:p>
    <w:p w14:paraId="02B8AE8C" w14:textId="77777777" w:rsidR="003C7C22" w:rsidRDefault="003C7C22" w:rsidP="007E0A7E">
      <w:pPr>
        <w:pStyle w:val="LO-normal"/>
        <w:spacing w:after="0" w:line="240" w:lineRule="auto"/>
        <w:ind w:firstLine="567"/>
        <w:jc w:val="both"/>
        <w:rPr>
          <w:rFonts w:ascii="Times New Roman" w:hAnsi="Times New Roman" w:cs="Times New Roman"/>
          <w:color w:val="000000" w:themeColor="text1"/>
          <w:sz w:val="28"/>
          <w:szCs w:val="28"/>
          <w:lang w:bidi="ar-SA"/>
        </w:rPr>
      </w:pPr>
    </w:p>
    <w:p w14:paraId="7DF87887" w14:textId="74B675E7" w:rsidR="007E0A7E" w:rsidRDefault="007E0A7E" w:rsidP="007E0A7E">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 xml:space="preserve">Таблица </w:t>
      </w:r>
      <w:r w:rsidR="003C7C22">
        <w:rPr>
          <w:rFonts w:ascii="Times New Roman" w:hAnsi="Times New Roman" w:cs="Times New Roman"/>
          <w:color w:val="000000" w:themeColor="text1"/>
          <w:sz w:val="28"/>
          <w:szCs w:val="28"/>
          <w:lang w:bidi="ar-SA"/>
        </w:rPr>
        <w:t>3</w:t>
      </w:r>
      <w:r w:rsidR="000B2379">
        <w:rPr>
          <w:rFonts w:ascii="Times New Roman" w:hAnsi="Times New Roman" w:cs="Times New Roman"/>
          <w:color w:val="000000" w:themeColor="text1"/>
          <w:sz w:val="28"/>
          <w:szCs w:val="28"/>
          <w:lang w:bidi="ar-SA"/>
        </w:rPr>
        <w:t>. П</w:t>
      </w:r>
      <w:r>
        <w:rPr>
          <w:rFonts w:ascii="Times New Roman" w:hAnsi="Times New Roman" w:cs="Times New Roman"/>
          <w:color w:val="000000" w:themeColor="text1"/>
          <w:sz w:val="28"/>
          <w:szCs w:val="28"/>
          <w:lang w:bidi="ar-SA"/>
        </w:rPr>
        <w:t>оказатели лабораторных анализов крови пациентов с ФП и сравнительный анализ между полом, возрастными группами</w:t>
      </w:r>
    </w:p>
    <w:p w14:paraId="1D3F1E64" w14:textId="77777777" w:rsidR="007E0A7E" w:rsidRDefault="007E0A7E" w:rsidP="007E0A7E">
      <w:pPr>
        <w:pStyle w:val="LO-normal"/>
        <w:spacing w:after="0" w:line="240" w:lineRule="auto"/>
        <w:ind w:firstLine="567"/>
        <w:jc w:val="both"/>
        <w:rPr>
          <w:rFonts w:ascii="Times New Roman" w:hAnsi="Times New Roman" w:cs="Times New Roman"/>
          <w:color w:val="000000" w:themeColor="text1"/>
          <w:sz w:val="28"/>
          <w:szCs w:val="28"/>
          <w:lang w:bidi="ar-SA"/>
        </w:rPr>
      </w:pPr>
    </w:p>
    <w:tbl>
      <w:tblPr>
        <w:tblW w:w="9411" w:type="dxa"/>
        <w:tblInd w:w="-113" w:type="dxa"/>
        <w:tblLayout w:type="fixed"/>
        <w:tblLook w:val="0000" w:firstRow="0" w:lastRow="0" w:firstColumn="0" w:lastColumn="0" w:noHBand="0" w:noVBand="0"/>
      </w:tblPr>
      <w:tblGrid>
        <w:gridCol w:w="1382"/>
        <w:gridCol w:w="1047"/>
        <w:gridCol w:w="1132"/>
        <w:gridCol w:w="1285"/>
        <w:gridCol w:w="828"/>
        <w:gridCol w:w="1309"/>
        <w:gridCol w:w="1343"/>
        <w:gridCol w:w="1085"/>
      </w:tblGrid>
      <w:tr w:rsidR="003C7C22" w14:paraId="76C98421" w14:textId="77777777" w:rsidTr="00B57F2E">
        <w:trPr>
          <w:trHeight w:val="585"/>
        </w:trPr>
        <w:tc>
          <w:tcPr>
            <w:tcW w:w="1382" w:type="dxa"/>
            <w:vMerge w:val="restart"/>
            <w:tcBorders>
              <w:top w:val="single" w:sz="4" w:space="0" w:color="000000"/>
              <w:left w:val="single" w:sz="4" w:space="0" w:color="000000"/>
              <w:bottom w:val="single" w:sz="4" w:space="0" w:color="000000"/>
              <w:right w:val="single" w:sz="4" w:space="0" w:color="000000"/>
            </w:tcBorders>
            <w:vAlign w:val="center"/>
          </w:tcPr>
          <w:p w14:paraId="72289825" w14:textId="77777777" w:rsidR="003C7C22" w:rsidRDefault="003C7C22" w:rsidP="00B57F2E">
            <w:pPr>
              <w:spacing w:after="86" w:line="240" w:lineRule="auto"/>
              <w:jc w:val="center"/>
              <w:rPr>
                <w:sz w:val="21"/>
                <w:szCs w:val="21"/>
              </w:rPr>
            </w:pPr>
          </w:p>
          <w:p w14:paraId="1A61B689"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Характеристики</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auto" w:fill="F0FFF0"/>
            <w:vAlign w:val="center"/>
          </w:tcPr>
          <w:p w14:paraId="31A4593F" w14:textId="77777777" w:rsidR="003C7C22" w:rsidRDefault="003C7C22" w:rsidP="00B57F2E">
            <w:pPr>
              <w:spacing w:after="86" w:line="240" w:lineRule="auto"/>
              <w:jc w:val="center"/>
              <w:rPr>
                <w:sz w:val="21"/>
                <w:szCs w:val="21"/>
              </w:rPr>
            </w:pPr>
          </w:p>
          <w:p w14:paraId="09009790"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Пациенты с ФП, n=150</w:t>
            </w:r>
          </w:p>
        </w:tc>
        <w:tc>
          <w:tcPr>
            <w:tcW w:w="3245" w:type="dxa"/>
            <w:gridSpan w:val="3"/>
            <w:tcBorders>
              <w:top w:val="single" w:sz="4" w:space="0" w:color="000000"/>
              <w:left w:val="single" w:sz="4" w:space="0" w:color="000000"/>
              <w:bottom w:val="single" w:sz="4" w:space="0" w:color="000000"/>
              <w:right w:val="single" w:sz="4" w:space="0" w:color="000000"/>
            </w:tcBorders>
            <w:shd w:val="clear" w:color="auto" w:fill="FFF7ED"/>
            <w:vAlign w:val="center"/>
          </w:tcPr>
          <w:p w14:paraId="76C32256"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Сравнение по полу</w:t>
            </w:r>
          </w:p>
        </w:tc>
        <w:tc>
          <w:tcPr>
            <w:tcW w:w="3737" w:type="dxa"/>
            <w:gridSpan w:val="3"/>
            <w:tcBorders>
              <w:top w:val="single" w:sz="4" w:space="0" w:color="000000"/>
              <w:bottom w:val="single" w:sz="4" w:space="0" w:color="000000"/>
              <w:right w:val="single" w:sz="4" w:space="0" w:color="000000"/>
            </w:tcBorders>
            <w:shd w:val="clear" w:color="auto" w:fill="E3F2FF"/>
            <w:vAlign w:val="center"/>
          </w:tcPr>
          <w:p w14:paraId="370931D5"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Сравнение возрастных групп</w:t>
            </w:r>
          </w:p>
        </w:tc>
      </w:tr>
      <w:tr w:rsidR="003C7C22" w14:paraId="7259D0A4" w14:textId="77777777" w:rsidTr="00B57F2E">
        <w:trPr>
          <w:trHeight w:val="585"/>
        </w:trPr>
        <w:tc>
          <w:tcPr>
            <w:tcW w:w="1382" w:type="dxa"/>
            <w:vMerge/>
            <w:tcBorders>
              <w:top w:val="single" w:sz="4" w:space="0" w:color="000000"/>
              <w:left w:val="single" w:sz="4" w:space="0" w:color="000000"/>
              <w:bottom w:val="single" w:sz="4" w:space="0" w:color="000000"/>
              <w:right w:val="single" w:sz="4" w:space="0" w:color="000000"/>
            </w:tcBorders>
            <w:vAlign w:val="center"/>
          </w:tcPr>
          <w:p w14:paraId="2BDED855" w14:textId="77777777" w:rsidR="003C7C22" w:rsidRDefault="003C7C22" w:rsidP="00B57F2E"/>
        </w:tc>
        <w:tc>
          <w:tcPr>
            <w:tcW w:w="1047" w:type="dxa"/>
            <w:vMerge/>
            <w:tcBorders>
              <w:top w:val="single" w:sz="4" w:space="0" w:color="000000"/>
              <w:left w:val="single" w:sz="4" w:space="0" w:color="000000"/>
              <w:bottom w:val="single" w:sz="4" w:space="0" w:color="000000"/>
              <w:right w:val="single" w:sz="4" w:space="0" w:color="000000"/>
            </w:tcBorders>
            <w:shd w:val="clear" w:color="auto" w:fill="F0FFF0"/>
            <w:vAlign w:val="center"/>
          </w:tcPr>
          <w:p w14:paraId="1F1DEF66" w14:textId="77777777" w:rsidR="003C7C22" w:rsidRDefault="003C7C22" w:rsidP="00B57F2E"/>
        </w:tc>
        <w:tc>
          <w:tcPr>
            <w:tcW w:w="1132" w:type="dxa"/>
            <w:tcBorders>
              <w:left w:val="single" w:sz="4" w:space="0" w:color="000000"/>
              <w:bottom w:val="single" w:sz="4" w:space="0" w:color="000000"/>
              <w:right w:val="single" w:sz="4" w:space="0" w:color="000000"/>
            </w:tcBorders>
            <w:shd w:val="clear" w:color="auto" w:fill="FFF7ED"/>
            <w:vAlign w:val="center"/>
          </w:tcPr>
          <w:p w14:paraId="5A75F093"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Муж., n=90</w:t>
            </w:r>
          </w:p>
        </w:tc>
        <w:tc>
          <w:tcPr>
            <w:tcW w:w="1285" w:type="dxa"/>
            <w:tcBorders>
              <w:bottom w:val="single" w:sz="4" w:space="0" w:color="000000"/>
              <w:right w:val="single" w:sz="4" w:space="0" w:color="000000"/>
            </w:tcBorders>
            <w:shd w:val="clear" w:color="auto" w:fill="FFF7ED"/>
            <w:vAlign w:val="center"/>
          </w:tcPr>
          <w:p w14:paraId="799B0D0B"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Жен., n=60</w:t>
            </w:r>
          </w:p>
        </w:tc>
        <w:tc>
          <w:tcPr>
            <w:tcW w:w="828" w:type="dxa"/>
            <w:tcBorders>
              <w:bottom w:val="single" w:sz="4" w:space="0" w:color="000000"/>
              <w:right w:val="single" w:sz="4" w:space="0" w:color="000000"/>
            </w:tcBorders>
            <w:shd w:val="clear" w:color="auto" w:fill="FFF7ED"/>
          </w:tcPr>
          <w:p w14:paraId="4C505070"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P значение</w:t>
            </w:r>
          </w:p>
        </w:tc>
        <w:tc>
          <w:tcPr>
            <w:tcW w:w="1309" w:type="dxa"/>
            <w:tcBorders>
              <w:bottom w:val="single" w:sz="4" w:space="0" w:color="000000"/>
              <w:right w:val="single" w:sz="4" w:space="0" w:color="000000"/>
            </w:tcBorders>
            <w:shd w:val="clear" w:color="auto" w:fill="E3F2FF"/>
            <w:vAlign w:val="center"/>
          </w:tcPr>
          <w:p w14:paraId="402AB2AD"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Возраст </w:t>
            </w:r>
            <w:proofErr w:type="gramStart"/>
            <w:r>
              <w:rPr>
                <w:rFonts w:ascii="Times New Roman" w:eastAsia="Times New Roman" w:hAnsi="Times New Roman" w:cs="Times New Roman"/>
                <w:b/>
                <w:sz w:val="21"/>
                <w:szCs w:val="21"/>
              </w:rPr>
              <w:t>&lt; 65</w:t>
            </w:r>
            <w:proofErr w:type="gramEnd"/>
            <w:r>
              <w:rPr>
                <w:rFonts w:ascii="Times New Roman" w:eastAsia="Times New Roman" w:hAnsi="Times New Roman" w:cs="Times New Roman"/>
                <w:b/>
                <w:sz w:val="21"/>
                <w:szCs w:val="21"/>
              </w:rPr>
              <w:t>,n=100</w:t>
            </w:r>
          </w:p>
        </w:tc>
        <w:tc>
          <w:tcPr>
            <w:tcW w:w="1343" w:type="dxa"/>
            <w:tcBorders>
              <w:bottom w:val="single" w:sz="4" w:space="0" w:color="000000"/>
              <w:right w:val="single" w:sz="4" w:space="0" w:color="000000"/>
            </w:tcBorders>
            <w:shd w:val="clear" w:color="auto" w:fill="E3F2FF"/>
            <w:vAlign w:val="center"/>
          </w:tcPr>
          <w:p w14:paraId="41157675"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proofErr w:type="spellStart"/>
            <w:proofErr w:type="gramStart"/>
            <w:r>
              <w:rPr>
                <w:rFonts w:ascii="Times New Roman" w:eastAsia="Times New Roman" w:hAnsi="Times New Roman" w:cs="Times New Roman"/>
                <w:b/>
                <w:sz w:val="21"/>
                <w:szCs w:val="21"/>
              </w:rPr>
              <w:t>Age</w:t>
            </w:r>
            <w:proofErr w:type="spellEnd"/>
            <w:r>
              <w:rPr>
                <w:rFonts w:ascii="Times New Roman" w:eastAsia="Times New Roman" w:hAnsi="Times New Roman" w:cs="Times New Roman"/>
                <w:b/>
                <w:sz w:val="21"/>
                <w:szCs w:val="21"/>
              </w:rPr>
              <w:t xml:space="preserve"> &gt;</w:t>
            </w:r>
            <w:proofErr w:type="gramEnd"/>
            <w:r>
              <w:rPr>
                <w:rFonts w:ascii="Times New Roman" w:eastAsia="Times New Roman" w:hAnsi="Times New Roman" w:cs="Times New Roman"/>
                <w:b/>
                <w:sz w:val="21"/>
                <w:szCs w:val="21"/>
              </w:rPr>
              <w:t xml:space="preserve"> 65, n=50</w:t>
            </w:r>
          </w:p>
        </w:tc>
        <w:tc>
          <w:tcPr>
            <w:tcW w:w="1085" w:type="dxa"/>
            <w:tcBorders>
              <w:bottom w:val="single" w:sz="4" w:space="0" w:color="000000"/>
              <w:right w:val="single" w:sz="4" w:space="0" w:color="000000"/>
            </w:tcBorders>
            <w:shd w:val="clear" w:color="auto" w:fill="E3F2FF"/>
            <w:vAlign w:val="center"/>
          </w:tcPr>
          <w:p w14:paraId="6F6E37A6"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P значение</w:t>
            </w:r>
          </w:p>
        </w:tc>
      </w:tr>
      <w:tr w:rsidR="003C7C22" w14:paraId="570F4F4B" w14:textId="77777777" w:rsidTr="00B57F2E">
        <w:trPr>
          <w:trHeight w:val="585"/>
        </w:trPr>
        <w:tc>
          <w:tcPr>
            <w:tcW w:w="1382" w:type="dxa"/>
            <w:tcBorders>
              <w:left w:val="single" w:sz="4" w:space="0" w:color="000000"/>
              <w:bottom w:val="single" w:sz="4" w:space="0" w:color="000000"/>
              <w:right w:val="single" w:sz="4" w:space="0" w:color="000000"/>
            </w:tcBorders>
            <w:vAlign w:val="center"/>
          </w:tcPr>
          <w:p w14:paraId="7AA60EA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047" w:type="dxa"/>
            <w:tcBorders>
              <w:left w:val="single" w:sz="4" w:space="0" w:color="000000"/>
              <w:bottom w:val="single" w:sz="4" w:space="0" w:color="000000"/>
            </w:tcBorders>
            <w:shd w:val="clear" w:color="auto" w:fill="F0FFF0"/>
            <w:vAlign w:val="center"/>
          </w:tcPr>
          <w:p w14:paraId="4F8CE5D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132" w:type="dxa"/>
            <w:tcBorders>
              <w:left w:val="single" w:sz="4" w:space="0" w:color="000000"/>
              <w:bottom w:val="single" w:sz="4" w:space="0" w:color="000000"/>
              <w:right w:val="single" w:sz="4" w:space="0" w:color="000000"/>
            </w:tcBorders>
            <w:shd w:val="clear" w:color="auto" w:fill="FFF7ED"/>
            <w:vAlign w:val="center"/>
          </w:tcPr>
          <w:p w14:paraId="6B5B87A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1285" w:type="dxa"/>
            <w:tcBorders>
              <w:bottom w:val="single" w:sz="4" w:space="0" w:color="000000"/>
              <w:right w:val="single" w:sz="4" w:space="0" w:color="000000"/>
            </w:tcBorders>
            <w:shd w:val="clear" w:color="auto" w:fill="FFF7ED"/>
            <w:vAlign w:val="center"/>
          </w:tcPr>
          <w:p w14:paraId="31711F17"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828" w:type="dxa"/>
            <w:tcBorders>
              <w:bottom w:val="single" w:sz="4" w:space="0" w:color="000000"/>
              <w:right w:val="single" w:sz="4" w:space="0" w:color="000000"/>
            </w:tcBorders>
            <w:shd w:val="clear" w:color="auto" w:fill="FFF7ED"/>
          </w:tcPr>
          <w:p w14:paraId="5BC2790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5</w:t>
            </w:r>
          </w:p>
        </w:tc>
        <w:tc>
          <w:tcPr>
            <w:tcW w:w="1309" w:type="dxa"/>
            <w:tcBorders>
              <w:bottom w:val="single" w:sz="4" w:space="0" w:color="000000"/>
              <w:right w:val="single" w:sz="4" w:space="0" w:color="000000"/>
            </w:tcBorders>
            <w:shd w:val="clear" w:color="auto" w:fill="E3F2FF"/>
            <w:vAlign w:val="center"/>
          </w:tcPr>
          <w:p w14:paraId="4EA9691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w:t>
            </w:r>
          </w:p>
        </w:tc>
        <w:tc>
          <w:tcPr>
            <w:tcW w:w="1343" w:type="dxa"/>
            <w:tcBorders>
              <w:bottom w:val="single" w:sz="4" w:space="0" w:color="000000"/>
              <w:right w:val="single" w:sz="4" w:space="0" w:color="000000"/>
            </w:tcBorders>
            <w:shd w:val="clear" w:color="auto" w:fill="E3F2FF"/>
            <w:vAlign w:val="center"/>
          </w:tcPr>
          <w:p w14:paraId="5432757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w:t>
            </w:r>
          </w:p>
        </w:tc>
        <w:tc>
          <w:tcPr>
            <w:tcW w:w="1085" w:type="dxa"/>
            <w:tcBorders>
              <w:bottom w:val="single" w:sz="4" w:space="0" w:color="000000"/>
              <w:right w:val="single" w:sz="4" w:space="0" w:color="000000"/>
            </w:tcBorders>
            <w:shd w:val="clear" w:color="auto" w:fill="E3F2FF"/>
            <w:vAlign w:val="center"/>
          </w:tcPr>
          <w:p w14:paraId="2ED25B8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8</w:t>
            </w:r>
          </w:p>
        </w:tc>
      </w:tr>
      <w:tr w:rsidR="003C7C22" w14:paraId="03174F98" w14:textId="77777777" w:rsidTr="00B57F2E">
        <w:trPr>
          <w:trHeight w:val="300"/>
        </w:trPr>
        <w:tc>
          <w:tcPr>
            <w:tcW w:w="1382" w:type="dxa"/>
            <w:tcBorders>
              <w:left w:val="single" w:sz="4" w:space="0" w:color="000000"/>
              <w:bottom w:val="single" w:sz="4" w:space="0" w:color="000000"/>
              <w:right w:val="single" w:sz="4" w:space="0" w:color="000000"/>
            </w:tcBorders>
          </w:tcPr>
          <w:p w14:paraId="0161E1F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Гемоглобин, г/л</w:t>
            </w:r>
          </w:p>
        </w:tc>
        <w:tc>
          <w:tcPr>
            <w:tcW w:w="1047" w:type="dxa"/>
            <w:tcBorders>
              <w:bottom w:val="single" w:sz="4" w:space="0" w:color="000000"/>
              <w:right w:val="single" w:sz="4" w:space="0" w:color="000000"/>
            </w:tcBorders>
            <w:shd w:val="clear" w:color="auto" w:fill="F0FFF0"/>
            <w:vAlign w:val="center"/>
          </w:tcPr>
          <w:p w14:paraId="23277669"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141,0± 14,5</w:t>
            </w:r>
          </w:p>
        </w:tc>
        <w:tc>
          <w:tcPr>
            <w:tcW w:w="1132" w:type="dxa"/>
            <w:tcBorders>
              <w:bottom w:val="single" w:sz="4" w:space="0" w:color="000000"/>
              <w:right w:val="single" w:sz="4" w:space="0" w:color="000000"/>
            </w:tcBorders>
            <w:shd w:val="clear" w:color="auto" w:fill="FFF7ED"/>
          </w:tcPr>
          <w:p w14:paraId="3BF6694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146,6± 12,3</w:t>
            </w:r>
          </w:p>
        </w:tc>
        <w:tc>
          <w:tcPr>
            <w:tcW w:w="1285" w:type="dxa"/>
            <w:tcBorders>
              <w:bottom w:val="single" w:sz="4" w:space="0" w:color="000000"/>
              <w:right w:val="single" w:sz="4" w:space="0" w:color="000000"/>
            </w:tcBorders>
            <w:shd w:val="clear" w:color="auto" w:fill="FFF7ED"/>
          </w:tcPr>
          <w:p w14:paraId="77315A3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132,7± 13,4</w:t>
            </w:r>
          </w:p>
        </w:tc>
        <w:tc>
          <w:tcPr>
            <w:tcW w:w="828" w:type="dxa"/>
            <w:tcBorders>
              <w:bottom w:val="single" w:sz="4" w:space="0" w:color="000000"/>
              <w:right w:val="single" w:sz="4" w:space="0" w:color="000000"/>
            </w:tcBorders>
            <w:shd w:val="clear" w:color="auto" w:fill="FFF7ED"/>
          </w:tcPr>
          <w:p w14:paraId="3B5EBF8E"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0,001**</w:t>
            </w:r>
          </w:p>
        </w:tc>
        <w:tc>
          <w:tcPr>
            <w:tcW w:w="1309" w:type="dxa"/>
            <w:tcBorders>
              <w:bottom w:val="single" w:sz="4" w:space="0" w:color="000000"/>
              <w:right w:val="single" w:sz="4" w:space="0" w:color="000000"/>
            </w:tcBorders>
            <w:shd w:val="clear" w:color="auto" w:fill="E3F2FF"/>
          </w:tcPr>
          <w:p w14:paraId="3CE780A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144,8± 13,8</w:t>
            </w:r>
          </w:p>
        </w:tc>
        <w:tc>
          <w:tcPr>
            <w:tcW w:w="1343" w:type="dxa"/>
            <w:tcBorders>
              <w:bottom w:val="single" w:sz="4" w:space="0" w:color="000000"/>
              <w:right w:val="single" w:sz="4" w:space="0" w:color="000000"/>
            </w:tcBorders>
            <w:shd w:val="clear" w:color="auto" w:fill="E3F2FF"/>
          </w:tcPr>
          <w:p w14:paraId="184061BD"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133,6± 12,9</w:t>
            </w:r>
          </w:p>
        </w:tc>
        <w:tc>
          <w:tcPr>
            <w:tcW w:w="1085" w:type="dxa"/>
            <w:tcBorders>
              <w:bottom w:val="single" w:sz="4" w:space="0" w:color="000000"/>
              <w:right w:val="single" w:sz="4" w:space="0" w:color="000000"/>
            </w:tcBorders>
            <w:shd w:val="clear" w:color="auto" w:fill="E3F2FF"/>
          </w:tcPr>
          <w:p w14:paraId="78F250EB"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0,001**</w:t>
            </w:r>
          </w:p>
        </w:tc>
      </w:tr>
      <w:tr w:rsidR="003C7C22" w14:paraId="164D75D1" w14:textId="77777777" w:rsidTr="00B57F2E">
        <w:trPr>
          <w:trHeight w:val="300"/>
        </w:trPr>
        <w:tc>
          <w:tcPr>
            <w:tcW w:w="1382" w:type="dxa"/>
            <w:tcBorders>
              <w:left w:val="single" w:sz="4" w:space="0" w:color="000000"/>
              <w:bottom w:val="single" w:sz="4" w:space="0" w:color="000000"/>
              <w:right w:val="single" w:sz="4" w:space="0" w:color="000000"/>
            </w:tcBorders>
          </w:tcPr>
          <w:p w14:paraId="3055363D"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Эритроциты, х10*12/л</w:t>
            </w:r>
          </w:p>
        </w:tc>
        <w:tc>
          <w:tcPr>
            <w:tcW w:w="1047" w:type="dxa"/>
            <w:tcBorders>
              <w:bottom w:val="single" w:sz="4" w:space="0" w:color="000000"/>
              <w:right w:val="single" w:sz="4" w:space="0" w:color="000000"/>
            </w:tcBorders>
            <w:shd w:val="clear" w:color="auto" w:fill="F0FFF0"/>
            <w:vAlign w:val="center"/>
          </w:tcPr>
          <w:p w14:paraId="500E8898"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4,77± 0,66</w:t>
            </w:r>
          </w:p>
        </w:tc>
        <w:tc>
          <w:tcPr>
            <w:tcW w:w="1132" w:type="dxa"/>
            <w:tcBorders>
              <w:bottom w:val="single" w:sz="4" w:space="0" w:color="000000"/>
              <w:right w:val="single" w:sz="4" w:space="0" w:color="000000"/>
            </w:tcBorders>
            <w:shd w:val="clear" w:color="auto" w:fill="FFF7ED"/>
          </w:tcPr>
          <w:p w14:paraId="589B162B"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5,00± 0,71</w:t>
            </w:r>
          </w:p>
        </w:tc>
        <w:tc>
          <w:tcPr>
            <w:tcW w:w="1285" w:type="dxa"/>
            <w:tcBorders>
              <w:bottom w:val="single" w:sz="4" w:space="0" w:color="000000"/>
              <w:right w:val="single" w:sz="4" w:space="0" w:color="000000"/>
            </w:tcBorders>
            <w:shd w:val="clear" w:color="auto" w:fill="FFF7ED"/>
          </w:tcPr>
          <w:p w14:paraId="50AE5F7D"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4,63± 0,52</w:t>
            </w:r>
          </w:p>
        </w:tc>
        <w:tc>
          <w:tcPr>
            <w:tcW w:w="828" w:type="dxa"/>
            <w:tcBorders>
              <w:bottom w:val="single" w:sz="4" w:space="0" w:color="000000"/>
              <w:right w:val="single" w:sz="4" w:space="0" w:color="000000"/>
            </w:tcBorders>
            <w:shd w:val="clear" w:color="auto" w:fill="FFF7ED"/>
          </w:tcPr>
          <w:p w14:paraId="4C921F8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0,31</w:t>
            </w:r>
          </w:p>
        </w:tc>
        <w:tc>
          <w:tcPr>
            <w:tcW w:w="1309" w:type="dxa"/>
            <w:tcBorders>
              <w:bottom w:val="single" w:sz="4" w:space="0" w:color="000000"/>
              <w:right w:val="single" w:sz="4" w:space="0" w:color="000000"/>
            </w:tcBorders>
            <w:shd w:val="clear" w:color="auto" w:fill="E3F2FF"/>
          </w:tcPr>
          <w:p w14:paraId="1CCFF461"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4,85 ± 0,71</w:t>
            </w:r>
          </w:p>
        </w:tc>
        <w:tc>
          <w:tcPr>
            <w:tcW w:w="1343" w:type="dxa"/>
            <w:tcBorders>
              <w:bottom w:val="single" w:sz="4" w:space="0" w:color="000000"/>
              <w:right w:val="single" w:sz="4" w:space="0" w:color="000000"/>
            </w:tcBorders>
            <w:shd w:val="clear" w:color="auto" w:fill="E3F2FF"/>
          </w:tcPr>
          <w:p w14:paraId="70DEF68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4,60 ± 0,51</w:t>
            </w:r>
          </w:p>
        </w:tc>
        <w:tc>
          <w:tcPr>
            <w:tcW w:w="1085" w:type="dxa"/>
            <w:tcBorders>
              <w:bottom w:val="single" w:sz="4" w:space="0" w:color="000000"/>
              <w:right w:val="single" w:sz="4" w:space="0" w:color="000000"/>
            </w:tcBorders>
            <w:shd w:val="clear" w:color="auto" w:fill="E3F2FF"/>
          </w:tcPr>
          <w:p w14:paraId="34A41885"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0,002*</w:t>
            </w:r>
          </w:p>
        </w:tc>
      </w:tr>
      <w:tr w:rsidR="003C7C22" w14:paraId="49496E9A" w14:textId="77777777" w:rsidTr="00B57F2E">
        <w:trPr>
          <w:trHeight w:val="300"/>
        </w:trPr>
        <w:tc>
          <w:tcPr>
            <w:tcW w:w="1382" w:type="dxa"/>
            <w:tcBorders>
              <w:left w:val="single" w:sz="4" w:space="0" w:color="000000"/>
              <w:bottom w:val="single" w:sz="4" w:space="0" w:color="000000"/>
              <w:right w:val="single" w:sz="4" w:space="0" w:color="000000"/>
            </w:tcBorders>
          </w:tcPr>
          <w:p w14:paraId="34ADA20D"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Тромбоциты, х10*9/л</w:t>
            </w:r>
          </w:p>
        </w:tc>
        <w:tc>
          <w:tcPr>
            <w:tcW w:w="1047" w:type="dxa"/>
            <w:tcBorders>
              <w:bottom w:val="single" w:sz="4" w:space="0" w:color="000000"/>
              <w:right w:val="single" w:sz="4" w:space="0" w:color="000000"/>
            </w:tcBorders>
            <w:shd w:val="clear" w:color="auto" w:fill="F0FFF0"/>
            <w:vAlign w:val="center"/>
          </w:tcPr>
          <w:p w14:paraId="042E9F5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255,7± 59,1</w:t>
            </w:r>
          </w:p>
        </w:tc>
        <w:tc>
          <w:tcPr>
            <w:tcW w:w="1132" w:type="dxa"/>
            <w:tcBorders>
              <w:bottom w:val="single" w:sz="4" w:space="0" w:color="000000"/>
              <w:right w:val="single" w:sz="4" w:space="0" w:color="000000"/>
            </w:tcBorders>
            <w:shd w:val="clear" w:color="auto" w:fill="FFF7ED"/>
          </w:tcPr>
          <w:p w14:paraId="0BA4C067"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253,3± 62,4</w:t>
            </w:r>
          </w:p>
        </w:tc>
        <w:tc>
          <w:tcPr>
            <w:tcW w:w="1285" w:type="dxa"/>
            <w:tcBorders>
              <w:bottom w:val="single" w:sz="4" w:space="0" w:color="000000"/>
              <w:right w:val="single" w:sz="4" w:space="0" w:color="000000"/>
            </w:tcBorders>
            <w:shd w:val="clear" w:color="auto" w:fill="FFF7ED"/>
          </w:tcPr>
          <w:p w14:paraId="4A75EE6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259,3± 53,9</w:t>
            </w:r>
          </w:p>
        </w:tc>
        <w:tc>
          <w:tcPr>
            <w:tcW w:w="828" w:type="dxa"/>
            <w:tcBorders>
              <w:bottom w:val="single" w:sz="4" w:space="0" w:color="000000"/>
              <w:right w:val="single" w:sz="4" w:space="0" w:color="000000"/>
            </w:tcBorders>
            <w:shd w:val="clear" w:color="auto" w:fill="FFF7ED"/>
          </w:tcPr>
          <w:p w14:paraId="2948E8F3"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0,18</w:t>
            </w:r>
          </w:p>
        </w:tc>
        <w:tc>
          <w:tcPr>
            <w:tcW w:w="1309" w:type="dxa"/>
            <w:tcBorders>
              <w:bottom w:val="single" w:sz="4" w:space="0" w:color="000000"/>
              <w:right w:val="single" w:sz="4" w:space="0" w:color="000000"/>
            </w:tcBorders>
            <w:shd w:val="clear" w:color="auto" w:fill="E3F2FF"/>
          </w:tcPr>
          <w:p w14:paraId="6D1D76D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261,7 ± 58,0</w:t>
            </w:r>
          </w:p>
        </w:tc>
        <w:tc>
          <w:tcPr>
            <w:tcW w:w="1343" w:type="dxa"/>
            <w:tcBorders>
              <w:bottom w:val="single" w:sz="4" w:space="0" w:color="000000"/>
              <w:right w:val="single" w:sz="4" w:space="0" w:color="000000"/>
            </w:tcBorders>
            <w:shd w:val="clear" w:color="auto" w:fill="E3F2FF"/>
          </w:tcPr>
          <w:p w14:paraId="1E64D14D"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243,7± 59,9</w:t>
            </w:r>
          </w:p>
        </w:tc>
        <w:tc>
          <w:tcPr>
            <w:tcW w:w="1085" w:type="dxa"/>
            <w:tcBorders>
              <w:bottom w:val="single" w:sz="4" w:space="0" w:color="000000"/>
              <w:right w:val="single" w:sz="4" w:space="0" w:color="000000"/>
            </w:tcBorders>
            <w:shd w:val="clear" w:color="auto" w:fill="E3F2FF"/>
          </w:tcPr>
          <w:p w14:paraId="1CBE3D7C"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0,04*</w:t>
            </w:r>
          </w:p>
        </w:tc>
      </w:tr>
      <w:tr w:rsidR="003C7C22" w14:paraId="35994001" w14:textId="77777777" w:rsidTr="00B57F2E">
        <w:trPr>
          <w:trHeight w:val="300"/>
        </w:trPr>
        <w:tc>
          <w:tcPr>
            <w:tcW w:w="1382" w:type="dxa"/>
            <w:tcBorders>
              <w:left w:val="single" w:sz="4" w:space="0" w:color="000000"/>
              <w:bottom w:val="single" w:sz="4" w:space="0" w:color="000000"/>
              <w:right w:val="single" w:sz="4" w:space="0" w:color="000000"/>
            </w:tcBorders>
          </w:tcPr>
          <w:p w14:paraId="2124D86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Лейкоциты, х10*9/л</w:t>
            </w:r>
          </w:p>
        </w:tc>
        <w:tc>
          <w:tcPr>
            <w:tcW w:w="1047" w:type="dxa"/>
            <w:tcBorders>
              <w:bottom w:val="single" w:sz="4" w:space="0" w:color="000000"/>
              <w:right w:val="single" w:sz="4" w:space="0" w:color="000000"/>
            </w:tcBorders>
            <w:shd w:val="clear" w:color="auto" w:fill="F0FFF0"/>
            <w:vAlign w:val="center"/>
          </w:tcPr>
          <w:p w14:paraId="1D8E7B5A"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6,37± 1,76</w:t>
            </w:r>
          </w:p>
        </w:tc>
        <w:tc>
          <w:tcPr>
            <w:tcW w:w="1132" w:type="dxa"/>
            <w:tcBorders>
              <w:bottom w:val="single" w:sz="4" w:space="0" w:color="000000"/>
              <w:right w:val="single" w:sz="4" w:space="0" w:color="000000"/>
            </w:tcBorders>
            <w:shd w:val="clear" w:color="auto" w:fill="FFF7ED"/>
          </w:tcPr>
          <w:p w14:paraId="7E1EEB4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6,52± 1,79</w:t>
            </w:r>
          </w:p>
        </w:tc>
        <w:tc>
          <w:tcPr>
            <w:tcW w:w="1285" w:type="dxa"/>
            <w:tcBorders>
              <w:bottom w:val="single" w:sz="4" w:space="0" w:color="000000"/>
              <w:right w:val="single" w:sz="4" w:space="0" w:color="000000"/>
            </w:tcBorders>
            <w:shd w:val="clear" w:color="auto" w:fill="FFF7ED"/>
          </w:tcPr>
          <w:p w14:paraId="033617B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6,13± 1,70</w:t>
            </w:r>
          </w:p>
        </w:tc>
        <w:tc>
          <w:tcPr>
            <w:tcW w:w="828" w:type="dxa"/>
            <w:tcBorders>
              <w:bottom w:val="single" w:sz="4" w:space="0" w:color="000000"/>
              <w:right w:val="single" w:sz="4" w:space="0" w:color="000000"/>
            </w:tcBorders>
            <w:shd w:val="clear" w:color="auto" w:fill="FFF7ED"/>
          </w:tcPr>
          <w:p w14:paraId="4D3844B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0,07</w:t>
            </w:r>
          </w:p>
        </w:tc>
        <w:tc>
          <w:tcPr>
            <w:tcW w:w="1309" w:type="dxa"/>
            <w:tcBorders>
              <w:bottom w:val="single" w:sz="4" w:space="0" w:color="000000"/>
              <w:right w:val="single" w:sz="4" w:space="0" w:color="000000"/>
            </w:tcBorders>
            <w:shd w:val="clear" w:color="auto" w:fill="E3F2FF"/>
          </w:tcPr>
          <w:p w14:paraId="02B0B85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6,38 ± 1,73</w:t>
            </w:r>
          </w:p>
        </w:tc>
        <w:tc>
          <w:tcPr>
            <w:tcW w:w="1343" w:type="dxa"/>
            <w:tcBorders>
              <w:bottom w:val="single" w:sz="4" w:space="0" w:color="000000"/>
              <w:right w:val="single" w:sz="4" w:space="0" w:color="000000"/>
            </w:tcBorders>
            <w:shd w:val="clear" w:color="auto" w:fill="E3F2FF"/>
          </w:tcPr>
          <w:p w14:paraId="509B966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6,34 ± 1,84</w:t>
            </w:r>
          </w:p>
        </w:tc>
        <w:tc>
          <w:tcPr>
            <w:tcW w:w="1085" w:type="dxa"/>
            <w:tcBorders>
              <w:bottom w:val="single" w:sz="4" w:space="0" w:color="000000"/>
              <w:right w:val="single" w:sz="4" w:space="0" w:color="000000"/>
            </w:tcBorders>
            <w:shd w:val="clear" w:color="auto" w:fill="E3F2FF"/>
          </w:tcPr>
          <w:p w14:paraId="7BE5AFE1"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0,91</w:t>
            </w:r>
          </w:p>
        </w:tc>
      </w:tr>
      <w:tr w:rsidR="003C7C22" w14:paraId="19944CBE" w14:textId="77777777" w:rsidTr="00B57F2E">
        <w:trPr>
          <w:trHeight w:val="300"/>
        </w:trPr>
        <w:tc>
          <w:tcPr>
            <w:tcW w:w="1382" w:type="dxa"/>
            <w:tcBorders>
              <w:left w:val="single" w:sz="4" w:space="0" w:color="000000"/>
              <w:bottom w:val="single" w:sz="4" w:space="0" w:color="000000"/>
              <w:right w:val="single" w:sz="4" w:space="0" w:color="000000"/>
            </w:tcBorders>
          </w:tcPr>
          <w:p w14:paraId="5339242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Креатинин, мг/дл</w:t>
            </w:r>
          </w:p>
        </w:tc>
        <w:tc>
          <w:tcPr>
            <w:tcW w:w="1047" w:type="dxa"/>
            <w:tcBorders>
              <w:bottom w:val="single" w:sz="4" w:space="0" w:color="000000"/>
              <w:right w:val="single" w:sz="4" w:space="0" w:color="000000"/>
            </w:tcBorders>
            <w:shd w:val="clear" w:color="auto" w:fill="F0FFF0"/>
            <w:vAlign w:val="center"/>
          </w:tcPr>
          <w:p w14:paraId="522DCCE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0,88± 0,17</w:t>
            </w:r>
          </w:p>
        </w:tc>
        <w:tc>
          <w:tcPr>
            <w:tcW w:w="1132" w:type="dxa"/>
            <w:tcBorders>
              <w:bottom w:val="single" w:sz="4" w:space="0" w:color="000000"/>
              <w:right w:val="single" w:sz="4" w:space="0" w:color="000000"/>
            </w:tcBorders>
            <w:shd w:val="clear" w:color="auto" w:fill="FFF7ED"/>
          </w:tcPr>
          <w:p w14:paraId="421BA698"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0,93± 0,16</w:t>
            </w:r>
          </w:p>
        </w:tc>
        <w:tc>
          <w:tcPr>
            <w:tcW w:w="1285" w:type="dxa"/>
            <w:tcBorders>
              <w:bottom w:val="single" w:sz="4" w:space="0" w:color="000000"/>
              <w:right w:val="single" w:sz="4" w:space="0" w:color="000000"/>
            </w:tcBorders>
            <w:shd w:val="clear" w:color="auto" w:fill="FFF7ED"/>
          </w:tcPr>
          <w:p w14:paraId="39D2F0C8"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0,79± 0,15</w:t>
            </w:r>
          </w:p>
        </w:tc>
        <w:tc>
          <w:tcPr>
            <w:tcW w:w="828" w:type="dxa"/>
            <w:tcBorders>
              <w:bottom w:val="single" w:sz="4" w:space="0" w:color="000000"/>
              <w:right w:val="single" w:sz="4" w:space="0" w:color="000000"/>
            </w:tcBorders>
            <w:shd w:val="clear" w:color="auto" w:fill="FFF7ED"/>
          </w:tcPr>
          <w:p w14:paraId="6C6C0125"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0,001*</w:t>
            </w:r>
          </w:p>
        </w:tc>
        <w:tc>
          <w:tcPr>
            <w:tcW w:w="1309" w:type="dxa"/>
            <w:tcBorders>
              <w:bottom w:val="single" w:sz="4" w:space="0" w:color="000000"/>
              <w:right w:val="single" w:sz="4" w:space="0" w:color="000000"/>
            </w:tcBorders>
            <w:shd w:val="clear" w:color="auto" w:fill="E3F2FF"/>
          </w:tcPr>
          <w:p w14:paraId="0674D62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0,87 ± 0,16</w:t>
            </w:r>
          </w:p>
        </w:tc>
        <w:tc>
          <w:tcPr>
            <w:tcW w:w="1343" w:type="dxa"/>
            <w:tcBorders>
              <w:bottom w:val="single" w:sz="4" w:space="0" w:color="000000"/>
              <w:right w:val="single" w:sz="4" w:space="0" w:color="000000"/>
            </w:tcBorders>
            <w:shd w:val="clear" w:color="auto" w:fill="E3F2FF"/>
          </w:tcPr>
          <w:p w14:paraId="4B47D38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0,88 ± 0,19</w:t>
            </w:r>
          </w:p>
        </w:tc>
        <w:tc>
          <w:tcPr>
            <w:tcW w:w="1085" w:type="dxa"/>
            <w:tcBorders>
              <w:bottom w:val="single" w:sz="4" w:space="0" w:color="000000"/>
              <w:right w:val="single" w:sz="4" w:space="0" w:color="000000"/>
            </w:tcBorders>
            <w:shd w:val="clear" w:color="auto" w:fill="E3F2FF"/>
          </w:tcPr>
          <w:p w14:paraId="1D8BDC6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0,56</w:t>
            </w:r>
          </w:p>
        </w:tc>
      </w:tr>
      <w:tr w:rsidR="003C7C22" w14:paraId="66C43512" w14:textId="77777777" w:rsidTr="00B57F2E">
        <w:trPr>
          <w:trHeight w:val="300"/>
        </w:trPr>
        <w:tc>
          <w:tcPr>
            <w:tcW w:w="1382" w:type="dxa"/>
            <w:tcBorders>
              <w:left w:val="single" w:sz="4" w:space="0" w:color="000000"/>
              <w:bottom w:val="single" w:sz="4" w:space="0" w:color="000000"/>
              <w:right w:val="single" w:sz="4" w:space="0" w:color="000000"/>
            </w:tcBorders>
          </w:tcPr>
          <w:p w14:paraId="6950D443"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Общий билирубин, мг/дл</w:t>
            </w:r>
          </w:p>
        </w:tc>
        <w:tc>
          <w:tcPr>
            <w:tcW w:w="1047" w:type="dxa"/>
            <w:tcBorders>
              <w:bottom w:val="single" w:sz="4" w:space="0" w:color="000000"/>
              <w:right w:val="single" w:sz="4" w:space="0" w:color="000000"/>
            </w:tcBorders>
            <w:shd w:val="clear" w:color="auto" w:fill="F0FFF0"/>
            <w:vAlign w:val="center"/>
          </w:tcPr>
          <w:p w14:paraId="5CEBF3D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0,66± 0,28</w:t>
            </w:r>
          </w:p>
        </w:tc>
        <w:tc>
          <w:tcPr>
            <w:tcW w:w="1132" w:type="dxa"/>
            <w:tcBorders>
              <w:bottom w:val="single" w:sz="4" w:space="0" w:color="000000"/>
              <w:right w:val="single" w:sz="4" w:space="0" w:color="000000"/>
            </w:tcBorders>
            <w:shd w:val="clear" w:color="auto" w:fill="FFF7ED"/>
          </w:tcPr>
          <w:p w14:paraId="62F76A3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0,69± 0,28</w:t>
            </w:r>
          </w:p>
        </w:tc>
        <w:tc>
          <w:tcPr>
            <w:tcW w:w="1285" w:type="dxa"/>
            <w:tcBorders>
              <w:bottom w:val="single" w:sz="4" w:space="0" w:color="000000"/>
              <w:right w:val="single" w:sz="4" w:space="0" w:color="000000"/>
            </w:tcBorders>
            <w:shd w:val="clear" w:color="auto" w:fill="FFF7ED"/>
          </w:tcPr>
          <w:p w14:paraId="48B255E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0,63± 0,28</w:t>
            </w:r>
          </w:p>
        </w:tc>
        <w:tc>
          <w:tcPr>
            <w:tcW w:w="828" w:type="dxa"/>
            <w:tcBorders>
              <w:bottom w:val="single" w:sz="4" w:space="0" w:color="000000"/>
              <w:right w:val="single" w:sz="4" w:space="0" w:color="000000"/>
            </w:tcBorders>
            <w:shd w:val="clear" w:color="auto" w:fill="FFF7ED"/>
          </w:tcPr>
          <w:p w14:paraId="7C97942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0,13</w:t>
            </w:r>
          </w:p>
        </w:tc>
        <w:tc>
          <w:tcPr>
            <w:tcW w:w="1309" w:type="dxa"/>
            <w:tcBorders>
              <w:bottom w:val="single" w:sz="4" w:space="0" w:color="000000"/>
              <w:right w:val="single" w:sz="4" w:space="0" w:color="000000"/>
            </w:tcBorders>
            <w:shd w:val="clear" w:color="auto" w:fill="E3F2FF"/>
          </w:tcPr>
          <w:p w14:paraId="5E1A9BD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0,66 ± 0,27</w:t>
            </w:r>
          </w:p>
        </w:tc>
        <w:tc>
          <w:tcPr>
            <w:tcW w:w="1343" w:type="dxa"/>
            <w:tcBorders>
              <w:bottom w:val="single" w:sz="4" w:space="0" w:color="000000"/>
              <w:right w:val="single" w:sz="4" w:space="0" w:color="000000"/>
            </w:tcBorders>
            <w:shd w:val="clear" w:color="auto" w:fill="E3F2FF"/>
          </w:tcPr>
          <w:p w14:paraId="3DD87512"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0,67 ± 0,31</w:t>
            </w:r>
          </w:p>
        </w:tc>
        <w:tc>
          <w:tcPr>
            <w:tcW w:w="1085" w:type="dxa"/>
            <w:tcBorders>
              <w:bottom w:val="single" w:sz="4" w:space="0" w:color="000000"/>
              <w:right w:val="single" w:sz="4" w:space="0" w:color="000000"/>
            </w:tcBorders>
            <w:shd w:val="clear" w:color="auto" w:fill="E3F2FF"/>
          </w:tcPr>
          <w:p w14:paraId="34100CB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0,99</w:t>
            </w:r>
          </w:p>
        </w:tc>
      </w:tr>
      <w:tr w:rsidR="003C7C22" w14:paraId="5BB5B991" w14:textId="77777777" w:rsidTr="00B57F2E">
        <w:trPr>
          <w:trHeight w:val="300"/>
        </w:trPr>
        <w:tc>
          <w:tcPr>
            <w:tcW w:w="1382" w:type="dxa"/>
            <w:tcBorders>
              <w:left w:val="single" w:sz="4" w:space="0" w:color="000000"/>
              <w:bottom w:val="single" w:sz="4" w:space="0" w:color="000000"/>
              <w:right w:val="single" w:sz="4" w:space="0" w:color="000000"/>
            </w:tcBorders>
          </w:tcPr>
          <w:p w14:paraId="1034F20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Прямой билирубин, мг/дл</w:t>
            </w:r>
          </w:p>
        </w:tc>
        <w:tc>
          <w:tcPr>
            <w:tcW w:w="1047" w:type="dxa"/>
            <w:tcBorders>
              <w:bottom w:val="single" w:sz="4" w:space="0" w:color="000000"/>
              <w:right w:val="single" w:sz="4" w:space="0" w:color="000000"/>
            </w:tcBorders>
            <w:shd w:val="clear" w:color="auto" w:fill="F0FFF0"/>
            <w:vAlign w:val="center"/>
          </w:tcPr>
          <w:p w14:paraId="5A3574AB"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0,19± 0,16</w:t>
            </w:r>
          </w:p>
        </w:tc>
        <w:tc>
          <w:tcPr>
            <w:tcW w:w="1132" w:type="dxa"/>
            <w:tcBorders>
              <w:bottom w:val="single" w:sz="4" w:space="0" w:color="000000"/>
              <w:right w:val="single" w:sz="4" w:space="0" w:color="000000"/>
            </w:tcBorders>
            <w:shd w:val="clear" w:color="auto" w:fill="FFF7ED"/>
          </w:tcPr>
          <w:p w14:paraId="4FC9AF91"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0,17± 0,12</w:t>
            </w:r>
          </w:p>
        </w:tc>
        <w:tc>
          <w:tcPr>
            <w:tcW w:w="1285" w:type="dxa"/>
            <w:tcBorders>
              <w:bottom w:val="single" w:sz="4" w:space="0" w:color="000000"/>
              <w:right w:val="single" w:sz="4" w:space="0" w:color="000000"/>
            </w:tcBorders>
            <w:shd w:val="clear" w:color="auto" w:fill="FFF7ED"/>
          </w:tcPr>
          <w:p w14:paraId="076139A7"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0,21± 0,20</w:t>
            </w:r>
          </w:p>
        </w:tc>
        <w:tc>
          <w:tcPr>
            <w:tcW w:w="828" w:type="dxa"/>
            <w:tcBorders>
              <w:bottom w:val="single" w:sz="4" w:space="0" w:color="000000"/>
              <w:right w:val="single" w:sz="4" w:space="0" w:color="000000"/>
            </w:tcBorders>
            <w:shd w:val="clear" w:color="auto" w:fill="FFF7ED"/>
          </w:tcPr>
          <w:p w14:paraId="37ED655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0,93</w:t>
            </w:r>
          </w:p>
        </w:tc>
        <w:tc>
          <w:tcPr>
            <w:tcW w:w="1309" w:type="dxa"/>
            <w:tcBorders>
              <w:bottom w:val="single" w:sz="4" w:space="0" w:color="000000"/>
              <w:right w:val="single" w:sz="4" w:space="0" w:color="000000"/>
            </w:tcBorders>
            <w:shd w:val="clear" w:color="auto" w:fill="E3F2FF"/>
          </w:tcPr>
          <w:p w14:paraId="2955210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0,18 ± 0,14</w:t>
            </w:r>
          </w:p>
        </w:tc>
        <w:tc>
          <w:tcPr>
            <w:tcW w:w="1343" w:type="dxa"/>
            <w:tcBorders>
              <w:bottom w:val="single" w:sz="4" w:space="0" w:color="000000"/>
              <w:right w:val="single" w:sz="4" w:space="0" w:color="000000"/>
            </w:tcBorders>
            <w:shd w:val="clear" w:color="auto" w:fill="E3F2FF"/>
          </w:tcPr>
          <w:p w14:paraId="41E1F23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0,21 ± 0,20</w:t>
            </w:r>
          </w:p>
        </w:tc>
        <w:tc>
          <w:tcPr>
            <w:tcW w:w="1085" w:type="dxa"/>
            <w:tcBorders>
              <w:bottom w:val="single" w:sz="4" w:space="0" w:color="000000"/>
              <w:right w:val="single" w:sz="4" w:space="0" w:color="000000"/>
            </w:tcBorders>
            <w:shd w:val="clear" w:color="auto" w:fill="E3F2FF"/>
          </w:tcPr>
          <w:p w14:paraId="141744C3"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w:t>
            </w:r>
          </w:p>
        </w:tc>
      </w:tr>
      <w:tr w:rsidR="003C7C22" w14:paraId="2A90E071" w14:textId="77777777" w:rsidTr="00B57F2E">
        <w:trPr>
          <w:trHeight w:val="300"/>
        </w:trPr>
        <w:tc>
          <w:tcPr>
            <w:tcW w:w="1382" w:type="dxa"/>
            <w:tcBorders>
              <w:left w:val="single" w:sz="4" w:space="0" w:color="000000"/>
              <w:bottom w:val="single" w:sz="4" w:space="0" w:color="000000"/>
              <w:right w:val="single" w:sz="4" w:space="0" w:color="000000"/>
            </w:tcBorders>
          </w:tcPr>
          <w:p w14:paraId="659CC983"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Холестерин, ммоль/л</w:t>
            </w:r>
          </w:p>
        </w:tc>
        <w:tc>
          <w:tcPr>
            <w:tcW w:w="1047" w:type="dxa"/>
            <w:tcBorders>
              <w:bottom w:val="single" w:sz="4" w:space="0" w:color="000000"/>
              <w:right w:val="single" w:sz="4" w:space="0" w:color="000000"/>
            </w:tcBorders>
            <w:shd w:val="clear" w:color="auto" w:fill="F0FFF0"/>
            <w:vAlign w:val="center"/>
          </w:tcPr>
          <w:p w14:paraId="4AEB9EA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4,47± 1,06</w:t>
            </w:r>
          </w:p>
        </w:tc>
        <w:tc>
          <w:tcPr>
            <w:tcW w:w="1132" w:type="dxa"/>
            <w:tcBorders>
              <w:bottom w:val="single" w:sz="4" w:space="0" w:color="000000"/>
              <w:right w:val="single" w:sz="4" w:space="0" w:color="000000"/>
            </w:tcBorders>
            <w:shd w:val="clear" w:color="auto" w:fill="FFF7ED"/>
          </w:tcPr>
          <w:p w14:paraId="4C31398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4,38± 0,95</w:t>
            </w:r>
          </w:p>
        </w:tc>
        <w:tc>
          <w:tcPr>
            <w:tcW w:w="1285" w:type="dxa"/>
            <w:tcBorders>
              <w:bottom w:val="single" w:sz="4" w:space="0" w:color="000000"/>
              <w:right w:val="single" w:sz="4" w:space="0" w:color="000000"/>
            </w:tcBorders>
            <w:shd w:val="clear" w:color="auto" w:fill="FFF7ED"/>
          </w:tcPr>
          <w:p w14:paraId="17784B2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4,61± 1,20</w:t>
            </w:r>
          </w:p>
        </w:tc>
        <w:tc>
          <w:tcPr>
            <w:tcW w:w="828" w:type="dxa"/>
            <w:tcBorders>
              <w:bottom w:val="single" w:sz="4" w:space="0" w:color="000000"/>
              <w:right w:val="single" w:sz="4" w:space="0" w:color="000000"/>
            </w:tcBorders>
            <w:shd w:val="clear" w:color="auto" w:fill="FFF7ED"/>
          </w:tcPr>
          <w:p w14:paraId="7CE8EF7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0,2</w:t>
            </w:r>
          </w:p>
        </w:tc>
        <w:tc>
          <w:tcPr>
            <w:tcW w:w="1309" w:type="dxa"/>
            <w:tcBorders>
              <w:bottom w:val="single" w:sz="4" w:space="0" w:color="000000"/>
              <w:right w:val="single" w:sz="4" w:space="0" w:color="000000"/>
            </w:tcBorders>
            <w:shd w:val="clear" w:color="auto" w:fill="E3F2FF"/>
          </w:tcPr>
          <w:p w14:paraId="0F37743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4,46 ± 1,08</w:t>
            </w:r>
          </w:p>
        </w:tc>
        <w:tc>
          <w:tcPr>
            <w:tcW w:w="1343" w:type="dxa"/>
            <w:tcBorders>
              <w:bottom w:val="single" w:sz="4" w:space="0" w:color="000000"/>
              <w:right w:val="single" w:sz="4" w:space="0" w:color="000000"/>
            </w:tcBorders>
            <w:shd w:val="clear" w:color="auto" w:fill="E3F2FF"/>
          </w:tcPr>
          <w:p w14:paraId="5D71F622"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4,50 ± 1,01</w:t>
            </w:r>
          </w:p>
        </w:tc>
        <w:tc>
          <w:tcPr>
            <w:tcW w:w="1085" w:type="dxa"/>
            <w:tcBorders>
              <w:bottom w:val="single" w:sz="4" w:space="0" w:color="000000"/>
              <w:right w:val="single" w:sz="4" w:space="0" w:color="000000"/>
            </w:tcBorders>
            <w:shd w:val="clear" w:color="auto" w:fill="E3F2FF"/>
          </w:tcPr>
          <w:p w14:paraId="77FC713B"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0,84</w:t>
            </w:r>
          </w:p>
        </w:tc>
      </w:tr>
      <w:tr w:rsidR="003C7C22" w14:paraId="5727EB70" w14:textId="77777777" w:rsidTr="00B57F2E">
        <w:trPr>
          <w:trHeight w:val="300"/>
        </w:trPr>
        <w:tc>
          <w:tcPr>
            <w:tcW w:w="1382" w:type="dxa"/>
            <w:tcBorders>
              <w:left w:val="single" w:sz="4" w:space="0" w:color="000000"/>
              <w:bottom w:val="single" w:sz="4" w:space="0" w:color="000000"/>
              <w:right w:val="single" w:sz="4" w:space="0" w:color="000000"/>
            </w:tcBorders>
          </w:tcPr>
          <w:p w14:paraId="12FF1A3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АЛТ, Ед/л</w:t>
            </w:r>
          </w:p>
        </w:tc>
        <w:tc>
          <w:tcPr>
            <w:tcW w:w="1047" w:type="dxa"/>
            <w:tcBorders>
              <w:bottom w:val="single" w:sz="4" w:space="0" w:color="000000"/>
              <w:right w:val="single" w:sz="4" w:space="0" w:color="000000"/>
            </w:tcBorders>
            <w:shd w:val="clear" w:color="auto" w:fill="F0FFF0"/>
            <w:vAlign w:val="center"/>
          </w:tcPr>
          <w:p w14:paraId="5F9D1DD9"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21,4± 9,66</w:t>
            </w:r>
          </w:p>
        </w:tc>
        <w:tc>
          <w:tcPr>
            <w:tcW w:w="1132" w:type="dxa"/>
            <w:tcBorders>
              <w:bottom w:val="single" w:sz="4" w:space="0" w:color="000000"/>
              <w:right w:val="single" w:sz="4" w:space="0" w:color="000000"/>
            </w:tcBorders>
            <w:shd w:val="clear" w:color="auto" w:fill="FFF7ED"/>
          </w:tcPr>
          <w:p w14:paraId="298EE952"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21,4± 8,98</w:t>
            </w:r>
          </w:p>
        </w:tc>
        <w:tc>
          <w:tcPr>
            <w:tcW w:w="1285" w:type="dxa"/>
            <w:tcBorders>
              <w:bottom w:val="single" w:sz="4" w:space="0" w:color="000000"/>
              <w:right w:val="single" w:sz="4" w:space="0" w:color="000000"/>
            </w:tcBorders>
            <w:shd w:val="clear" w:color="auto" w:fill="FFF7ED"/>
          </w:tcPr>
          <w:p w14:paraId="6A99C04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21,4± 10,7</w:t>
            </w:r>
          </w:p>
        </w:tc>
        <w:tc>
          <w:tcPr>
            <w:tcW w:w="828" w:type="dxa"/>
            <w:tcBorders>
              <w:bottom w:val="single" w:sz="4" w:space="0" w:color="000000"/>
              <w:right w:val="single" w:sz="4" w:space="0" w:color="000000"/>
            </w:tcBorders>
            <w:shd w:val="clear" w:color="auto" w:fill="FFF7ED"/>
          </w:tcPr>
          <w:p w14:paraId="2773888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0,58</w:t>
            </w:r>
          </w:p>
        </w:tc>
        <w:tc>
          <w:tcPr>
            <w:tcW w:w="1309" w:type="dxa"/>
            <w:tcBorders>
              <w:bottom w:val="single" w:sz="4" w:space="0" w:color="000000"/>
              <w:right w:val="single" w:sz="4" w:space="0" w:color="000000"/>
            </w:tcBorders>
            <w:shd w:val="clear" w:color="auto" w:fill="E3F2FF"/>
          </w:tcPr>
          <w:p w14:paraId="1649066C"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21,9 ± 9,42</w:t>
            </w:r>
          </w:p>
        </w:tc>
        <w:tc>
          <w:tcPr>
            <w:tcW w:w="1343" w:type="dxa"/>
            <w:tcBorders>
              <w:bottom w:val="single" w:sz="4" w:space="0" w:color="000000"/>
              <w:right w:val="single" w:sz="4" w:space="0" w:color="000000"/>
            </w:tcBorders>
            <w:shd w:val="clear" w:color="auto" w:fill="E3F2FF"/>
          </w:tcPr>
          <w:p w14:paraId="0A88283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20,2 ± 10,1</w:t>
            </w:r>
          </w:p>
        </w:tc>
        <w:tc>
          <w:tcPr>
            <w:tcW w:w="1085" w:type="dxa"/>
            <w:tcBorders>
              <w:bottom w:val="single" w:sz="4" w:space="0" w:color="000000"/>
              <w:right w:val="single" w:sz="4" w:space="0" w:color="000000"/>
            </w:tcBorders>
            <w:shd w:val="clear" w:color="auto" w:fill="E3F2FF"/>
          </w:tcPr>
          <w:p w14:paraId="247C7F2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0,07</w:t>
            </w:r>
          </w:p>
        </w:tc>
      </w:tr>
      <w:tr w:rsidR="003C7C22" w14:paraId="27A79D48" w14:textId="77777777" w:rsidTr="00B57F2E">
        <w:trPr>
          <w:trHeight w:val="300"/>
        </w:trPr>
        <w:tc>
          <w:tcPr>
            <w:tcW w:w="1382" w:type="dxa"/>
            <w:tcBorders>
              <w:top w:val="single" w:sz="4" w:space="0" w:color="000000"/>
              <w:left w:val="single" w:sz="4" w:space="0" w:color="000000"/>
              <w:bottom w:val="single" w:sz="4" w:space="0" w:color="000000"/>
              <w:right w:val="single" w:sz="4" w:space="0" w:color="000000"/>
            </w:tcBorders>
          </w:tcPr>
          <w:p w14:paraId="31801ED3"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АСТ, Ед/л</w:t>
            </w:r>
          </w:p>
        </w:tc>
        <w:tc>
          <w:tcPr>
            <w:tcW w:w="1047" w:type="dxa"/>
            <w:tcBorders>
              <w:top w:val="single" w:sz="4" w:space="0" w:color="000000"/>
              <w:bottom w:val="single" w:sz="4" w:space="0" w:color="000000"/>
              <w:right w:val="single" w:sz="4" w:space="0" w:color="000000"/>
            </w:tcBorders>
            <w:shd w:val="clear" w:color="auto" w:fill="F0FFF0"/>
            <w:vAlign w:val="center"/>
          </w:tcPr>
          <w:p w14:paraId="1B2B5727"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21,3± 8,73</w:t>
            </w:r>
          </w:p>
        </w:tc>
        <w:tc>
          <w:tcPr>
            <w:tcW w:w="1132" w:type="dxa"/>
            <w:tcBorders>
              <w:top w:val="single" w:sz="4" w:space="0" w:color="000000"/>
              <w:bottom w:val="single" w:sz="4" w:space="0" w:color="000000"/>
              <w:right w:val="single" w:sz="4" w:space="0" w:color="000000"/>
            </w:tcBorders>
            <w:shd w:val="clear" w:color="auto" w:fill="FFF7ED"/>
          </w:tcPr>
          <w:p w14:paraId="68BB261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20,8± 8,08</w:t>
            </w:r>
          </w:p>
        </w:tc>
        <w:tc>
          <w:tcPr>
            <w:tcW w:w="1285" w:type="dxa"/>
            <w:tcBorders>
              <w:top w:val="single" w:sz="4" w:space="0" w:color="000000"/>
              <w:bottom w:val="single" w:sz="4" w:space="0" w:color="000000"/>
              <w:right w:val="single" w:sz="4" w:space="0" w:color="000000"/>
            </w:tcBorders>
            <w:shd w:val="clear" w:color="auto" w:fill="FFF7ED"/>
          </w:tcPr>
          <w:p w14:paraId="6EB23A8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22,1± 9,64</w:t>
            </w:r>
          </w:p>
        </w:tc>
        <w:tc>
          <w:tcPr>
            <w:tcW w:w="828" w:type="dxa"/>
            <w:tcBorders>
              <w:top w:val="single" w:sz="4" w:space="0" w:color="000000"/>
              <w:bottom w:val="single" w:sz="4" w:space="0" w:color="000000"/>
              <w:right w:val="single" w:sz="4" w:space="0" w:color="000000"/>
            </w:tcBorders>
            <w:shd w:val="clear" w:color="auto" w:fill="FFF7ED"/>
          </w:tcPr>
          <w:p w14:paraId="467BD031"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0,38</w:t>
            </w:r>
          </w:p>
        </w:tc>
        <w:tc>
          <w:tcPr>
            <w:tcW w:w="1309" w:type="dxa"/>
            <w:tcBorders>
              <w:top w:val="single" w:sz="4" w:space="0" w:color="000000"/>
              <w:bottom w:val="single" w:sz="4" w:space="0" w:color="000000"/>
              <w:right w:val="single" w:sz="4" w:space="0" w:color="000000"/>
            </w:tcBorders>
            <w:shd w:val="clear" w:color="auto" w:fill="E3F2FF"/>
          </w:tcPr>
          <w:p w14:paraId="16EEB368"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21,4 ± 8,22</w:t>
            </w:r>
          </w:p>
        </w:tc>
        <w:tc>
          <w:tcPr>
            <w:tcW w:w="1343" w:type="dxa"/>
            <w:tcBorders>
              <w:top w:val="single" w:sz="4" w:space="0" w:color="000000"/>
              <w:bottom w:val="single" w:sz="4" w:space="0" w:color="000000"/>
              <w:right w:val="single" w:sz="4" w:space="0" w:color="000000"/>
            </w:tcBorders>
            <w:shd w:val="clear" w:color="auto" w:fill="E3F2FF"/>
          </w:tcPr>
          <w:p w14:paraId="5E655AD2"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21,1 ± 9,76</w:t>
            </w:r>
          </w:p>
        </w:tc>
        <w:tc>
          <w:tcPr>
            <w:tcW w:w="1085" w:type="dxa"/>
            <w:tcBorders>
              <w:top w:val="single" w:sz="4" w:space="0" w:color="000000"/>
              <w:bottom w:val="single" w:sz="4" w:space="0" w:color="000000"/>
              <w:right w:val="single" w:sz="4" w:space="0" w:color="000000"/>
            </w:tcBorders>
            <w:shd w:val="clear" w:color="auto" w:fill="E3F2FF"/>
          </w:tcPr>
          <w:p w14:paraId="715A1369"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0,55</w:t>
            </w:r>
          </w:p>
        </w:tc>
      </w:tr>
      <w:tr w:rsidR="003C7C22" w14:paraId="5C637F88" w14:textId="77777777" w:rsidTr="00B57F2E">
        <w:trPr>
          <w:trHeight w:val="300"/>
        </w:trPr>
        <w:tc>
          <w:tcPr>
            <w:tcW w:w="1382" w:type="dxa"/>
            <w:tcBorders>
              <w:left w:val="single" w:sz="4" w:space="0" w:color="000000"/>
              <w:bottom w:val="single" w:sz="4" w:space="0" w:color="000000"/>
              <w:right w:val="single" w:sz="4" w:space="0" w:color="000000"/>
            </w:tcBorders>
          </w:tcPr>
          <w:p w14:paraId="6449897A"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Протромбиновое время, сек</w:t>
            </w:r>
          </w:p>
        </w:tc>
        <w:tc>
          <w:tcPr>
            <w:tcW w:w="1047" w:type="dxa"/>
            <w:tcBorders>
              <w:bottom w:val="single" w:sz="4" w:space="0" w:color="000000"/>
              <w:right w:val="single" w:sz="4" w:space="0" w:color="000000"/>
            </w:tcBorders>
            <w:shd w:val="clear" w:color="auto" w:fill="F0FFF0"/>
            <w:vAlign w:val="center"/>
          </w:tcPr>
          <w:p w14:paraId="742C019B"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12,6± 3,09</w:t>
            </w:r>
          </w:p>
        </w:tc>
        <w:tc>
          <w:tcPr>
            <w:tcW w:w="1132" w:type="dxa"/>
            <w:tcBorders>
              <w:bottom w:val="single" w:sz="4" w:space="0" w:color="000000"/>
              <w:right w:val="single" w:sz="4" w:space="0" w:color="000000"/>
            </w:tcBorders>
            <w:shd w:val="clear" w:color="auto" w:fill="FFF7ED"/>
          </w:tcPr>
          <w:p w14:paraId="574693EA"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12,8± 3,39</w:t>
            </w:r>
          </w:p>
        </w:tc>
        <w:tc>
          <w:tcPr>
            <w:tcW w:w="1285" w:type="dxa"/>
            <w:tcBorders>
              <w:bottom w:val="single" w:sz="4" w:space="0" w:color="000000"/>
              <w:right w:val="single" w:sz="4" w:space="0" w:color="000000"/>
            </w:tcBorders>
            <w:shd w:val="clear" w:color="auto" w:fill="FFF7ED"/>
          </w:tcPr>
          <w:p w14:paraId="49A5548B"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12,3± 2,60</w:t>
            </w:r>
          </w:p>
        </w:tc>
        <w:tc>
          <w:tcPr>
            <w:tcW w:w="828" w:type="dxa"/>
            <w:tcBorders>
              <w:bottom w:val="single" w:sz="4" w:space="0" w:color="000000"/>
              <w:right w:val="single" w:sz="4" w:space="0" w:color="000000"/>
            </w:tcBorders>
            <w:shd w:val="clear" w:color="auto" w:fill="FFF7ED"/>
          </w:tcPr>
          <w:p w14:paraId="66A93ED9"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0,53</w:t>
            </w:r>
          </w:p>
        </w:tc>
        <w:tc>
          <w:tcPr>
            <w:tcW w:w="1309" w:type="dxa"/>
            <w:tcBorders>
              <w:bottom w:val="single" w:sz="4" w:space="0" w:color="000000"/>
              <w:right w:val="single" w:sz="4" w:space="0" w:color="000000"/>
            </w:tcBorders>
            <w:shd w:val="clear" w:color="auto" w:fill="E3F2FF"/>
          </w:tcPr>
          <w:p w14:paraId="05DCE952"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12,6 ± 3,21</w:t>
            </w:r>
          </w:p>
        </w:tc>
        <w:tc>
          <w:tcPr>
            <w:tcW w:w="1343" w:type="dxa"/>
            <w:tcBorders>
              <w:bottom w:val="single" w:sz="4" w:space="0" w:color="000000"/>
              <w:right w:val="single" w:sz="4" w:space="0" w:color="000000"/>
            </w:tcBorders>
            <w:shd w:val="clear" w:color="auto" w:fill="E3F2FF"/>
          </w:tcPr>
          <w:p w14:paraId="06EFA42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12,7 ± 2,87</w:t>
            </w:r>
          </w:p>
        </w:tc>
        <w:tc>
          <w:tcPr>
            <w:tcW w:w="1085" w:type="dxa"/>
            <w:tcBorders>
              <w:bottom w:val="single" w:sz="4" w:space="0" w:color="000000"/>
              <w:right w:val="single" w:sz="4" w:space="0" w:color="000000"/>
            </w:tcBorders>
            <w:shd w:val="clear" w:color="auto" w:fill="E3F2FF"/>
          </w:tcPr>
          <w:p w14:paraId="3278B92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0,56</w:t>
            </w:r>
          </w:p>
        </w:tc>
      </w:tr>
      <w:tr w:rsidR="003C7C22" w14:paraId="4BEF5B1D" w14:textId="77777777" w:rsidTr="00B57F2E">
        <w:trPr>
          <w:trHeight w:val="300"/>
        </w:trPr>
        <w:tc>
          <w:tcPr>
            <w:tcW w:w="1382" w:type="dxa"/>
            <w:tcBorders>
              <w:left w:val="single" w:sz="4" w:space="0" w:color="000000"/>
              <w:bottom w:val="single" w:sz="4" w:space="0" w:color="000000"/>
              <w:right w:val="single" w:sz="4" w:space="0" w:color="000000"/>
            </w:tcBorders>
          </w:tcPr>
          <w:p w14:paraId="70205BF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МНО</w:t>
            </w:r>
          </w:p>
        </w:tc>
        <w:tc>
          <w:tcPr>
            <w:tcW w:w="1047" w:type="dxa"/>
            <w:tcBorders>
              <w:bottom w:val="single" w:sz="4" w:space="0" w:color="000000"/>
              <w:right w:val="single" w:sz="4" w:space="0" w:color="000000"/>
            </w:tcBorders>
            <w:shd w:val="clear" w:color="auto" w:fill="F0FFF0"/>
            <w:vAlign w:val="center"/>
          </w:tcPr>
          <w:p w14:paraId="24762C71"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1,04± 0,21</w:t>
            </w:r>
          </w:p>
        </w:tc>
        <w:tc>
          <w:tcPr>
            <w:tcW w:w="1132" w:type="dxa"/>
            <w:tcBorders>
              <w:bottom w:val="single" w:sz="4" w:space="0" w:color="000000"/>
              <w:right w:val="single" w:sz="4" w:space="0" w:color="000000"/>
            </w:tcBorders>
            <w:shd w:val="clear" w:color="auto" w:fill="FFF7ED"/>
          </w:tcPr>
          <w:p w14:paraId="6493A69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1,03± 0,19</w:t>
            </w:r>
          </w:p>
        </w:tc>
        <w:tc>
          <w:tcPr>
            <w:tcW w:w="1285" w:type="dxa"/>
            <w:tcBorders>
              <w:bottom w:val="single" w:sz="4" w:space="0" w:color="000000"/>
              <w:right w:val="single" w:sz="4" w:space="0" w:color="000000"/>
            </w:tcBorders>
            <w:shd w:val="clear" w:color="auto" w:fill="FFF7ED"/>
          </w:tcPr>
          <w:p w14:paraId="0F6BE4C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1,07± 0,25</w:t>
            </w:r>
          </w:p>
        </w:tc>
        <w:tc>
          <w:tcPr>
            <w:tcW w:w="828" w:type="dxa"/>
            <w:tcBorders>
              <w:bottom w:val="single" w:sz="4" w:space="0" w:color="000000"/>
              <w:right w:val="single" w:sz="4" w:space="0" w:color="000000"/>
            </w:tcBorders>
            <w:shd w:val="clear" w:color="auto" w:fill="FFF7ED"/>
          </w:tcPr>
          <w:p w14:paraId="39335C1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w:t>
            </w:r>
          </w:p>
        </w:tc>
        <w:tc>
          <w:tcPr>
            <w:tcW w:w="1309" w:type="dxa"/>
            <w:tcBorders>
              <w:bottom w:val="single" w:sz="4" w:space="0" w:color="000000"/>
              <w:right w:val="single" w:sz="4" w:space="0" w:color="000000"/>
            </w:tcBorders>
            <w:shd w:val="clear" w:color="auto" w:fill="E3F2FF"/>
          </w:tcPr>
          <w:p w14:paraId="025FA22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1,02 ± 0,17</w:t>
            </w:r>
          </w:p>
        </w:tc>
        <w:tc>
          <w:tcPr>
            <w:tcW w:w="1343" w:type="dxa"/>
            <w:tcBorders>
              <w:bottom w:val="single" w:sz="4" w:space="0" w:color="000000"/>
              <w:right w:val="single" w:sz="4" w:space="0" w:color="000000"/>
            </w:tcBorders>
            <w:shd w:val="clear" w:color="auto" w:fill="E3F2FF"/>
          </w:tcPr>
          <w:p w14:paraId="29DBE7C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1,10 ± 0,27</w:t>
            </w:r>
          </w:p>
        </w:tc>
        <w:tc>
          <w:tcPr>
            <w:tcW w:w="1085" w:type="dxa"/>
            <w:tcBorders>
              <w:bottom w:val="single" w:sz="4" w:space="0" w:color="000000"/>
              <w:right w:val="single" w:sz="4" w:space="0" w:color="000000"/>
            </w:tcBorders>
            <w:shd w:val="clear" w:color="auto" w:fill="E3F2FF"/>
          </w:tcPr>
          <w:p w14:paraId="745715E1"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0,03*</w:t>
            </w:r>
          </w:p>
        </w:tc>
      </w:tr>
      <w:tr w:rsidR="003C7C22" w14:paraId="1ECD0425" w14:textId="77777777" w:rsidTr="00B57F2E">
        <w:trPr>
          <w:trHeight w:val="300"/>
        </w:trPr>
        <w:tc>
          <w:tcPr>
            <w:tcW w:w="1382" w:type="dxa"/>
            <w:tcBorders>
              <w:left w:val="single" w:sz="4" w:space="0" w:color="000000"/>
              <w:bottom w:val="single" w:sz="4" w:space="0" w:color="000000"/>
              <w:right w:val="single" w:sz="4" w:space="0" w:color="000000"/>
            </w:tcBorders>
          </w:tcPr>
          <w:p w14:paraId="38874379"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Протромбиновый индекс, %</w:t>
            </w:r>
          </w:p>
        </w:tc>
        <w:tc>
          <w:tcPr>
            <w:tcW w:w="1047" w:type="dxa"/>
            <w:tcBorders>
              <w:bottom w:val="single" w:sz="4" w:space="0" w:color="000000"/>
              <w:right w:val="single" w:sz="4" w:space="0" w:color="000000"/>
            </w:tcBorders>
            <w:shd w:val="clear" w:color="auto" w:fill="F0FFF0"/>
            <w:vAlign w:val="center"/>
          </w:tcPr>
          <w:p w14:paraId="38344DED"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93,7± 22,1</w:t>
            </w:r>
          </w:p>
        </w:tc>
        <w:tc>
          <w:tcPr>
            <w:tcW w:w="1132" w:type="dxa"/>
            <w:tcBorders>
              <w:bottom w:val="single" w:sz="4" w:space="0" w:color="000000"/>
              <w:right w:val="single" w:sz="4" w:space="0" w:color="000000"/>
            </w:tcBorders>
            <w:shd w:val="clear" w:color="auto" w:fill="FFF7ED"/>
          </w:tcPr>
          <w:p w14:paraId="499E563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92,2± 23,8</w:t>
            </w:r>
          </w:p>
        </w:tc>
        <w:tc>
          <w:tcPr>
            <w:tcW w:w="1285" w:type="dxa"/>
            <w:tcBorders>
              <w:bottom w:val="single" w:sz="4" w:space="0" w:color="000000"/>
              <w:right w:val="single" w:sz="4" w:space="0" w:color="000000"/>
            </w:tcBorders>
            <w:shd w:val="clear" w:color="auto" w:fill="FFF7ED"/>
          </w:tcPr>
          <w:p w14:paraId="5A5D4827"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95,9± 19,3</w:t>
            </w:r>
          </w:p>
        </w:tc>
        <w:tc>
          <w:tcPr>
            <w:tcW w:w="828" w:type="dxa"/>
            <w:tcBorders>
              <w:bottom w:val="single" w:sz="4" w:space="0" w:color="000000"/>
              <w:right w:val="single" w:sz="4" w:space="0" w:color="000000"/>
            </w:tcBorders>
            <w:shd w:val="clear" w:color="auto" w:fill="FFF7ED"/>
          </w:tcPr>
          <w:p w14:paraId="47A5DC68"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0,33</w:t>
            </w:r>
          </w:p>
        </w:tc>
        <w:tc>
          <w:tcPr>
            <w:tcW w:w="1309" w:type="dxa"/>
            <w:tcBorders>
              <w:bottom w:val="single" w:sz="4" w:space="0" w:color="000000"/>
              <w:right w:val="single" w:sz="4" w:space="0" w:color="000000"/>
            </w:tcBorders>
            <w:shd w:val="clear" w:color="auto" w:fill="E3F2FF"/>
          </w:tcPr>
          <w:p w14:paraId="41054C43"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94,2 ± 22,5</w:t>
            </w:r>
          </w:p>
        </w:tc>
        <w:tc>
          <w:tcPr>
            <w:tcW w:w="1343" w:type="dxa"/>
            <w:tcBorders>
              <w:bottom w:val="single" w:sz="4" w:space="0" w:color="000000"/>
              <w:right w:val="single" w:sz="4" w:space="0" w:color="000000"/>
            </w:tcBorders>
            <w:shd w:val="clear" w:color="auto" w:fill="E3F2FF"/>
          </w:tcPr>
          <w:p w14:paraId="034B6EF3"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92,6 ± 21,6</w:t>
            </w:r>
          </w:p>
        </w:tc>
        <w:tc>
          <w:tcPr>
            <w:tcW w:w="1085" w:type="dxa"/>
            <w:tcBorders>
              <w:bottom w:val="single" w:sz="4" w:space="0" w:color="000000"/>
              <w:right w:val="single" w:sz="4" w:space="0" w:color="000000"/>
            </w:tcBorders>
            <w:shd w:val="clear" w:color="auto" w:fill="E3F2FF"/>
          </w:tcPr>
          <w:p w14:paraId="7FEC1420"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w:t>
            </w:r>
          </w:p>
        </w:tc>
      </w:tr>
      <w:tr w:rsidR="003C7C22" w14:paraId="1B84392B" w14:textId="77777777" w:rsidTr="00B57F2E">
        <w:trPr>
          <w:trHeight w:val="300"/>
        </w:trPr>
        <w:tc>
          <w:tcPr>
            <w:tcW w:w="1382" w:type="dxa"/>
            <w:tcBorders>
              <w:left w:val="single" w:sz="4" w:space="0" w:color="000000"/>
              <w:bottom w:val="single" w:sz="4" w:space="0" w:color="000000"/>
              <w:right w:val="single" w:sz="4" w:space="0" w:color="000000"/>
            </w:tcBorders>
          </w:tcPr>
          <w:p w14:paraId="3A24B4DE" w14:textId="77777777" w:rsidR="003C7C22" w:rsidRDefault="003C7C22" w:rsidP="00B57F2E">
            <w:pPr>
              <w:pStyle w:val="LO-normal"/>
              <w:widowControl w:val="0"/>
              <w:spacing w:after="86" w:line="240" w:lineRule="auto"/>
              <w:jc w:val="center"/>
              <w:rPr>
                <w:rFonts w:ascii="Times New Roman" w:hAnsi="Times New Roman"/>
                <w:sz w:val="21"/>
                <w:szCs w:val="21"/>
              </w:rPr>
            </w:pPr>
            <w:r>
              <w:rPr>
                <w:rFonts w:ascii="Times New Roman" w:eastAsia="Times New Roman" w:hAnsi="Times New Roman" w:cs="Times New Roman"/>
                <w:sz w:val="21"/>
                <w:szCs w:val="21"/>
              </w:rPr>
              <w:t>АЧТВ, сек</w:t>
            </w:r>
          </w:p>
        </w:tc>
        <w:tc>
          <w:tcPr>
            <w:tcW w:w="1047" w:type="dxa"/>
            <w:tcBorders>
              <w:bottom w:val="single" w:sz="4" w:space="0" w:color="000000"/>
              <w:right w:val="single" w:sz="4" w:space="0" w:color="000000"/>
            </w:tcBorders>
            <w:shd w:val="clear" w:color="auto" w:fill="F0FFF0"/>
            <w:vAlign w:val="center"/>
          </w:tcPr>
          <w:p w14:paraId="2D3B6FAF"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37,5± 7,19</w:t>
            </w:r>
          </w:p>
        </w:tc>
        <w:tc>
          <w:tcPr>
            <w:tcW w:w="1132" w:type="dxa"/>
            <w:tcBorders>
              <w:bottom w:val="single" w:sz="4" w:space="0" w:color="000000"/>
              <w:right w:val="single" w:sz="4" w:space="0" w:color="000000"/>
            </w:tcBorders>
            <w:shd w:val="clear" w:color="auto" w:fill="FFF7ED"/>
          </w:tcPr>
          <w:p w14:paraId="5C38478B"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37,2± 6,63</w:t>
            </w:r>
          </w:p>
        </w:tc>
        <w:tc>
          <w:tcPr>
            <w:tcW w:w="1285" w:type="dxa"/>
            <w:tcBorders>
              <w:bottom w:val="single" w:sz="4" w:space="0" w:color="000000"/>
              <w:right w:val="single" w:sz="4" w:space="0" w:color="000000"/>
            </w:tcBorders>
            <w:shd w:val="clear" w:color="auto" w:fill="FFF7ED"/>
          </w:tcPr>
          <w:p w14:paraId="761D777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37,9±8,00</w:t>
            </w:r>
          </w:p>
        </w:tc>
        <w:tc>
          <w:tcPr>
            <w:tcW w:w="828" w:type="dxa"/>
            <w:tcBorders>
              <w:bottom w:val="single" w:sz="4" w:space="0" w:color="000000"/>
              <w:right w:val="single" w:sz="4" w:space="0" w:color="000000"/>
            </w:tcBorders>
            <w:shd w:val="clear" w:color="auto" w:fill="FFF7ED"/>
          </w:tcPr>
          <w:p w14:paraId="637CCD2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0,72</w:t>
            </w:r>
          </w:p>
        </w:tc>
        <w:tc>
          <w:tcPr>
            <w:tcW w:w="1309" w:type="dxa"/>
            <w:tcBorders>
              <w:bottom w:val="single" w:sz="4" w:space="0" w:color="000000"/>
              <w:right w:val="single" w:sz="4" w:space="0" w:color="000000"/>
            </w:tcBorders>
            <w:shd w:val="clear" w:color="auto" w:fill="E3F2FF"/>
          </w:tcPr>
          <w:p w14:paraId="45D6F835"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37,7 ± 7,11</w:t>
            </w:r>
          </w:p>
        </w:tc>
        <w:tc>
          <w:tcPr>
            <w:tcW w:w="1343" w:type="dxa"/>
            <w:tcBorders>
              <w:bottom w:val="single" w:sz="4" w:space="0" w:color="000000"/>
              <w:right w:val="single" w:sz="4" w:space="0" w:color="000000"/>
            </w:tcBorders>
            <w:shd w:val="clear" w:color="auto" w:fill="E3F2FF"/>
          </w:tcPr>
          <w:p w14:paraId="62FCD51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37,1 ± 7,42</w:t>
            </w:r>
          </w:p>
        </w:tc>
        <w:tc>
          <w:tcPr>
            <w:tcW w:w="1085" w:type="dxa"/>
            <w:tcBorders>
              <w:bottom w:val="single" w:sz="4" w:space="0" w:color="000000"/>
              <w:right w:val="single" w:sz="4" w:space="0" w:color="000000"/>
            </w:tcBorders>
            <w:shd w:val="clear" w:color="auto" w:fill="E3F2FF"/>
          </w:tcPr>
          <w:p w14:paraId="1887599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0,53</w:t>
            </w:r>
          </w:p>
        </w:tc>
      </w:tr>
      <w:tr w:rsidR="003C7C22" w14:paraId="23F8C3ED" w14:textId="77777777" w:rsidTr="00B57F2E">
        <w:trPr>
          <w:trHeight w:val="300"/>
        </w:trPr>
        <w:tc>
          <w:tcPr>
            <w:tcW w:w="1382" w:type="dxa"/>
            <w:tcBorders>
              <w:left w:val="single" w:sz="4" w:space="0" w:color="000000"/>
              <w:bottom w:val="single" w:sz="4" w:space="0" w:color="000000"/>
              <w:right w:val="single" w:sz="4" w:space="0" w:color="000000"/>
            </w:tcBorders>
          </w:tcPr>
          <w:p w14:paraId="3A91D527"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фибриноген, г/л</w:t>
            </w:r>
          </w:p>
        </w:tc>
        <w:tc>
          <w:tcPr>
            <w:tcW w:w="1047" w:type="dxa"/>
            <w:tcBorders>
              <w:bottom w:val="single" w:sz="4" w:space="0" w:color="000000"/>
              <w:right w:val="single" w:sz="4" w:space="0" w:color="000000"/>
            </w:tcBorders>
            <w:shd w:val="clear" w:color="auto" w:fill="F0FFF0"/>
            <w:vAlign w:val="center"/>
          </w:tcPr>
          <w:p w14:paraId="07AB0B4B"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3,20± 0,95</w:t>
            </w:r>
          </w:p>
        </w:tc>
        <w:tc>
          <w:tcPr>
            <w:tcW w:w="1132" w:type="dxa"/>
            <w:tcBorders>
              <w:bottom w:val="single" w:sz="4" w:space="0" w:color="000000"/>
              <w:right w:val="single" w:sz="4" w:space="0" w:color="000000"/>
            </w:tcBorders>
            <w:shd w:val="clear" w:color="auto" w:fill="FFF7ED"/>
          </w:tcPr>
          <w:p w14:paraId="47DCF2B8"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3,07± 0,99</w:t>
            </w:r>
          </w:p>
        </w:tc>
        <w:tc>
          <w:tcPr>
            <w:tcW w:w="1285" w:type="dxa"/>
            <w:tcBorders>
              <w:bottom w:val="single" w:sz="4" w:space="0" w:color="000000"/>
              <w:right w:val="single" w:sz="4" w:space="0" w:color="000000"/>
            </w:tcBorders>
            <w:shd w:val="clear" w:color="auto" w:fill="FFF7ED"/>
          </w:tcPr>
          <w:p w14:paraId="025858B6"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3,40± 0,84</w:t>
            </w:r>
          </w:p>
        </w:tc>
        <w:tc>
          <w:tcPr>
            <w:tcW w:w="828" w:type="dxa"/>
            <w:tcBorders>
              <w:bottom w:val="single" w:sz="4" w:space="0" w:color="000000"/>
              <w:right w:val="single" w:sz="4" w:space="0" w:color="000000"/>
            </w:tcBorders>
            <w:shd w:val="clear" w:color="auto" w:fill="FFF7ED"/>
          </w:tcPr>
          <w:p w14:paraId="124FE5C2" w14:textId="77777777" w:rsidR="003C7C22" w:rsidRDefault="003C7C22" w:rsidP="00B57F2E">
            <w:pPr>
              <w:pStyle w:val="LO-normal"/>
              <w:widowControl w:val="0"/>
              <w:spacing w:after="86" w:line="240" w:lineRule="auto"/>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0,01*</w:t>
            </w:r>
          </w:p>
        </w:tc>
        <w:tc>
          <w:tcPr>
            <w:tcW w:w="1309" w:type="dxa"/>
            <w:tcBorders>
              <w:bottom w:val="single" w:sz="4" w:space="0" w:color="000000"/>
              <w:right w:val="single" w:sz="4" w:space="0" w:color="000000"/>
            </w:tcBorders>
            <w:shd w:val="clear" w:color="auto" w:fill="E3F2FF"/>
          </w:tcPr>
          <w:p w14:paraId="1E2DFA5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3,26 ± 1,03</w:t>
            </w:r>
          </w:p>
        </w:tc>
        <w:tc>
          <w:tcPr>
            <w:tcW w:w="1343" w:type="dxa"/>
            <w:tcBorders>
              <w:bottom w:val="single" w:sz="4" w:space="0" w:color="000000"/>
              <w:right w:val="single" w:sz="4" w:space="0" w:color="000000"/>
            </w:tcBorders>
            <w:shd w:val="clear" w:color="auto" w:fill="E3F2FF"/>
          </w:tcPr>
          <w:p w14:paraId="64E9317E"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3,10 ± 0,75</w:t>
            </w:r>
          </w:p>
        </w:tc>
        <w:tc>
          <w:tcPr>
            <w:tcW w:w="1085" w:type="dxa"/>
            <w:tcBorders>
              <w:bottom w:val="single" w:sz="4" w:space="0" w:color="000000"/>
              <w:right w:val="single" w:sz="4" w:space="0" w:color="000000"/>
            </w:tcBorders>
            <w:shd w:val="clear" w:color="auto" w:fill="E3F2FF"/>
          </w:tcPr>
          <w:p w14:paraId="611CABD4" w14:textId="77777777" w:rsidR="003C7C22" w:rsidRDefault="003C7C22" w:rsidP="00B57F2E">
            <w:pPr>
              <w:pStyle w:val="LO-normal"/>
              <w:widowControl w:val="0"/>
              <w:spacing w:after="86"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0,55</w:t>
            </w:r>
          </w:p>
        </w:tc>
      </w:tr>
    </w:tbl>
    <w:p w14:paraId="207636FF" w14:textId="77777777" w:rsidR="003C7C22" w:rsidRDefault="003C7C22" w:rsidP="007E0A7E">
      <w:pPr>
        <w:pStyle w:val="LO-normal"/>
        <w:spacing w:after="0" w:line="240" w:lineRule="auto"/>
        <w:ind w:firstLine="567"/>
        <w:jc w:val="both"/>
        <w:rPr>
          <w:rFonts w:ascii="Times New Roman" w:hAnsi="Times New Roman" w:cs="Times New Roman"/>
          <w:color w:val="000000" w:themeColor="text1"/>
          <w:sz w:val="28"/>
          <w:szCs w:val="28"/>
          <w:lang w:bidi="ar-SA"/>
        </w:rPr>
      </w:pPr>
    </w:p>
    <w:p w14:paraId="6BAFAA56" w14:textId="4B27ECF3" w:rsidR="007E0A7E" w:rsidRDefault="007E0A7E" w:rsidP="007E0A7E">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Анализ лабораторных данных 150 пациентов с неклапанной фибрилляцией предсердий выявил ряд значимых различий, как между полами, так и между возрастными группами (</w:t>
      </w:r>
      <w:r w:rsidRPr="007E0A7E">
        <w:rPr>
          <w:rFonts w:ascii="Times New Roman" w:hAnsi="Times New Roman" w:cs="Times New Roman"/>
          <w:color w:val="000000" w:themeColor="text1"/>
          <w:sz w:val="28"/>
          <w:szCs w:val="28"/>
          <w:lang w:bidi="ar-SA"/>
        </w:rPr>
        <w:t xml:space="preserve">&lt;65 </w:t>
      </w:r>
      <w:r>
        <w:rPr>
          <w:rFonts w:ascii="Times New Roman" w:hAnsi="Times New Roman" w:cs="Times New Roman"/>
          <w:color w:val="000000" w:themeColor="text1"/>
          <w:sz w:val="28"/>
          <w:szCs w:val="28"/>
          <w:lang w:bidi="ar-SA"/>
        </w:rPr>
        <w:t xml:space="preserve">и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65 лет). Средний уровень гемоглобина составил 141,0</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14,5 г/л, эритроцитов 4,77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0,66х10</w:t>
      </w:r>
      <w:r w:rsidRPr="007E0A7E">
        <w:rPr>
          <w:rFonts w:ascii="Times New Roman" w:hAnsi="Times New Roman" w:cs="Times New Roman"/>
          <w:color w:val="000000" w:themeColor="text1"/>
          <w:sz w:val="28"/>
          <w:szCs w:val="28"/>
          <w:vertAlign w:val="superscript"/>
          <w:lang w:bidi="ar-SA"/>
        </w:rPr>
        <w:t>12</w:t>
      </w:r>
      <w:r>
        <w:rPr>
          <w:rFonts w:ascii="Times New Roman" w:hAnsi="Times New Roman" w:cs="Times New Roman"/>
          <w:color w:val="000000" w:themeColor="text1"/>
          <w:sz w:val="28"/>
          <w:szCs w:val="28"/>
          <w:lang w:bidi="ar-SA"/>
        </w:rPr>
        <w:t>/л, тромбоцитов 255,7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59,1х10</w:t>
      </w:r>
      <w:r w:rsidRPr="007E0A7E">
        <w:rPr>
          <w:rFonts w:ascii="Times New Roman" w:hAnsi="Times New Roman" w:cs="Times New Roman"/>
          <w:color w:val="000000" w:themeColor="text1"/>
          <w:sz w:val="28"/>
          <w:szCs w:val="28"/>
          <w:vertAlign w:val="superscript"/>
          <w:lang w:bidi="ar-SA"/>
        </w:rPr>
        <w:t>9</w:t>
      </w:r>
      <w:r>
        <w:rPr>
          <w:rFonts w:ascii="Times New Roman" w:hAnsi="Times New Roman" w:cs="Times New Roman"/>
          <w:color w:val="000000" w:themeColor="text1"/>
          <w:sz w:val="28"/>
          <w:szCs w:val="28"/>
          <w:lang w:bidi="ar-SA"/>
        </w:rPr>
        <w:t>/л, лейкоцитов 6,37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1,76х10</w:t>
      </w:r>
      <w:r w:rsidRPr="007E0A7E">
        <w:rPr>
          <w:rFonts w:ascii="Times New Roman" w:hAnsi="Times New Roman" w:cs="Times New Roman"/>
          <w:color w:val="000000" w:themeColor="text1"/>
          <w:sz w:val="28"/>
          <w:szCs w:val="28"/>
          <w:vertAlign w:val="superscript"/>
          <w:lang w:bidi="ar-SA"/>
        </w:rPr>
        <w:t>9</w:t>
      </w:r>
      <w:r>
        <w:rPr>
          <w:rFonts w:ascii="Times New Roman" w:hAnsi="Times New Roman" w:cs="Times New Roman"/>
          <w:color w:val="000000" w:themeColor="text1"/>
          <w:sz w:val="28"/>
          <w:szCs w:val="28"/>
          <w:lang w:bidi="ar-SA"/>
        </w:rPr>
        <w:t>/л. Креатинин находился в пределах нормы (0,88</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0,17 мг/дл), МНО 1,04</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0,21, АЛТ 21,4</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9,66Ед/л и АСТ 21,3</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8:73Ед/л (в пределах референсных значений). Фибриноген 3,20</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0,95г/л. Гендерные различия в лабораторных анализах: гемоглобин и эритроциты у мужчин были достоверно выше: 146,6</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12,3г/л против 132,7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13,4г/л (р=0,001) и 5,0</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0,71 против 4,63</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0,52х10</w:t>
      </w:r>
      <w:r w:rsidRPr="007E0A7E">
        <w:rPr>
          <w:rFonts w:ascii="Times New Roman" w:hAnsi="Times New Roman" w:cs="Times New Roman"/>
          <w:color w:val="000000" w:themeColor="text1"/>
          <w:sz w:val="28"/>
          <w:szCs w:val="28"/>
          <w:vertAlign w:val="superscript"/>
          <w:lang w:bidi="ar-SA"/>
        </w:rPr>
        <w:t>12</w:t>
      </w:r>
      <w:r>
        <w:rPr>
          <w:rFonts w:ascii="Times New Roman" w:hAnsi="Times New Roman" w:cs="Times New Roman"/>
          <w:color w:val="000000" w:themeColor="text1"/>
          <w:sz w:val="28"/>
          <w:szCs w:val="28"/>
          <w:lang w:bidi="ar-SA"/>
        </w:rPr>
        <w:t>/л (р=0,31). Эти различия отражают физиологическую норму и подтверждаются данными исследований</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{"citationID":"GC886AmH","properties":{"unsorted":false,"formattedCitation":"[240,241]","plainCitation":"[240,241]","noteIndex":0},"citationItems":[{"id":31,"uris":["http://zotero.org/users/14784094/items/CGL5GA7D"],"itemData":{"id":31,"type":"article-journal","abstract":"Red blood cell (RBC) deformability is an important determinant of the microcirculation. It is influenced by various hematological parameters but also by nitric oxide (NO) which is produced in RBC from L-arginine by RBC-NO synthase. Longitudinal studies on blood profile, deformability at rest and NO levels but also differences between males and females (±hormonal contraception; HC) are less known so far. The study thus aimed to investigate RBC deformability, RBC NO species (nitrite, RxNO), RBC L-arginine concentration and basal blood parameters in males and females (±HC) as a function of time. RBC deformability was measured at rest once per week and the remaining parameters were measured once per month, respectively. A second experiment aimed to daily measure RBC deformability and 17β-estradiol in Female ± HC during a whole menstruation cycle to investigate a possible relation of the two parameters. Measured parameters showed low week-to-week variation and remained constant during study period. However, RBC deformability increased in Female + HC during study period possibly because of increasing training volume of the participants. Overall, results indicate gender differences in hematological parameters with higher RBC parameters (RBC count, hematocrit, hemoglobin concentration) in males compared to females. Differences were also observed between the female groups with Females - HC showing lower number of RBC but higher MCV and hematocrit compared to Females + HC. RBC deformability was highest in Females - HC which might be related to permanent higher estradiol levels and/or higher RBC NO levels because RBC nitrite and RBC RxNO concentrations were also highest in Females-HC. Results of the second experiment also suggest higher RBC deformability in Female - HC because of higher estradiol concentrations. L-arginine levels known to be related to RBC NO production were comparable in all groups. In conclusion, hematological, hemorheological and NO related parameters show gender differences. In particular, RBC deformability is affected by training volume and RBC estradiol concentrations. The results add new information on the complex regulation of RBC function which might help to better understand the role of RBC in the microcirculation.","container-title":"Frontiers in Physiology","DOI":"10.3389/fphys.2018.01835","ISSN":"1664-042X","journalAbbreviation":"Front Physiol","language":"eng","page":"1835","PMID":"30618840","PMCID":"PMC6305760","source":"PubMed","title":"Comparisons of Blood Parameters, Red Blood Cell Deformability and Circulating Nitric Oxide Between Males and Females Considering Hormonal Contraception: A Longitudinal Gender Study","title-short":"Comparisons of Blood Parameters, Red Blood Cell Deformability and Circulating Nitric Oxide Between Males and Females Considering Hormonal Contraception","volume":"9","author":[{"family":"Grau","given":"Marijke"},{"family":"Cremer","given":"John Maxwell"},{"family":"Schmeichel","given":"Steffen"},{"family":"Kunkel","given":"Markus"},{"family":"Bloch","given":"Wilhelm"}],"issued":{"date-parts":[["2018"]]}}},{"id":30,"uris":["http://zotero.org/users/14784094/items/PL7X6VXS"],"itemData":{"id":30,"type":"article-journal","abstract":"Men and women have different mean haemoglobin levels in health in venous blood - women have mean levels approximately 12% lower than men. A similar sex-related difference in haemoglobin levels in adult animals is found in many species of mammals, birds and reptiles, indicating that it is an important physiological phenomenon. It is probably a direct effect of sex hormones, both oestrogen and androgens, on erythropoiesis. However, since there is no difference in erythropoietin levels between the sexes, this effect most likely takes place in the kidney, rather than in the bone marrow. Oestrogens dilate and androgens constrict the renal microvasculature: dilation and vasoconstriction in vessels below 300 μm in diameter respectively increase and decrease the haematocrit in blood in arterioles, capillaries and venules, altering the oxygen delivery per unit red cell mass, and providing a mechanism for varying the red cell mass without compensatory changes in erythropoiesis.","container-title":"Blood Reviews","DOI":"10.1016/j.blre.2013.12.003","ISSN":"1532-1681","issue":"2","journalAbbreviation":"Blood Rev","language":"eng","page":"41-47","PMID":"24491804","source":"PubMed","title":"The sex difference in haemoglobin levels in adults - mechanisms, causes, and consequences","volume":"28","author":[{"family":"Murphy","given":"William G."}],"issued":{"date-parts":[["2014",3]]}}}],"schema":"https://github.com/citation-style-language/schema/raw/master/csl-citation.json"}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[240,241]</w:t>
      </w:r>
      <w:r>
        <w:rPr>
          <w:rFonts w:ascii="Times New Roman" w:hAnsi="Times New Roman" w:cs="Times New Roman"/>
          <w:color w:val="000000" w:themeColor="text1"/>
          <w:sz w:val="28"/>
          <w:szCs w:val="28"/>
          <w:lang w:bidi="ar-SA"/>
        </w:rPr>
        <w:fldChar w:fldCharType="end"/>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Креатинин также оказался выше у мужчин (0,93</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0,16 против 0,79</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0,15 мг/дл, р=0,001), что может отражать различия в мышечной массе</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RafiHbyj","properties":{"unsorted":false,"formattedCitation":"[242,243]","plainCitation":"[242,243]","noteIndex":0},"citationItems":[{"id":32,"uris":["http://zotero.org/users/14784094/items/MBANC243"],"itemData":{"id":32,"type":"article-journal","abstract":"BACKGROUND: Women have lower serum creatinine values than men for similar renal function.\nAIMS: We aimed to determine the differential effect of baseline, peak, and delta creatinine between genders on outcomes in infected hospitalized cirrhotic patients.\nMETHODS: North American Consortium for the Study of End-Stage Liver Disease is a 15-center consortium of tertiary care hepatology centers prospectively enrolling infected cirrhotic inpatients. Baseline, peak, and delta creatinine during hospitalization were compared between genders, and their impact on overall survival, transplant-free survival, probability of transplantation, and need for renal replacement therapy (RRT) was analyzed.\nRESULTS: In total, 532 patients with cirrhosis (males = 59% median admission MELD = 20) had significantly lower median baseline (1.07 vs. 1.30 mg/dL, p &lt; 0.0001) and peak creatinine (1.47 vs. 1.59 mg/dL, p = 0.024) in women than men during hospitalization for an infection, but both genders had similar delta creatinine levels (0.30 vs. 0.30 mg/dL, p = 0.957). Thirty-day mortality was similar between genders. RRT was not used more often in women (19 vs. 12%, p = 0.050), and women were 1.8 times more likely than men to receive RRT at the same creatinine (p = 0.028). Both peak and delta creatinine significantly predicted 6-month overall and transplant-free survival (p &lt; 0.0001), but the probability of liver transplantation was affected by the interaction between gender and both peak and delta creatinine.\nCONCLUSIONS: Infected hospitalized cirrhotic women are significantly more likely than men to receive RRT at similar creatinine levels. Gender-specific differences in baseline, peak, and delta creatinine need further investigation to determine whether women need acute kidney injury treatment at lower creatinine thresholds than men.","container-title":"Digestive Diseases and Sciences","DOI":"10.1007/s10620-016-4416-7","ISSN":"1573-2568","issue":"3","journalAbbreviation":"Dig Dis Sci","language":"eng","page":"768-776","PMID":"28025746","source":"PubMed","title":"Gender-Specific Differences in Baseline, Peak, and Delta Serum Creatinine: The NACSELD Experience","title-short":"Gender-Specific Differences in Baseline, Peak, and Delta Serum Creatinine","volume":"62","author":[{"family":"O'Leary","given":"Jacqueline G."},{"family":"Wong","given":"Florence"},{"family":"Reddy","given":"K. Rajender"},{"family":"Garcia-Tsao","given":"Guadalupe"},{"family":"Kamath","given":"Patrick S."},{"family":"Biggins","given":"Scott W."},{"family":"Fallon","given":"Michael B."},{"family":"Subramanian","given":"Ram M."},{"family":"Maliakkal","given":"B."},{"family":"Thacker","given":"Leroy"},{"family":"Bajaj","given":"Jasmohan S."}],"issued":{"date-parts":[["2017",3]]}}},{"id":33,"uris":["http://zotero.org/users/14784094/items/R9N3LYC8"],"itemData":{"id":33,"type":"article-journal","abstract":"Background\nThe recent evaluation of the Chronic Kidney Disease Epidemiology Collaboration (CKD-EPI) equation for estimating the glomerular filtration rate (GFR) in multiple ethnicities has raised the question on how well this equation performs for African-American and Asian subjects. There is no doubt that serum creatinine (Scr) concentration differs between ethnicities and sexes. We show that creatinine-based equations for white populations may be inaccurate for estimating GFR in other ethnic/gender groups, especially in populations from Asia.\nMethods\nThis study presents a mathematical analysis of the CKD-EPI-equation complemented with a literature review of median and reference values for IDMS-standardized Scr-concentrations for multiple ethnicities.\nResults\nThe study shows that at equal eGFR-CKD-EPI-values, the ratio of Scr between females and males equals 0.79 and between other ethnicities/sexes and white males is constant too. From this information, it is possible to calculate mean Scr-values that correspond very well with literature values directly obtained from Scr-distributions in healthy white males and females and in black males, but the discrepancy is larger for other populations.\nConclusions\nOur results confirm the criticism that has been raised for using the CKD-EPI-equation for these ethnicities. An alternative eGFR-model is proposed based on a population-normalized Scr that needs further validation.","container-title":"Clinica Chimica Acta","DOI":"10.1016/j.cca.2012.04.034","ISSN":"0009-8981","issue":"19","journalAbbreviation":"Clinica Chimica Acta","page":"1612-1617","source":"ScienceDirect","title":"Demystifying ethnic/sex differences in kidney function: Is the difference in (estimating) glomerular filtration rate or in serum creatinine concentration?","title-short":"Demystifying ethnic/sex differences in kidney function","volume":"413","author":[{"family":"Pottel","given":"Hans"},{"family":"Hoste","given":"Liesbeth"},{"family":"Delanaye","given":"Pierre"},{"family":"Cavalier","given":"Etienne"},{"family":"Martens","given":"Frank"}],"issued":{"date-parts":[["2012",10,9]]}}}],"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[242,243]</w:t>
      </w:r>
      <w:r>
        <w:rPr>
          <w:rFonts w:ascii="Times New Roman" w:hAnsi="Times New Roman" w:cs="Times New Roman"/>
          <w:color w:val="000000" w:themeColor="text1"/>
          <w:sz w:val="28"/>
          <w:szCs w:val="28"/>
          <w:lang w:bidi="ar-SA"/>
        </w:rPr>
        <w:fldChar w:fldCharType="end"/>
      </w:r>
      <w:r>
        <w:rPr>
          <w:rFonts w:ascii="Times New Roman" w:hAnsi="Times New Roman" w:cs="Times New Roman"/>
          <w:color w:val="000000" w:themeColor="text1"/>
          <w:sz w:val="28"/>
          <w:szCs w:val="28"/>
          <w:lang w:bidi="ar-SA"/>
        </w:rPr>
        <w:t xml:space="preserve">, однако при расчете СКФ по формуле </w:t>
      </w:r>
      <w:r>
        <w:rPr>
          <w:rFonts w:ascii="Times New Roman" w:hAnsi="Times New Roman" w:cs="Times New Roman"/>
          <w:color w:val="000000" w:themeColor="text1"/>
          <w:sz w:val="28"/>
          <w:szCs w:val="28"/>
          <w:lang w:val="en-US" w:bidi="ar-SA"/>
        </w:rPr>
        <w:t>CKD</w:t>
      </w:r>
      <w:r w:rsidRPr="007E0A7E">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EPI</w:t>
      </w:r>
      <w:r>
        <w:rPr>
          <w:rFonts w:ascii="Times New Roman" w:hAnsi="Times New Roman" w:cs="Times New Roman"/>
          <w:color w:val="000000" w:themeColor="text1"/>
          <w:sz w:val="28"/>
          <w:szCs w:val="28"/>
          <w:lang w:bidi="ar-SA"/>
        </w:rPr>
        <w:t xml:space="preserve"> гендерные различия нивелируются.</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Уровень фибриногена у женщин был выше (3,40</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0,84 г/л против 3,07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0,99 г/л у мужчин, р=0,01). Другие показатели, включая лейкоциты, билирубин, трансаминазы, МНО и ПТИ, не различались между полами (р</w:t>
      </w:r>
      <w:r w:rsidRPr="007E0A7E">
        <w:rPr>
          <w:rFonts w:ascii="Times New Roman" w:hAnsi="Times New Roman" w:cs="Times New Roman"/>
          <w:color w:val="000000" w:themeColor="text1"/>
          <w:sz w:val="28"/>
          <w:szCs w:val="28"/>
          <w:lang w:bidi="ar-SA"/>
        </w:rPr>
        <w:t>&gt;</w:t>
      </w:r>
      <w:r>
        <w:rPr>
          <w:rFonts w:ascii="Times New Roman" w:hAnsi="Times New Roman" w:cs="Times New Roman"/>
          <w:color w:val="000000" w:themeColor="text1"/>
          <w:sz w:val="28"/>
          <w:szCs w:val="28"/>
          <w:lang w:bidi="ar-SA"/>
        </w:rPr>
        <w:t xml:space="preserve">0,05). Возрастные различия: уровень гемоглобина и эритроцитов был достоверно ниже у пациентов </w:t>
      </w:r>
      <w:r>
        <w:rPr>
          <w:rFonts w:ascii="Times New Roman" w:hAnsi="Times New Roman" w:cs="Times New Roman"/>
          <w:color w:val="000000" w:themeColor="text1"/>
          <w:sz w:val="28"/>
          <w:szCs w:val="28"/>
          <w:lang w:val="en-US" w:bidi="ar-SA"/>
        </w:rPr>
        <w:sym w:font="Symbol" w:char="F0B3"/>
      </w:r>
      <w:r w:rsidRPr="007E0A7E">
        <w:rPr>
          <w:rFonts w:ascii="Times New Roman" w:hAnsi="Times New Roman" w:cs="Times New Roman"/>
          <w:color w:val="000000" w:themeColor="text1"/>
          <w:sz w:val="28"/>
          <w:szCs w:val="28"/>
          <w:lang w:bidi="ar-SA"/>
        </w:rPr>
        <w:t xml:space="preserve">65 </w:t>
      </w:r>
      <w:r>
        <w:rPr>
          <w:rFonts w:ascii="Times New Roman" w:hAnsi="Times New Roman" w:cs="Times New Roman"/>
          <w:color w:val="000000" w:themeColor="text1"/>
          <w:sz w:val="28"/>
          <w:szCs w:val="28"/>
          <w:lang w:bidi="ar-SA"/>
        </w:rPr>
        <w:t>лет (133,6</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12,9 г/л и 4,6</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0,51х10</w:t>
      </w:r>
      <w:r w:rsidRPr="007E0A7E">
        <w:rPr>
          <w:rFonts w:ascii="Times New Roman" w:hAnsi="Times New Roman" w:cs="Times New Roman"/>
          <w:color w:val="000000" w:themeColor="text1"/>
          <w:sz w:val="28"/>
          <w:szCs w:val="28"/>
          <w:vertAlign w:val="superscript"/>
          <w:lang w:bidi="ar-SA"/>
        </w:rPr>
        <w:t>12</w:t>
      </w:r>
      <w:r>
        <w:rPr>
          <w:rFonts w:ascii="Times New Roman" w:hAnsi="Times New Roman" w:cs="Times New Roman"/>
          <w:color w:val="000000" w:themeColor="text1"/>
          <w:sz w:val="28"/>
          <w:szCs w:val="28"/>
          <w:lang w:bidi="ar-SA"/>
        </w:rPr>
        <w:t xml:space="preserve">/л) по сравнению с </w:t>
      </w:r>
      <w:r w:rsidRPr="007E0A7E">
        <w:rPr>
          <w:rFonts w:ascii="Times New Roman" w:hAnsi="Times New Roman" w:cs="Times New Roman"/>
          <w:color w:val="000000" w:themeColor="text1"/>
          <w:sz w:val="28"/>
          <w:szCs w:val="28"/>
          <w:lang w:bidi="ar-SA"/>
        </w:rPr>
        <w:t>&lt;65</w:t>
      </w:r>
      <w:r>
        <w:rPr>
          <w:rFonts w:ascii="Times New Roman" w:hAnsi="Times New Roman" w:cs="Times New Roman"/>
          <w:color w:val="000000" w:themeColor="text1"/>
          <w:sz w:val="28"/>
          <w:szCs w:val="28"/>
          <w:lang w:bidi="ar-SA"/>
        </w:rPr>
        <w:t>лет (144,8</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13,8 г/л и 4,85</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0,71х10</w:t>
      </w:r>
      <w:r w:rsidRPr="007E0A7E">
        <w:rPr>
          <w:rFonts w:ascii="Times New Roman" w:hAnsi="Times New Roman" w:cs="Times New Roman"/>
          <w:color w:val="000000" w:themeColor="text1"/>
          <w:sz w:val="28"/>
          <w:szCs w:val="28"/>
          <w:vertAlign w:val="superscript"/>
          <w:lang w:bidi="ar-SA"/>
        </w:rPr>
        <w:t>12</w:t>
      </w:r>
      <w:r>
        <w:rPr>
          <w:rFonts w:ascii="Times New Roman" w:hAnsi="Times New Roman" w:cs="Times New Roman"/>
          <w:color w:val="000000" w:themeColor="text1"/>
          <w:sz w:val="28"/>
          <w:szCs w:val="28"/>
          <w:lang w:bidi="ar-SA"/>
        </w:rPr>
        <w:t>/л), р=0,001-0,002. Средний уровень тромбоцитов у пациентов старшей возрастной группы (</w:t>
      </w:r>
      <w:r>
        <w:rPr>
          <w:rFonts w:ascii="Times New Roman" w:hAnsi="Times New Roman" w:cs="Times New Roman"/>
          <w:color w:val="000000" w:themeColor="text1"/>
          <w:sz w:val="28"/>
          <w:szCs w:val="28"/>
          <w:lang w:bidi="ar-SA"/>
        </w:rPr>
        <w:sym w:font="Symbol" w:char="F0B3"/>
      </w:r>
      <w:r>
        <w:rPr>
          <w:rFonts w:ascii="Times New Roman" w:hAnsi="Times New Roman" w:cs="Times New Roman"/>
          <w:color w:val="000000" w:themeColor="text1"/>
          <w:sz w:val="28"/>
          <w:szCs w:val="28"/>
          <w:lang w:bidi="ar-SA"/>
        </w:rPr>
        <w:t>65 лет) оказался ниже по сравнению с более молодыми пациентами – 243,7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59,9 против 261,7</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58х10</w:t>
      </w:r>
      <w:r w:rsidRPr="007E0A7E">
        <w:rPr>
          <w:rFonts w:ascii="Times New Roman" w:hAnsi="Times New Roman" w:cs="Times New Roman"/>
          <w:color w:val="000000" w:themeColor="text1"/>
          <w:sz w:val="28"/>
          <w:szCs w:val="28"/>
          <w:vertAlign w:val="superscript"/>
          <w:lang w:bidi="ar-SA"/>
        </w:rPr>
        <w:t>9</w:t>
      </w:r>
      <w:r>
        <w:rPr>
          <w:rFonts w:ascii="Times New Roman" w:hAnsi="Times New Roman" w:cs="Times New Roman"/>
          <w:color w:val="000000" w:themeColor="text1"/>
          <w:sz w:val="28"/>
          <w:szCs w:val="28"/>
          <w:lang w:bidi="ar-SA"/>
        </w:rPr>
        <w:t>/л соответственно (р=0,04). Величина МНО была статистически значимо выше у пациентов в возрасте 65 лет и старше – 1,1</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0,27 против 1,02</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0,17 у более молодых участников (р=0,03). По другим биомаркерам (АЛТ, АСТ, билирубин, ПТИ, АЧТВ) достоверных различий выявлено не было (р</w:t>
      </w:r>
      <w:r w:rsidRPr="007E0A7E">
        <w:rPr>
          <w:rFonts w:ascii="Times New Roman" w:hAnsi="Times New Roman" w:cs="Times New Roman"/>
          <w:color w:val="000000" w:themeColor="text1"/>
          <w:sz w:val="28"/>
          <w:szCs w:val="28"/>
          <w:lang w:bidi="ar-SA"/>
        </w:rPr>
        <w:t>&gt;</w:t>
      </w:r>
      <w:r>
        <w:rPr>
          <w:rFonts w:ascii="Times New Roman" w:hAnsi="Times New Roman" w:cs="Times New Roman"/>
          <w:color w:val="000000" w:themeColor="text1"/>
          <w:sz w:val="28"/>
          <w:szCs w:val="28"/>
          <w:lang w:bidi="ar-SA"/>
        </w:rPr>
        <w:t>0,05), что говорит о стабильности печеночной и коагуляционной функции вне зависимости от возраста в данной выборке.</w:t>
      </w:r>
    </w:p>
    <w:p w14:paraId="1FA97E0F" w14:textId="77777777" w:rsidR="007E0A7E" w:rsidRDefault="007E0A7E" w:rsidP="007E0A7E">
      <w:pPr>
        <w:pStyle w:val="LO-normal"/>
        <w:spacing w:after="0" w:line="240" w:lineRule="auto"/>
        <w:ind w:firstLine="567"/>
        <w:jc w:val="both"/>
        <w:rPr>
          <w:rFonts w:ascii="Times New Roman" w:hAnsi="Times New Roman" w:cs="Times New Roman"/>
          <w:color w:val="000000" w:themeColor="text1"/>
          <w:sz w:val="28"/>
          <w:szCs w:val="28"/>
          <w:lang w:bidi="ar-SA"/>
        </w:rPr>
      </w:pPr>
    </w:p>
    <w:p w14:paraId="29563A3E" w14:textId="65428C6E" w:rsidR="007E0A7E" w:rsidRDefault="003C7C22" w:rsidP="007E0A7E">
      <w:pPr>
        <w:pStyle w:val="LO-normal"/>
        <w:spacing w:after="0" w:line="240" w:lineRule="auto"/>
        <w:ind w:firstLine="567"/>
        <w:jc w:val="both"/>
        <w:rPr>
          <w:rFonts w:ascii="Times New Roman" w:hAnsi="Times New Roman" w:cs="Times New Roman"/>
          <w:b/>
          <w:bCs/>
          <w:color w:val="000000" w:themeColor="text1"/>
          <w:sz w:val="28"/>
          <w:szCs w:val="28"/>
          <w:lang w:bidi="ar-SA"/>
        </w:rPr>
      </w:pPr>
      <w:r>
        <w:rPr>
          <w:rFonts w:ascii="Times New Roman" w:eastAsia="Times New Roman" w:hAnsi="Times New Roman" w:cs="Times New Roman"/>
          <w:noProof/>
          <w:sz w:val="28"/>
          <w:szCs w:val="28"/>
          <w:lang w:eastAsia="ru-RU" w:bidi="ar-SA"/>
        </w:rPr>
        <w:drawing>
          <wp:anchor distT="0" distB="0" distL="114300" distR="114300" simplePos="0" relativeHeight="251682816" behindDoc="0" locked="0" layoutInCell="0" allowOverlap="1" wp14:anchorId="12AF0659" wp14:editId="6A6977F5">
            <wp:simplePos x="0" y="0"/>
            <wp:positionH relativeFrom="column">
              <wp:posOffset>141605</wp:posOffset>
            </wp:positionH>
            <wp:positionV relativeFrom="paragraph">
              <wp:posOffset>2886333</wp:posOffset>
            </wp:positionV>
            <wp:extent cx="5298440" cy="2552700"/>
            <wp:effectExtent l="0" t="0" r="0" b="0"/>
            <wp:wrapSquare wrapText="bothSides"/>
            <wp:docPr id="13" name="Image16" descr="Изображение выглядит как текст, линия,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6" descr="Изображение выглядит как текст, линия, диаграмма, Шрифт&#10;&#10;Содержимое, созданное искусственным интеллектом, может быть неверным."/>
                    <pic:cNvPicPr>
                      <a:picLocks noChangeAspect="1" noChangeArrowheads="1"/>
                    </pic:cNvPicPr>
                  </pic:nvPicPr>
                  <pic:blipFill>
                    <a:blip r:embed="rId28"/>
                    <a:srcRect b="1601"/>
                    <a:stretch>
                      <a:fillRect/>
                    </a:stretch>
                  </pic:blipFill>
                  <pic:spPr bwMode="auto">
                    <a:xfrm>
                      <a:off x="0" y="0"/>
                      <a:ext cx="5298440" cy="2552700"/>
                    </a:xfrm>
                    <a:prstGeom prst="rect">
                      <a:avLst/>
                    </a:prstGeom>
                  </pic:spPr>
                </pic:pic>
              </a:graphicData>
            </a:graphic>
            <wp14:sizeRelV relativeFrom="margin">
              <wp14:pctHeight>0</wp14:pctHeight>
            </wp14:sizeRelV>
          </wp:anchor>
        </w:drawing>
      </w:r>
      <w:r>
        <w:rPr>
          <w:rFonts w:ascii="Times New Roman" w:eastAsia="Times New Roman" w:hAnsi="Times New Roman" w:cs="Times New Roman"/>
          <w:noProof/>
          <w:sz w:val="28"/>
          <w:szCs w:val="28"/>
          <w:lang w:eastAsia="ru-RU" w:bidi="ar-SA"/>
        </w:rPr>
        <w:drawing>
          <wp:anchor distT="0" distB="0" distL="114300" distR="114300" simplePos="0" relativeHeight="251681792" behindDoc="0" locked="0" layoutInCell="0" allowOverlap="1" wp14:anchorId="590933C7" wp14:editId="7CCDF34F">
            <wp:simplePos x="0" y="0"/>
            <wp:positionH relativeFrom="column">
              <wp:posOffset>41910</wp:posOffset>
            </wp:positionH>
            <wp:positionV relativeFrom="paragraph">
              <wp:posOffset>451485</wp:posOffset>
            </wp:positionV>
            <wp:extent cx="5704840" cy="2308225"/>
            <wp:effectExtent l="0" t="0" r="0" b="3175"/>
            <wp:wrapTopAndBottom/>
            <wp:docPr id="12" name="Image15"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29"/>
                    <a:srcRect r="888" b="1834"/>
                    <a:stretch>
                      <a:fillRect/>
                    </a:stretch>
                  </pic:blipFill>
                  <pic:spPr bwMode="auto">
                    <a:xfrm>
                      <a:off x="0" y="0"/>
                      <a:ext cx="5704840" cy="2308225"/>
                    </a:xfrm>
                    <a:prstGeom prst="rect">
                      <a:avLst/>
                    </a:prstGeom>
                  </pic:spPr>
                </pic:pic>
              </a:graphicData>
            </a:graphic>
            <wp14:sizeRelV relativeFrom="margin">
              <wp14:pctHeight>0</wp14:pctHeight>
            </wp14:sizeRelV>
          </wp:anchor>
        </w:drawing>
      </w:r>
      <w:r w:rsidR="007E0A7E" w:rsidRPr="007E0A7E">
        <w:rPr>
          <w:rFonts w:ascii="Times New Roman" w:hAnsi="Times New Roman" w:cs="Times New Roman"/>
          <w:b/>
          <w:bCs/>
          <w:color w:val="000000" w:themeColor="text1"/>
          <w:sz w:val="28"/>
          <w:szCs w:val="28"/>
          <w:lang w:bidi="ar-SA"/>
        </w:rPr>
        <w:t>3.2 Фармакокинетические параметры дабигатрана и апиксабана у пациентов с ФП</w:t>
      </w:r>
    </w:p>
    <w:p w14:paraId="46D0D82F" w14:textId="5C92B578" w:rsidR="003C7C22" w:rsidRPr="007E0A7E" w:rsidRDefault="003C7C22" w:rsidP="003C7C22">
      <w:pPr>
        <w:pStyle w:val="LO-normal"/>
        <w:spacing w:after="0" w:line="240" w:lineRule="auto"/>
        <w:jc w:val="both"/>
        <w:rPr>
          <w:rFonts w:ascii="Times New Roman" w:hAnsi="Times New Roman" w:cs="Times New Roman"/>
          <w:b/>
          <w:bCs/>
          <w:color w:val="000000" w:themeColor="text1"/>
          <w:sz w:val="28"/>
          <w:szCs w:val="28"/>
          <w:lang w:bidi="ar-SA"/>
        </w:rPr>
      </w:pPr>
    </w:p>
    <w:p w14:paraId="3B10581C" w14:textId="7D10FF83" w:rsidR="007E0A7E" w:rsidRDefault="007E0A7E" w:rsidP="007E0A7E">
      <w:pPr>
        <w:pStyle w:val="LO-normal"/>
        <w:spacing w:after="0" w:line="240" w:lineRule="auto"/>
        <w:ind w:firstLine="567"/>
        <w:jc w:val="both"/>
        <w:rPr>
          <w:rFonts w:ascii="Times New Roman" w:hAnsi="Times New Roman" w:cs="Times New Roman"/>
          <w:color w:val="000000" w:themeColor="text1"/>
          <w:sz w:val="28"/>
          <w:szCs w:val="28"/>
          <w:lang w:bidi="ar-SA"/>
        </w:rPr>
      </w:pPr>
      <w:r w:rsidRPr="003C7C22">
        <w:rPr>
          <w:rFonts w:ascii="Times New Roman" w:hAnsi="Times New Roman" w:cs="Times New Roman"/>
          <w:color w:val="000000" w:themeColor="text1"/>
          <w:sz w:val="28"/>
          <w:szCs w:val="28"/>
          <w:lang w:bidi="ar-SA"/>
        </w:rPr>
        <w:t xml:space="preserve">Рисунок 11. </w:t>
      </w:r>
      <w:r>
        <w:rPr>
          <w:rFonts w:ascii="Times New Roman" w:hAnsi="Times New Roman" w:cs="Times New Roman"/>
          <w:color w:val="000000" w:themeColor="text1"/>
          <w:sz w:val="28"/>
          <w:szCs w:val="28"/>
          <w:lang w:bidi="ar-SA"/>
        </w:rPr>
        <w:t>Сравнительный анализ концентраций дабигатрана в плазме между гендерными и возрастными группами</w:t>
      </w:r>
    </w:p>
    <w:p w14:paraId="3D30A8BC" w14:textId="77777777" w:rsidR="003C7C22" w:rsidRDefault="003C7C22" w:rsidP="007E0A7E">
      <w:pPr>
        <w:pStyle w:val="LO-normal"/>
        <w:spacing w:after="0" w:line="240" w:lineRule="auto"/>
        <w:ind w:firstLine="567"/>
        <w:jc w:val="both"/>
        <w:rPr>
          <w:rFonts w:ascii="Times New Roman" w:hAnsi="Times New Roman" w:cs="Times New Roman"/>
          <w:color w:val="000000" w:themeColor="text1"/>
          <w:sz w:val="28"/>
          <w:szCs w:val="28"/>
          <w:lang w:bidi="ar-SA"/>
        </w:rPr>
      </w:pPr>
    </w:p>
    <w:p w14:paraId="4CE318CA" w14:textId="1CCDBAE4" w:rsidR="007E0A7E" w:rsidRDefault="007E0A7E" w:rsidP="007E0A7E">
      <w:pPr>
        <w:pStyle w:val="LO-normal"/>
        <w:spacing w:after="0" w:line="240" w:lineRule="auto"/>
        <w:ind w:firstLine="567"/>
        <w:jc w:val="both"/>
        <w:rPr>
          <w:rFonts w:ascii="Times New Roman" w:hAnsi="Times New Roman" w:cs="Times New Roman"/>
          <w:color w:val="000000" w:themeColor="text1"/>
          <w:sz w:val="28"/>
          <w:szCs w:val="28"/>
          <w:lang w:bidi="ar-SA"/>
        </w:rPr>
      </w:pPr>
      <w:r w:rsidRPr="003C7C22">
        <w:rPr>
          <w:rFonts w:ascii="Times New Roman" w:hAnsi="Times New Roman" w:cs="Times New Roman"/>
          <w:b/>
          <w:bCs/>
          <w:color w:val="000000" w:themeColor="text1"/>
          <w:sz w:val="28"/>
          <w:szCs w:val="28"/>
          <w:lang w:bidi="ar-SA"/>
        </w:rPr>
        <w:t>Концентрация дабигатрана в плазме</w:t>
      </w:r>
      <w:r>
        <w:rPr>
          <w:rFonts w:ascii="Times New Roman" w:hAnsi="Times New Roman" w:cs="Times New Roman"/>
          <w:color w:val="000000" w:themeColor="text1"/>
          <w:sz w:val="28"/>
          <w:szCs w:val="28"/>
          <w:lang w:bidi="ar-SA"/>
        </w:rPr>
        <w:t>. Средняя пиковая концентрация дабигатрана в общей популяции составила 104,6</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72,8 нг/мл, минимальная концентрация: 55,6</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 xml:space="preserve">37,9нг/мл. У женщин зарегистрированы статистически значимо более высокие значения </w:t>
      </w:r>
      <w:proofErr w:type="gramStart"/>
      <w:r>
        <w:rPr>
          <w:rFonts w:ascii="Times New Roman" w:hAnsi="Times New Roman" w:cs="Times New Roman"/>
          <w:color w:val="000000" w:themeColor="text1"/>
          <w:sz w:val="28"/>
          <w:szCs w:val="28"/>
          <w:lang w:val="en-US" w:bidi="ar-SA"/>
        </w:rPr>
        <w:t>Cmax</w:t>
      </w:r>
      <w:r>
        <w:rPr>
          <w:rFonts w:ascii="Times New Roman" w:hAnsi="Times New Roman" w:cs="Times New Roman"/>
          <w:color w:val="000000" w:themeColor="text1"/>
          <w:sz w:val="28"/>
          <w:szCs w:val="28"/>
          <w:lang w:bidi="ar-SA"/>
        </w:rPr>
        <w:t>(</w:t>
      </w:r>
      <w:proofErr w:type="gramEnd"/>
      <w:r>
        <w:rPr>
          <w:rFonts w:ascii="Times New Roman" w:hAnsi="Times New Roman" w:cs="Times New Roman"/>
          <w:color w:val="000000" w:themeColor="text1"/>
          <w:sz w:val="28"/>
          <w:szCs w:val="28"/>
          <w:lang w:bidi="ar-SA"/>
        </w:rPr>
        <w:t>+32,8%) и</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val="en-US" w:bidi="ar-SA"/>
        </w:rPr>
        <w:t>Cmin</w:t>
      </w:r>
      <w:r>
        <w:rPr>
          <w:rFonts w:ascii="Times New Roman" w:hAnsi="Times New Roman" w:cs="Times New Roman"/>
          <w:color w:val="000000" w:themeColor="text1"/>
          <w:sz w:val="28"/>
          <w:szCs w:val="28"/>
          <w:lang w:bidi="ar-SA"/>
        </w:rPr>
        <w:t xml:space="preserve"> (+29,2%) по сравнению с мужчинами (р</w:t>
      </w:r>
      <w:r w:rsidRPr="007E0A7E">
        <w:rPr>
          <w:rFonts w:ascii="Times New Roman" w:hAnsi="Times New Roman" w:cs="Times New Roman"/>
          <w:color w:val="000000" w:themeColor="text1"/>
          <w:sz w:val="28"/>
          <w:szCs w:val="28"/>
          <w:lang w:bidi="ar-SA"/>
        </w:rPr>
        <w:t>&lt;</w:t>
      </w:r>
      <w:r>
        <w:rPr>
          <w:rFonts w:ascii="Times New Roman" w:hAnsi="Times New Roman" w:cs="Times New Roman"/>
          <w:color w:val="000000" w:themeColor="text1"/>
          <w:sz w:val="28"/>
          <w:szCs w:val="28"/>
          <w:lang w:bidi="ar-SA"/>
        </w:rPr>
        <w:t xml:space="preserve">0,01) </w:t>
      </w:r>
      <w:r w:rsidRPr="003C7C22">
        <w:rPr>
          <w:rFonts w:ascii="Times New Roman" w:hAnsi="Times New Roman" w:cs="Times New Roman"/>
          <w:color w:val="000000" w:themeColor="text1"/>
          <w:sz w:val="28"/>
          <w:szCs w:val="28"/>
          <w:lang w:bidi="ar-SA"/>
        </w:rPr>
        <w:t xml:space="preserve">(рисунок 11). </w:t>
      </w:r>
      <w:r>
        <w:rPr>
          <w:rFonts w:ascii="Times New Roman" w:hAnsi="Times New Roman" w:cs="Times New Roman"/>
          <w:color w:val="000000" w:themeColor="text1"/>
          <w:sz w:val="28"/>
          <w:szCs w:val="28"/>
          <w:lang w:bidi="ar-SA"/>
        </w:rPr>
        <w:t xml:space="preserve">Это согласуется с фармакокинетическими особенностями препарата: меньший объем распределения и повышенная биодоступность у лиц с низкой массой </w:t>
      </w:r>
      <w:proofErr w:type="gramStart"/>
      <w:r>
        <w:rPr>
          <w:rFonts w:ascii="Times New Roman" w:hAnsi="Times New Roman" w:cs="Times New Roman"/>
          <w:color w:val="000000" w:themeColor="text1"/>
          <w:sz w:val="28"/>
          <w:szCs w:val="28"/>
          <w:lang w:bidi="ar-SA"/>
        </w:rPr>
        <w:t>тела</w:t>
      </w:r>
      <w:r w:rsidR="003C7C22">
        <w:rPr>
          <w:rFonts w:ascii="Times New Roman" w:hAnsi="Times New Roman" w:cs="Times New Roman"/>
          <w:color w:val="000000" w:themeColor="text1"/>
          <w:sz w:val="28"/>
          <w:szCs w:val="28"/>
          <w:lang w:bidi="ar-SA"/>
        </w:rPr>
        <w:t xml:space="preserve">; </w:t>
      </w:r>
      <w:r w:rsidR="00D904DE">
        <w:rPr>
          <w:rFonts w:ascii="Times New Roman" w:hAnsi="Times New Roman" w:cs="Times New Roman"/>
          <w:color w:val="000000" w:themeColor="text1"/>
          <w:sz w:val="28"/>
          <w:szCs w:val="28"/>
          <w:lang w:bidi="ar-SA"/>
        </w:rPr>
        <w:t xml:space="preserve"> </w:t>
      </w:r>
      <w:r w:rsidR="003C7C22" w:rsidRPr="00D904DE">
        <w:rPr>
          <w:rFonts w:ascii="Times New Roman" w:hAnsi="Times New Roman" w:cs="Times New Roman"/>
          <w:color w:val="000000" w:themeColor="text1"/>
          <w:sz w:val="28"/>
          <w:szCs w:val="28"/>
          <w:lang w:bidi="ar-SA"/>
        </w:rPr>
        <w:t>в</w:t>
      </w:r>
      <w:proofErr w:type="gramEnd"/>
      <w:r w:rsidR="003C7C22" w:rsidRPr="00D904DE">
        <w:rPr>
          <w:rFonts w:ascii="Times New Roman" w:hAnsi="Times New Roman" w:cs="Times New Roman"/>
          <w:color w:val="000000" w:themeColor="text1"/>
          <w:sz w:val="28"/>
          <w:szCs w:val="28"/>
          <w:lang w:bidi="ar-SA"/>
        </w:rPr>
        <w:t xml:space="preserve"> нашем исследовании </w:t>
      </w:r>
      <w:r w:rsidR="00D904DE">
        <w:rPr>
          <w:rFonts w:ascii="Times New Roman" w:hAnsi="Times New Roman" w:cs="Times New Roman"/>
          <w:sz w:val="28"/>
          <w:szCs w:val="28"/>
          <w:lang w:bidi="ar-SA"/>
        </w:rPr>
        <w:t>п</w:t>
      </w:r>
      <w:r w:rsidR="00D904DE" w:rsidRPr="00566203">
        <w:rPr>
          <w:rFonts w:ascii="Times New Roman" w:hAnsi="Times New Roman" w:cs="Times New Roman"/>
          <w:sz w:val="28"/>
          <w:szCs w:val="28"/>
          <w:lang w:bidi="ar-SA"/>
        </w:rPr>
        <w:t>овышенная концентрация дабигатрана этексилата</w:t>
      </w:r>
      <w:r w:rsidR="00D904DE">
        <w:rPr>
          <w:rFonts w:ascii="Times New Roman" w:hAnsi="Times New Roman" w:cs="Times New Roman"/>
          <w:sz w:val="28"/>
          <w:szCs w:val="28"/>
          <w:lang w:bidi="ar-SA"/>
        </w:rPr>
        <w:t xml:space="preserve"> (305 нг/мл)</w:t>
      </w:r>
      <w:r w:rsidR="00D904DE" w:rsidRPr="00566203">
        <w:rPr>
          <w:rFonts w:ascii="Times New Roman" w:hAnsi="Times New Roman" w:cs="Times New Roman"/>
          <w:sz w:val="28"/>
          <w:szCs w:val="28"/>
          <w:lang w:bidi="ar-SA"/>
        </w:rPr>
        <w:t xml:space="preserve"> был</w:t>
      </w:r>
      <w:r w:rsidR="00D904DE">
        <w:rPr>
          <w:rFonts w:ascii="Times New Roman" w:hAnsi="Times New Roman" w:cs="Times New Roman"/>
          <w:sz w:val="28"/>
          <w:szCs w:val="28"/>
          <w:lang w:bidi="ar-SA"/>
        </w:rPr>
        <w:t>а</w:t>
      </w:r>
      <w:r w:rsidR="00D904DE" w:rsidRPr="00566203">
        <w:rPr>
          <w:rFonts w:ascii="Times New Roman" w:hAnsi="Times New Roman" w:cs="Times New Roman"/>
          <w:sz w:val="28"/>
          <w:szCs w:val="28"/>
          <w:lang w:bidi="ar-SA"/>
        </w:rPr>
        <w:t xml:space="preserve"> </w:t>
      </w:r>
      <w:r w:rsidR="00D904DE">
        <w:rPr>
          <w:rFonts w:ascii="Times New Roman" w:hAnsi="Times New Roman" w:cs="Times New Roman"/>
          <w:sz w:val="28"/>
          <w:szCs w:val="28"/>
          <w:lang w:bidi="ar-SA"/>
        </w:rPr>
        <w:t xml:space="preserve">выявлена </w:t>
      </w:r>
      <w:r w:rsidR="00D904DE" w:rsidRPr="00566203">
        <w:rPr>
          <w:rFonts w:ascii="Times New Roman" w:hAnsi="Times New Roman" w:cs="Times New Roman"/>
          <w:sz w:val="28"/>
          <w:szCs w:val="28"/>
          <w:lang w:bidi="ar-SA"/>
        </w:rPr>
        <w:t xml:space="preserve">у пациентов с </w:t>
      </w:r>
      <w:r w:rsidR="00D904DE">
        <w:rPr>
          <w:rFonts w:ascii="Times New Roman" w:hAnsi="Times New Roman" w:cs="Times New Roman"/>
          <w:sz w:val="28"/>
          <w:szCs w:val="28"/>
          <w:lang w:bidi="ar-SA"/>
        </w:rPr>
        <w:t>недостаточной</w:t>
      </w:r>
      <w:r w:rsidR="00D904DE" w:rsidRPr="00566203">
        <w:rPr>
          <w:rFonts w:ascii="Times New Roman" w:hAnsi="Times New Roman" w:cs="Times New Roman"/>
          <w:sz w:val="28"/>
          <w:szCs w:val="28"/>
          <w:lang w:bidi="ar-SA"/>
        </w:rPr>
        <w:t xml:space="preserve"> массой тела (</w:t>
      </w:r>
      <w:r w:rsidR="00D904DE">
        <w:rPr>
          <w:rFonts w:ascii="Times New Roman" w:hAnsi="Times New Roman" w:cs="Times New Roman"/>
          <w:sz w:val="28"/>
          <w:szCs w:val="28"/>
          <w:lang w:bidi="ar-SA"/>
        </w:rPr>
        <w:t>49</w:t>
      </w:r>
      <w:r w:rsidR="00D904DE" w:rsidRPr="00566203">
        <w:rPr>
          <w:rFonts w:ascii="Times New Roman" w:hAnsi="Times New Roman" w:cs="Times New Roman"/>
          <w:sz w:val="28"/>
          <w:szCs w:val="28"/>
          <w:lang w:bidi="ar-SA"/>
        </w:rPr>
        <w:t>кг</w:t>
      </w:r>
      <w:r w:rsidR="00D904DE">
        <w:rPr>
          <w:rFonts w:ascii="Times New Roman" w:hAnsi="Times New Roman" w:cs="Times New Roman"/>
          <w:sz w:val="28"/>
          <w:szCs w:val="28"/>
          <w:lang w:bidi="ar-SA"/>
        </w:rPr>
        <w:t>, ИМТ 18</w:t>
      </w:r>
      <w:r w:rsidR="00D904DE" w:rsidRPr="00566203">
        <w:rPr>
          <w:rFonts w:ascii="Times New Roman" w:hAnsi="Times New Roman" w:cs="Times New Roman"/>
          <w:sz w:val="28"/>
          <w:szCs w:val="28"/>
          <w:lang w:bidi="ar-SA"/>
        </w:rPr>
        <w:t>)</w:t>
      </w:r>
      <w:r w:rsidR="00D904DE">
        <w:rPr>
          <w:rFonts w:ascii="Times New Roman" w:hAnsi="Times New Roman" w:cs="Times New Roman"/>
          <w:sz w:val="28"/>
          <w:szCs w:val="28"/>
          <w:lang w:bidi="ar-SA"/>
        </w:rPr>
        <w:t>.</w:t>
      </w:r>
      <w:r w:rsidR="00D904DE" w:rsidRPr="00566203">
        <w:rPr>
          <w:rFonts w:ascii="Times New Roman" w:hAnsi="Times New Roman" w:cs="Times New Roman"/>
          <w:sz w:val="28"/>
          <w:szCs w:val="28"/>
          <w:lang w:bidi="ar-SA"/>
        </w:rPr>
        <w:t xml:space="preserve"> </w:t>
      </w:r>
      <w:r>
        <w:rPr>
          <w:rFonts w:ascii="Times New Roman" w:hAnsi="Times New Roman" w:cs="Times New Roman"/>
          <w:color w:val="000000" w:themeColor="text1"/>
          <w:sz w:val="28"/>
          <w:szCs w:val="28"/>
          <w:lang w:bidi="ar-SA"/>
        </w:rPr>
        <w:t xml:space="preserve">В мета-анализе </w:t>
      </w:r>
      <w:r>
        <w:rPr>
          <w:rFonts w:ascii="Times New Roman" w:hAnsi="Times New Roman" w:cs="Times New Roman"/>
          <w:color w:val="000000" w:themeColor="text1"/>
          <w:sz w:val="28"/>
          <w:szCs w:val="28"/>
          <w:lang w:val="en-US" w:bidi="ar-SA"/>
        </w:rPr>
        <w:t>Jia</w:t>
      </w:r>
      <w:r w:rsidRPr="007E0A7E">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val="en-US" w:bidi="ar-SA"/>
        </w:rPr>
        <w:t>Wei</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val="en-US" w:bidi="ar-SA"/>
        </w:rPr>
        <w:t>Ng</w:t>
      </w:r>
      <w:r w:rsidRPr="007E0A7E">
        <w:rPr>
          <w:rFonts w:ascii="Times New Roman" w:hAnsi="Times New Roman" w:cs="Times New Roman"/>
          <w:color w:val="000000" w:themeColor="text1"/>
          <w:sz w:val="28"/>
          <w:szCs w:val="28"/>
          <w:lang w:bidi="ar-SA"/>
        </w:rPr>
        <w:t xml:space="preserve">. (15 </w:t>
      </w:r>
      <w:r>
        <w:rPr>
          <w:rFonts w:ascii="Times New Roman" w:hAnsi="Times New Roman" w:cs="Times New Roman"/>
          <w:color w:val="000000" w:themeColor="text1"/>
          <w:sz w:val="28"/>
          <w:szCs w:val="28"/>
          <w:lang w:bidi="ar-SA"/>
        </w:rPr>
        <w:t xml:space="preserve">исследований, </w:t>
      </w:r>
      <w:r>
        <w:rPr>
          <w:rFonts w:ascii="Times New Roman" w:hAnsi="Times New Roman" w:cs="Times New Roman"/>
          <w:color w:val="000000" w:themeColor="text1"/>
          <w:sz w:val="28"/>
          <w:szCs w:val="28"/>
          <w:lang w:val="en-US" w:bidi="ar-SA"/>
        </w:rPr>
        <w:t>n</w:t>
      </w:r>
      <w:r w:rsidRPr="007E0A7E">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bidi="ar-SA"/>
        </w:rPr>
        <w:t>1226</w:t>
      </w:r>
      <w:r w:rsidRPr="007E0A7E">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bidi="ar-SA"/>
        </w:rPr>
        <w:t xml:space="preserve"> объединенная пиковая концентрация дабигатрана составила 133 нг/мл (95% ДИ: 113-154, </w:t>
      </w:r>
      <w:r>
        <w:rPr>
          <w:rFonts w:ascii="Times New Roman" w:hAnsi="Times New Roman" w:cs="Times New Roman"/>
          <w:color w:val="000000" w:themeColor="text1"/>
          <w:sz w:val="28"/>
          <w:szCs w:val="28"/>
          <w:lang w:val="en-US" w:bidi="ar-SA"/>
        </w:rPr>
        <w:t>I</w:t>
      </w:r>
      <w:r>
        <w:rPr>
          <w:rFonts w:ascii="Times New Roman" w:hAnsi="Times New Roman" w:cs="Times New Roman"/>
          <w:color w:val="000000" w:themeColor="text1"/>
          <w:sz w:val="28"/>
          <w:szCs w:val="28"/>
          <w:lang w:bidi="ar-SA"/>
        </w:rPr>
        <w:t>2=86%</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val="en-US" w:bidi="ar-SA"/>
        </w:rPr>
        <w:t>n</w:t>
      </w:r>
      <w:r w:rsidRPr="007E0A7E">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bidi="ar-SA"/>
        </w:rPr>
        <w:t xml:space="preserve">655), в то время как объединенная минимальная концентрация дабигатрана составила 80 нг/мл (95% ДИ: 69-91, </w:t>
      </w:r>
      <w:r>
        <w:rPr>
          <w:rFonts w:ascii="Times New Roman" w:hAnsi="Times New Roman" w:cs="Times New Roman"/>
          <w:color w:val="000000" w:themeColor="text1"/>
          <w:sz w:val="28"/>
          <w:szCs w:val="28"/>
          <w:lang w:val="en-US" w:bidi="ar-SA"/>
        </w:rPr>
        <w:t>I</w:t>
      </w:r>
      <w:r>
        <w:rPr>
          <w:rFonts w:ascii="Times New Roman" w:hAnsi="Times New Roman" w:cs="Times New Roman"/>
          <w:color w:val="000000" w:themeColor="text1"/>
          <w:sz w:val="28"/>
          <w:szCs w:val="28"/>
          <w:lang w:bidi="ar-SA"/>
        </w:rPr>
        <w:t>2=93%</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val="en-US" w:bidi="ar-SA"/>
        </w:rPr>
        <w:t>n</w:t>
      </w:r>
      <w:r w:rsidRPr="007E0A7E">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bidi="ar-SA"/>
        </w:rPr>
        <w:t>1010)</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{"citationID":"ScF5o4R9","properties":{"unsorted":false,"formattedCitation":"[244]","plainCitation":"[244]","noteIndex":0},"citationItems":[{"id":28,"uris":["http://zotero.org/users/14784094/items/H5KE9PY5"],"itemData":{"id":28,"type":"article-journal","abstract":"Dabigatran etexilate is an oral direct thrombin inhibitor used in preventing thromboembolism in patients with atrial fibrillation and several other conditions. Routine dabigatran concentration monitoring is not recommended in clinical practice; however, measurement of dabigatran concentration may be required in several conditions. This study aims to pool the peak and trough dabigatran concentration from real-world studies. A systematic review was performed to identify studies that measured the peak and trough dabigatran concentrations. Observational studies reporting dabigatran peak or trough concentrations and patients' clinical characteristics of either sex, age or weight were included. Random-effect meta-analyses and metaregression were conducted to pool dabigatran concentrations and to identify the correlation between factors affecting dabigatran concentrations. Fifteen studies with a total of 1226 patients were included. The pooled peak dabigatran concentration was 133 ng/mL (95% CI: 113-154, I2  = 86%, n = 655), while the pooled dabigatran trough concentration was 80 ng/mL (95% CI: 69-91, I2  = 93%, n = 1010). Metaregression analyses suggested that age is significantly correlated to trough concentration, while body weight and creatinine clearance significantly correlated to peak concentration. Subgroup results revealed that dabigatran concentration when measured with liquid chromatography-tandem mass spectrometry was higher than haemoclot thrombin inhibitor assay. Several guidelines have proposed dabigatran concentrations target range and the pooled dabigatran concentrations were in line with the suggested range. Further studies to correlate dabigatran concentrations and clinical outcomes is warranted to improve the safety and efficacy monitoring of dabigatran therapy.","container-title":"British Journal of Clinical Pharmacology","DOI":"10.1111/bcp.15431","ISSN":"1365-2125","issue":"10","journalAbbreviation":"Br J Clin Pharmacol","language":"eng","page":"4443-4459","PMID":"35665523","source":"PubMed","title":"A systematic review and meta-analysis of dabigatran peak and trough concentration in adults","volume":"88","author":[{"family":"Ng","given":"Jia-Wei"},{"family":"Mohd Tahir","given":"Nor Asyikin"},{"family":"Chin","given":"Paul Ken Leong"},{"family":"Makmor-Bakry","given":"Mohd"},{"family":"Mohd Saffian","given":"Shamin"}],"issued":{"date-parts":[["2022",10]]}}}],"schema":"https://github.com/citation-style-language/schema/raw/master/csl-citation.json"}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[244]</w:t>
      </w:r>
      <w:r>
        <w:rPr>
          <w:rFonts w:ascii="Times New Roman" w:hAnsi="Times New Roman" w:cs="Times New Roman"/>
          <w:color w:val="000000" w:themeColor="text1"/>
          <w:sz w:val="28"/>
          <w:szCs w:val="28"/>
          <w:lang w:bidi="ar-SA"/>
        </w:rPr>
        <w:fldChar w:fldCharType="end"/>
      </w:r>
      <w:r>
        <w:rPr>
          <w:rFonts w:ascii="Times New Roman" w:hAnsi="Times New Roman" w:cs="Times New Roman"/>
          <w:color w:val="000000" w:themeColor="text1"/>
          <w:sz w:val="28"/>
          <w:szCs w:val="28"/>
          <w:lang w:bidi="ar-SA"/>
        </w:rPr>
        <w:t xml:space="preserve">, что близко к нашим данным (104,6нг/мл). В различных исследованиях среди японской популяции показатели концентраций дабигатрана были следующими: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peak</w:t>
      </w:r>
      <w:r w:rsidRPr="007E0A7E">
        <w:rPr>
          <w:rFonts w:ascii="Times New Roman" w:hAnsi="Times New Roman" w:cs="Times New Roman"/>
          <w:color w:val="000000" w:themeColor="text1"/>
          <w:sz w:val="28"/>
          <w:szCs w:val="28"/>
          <w:lang w:bidi="ar-SA"/>
        </w:rPr>
        <w:t xml:space="preserve"> 70-205</w:t>
      </w:r>
      <w:r>
        <w:rPr>
          <w:rFonts w:ascii="Times New Roman" w:hAnsi="Times New Roman" w:cs="Times New Roman"/>
          <w:color w:val="000000" w:themeColor="text1"/>
          <w:sz w:val="28"/>
          <w:szCs w:val="28"/>
          <w:lang w:bidi="ar-SA"/>
        </w:rPr>
        <w:t>нг/мл,</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trough</w:t>
      </w:r>
      <w:r>
        <w:rPr>
          <w:rFonts w:ascii="Times New Roman" w:hAnsi="Times New Roman" w:cs="Times New Roman"/>
          <w:color w:val="000000" w:themeColor="text1"/>
          <w:sz w:val="28"/>
          <w:szCs w:val="28"/>
          <w:lang w:bidi="ar-SA"/>
        </w:rPr>
        <w:t xml:space="preserve"> 13-40нг/мл</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{"citationID":"nvSsvwWv","properties":{"unsorted":false,"formattedCitation":"[245]","plainCitation":"[245]","noteIndex":0},"citationItems":[{"id":27,"uris":["http://zotero.org/users/14784094/items/HWKTDJKQ"],"itemData":{"id":27,"type":"article-journal","abstract":"INTRODUCTION: Although dabigatran, an oral direct thrombin inhibitor, does not require routine monitoring, high plasma concentration of dabigatran (PDC) at trough level is shown to be a high risk for bleeding in patients with nonvalvular atrial fibrillation (NVAF). As dabigatran prolongs the activated partial thromboplastin time (APTT), we examined relationships of PDC at trough with APTT and clinical features to identify patients at high risk for major bleeding during dabigatran treatment.\nMATERIALS AND METHODS: In the consecutive 48 patients with NVAF taking dabigatran at a daily dose of 220mg (n=32) or 300mg (n=16), we measured PDC using HEMOCLOT Thrombin Inhibitor assay and APTT ratio to control before (trough) and 2hours after taking dabigatran.\nRESULTS: PDC was positively correlated with APTT ratio (R(2)=0.64, p&lt;0.0001). Using this regression equation and values of median trough PDC 116 (46.7-269) ng/mL observed in patients with major bleeding in the RE-LY trial, we calculated the expected value of APTT ratio corresponding to the 10th percentile of trough PDC (46.7). It was 1.20. There was a significant increase in trough PDC with increasing CHA2DS2-VASc score (p=0.01) and with increasing HAS-BLED score (p=0.01), especially in CHA2DS2-VASc score ≥4 and in HAS-BLED score ≥3, respectively. The highest trough PDC was obtained in patient group with CHA2DS2-VASc score ≥4, HAS-BLED score ≥3, or creatinine clearance ≤80, each combined with trough APTT ratio ≥1.20.\nCONCLUSIONS: This study provides an important clinical implication for identifying patients at high risk for major bleeding during dabigatran treatment in clinical practice.","container-title":"Thrombosis Research","DOI":"10.1016/j.thromres.2014.10.025","ISSN":"1879-2472","issue":"1","journalAbbreviation":"Thromb Res","language":"eng","page":"62-67","PMID":"25466835","source":"PubMed","title":"CHA2DS2-VASc and HAS-BLED scores and activated partial thromboplastin time for prediction of high plasma concentration of dabigatran at trough","volume":"135","author":[{"family":"Owada","given":"Shingen"},{"family":"Tomita","given":"Hirofumi"},{"family":"Kinjo","given":"Takahiko"},{"family":"Ishida","given":"Yuji"},{"family":"Itoh","given":"Taihei"},{"family":"Sasaki","given":"Kenichi"},{"family":"Horiuchi","given":"Daisuke"},{"family":"Kimura","given":"Masaomi"},{"family":"Sasaki","given":"Shingo"},{"family":"Okumura","given":"Ken"}],"issued":{"date-parts":[["2015",1]]}}}],"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[245]</w:t>
      </w:r>
      <w:r>
        <w:rPr>
          <w:rFonts w:ascii="Times New Roman" w:hAnsi="Times New Roman" w:cs="Times New Roman"/>
          <w:color w:val="000000" w:themeColor="text1"/>
          <w:sz w:val="28"/>
          <w:szCs w:val="28"/>
          <w:lang w:bidi="ar-SA"/>
        </w:rPr>
        <w:fldChar w:fldCharType="end"/>
      </w:r>
      <w:r>
        <w:rPr>
          <w:rFonts w:ascii="Times New Roman" w:hAnsi="Times New Roman" w:cs="Times New Roman"/>
          <w:color w:val="000000" w:themeColor="text1"/>
          <w:sz w:val="28"/>
          <w:szCs w:val="28"/>
          <w:lang w:val="en-US" w:bidi="ar-SA"/>
        </w:rPr>
        <w:t>, C</w:t>
      </w:r>
      <w:r w:rsidRPr="007E0A7E">
        <w:rPr>
          <w:rFonts w:ascii="Times New Roman" w:hAnsi="Times New Roman" w:cs="Times New Roman"/>
          <w:color w:val="000000" w:themeColor="text1"/>
          <w:sz w:val="28"/>
          <w:szCs w:val="28"/>
          <w:vertAlign w:val="subscript"/>
          <w:lang w:val="en-US" w:bidi="ar-SA"/>
        </w:rPr>
        <w:t>peak</w:t>
      </w:r>
      <w:r>
        <w:rPr>
          <w:rFonts w:ascii="Times New Roman" w:hAnsi="Times New Roman" w:cs="Times New Roman"/>
          <w:color w:val="000000" w:themeColor="text1"/>
          <w:sz w:val="28"/>
          <w:szCs w:val="28"/>
          <w:vertAlign w:val="subscript"/>
          <w:lang w:val="en-US" w:bidi="ar-SA"/>
        </w:rPr>
        <w:t xml:space="preserve"> </w:t>
      </w:r>
      <w:r w:rsidRPr="007E0A7E">
        <w:rPr>
          <w:rFonts w:ascii="Times New Roman" w:hAnsi="Times New Roman" w:cs="Times New Roman"/>
          <w:color w:val="000000" w:themeColor="text1"/>
          <w:sz w:val="28"/>
          <w:szCs w:val="28"/>
          <w:lang w:val="en-US" w:bidi="ar-SA"/>
        </w:rPr>
        <w:t>129,5</w:t>
      </w:r>
      <w:r>
        <w:rPr>
          <w:rFonts w:ascii="Times New Roman" w:hAnsi="Times New Roman" w:cs="Times New Roman"/>
          <w:color w:val="000000" w:themeColor="text1"/>
          <w:sz w:val="28"/>
          <w:szCs w:val="28"/>
          <w:lang w:val="en-US" w:bidi="ar-SA"/>
        </w:rPr>
        <w:sym w:font="Symbol" w:char="F0B1"/>
      </w:r>
      <w:r>
        <w:rPr>
          <w:rFonts w:ascii="Times New Roman" w:hAnsi="Times New Roman" w:cs="Times New Roman"/>
          <w:color w:val="000000" w:themeColor="text1"/>
          <w:sz w:val="28"/>
          <w:szCs w:val="28"/>
          <w:lang w:val="en-US" w:bidi="ar-SA"/>
        </w:rPr>
        <w:t>100,3</w:t>
      </w:r>
      <w:r>
        <w:rPr>
          <w:rFonts w:ascii="Times New Roman" w:hAnsi="Times New Roman" w:cs="Times New Roman"/>
          <w:color w:val="000000" w:themeColor="text1"/>
          <w:sz w:val="28"/>
          <w:szCs w:val="28"/>
          <w:lang w:bidi="ar-SA"/>
        </w:rPr>
        <w:t xml:space="preserve">нг/мл,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trough</w:t>
      </w:r>
      <w:r>
        <w:rPr>
          <w:rFonts w:ascii="Times New Roman" w:hAnsi="Times New Roman" w:cs="Times New Roman"/>
          <w:color w:val="000000" w:themeColor="text1"/>
          <w:sz w:val="28"/>
          <w:szCs w:val="28"/>
          <w:lang w:bidi="ar-SA"/>
        </w:rPr>
        <w:t xml:space="preserve"> 107,6</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53,6нг/мл</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{"citationID":"zVV74C2l","properties":{"unsorted":false,"formattedCitation":"[246]","plainCitation":"[246]","noteIndex":0},"citationItems":[{"id":26,"uris":["http://zotero.org/users/14784094/items/WP6LGCLF"],"itemData":{"id":26,"type":"article-journal","abstract":"INTRODUCTION: Dabigatran etexilate, a direct oral anti-coagulation agent, is used in the prevention of thromboembolism in patients with non-valvular atrial fibrillation (NVAF). However, for reasons that are not fully understood, plasma dabigatran etexilate concentrations (PDC) vary significantly among patients.\nMETHODS: We measured trough and 90min PDC in 98 patients with NVAF. To elucidate the cause of variations in PDC, we determined correlations between PDC and various factors including renal function, co-administration of a P-glycoprotein inhibitor, and the effects of three single nucleotide polymorphisms (SNPs) of the P-glycoprotein intestinal efflux transporter. To further determine the cause of PDC variations, we examined the relationship between PDC, activated partial prothrombin time (APTT), and D-dimer (DD) levels, which are surrogate markers for thrombotic risk.\nRESULTS: Multivariate analysis showed significant relations among creatinine, creatinine clearance, and CHA2D2-VaSc scores (p=0.04, p=0.01, and p=0.04, respectively). In addition, creatinine and creatinine clearance were significantly correlated with trough and 90min PDC (p&lt;0.01), respectively. There was a clear linear relation between PDC and APTT, but not DD levels</w:instrText>
      </w:r>
      <w:r w:rsidR="00AC4691" w:rsidRPr="00496E24">
        <w:rPr>
          <w:rFonts w:ascii="Times New Roman" w:hAnsi="Times New Roman" w:cs="Times New Roman"/>
          <w:color w:val="000000" w:themeColor="text1"/>
          <w:sz w:val="28"/>
          <w:szCs w:val="28"/>
          <w:lang w:val="en-US" w:bidi="ar-SA"/>
        </w:rPr>
        <w:instrText>. However, higher DD levels (&gt;0.5</w:instrText>
      </w:r>
      <w:r w:rsidR="00AC4691">
        <w:rPr>
          <w:rFonts w:ascii="Times New Roman" w:hAnsi="Times New Roman" w:cs="Times New Roman"/>
          <w:color w:val="000000" w:themeColor="text1"/>
          <w:sz w:val="28"/>
          <w:szCs w:val="28"/>
          <w:lang w:bidi="ar-SA"/>
        </w:rPr>
        <w:instrText>μ</w:instrText>
      </w:r>
      <w:r w:rsidR="00AC4691" w:rsidRPr="00496E24">
        <w:rPr>
          <w:rFonts w:ascii="Times New Roman" w:hAnsi="Times New Roman" w:cs="Times New Roman"/>
          <w:color w:val="000000" w:themeColor="text1"/>
          <w:sz w:val="28"/>
          <w:szCs w:val="28"/>
          <w:lang w:val="en-US" w:bidi="ar-SA"/>
        </w:rPr>
        <w:instrText xml:space="preserve">g/mL) were associated with lower trough and 90min PDCs.\nCONCLUSIONS: Renal function and CHA2D2-VaSc scores affect PDC, suggesting these may be primary factors influencing the wide variation observed in PDCs under these conditions. Variations in APTT can primarily be explained by variations in PDC; patients with lower PDCs may have a higher risk of thromboembolism events.","container-title":"Thrombosis Research","DOI":"10.1016/j.thromres.2016.05.027","ISSN":"1879-2472","journalAbbreviation":"Thromb Res","language":"eng","page":"100-106","PMID":"27526389","source":"PubMed","title":"Factors influencing trough and 90-minute plasma dabigatran etexilate concentrations among patients with non-valvular atrial fibrillation","volume":"145","author":[{"family":"Tomita","given":"Hideharu"},{"family":"Araki","given":"Takuya"},{"family":"Kadokami","given":"Toshiaki"},{"family":"Yamada","given":"Satoshi"},{"family":"Nakamura","given":"Ryo"},{"family":"Imamura","given":"Yoshihiro"},{"family":"Fukuyama","given":"Takaya"},{"family":"Nagano","given":"Daisuke"},{"family":"Hashimoto","given":"Tomoya"},{"family":"Uematsu","given":"Akiko"},{"family":"Hosokawa","given":"Kazuya"},{"family":"Yamamoto","given":"Koujirou"},{"family":"Ueda","given":"Shin-Ichiro"},{"family":"Ando","given":"Shin-Ichi"},{"literal":"ATTACK-DB research group"}],"issued":{"date-parts":[["2016",9]]}}}],"schema":"https://github.com/citation-style-language/schema/raw/master/csl-citation.json"}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val="en-US" w:eastAsia="en-US"/>
          <w14:ligatures w14:val="standardContextual"/>
        </w:rPr>
        <w:t>[246]</w:t>
      </w:r>
      <w:r>
        <w:rPr>
          <w:rFonts w:ascii="Times New Roman" w:hAnsi="Times New Roman" w:cs="Times New Roman"/>
          <w:color w:val="000000" w:themeColor="text1"/>
          <w:sz w:val="28"/>
          <w:szCs w:val="28"/>
          <w:lang w:bidi="ar-SA"/>
        </w:rPr>
        <w:fldChar w:fldCharType="end"/>
      </w:r>
      <w:r>
        <w:rPr>
          <w:rFonts w:ascii="Times New Roman" w:hAnsi="Times New Roman" w:cs="Times New Roman"/>
          <w:color w:val="000000" w:themeColor="text1"/>
          <w:sz w:val="28"/>
          <w:szCs w:val="28"/>
          <w:lang w:val="en-US" w:bidi="ar-SA"/>
        </w:rPr>
        <w:t>, C</w:t>
      </w:r>
      <w:r w:rsidRPr="007E0A7E">
        <w:rPr>
          <w:rFonts w:ascii="Times New Roman" w:hAnsi="Times New Roman" w:cs="Times New Roman"/>
          <w:color w:val="000000" w:themeColor="text1"/>
          <w:sz w:val="28"/>
          <w:szCs w:val="28"/>
          <w:vertAlign w:val="subscript"/>
          <w:lang w:val="en-US" w:bidi="ar-SA"/>
        </w:rPr>
        <w:t>peak</w:t>
      </w:r>
      <w:r>
        <w:rPr>
          <w:rFonts w:ascii="Times New Roman" w:hAnsi="Times New Roman" w:cs="Times New Roman"/>
          <w:color w:val="000000" w:themeColor="text1"/>
          <w:sz w:val="28"/>
          <w:szCs w:val="28"/>
          <w:vertAlign w:val="subscript"/>
          <w:lang w:val="en-US" w:bidi="ar-SA"/>
        </w:rPr>
        <w:t xml:space="preserve"> </w:t>
      </w:r>
      <w:r w:rsidRPr="007E0A7E">
        <w:rPr>
          <w:rFonts w:ascii="Times New Roman" w:hAnsi="Times New Roman" w:cs="Times New Roman"/>
          <w:color w:val="000000" w:themeColor="text1"/>
          <w:sz w:val="28"/>
          <w:szCs w:val="28"/>
          <w:lang w:val="en-US" w:bidi="ar-SA"/>
        </w:rPr>
        <w:t>1</w:t>
      </w:r>
      <w:r>
        <w:rPr>
          <w:rFonts w:ascii="Times New Roman" w:hAnsi="Times New Roman" w:cs="Times New Roman"/>
          <w:color w:val="000000" w:themeColor="text1"/>
          <w:sz w:val="28"/>
          <w:szCs w:val="28"/>
          <w:lang w:val="en-US" w:bidi="ar-SA"/>
        </w:rPr>
        <w:t>43,1</w:t>
      </w:r>
      <w:r>
        <w:rPr>
          <w:rFonts w:ascii="Times New Roman" w:hAnsi="Times New Roman" w:cs="Times New Roman"/>
          <w:color w:val="000000" w:themeColor="text1"/>
          <w:sz w:val="28"/>
          <w:szCs w:val="28"/>
          <w:lang w:val="en-US" w:bidi="ar-SA"/>
        </w:rPr>
        <w:sym w:font="Symbol" w:char="F0B1"/>
      </w:r>
      <w:r>
        <w:rPr>
          <w:rFonts w:ascii="Times New Roman" w:hAnsi="Times New Roman" w:cs="Times New Roman"/>
          <w:color w:val="000000" w:themeColor="text1"/>
          <w:sz w:val="28"/>
          <w:szCs w:val="28"/>
          <w:lang w:val="en-US" w:bidi="ar-SA"/>
        </w:rPr>
        <w:t>98,2</w:t>
      </w:r>
      <w:r>
        <w:rPr>
          <w:rFonts w:ascii="Times New Roman" w:hAnsi="Times New Roman" w:cs="Times New Roman"/>
          <w:color w:val="000000" w:themeColor="text1"/>
          <w:sz w:val="28"/>
          <w:szCs w:val="28"/>
          <w:lang w:bidi="ar-SA"/>
        </w:rPr>
        <w:t>нг</w:t>
      </w:r>
      <w:r w:rsidRPr="007E0A7E">
        <w:rPr>
          <w:rFonts w:ascii="Times New Roman" w:hAnsi="Times New Roman" w:cs="Times New Roman"/>
          <w:color w:val="000000" w:themeColor="text1"/>
          <w:sz w:val="28"/>
          <w:szCs w:val="28"/>
          <w:lang w:val="en-US" w:bidi="ar-SA"/>
        </w:rPr>
        <w:t>/</w:t>
      </w:r>
      <w:r>
        <w:rPr>
          <w:rFonts w:ascii="Times New Roman" w:hAnsi="Times New Roman" w:cs="Times New Roman"/>
          <w:color w:val="000000" w:themeColor="text1"/>
          <w:sz w:val="28"/>
          <w:szCs w:val="28"/>
          <w:lang w:bidi="ar-SA"/>
        </w:rPr>
        <w:t>мл</w:t>
      </w:r>
      <w:r w:rsidRPr="007E0A7E">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trough</w:t>
      </w:r>
      <w:r w:rsidRPr="007E0A7E">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val="en-US" w:bidi="ar-SA"/>
        </w:rPr>
        <w:t>82,4</w:t>
      </w:r>
      <w:r>
        <w:rPr>
          <w:rFonts w:ascii="Times New Roman" w:hAnsi="Times New Roman" w:cs="Times New Roman"/>
          <w:color w:val="000000" w:themeColor="text1"/>
          <w:sz w:val="28"/>
          <w:szCs w:val="28"/>
          <w:lang w:bidi="ar-SA"/>
        </w:rPr>
        <w:sym w:font="Symbol" w:char="F0B1"/>
      </w:r>
      <w:r w:rsidRPr="007E0A7E">
        <w:rPr>
          <w:rFonts w:ascii="Times New Roman" w:hAnsi="Times New Roman" w:cs="Times New Roman"/>
          <w:color w:val="000000" w:themeColor="text1"/>
          <w:sz w:val="28"/>
          <w:szCs w:val="28"/>
          <w:lang w:val="en-US" w:bidi="ar-SA"/>
        </w:rPr>
        <w:t>5</w:t>
      </w:r>
      <w:r>
        <w:rPr>
          <w:rFonts w:ascii="Times New Roman" w:hAnsi="Times New Roman" w:cs="Times New Roman"/>
          <w:color w:val="000000" w:themeColor="text1"/>
          <w:sz w:val="28"/>
          <w:szCs w:val="28"/>
          <w:lang w:val="en-US" w:bidi="ar-SA"/>
        </w:rPr>
        <w:t xml:space="preserve">8 </w:t>
      </w:r>
      <w:r>
        <w:rPr>
          <w:rFonts w:ascii="Times New Roman" w:hAnsi="Times New Roman" w:cs="Times New Roman"/>
          <w:color w:val="000000" w:themeColor="text1"/>
          <w:sz w:val="28"/>
          <w:szCs w:val="28"/>
          <w:lang w:bidi="ar-SA"/>
        </w:rPr>
        <w:t>нг</w:t>
      </w:r>
      <w:r w:rsidRPr="007E0A7E">
        <w:rPr>
          <w:rFonts w:ascii="Times New Roman" w:hAnsi="Times New Roman" w:cs="Times New Roman"/>
          <w:color w:val="000000" w:themeColor="text1"/>
          <w:sz w:val="28"/>
          <w:szCs w:val="28"/>
          <w:lang w:val="en-US" w:bidi="ar-SA"/>
        </w:rPr>
        <w:t>/</w:t>
      </w:r>
      <w:r>
        <w:rPr>
          <w:rFonts w:ascii="Times New Roman" w:hAnsi="Times New Roman" w:cs="Times New Roman"/>
          <w:color w:val="000000" w:themeColor="text1"/>
          <w:sz w:val="28"/>
          <w:szCs w:val="28"/>
          <w:lang w:bidi="ar-SA"/>
        </w:rPr>
        <w:t>мл</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val="en-US" w:bidi="ar-SA"/>
        </w:rPr>
        <w:instrText xml:space="preserve"> ADDIN ZOTERO_ITEM CSL_CITATION {"citationID":"9tXmLJkg","properties":{"unsorted":false,"formattedCitation":"[247]","plainCitation":"[247]","noteIndex":0},"citationItems":[{"id":25,"uris":["http://zotero.org/users/14784094/items/PDS2UR37"],"itemData":{"id":25,"type":"article-journal","abstract":"BACKGROUND AND PURPOSE: The aim of this study was to evaluate the anticoagulation intensity of dabigatran for acute ischemic stroke patients and hemorrhagic/ischemic events after early initiation of dabigatran.\nMETHODS: Acute ischemic stroke/transient ischemic attack (TIA) patients admitted to our hospital who started dabigatran from January 2012 to December 2017 were studied. Blood samples were drawn just before (0 h) and 4 h after dabigatran at a median of 5 days after starting dabigatran to measure dabigatran concentrations (C0h, C4h) based on the thrombin clotting time assay (Hemoclot®).\nRESULTS: Of the 70 patients (54 men, 69 ± 9 y), 14 started dabigatran after a TIA, and 56 started it after an ischemic stroke a median of 5 days after onset. C0h, C4h was 82.5 ± 58.0, 143.1 ± 98.2 ng/dl (150 mg BID, 35 patients) and 50.6 ± 40.9, 91.2 ± 64.7 ng/ml (110 mg BID, 35 patients). During a median follow-up of 382 (IQR 109-688) days of all 70 patients, five had clinical events. Three patients had bleeding events, two with nasal bleeding (C0h, C4h: 50, 80 ng/ml, C0h, C4h: 91, 173 ng/ml) and one with GI bleeding (C0h, C4h: 5, 5 ng/ml). Two patients had ischemic events, one with ischemic stroke (C0h, C4h: 10, 50 ng/ml) and another with acute myocardial infarction (C0h, C4h: 40, 40 ng/ml).\nCONCLUSIONS: There was no obvious relationship between dabigatran concentration and hemorrhagic/ischemic events in this study. Larger sample study will be needed to examine the relationship between the concentration and events in clinical practice.","container-title":"Journal of the Neurological Sciences","DOI":"10.1016/j.jns.2020.116704","ISSN":"1878-5883","journalAbbreviation":"J Neurol Sci","language":"eng","page":"116704","PMID":"31986377","source":"PubMed","title":"Concentrations of dabigatran administered after acute ischemic stroke","volume":"411","author":[{"family":"Wada","given":"Shinichi"},{"family":"Inoue","given":"Manabu"},{"family":"Matsuki","given":"Takayuki"},{"family":"Okata","given":"Takuya"},{"family":"Kumamoto","given":"Masaya"},{"family":"Tagawa","given":"Naoki"},{"family":"Yoshimura","given":"Sohei"},{"family":"Okamoto","given":"Akira"},{"family":"Miyata","given":"Toshiyuki"},{"family":"Ihara","given":"Masafumi"},{"family":"Toyoda","given":"Kazunori"},{"family":"Koga","given":"Masatoshi"}],"issued":{"date-parts":[["2020",4,15]]}}}],"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val="en-US" w:eastAsia="en-US"/>
          <w14:ligatures w14:val="standardContextual"/>
        </w:rPr>
        <w:t>[247]</w:t>
      </w:r>
      <w:r>
        <w:rPr>
          <w:rFonts w:ascii="Times New Roman" w:hAnsi="Times New Roman" w:cs="Times New Roman"/>
          <w:color w:val="000000" w:themeColor="text1"/>
          <w:sz w:val="28"/>
          <w:szCs w:val="28"/>
          <w:lang w:bidi="ar-SA"/>
        </w:rPr>
        <w:fldChar w:fldCharType="end"/>
      </w:r>
      <w:r>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В</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исследовании</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val="en-US" w:bidi="ar-SA"/>
        </w:rPr>
        <w:t>Dimatteo</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результаты</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среди</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итальянской</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популяции</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были</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несколько</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bidi="ar-SA"/>
        </w:rPr>
        <w:t>выше</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peak</w:t>
      </w:r>
      <w:r w:rsidRPr="00DF01E8">
        <w:rPr>
          <w:rFonts w:ascii="Times New Roman" w:hAnsi="Times New Roman" w:cs="Times New Roman"/>
          <w:color w:val="000000" w:themeColor="text1"/>
          <w:sz w:val="28"/>
          <w:szCs w:val="28"/>
          <w:vertAlign w:val="subscript"/>
          <w:lang w:val="en-US" w:bidi="ar-SA"/>
        </w:rPr>
        <w:t xml:space="preserve"> </w:t>
      </w:r>
      <w:r w:rsidRPr="00DF01E8">
        <w:rPr>
          <w:rFonts w:ascii="Times New Roman" w:hAnsi="Times New Roman" w:cs="Times New Roman"/>
          <w:color w:val="000000" w:themeColor="text1"/>
          <w:sz w:val="28"/>
          <w:szCs w:val="28"/>
          <w:lang w:val="en-US" w:bidi="ar-SA"/>
        </w:rPr>
        <w:t>153,8</w:t>
      </w:r>
      <w:r>
        <w:rPr>
          <w:rFonts w:ascii="Times New Roman" w:hAnsi="Times New Roman" w:cs="Times New Roman"/>
          <w:color w:val="000000" w:themeColor="text1"/>
          <w:sz w:val="28"/>
          <w:szCs w:val="28"/>
          <w:lang w:val="en-US" w:bidi="ar-SA"/>
        </w:rPr>
        <w:sym w:font="Symbol" w:char="F0B1"/>
      </w:r>
      <w:r w:rsidRPr="00DF01E8">
        <w:rPr>
          <w:rFonts w:ascii="Times New Roman" w:hAnsi="Times New Roman" w:cs="Times New Roman"/>
          <w:color w:val="000000" w:themeColor="text1"/>
          <w:sz w:val="28"/>
          <w:szCs w:val="28"/>
          <w:lang w:val="en-US" w:bidi="ar-SA"/>
        </w:rPr>
        <w:t>103</w:t>
      </w:r>
      <w:r>
        <w:rPr>
          <w:rFonts w:ascii="Times New Roman" w:hAnsi="Times New Roman" w:cs="Times New Roman"/>
          <w:color w:val="000000" w:themeColor="text1"/>
          <w:sz w:val="28"/>
          <w:szCs w:val="28"/>
          <w:lang w:bidi="ar-SA"/>
        </w:rPr>
        <w:t>нг</w:t>
      </w:r>
      <w:r w:rsidRPr="00DF01E8">
        <w:rPr>
          <w:rFonts w:ascii="Times New Roman" w:hAnsi="Times New Roman" w:cs="Times New Roman"/>
          <w:color w:val="000000" w:themeColor="text1"/>
          <w:sz w:val="28"/>
          <w:szCs w:val="28"/>
          <w:lang w:val="en-US" w:bidi="ar-SA"/>
        </w:rPr>
        <w:t>/</w:t>
      </w:r>
      <w:r>
        <w:rPr>
          <w:rFonts w:ascii="Times New Roman" w:hAnsi="Times New Roman" w:cs="Times New Roman"/>
          <w:color w:val="000000" w:themeColor="text1"/>
          <w:sz w:val="28"/>
          <w:szCs w:val="28"/>
          <w:lang w:bidi="ar-SA"/>
        </w:rPr>
        <w:t>мл</w:t>
      </w:r>
      <w:r w:rsidRPr="00DF01E8">
        <w:rPr>
          <w:rFonts w:ascii="Times New Roman" w:hAnsi="Times New Roman" w:cs="Times New Roman"/>
          <w:color w:val="000000" w:themeColor="text1"/>
          <w:sz w:val="28"/>
          <w:szCs w:val="28"/>
          <w:lang w:val="en-US" w:bidi="ar-SA"/>
        </w:rPr>
        <w:t xml:space="preserve">,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trough</w:t>
      </w:r>
      <w:r w:rsidRPr="00DF01E8">
        <w:rPr>
          <w:rFonts w:ascii="Times New Roman" w:hAnsi="Times New Roman" w:cs="Times New Roman"/>
          <w:color w:val="000000" w:themeColor="text1"/>
          <w:sz w:val="28"/>
          <w:szCs w:val="28"/>
          <w:lang w:val="en-US" w:bidi="ar-SA"/>
        </w:rPr>
        <w:t xml:space="preserve"> 90,6</w:t>
      </w:r>
      <w:r>
        <w:rPr>
          <w:rFonts w:ascii="Times New Roman" w:hAnsi="Times New Roman" w:cs="Times New Roman"/>
          <w:color w:val="000000" w:themeColor="text1"/>
          <w:sz w:val="28"/>
          <w:szCs w:val="28"/>
          <w:lang w:bidi="ar-SA"/>
        </w:rPr>
        <w:sym w:font="Symbol" w:char="F0B1"/>
      </w:r>
      <w:r w:rsidRPr="00DF01E8">
        <w:rPr>
          <w:rFonts w:ascii="Times New Roman" w:hAnsi="Times New Roman" w:cs="Times New Roman"/>
          <w:color w:val="000000" w:themeColor="text1"/>
          <w:sz w:val="28"/>
          <w:szCs w:val="28"/>
          <w:lang w:val="en-US" w:bidi="ar-SA"/>
        </w:rPr>
        <w:t>78</w:t>
      </w:r>
      <w:r>
        <w:rPr>
          <w:rFonts w:ascii="Times New Roman" w:hAnsi="Times New Roman" w:cs="Times New Roman"/>
          <w:color w:val="000000" w:themeColor="text1"/>
          <w:sz w:val="28"/>
          <w:szCs w:val="28"/>
          <w:lang w:bidi="ar-SA"/>
        </w:rPr>
        <w:t>нг</w:t>
      </w:r>
      <w:r w:rsidRPr="00DF01E8">
        <w:rPr>
          <w:rFonts w:ascii="Times New Roman" w:hAnsi="Times New Roman" w:cs="Times New Roman"/>
          <w:color w:val="000000" w:themeColor="text1"/>
          <w:sz w:val="28"/>
          <w:szCs w:val="28"/>
          <w:lang w:val="en-US" w:bidi="ar-SA"/>
        </w:rPr>
        <w:t>/</w:t>
      </w:r>
      <w:r>
        <w:rPr>
          <w:rFonts w:ascii="Times New Roman" w:hAnsi="Times New Roman" w:cs="Times New Roman"/>
          <w:color w:val="000000" w:themeColor="text1"/>
          <w:sz w:val="28"/>
          <w:szCs w:val="28"/>
          <w:lang w:bidi="ar-SA"/>
        </w:rPr>
        <w:t>мл</w:t>
      </w:r>
      <w:r w:rsidRPr="00DF01E8">
        <w:rPr>
          <w:rFonts w:ascii="Times New Roman" w:hAnsi="Times New Roman" w:cs="Times New Roman"/>
          <w:color w:val="000000" w:themeColor="text1"/>
          <w:sz w:val="28"/>
          <w:szCs w:val="28"/>
          <w:lang w:val="en-US" w:bidi="ar-SA"/>
        </w:rPr>
        <w:t>)</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val="en-US" w:bidi="ar-SA"/>
        </w:rPr>
        <w:instrText xml:space="preserve"> ADDIN ZOTERO_ITEM CSL_CITATION {"citationID":"22Tsrlt</w:instrText>
      </w:r>
      <w:r w:rsidR="00AC4691" w:rsidRPr="00496E24">
        <w:rPr>
          <w:rFonts w:ascii="Times New Roman" w:hAnsi="Times New Roman" w:cs="Times New Roman"/>
          <w:color w:val="000000" w:themeColor="text1"/>
          <w:sz w:val="28"/>
          <w:szCs w:val="28"/>
          <w:lang w:bidi="ar-SA"/>
        </w:rPr>
        <w:instrText>2","</w:instrText>
      </w:r>
      <w:r w:rsidR="00AC4691">
        <w:rPr>
          <w:rFonts w:ascii="Times New Roman" w:hAnsi="Times New Roman" w:cs="Times New Roman"/>
          <w:color w:val="000000" w:themeColor="text1"/>
          <w:sz w:val="28"/>
          <w:szCs w:val="28"/>
          <w:lang w:val="en-US" w:bidi="ar-SA"/>
        </w:rPr>
        <w:instrText>properties</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unsorted</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false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formattedCitation</w:instrText>
      </w:r>
      <w:r w:rsidR="00AC4691" w:rsidRPr="00496E24">
        <w:rPr>
          <w:rFonts w:ascii="Times New Roman" w:hAnsi="Times New Roman" w:cs="Times New Roman"/>
          <w:color w:val="000000" w:themeColor="text1"/>
          <w:sz w:val="28"/>
          <w:szCs w:val="28"/>
          <w:lang w:bidi="ar-SA"/>
        </w:rPr>
        <w:instrText>":"[18]","</w:instrText>
      </w:r>
      <w:r w:rsidR="00AC4691">
        <w:rPr>
          <w:rFonts w:ascii="Times New Roman" w:hAnsi="Times New Roman" w:cs="Times New Roman"/>
          <w:color w:val="000000" w:themeColor="text1"/>
          <w:sz w:val="28"/>
          <w:szCs w:val="28"/>
          <w:lang w:val="en-US" w:bidi="ar-SA"/>
        </w:rPr>
        <w:instrText>plainCitation</w:instrText>
      </w:r>
      <w:r w:rsidR="00AC4691" w:rsidRPr="00496E24">
        <w:rPr>
          <w:rFonts w:ascii="Times New Roman" w:hAnsi="Times New Roman" w:cs="Times New Roman"/>
          <w:color w:val="000000" w:themeColor="text1"/>
          <w:sz w:val="28"/>
          <w:szCs w:val="28"/>
          <w:lang w:bidi="ar-SA"/>
        </w:rPr>
        <w:instrText>":"[18]","</w:instrText>
      </w:r>
      <w:r w:rsidR="00AC4691">
        <w:rPr>
          <w:rFonts w:ascii="Times New Roman" w:hAnsi="Times New Roman" w:cs="Times New Roman"/>
          <w:color w:val="000000" w:themeColor="text1"/>
          <w:sz w:val="28"/>
          <w:szCs w:val="28"/>
          <w:lang w:val="en-US" w:bidi="ar-SA"/>
        </w:rPr>
        <w:instrText>noteIndex</w:instrText>
      </w:r>
      <w:r w:rsidR="00AC4691" w:rsidRPr="00496E24">
        <w:rPr>
          <w:rFonts w:ascii="Times New Roman" w:hAnsi="Times New Roman" w:cs="Times New Roman"/>
          <w:color w:val="000000" w:themeColor="text1"/>
          <w:sz w:val="28"/>
          <w:szCs w:val="28"/>
          <w:lang w:bidi="ar-SA"/>
        </w:rPr>
        <w:instrText>":0},"</w:instrText>
      </w:r>
      <w:r w:rsidR="00AC4691">
        <w:rPr>
          <w:rFonts w:ascii="Times New Roman" w:hAnsi="Times New Roman" w:cs="Times New Roman"/>
          <w:color w:val="000000" w:themeColor="text1"/>
          <w:sz w:val="28"/>
          <w:szCs w:val="28"/>
          <w:lang w:val="en-US" w:bidi="ar-SA"/>
        </w:rPr>
        <w:instrText>citationItems</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id</w:instrText>
      </w:r>
      <w:r w:rsidR="00AC4691" w:rsidRPr="00496E24">
        <w:rPr>
          <w:rFonts w:ascii="Times New Roman" w:hAnsi="Times New Roman" w:cs="Times New Roman"/>
          <w:color w:val="000000" w:themeColor="text1"/>
          <w:sz w:val="28"/>
          <w:szCs w:val="28"/>
          <w:lang w:bidi="ar-SA"/>
        </w:rPr>
        <w:instrText>":740,"</w:instrText>
      </w:r>
      <w:r w:rsidR="00AC4691">
        <w:rPr>
          <w:rFonts w:ascii="Times New Roman" w:hAnsi="Times New Roman" w:cs="Times New Roman"/>
          <w:color w:val="000000" w:themeColor="text1"/>
          <w:sz w:val="28"/>
          <w:szCs w:val="28"/>
          <w:lang w:val="en-US" w:bidi="ar-SA"/>
        </w:rPr>
        <w:instrText>uris</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http</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zotero</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org</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users</w:instrText>
      </w:r>
      <w:r w:rsidR="00AC4691" w:rsidRPr="00496E24">
        <w:rPr>
          <w:rFonts w:ascii="Times New Roman" w:hAnsi="Times New Roman" w:cs="Times New Roman"/>
          <w:color w:val="000000" w:themeColor="text1"/>
          <w:sz w:val="28"/>
          <w:szCs w:val="28"/>
          <w:lang w:bidi="ar-SA"/>
        </w:rPr>
        <w:instrText>/14784094/</w:instrText>
      </w:r>
      <w:r w:rsidR="00AC4691">
        <w:rPr>
          <w:rFonts w:ascii="Times New Roman" w:hAnsi="Times New Roman" w:cs="Times New Roman"/>
          <w:color w:val="000000" w:themeColor="text1"/>
          <w:sz w:val="28"/>
          <w:szCs w:val="28"/>
          <w:lang w:val="en-US" w:bidi="ar-SA"/>
        </w:rPr>
        <w:instrText>items</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L</w:instrText>
      </w:r>
      <w:r w:rsidR="00AC4691" w:rsidRPr="00496E24">
        <w:rPr>
          <w:rFonts w:ascii="Times New Roman" w:hAnsi="Times New Roman" w:cs="Times New Roman"/>
          <w:color w:val="000000" w:themeColor="text1"/>
          <w:sz w:val="28"/>
          <w:szCs w:val="28"/>
          <w:lang w:bidi="ar-SA"/>
        </w:rPr>
        <w:instrText>23</w:instrText>
      </w:r>
      <w:r w:rsidR="00AC4691">
        <w:rPr>
          <w:rFonts w:ascii="Times New Roman" w:hAnsi="Times New Roman" w:cs="Times New Roman"/>
          <w:color w:val="000000" w:themeColor="text1"/>
          <w:sz w:val="28"/>
          <w:szCs w:val="28"/>
          <w:lang w:val="en-US" w:bidi="ar-SA"/>
        </w:rPr>
        <w:instrText>HNCYG</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itemData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id</w:instrText>
      </w:r>
      <w:r w:rsidR="00AC4691" w:rsidRPr="00496E24">
        <w:rPr>
          <w:rFonts w:ascii="Times New Roman" w:hAnsi="Times New Roman" w:cs="Times New Roman"/>
          <w:color w:val="000000" w:themeColor="text1"/>
          <w:sz w:val="28"/>
          <w:szCs w:val="28"/>
          <w:lang w:bidi="ar-SA"/>
        </w:rPr>
        <w:instrText>":740,"</w:instrText>
      </w:r>
      <w:r w:rsidR="00AC4691">
        <w:rPr>
          <w:rFonts w:ascii="Times New Roman" w:hAnsi="Times New Roman" w:cs="Times New Roman"/>
          <w:color w:val="000000" w:themeColor="text1"/>
          <w:sz w:val="28"/>
          <w:szCs w:val="28"/>
          <w:lang w:val="en-US" w:bidi="ar-SA"/>
        </w:rPr>
        <w:instrText>type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article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journal</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abstract</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Introduction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Dabigatran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etexilate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ﬁxed</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doses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without</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coagulation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monitoring</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for</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the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prevention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of</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blood</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clots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at</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risk</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adults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high</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inter</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individual</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variability</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blood</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concentrations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of</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the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active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metabolite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of</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dabigatran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has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been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reported</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ABCB</w:instrText>
      </w:r>
      <w:r w:rsidR="00AC4691" w:rsidRPr="00496E24">
        <w:rPr>
          <w:rFonts w:ascii="Times New Roman" w:hAnsi="Times New Roman" w:cs="Times New Roman"/>
          <w:color w:val="000000" w:themeColor="text1"/>
          <w:sz w:val="28"/>
          <w:szCs w:val="28"/>
          <w:lang w:bidi="ar-SA"/>
        </w:rPr>
        <w:instrText xml:space="preserve">1 </w:instrText>
      </w:r>
      <w:r w:rsidR="00AC4691">
        <w:rPr>
          <w:rFonts w:ascii="Times New Roman" w:hAnsi="Times New Roman" w:cs="Times New Roman"/>
          <w:color w:val="000000" w:themeColor="text1"/>
          <w:sz w:val="28"/>
          <w:szCs w:val="28"/>
          <w:lang w:val="en-US" w:bidi="ar-SA"/>
        </w:rPr>
        <w:instrText>and</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CES</w:instrText>
      </w:r>
      <w:r w:rsidR="00AC4691" w:rsidRPr="00496E24">
        <w:rPr>
          <w:rFonts w:ascii="Times New Roman" w:hAnsi="Times New Roman" w:cs="Times New Roman"/>
          <w:color w:val="000000" w:themeColor="text1"/>
          <w:sz w:val="28"/>
          <w:szCs w:val="28"/>
          <w:lang w:bidi="ar-SA"/>
        </w:rPr>
        <w:instrText xml:space="preserve">1 </w:instrText>
      </w:r>
      <w:r w:rsidR="00AC4691">
        <w:rPr>
          <w:rFonts w:ascii="Times New Roman" w:hAnsi="Times New Roman" w:cs="Times New Roman"/>
          <w:color w:val="000000" w:themeColor="text1"/>
          <w:sz w:val="28"/>
          <w:szCs w:val="28"/>
          <w:lang w:val="en-US" w:bidi="ar-SA"/>
        </w:rPr>
        <w:instrText>exert</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important</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effect</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the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metabolism</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of</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dabigatran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etexilate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and</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allele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variants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at</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these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two</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loci</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are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likely</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to</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play</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a</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pivotal</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role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container</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title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Thrombosis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Research</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DOI</w:instrText>
      </w:r>
      <w:r w:rsidR="00AC4691" w:rsidRPr="00496E24">
        <w:rPr>
          <w:rFonts w:ascii="Times New Roman" w:hAnsi="Times New Roman" w:cs="Times New Roman"/>
          <w:color w:val="000000" w:themeColor="text1"/>
          <w:sz w:val="28"/>
          <w:szCs w:val="28"/>
          <w:lang w:bidi="ar-SA"/>
        </w:rPr>
        <w:instrText>":"10.1016/</w:instrText>
      </w:r>
      <w:r w:rsidR="00AC4691">
        <w:rPr>
          <w:rFonts w:ascii="Times New Roman" w:hAnsi="Times New Roman" w:cs="Times New Roman"/>
          <w:color w:val="000000" w:themeColor="text1"/>
          <w:sz w:val="28"/>
          <w:szCs w:val="28"/>
          <w:lang w:val="en-US" w:bidi="ar-SA"/>
        </w:rPr>
        <w:instrText>j</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thromres</w:instrText>
      </w:r>
      <w:r w:rsidR="00AC4691" w:rsidRPr="00496E24">
        <w:rPr>
          <w:rFonts w:ascii="Times New Roman" w:hAnsi="Times New Roman" w:cs="Times New Roman"/>
          <w:color w:val="000000" w:themeColor="text1"/>
          <w:sz w:val="28"/>
          <w:szCs w:val="28"/>
          <w:lang w:bidi="ar-SA"/>
        </w:rPr>
        <w:instrText>.2016.05.025","</w:instrText>
      </w:r>
      <w:r w:rsidR="00AC4691">
        <w:rPr>
          <w:rFonts w:ascii="Times New Roman" w:hAnsi="Times New Roman" w:cs="Times New Roman"/>
          <w:color w:val="000000" w:themeColor="text1"/>
          <w:sz w:val="28"/>
          <w:szCs w:val="28"/>
          <w:lang w:val="en-US" w:bidi="ar-SA"/>
        </w:rPr>
        <w:instrText>ISSN</w:instrText>
      </w:r>
      <w:r w:rsidR="00AC4691" w:rsidRPr="00496E24">
        <w:rPr>
          <w:rFonts w:ascii="Times New Roman" w:hAnsi="Times New Roman" w:cs="Times New Roman"/>
          <w:color w:val="000000" w:themeColor="text1"/>
          <w:sz w:val="28"/>
          <w:szCs w:val="28"/>
          <w:lang w:bidi="ar-SA"/>
        </w:rPr>
        <w:instrText>":"00493848","</w:instrText>
      </w:r>
      <w:r w:rsidR="00AC4691">
        <w:rPr>
          <w:rFonts w:ascii="Times New Roman" w:hAnsi="Times New Roman" w:cs="Times New Roman"/>
          <w:color w:val="000000" w:themeColor="text1"/>
          <w:sz w:val="28"/>
          <w:szCs w:val="28"/>
          <w:lang w:val="en-US" w:bidi="ar-SA"/>
        </w:rPr>
        <w:instrText>journalAbbreviation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Thrombosis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Research</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language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page</w:instrText>
      </w:r>
      <w:r w:rsidR="00AC4691" w:rsidRPr="00496E24">
        <w:rPr>
          <w:rFonts w:ascii="Times New Roman" w:hAnsi="Times New Roman" w:cs="Times New Roman"/>
          <w:color w:val="000000" w:themeColor="text1"/>
          <w:sz w:val="28"/>
          <w:szCs w:val="28"/>
          <w:lang w:bidi="ar-SA"/>
        </w:rPr>
        <w:instrText>":"1-5","</w:instrText>
      </w:r>
      <w:r w:rsidR="00AC4691">
        <w:rPr>
          <w:rFonts w:ascii="Times New Roman" w:hAnsi="Times New Roman" w:cs="Times New Roman"/>
          <w:color w:val="000000" w:themeColor="text1"/>
          <w:sz w:val="28"/>
          <w:szCs w:val="28"/>
          <w:lang w:val="en-US" w:bidi="ar-SA"/>
        </w:rPr>
        <w:instrText>source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DOI</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org</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Crossref</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title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Pharmacogenetics</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of</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dabigatran</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etexilate</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interindividual</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variability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volume</w:instrText>
      </w:r>
      <w:r w:rsidR="00AC4691" w:rsidRPr="00496E24">
        <w:rPr>
          <w:rFonts w:ascii="Times New Roman" w:hAnsi="Times New Roman" w:cs="Times New Roman"/>
          <w:color w:val="000000" w:themeColor="text1"/>
          <w:sz w:val="28"/>
          <w:szCs w:val="28"/>
          <w:lang w:bidi="ar-SA"/>
        </w:rPr>
        <w:instrText>":"144","</w:instrText>
      </w:r>
      <w:r w:rsidR="00AC4691">
        <w:rPr>
          <w:rFonts w:ascii="Times New Roman" w:hAnsi="Times New Roman" w:cs="Times New Roman"/>
          <w:color w:val="000000" w:themeColor="text1"/>
          <w:sz w:val="28"/>
          <w:szCs w:val="28"/>
          <w:lang w:val="en-US" w:bidi="ar-SA"/>
        </w:rPr>
        <w:instrText>author</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Dimatteo</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Claudia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D</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Andrea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Giovanna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Vecchione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Gennaro</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Paoletti</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Oriana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Cappucci</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Filomena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Tiscia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Giovanni</w:instrText>
      </w:r>
      <w:r w:rsidR="00AC4691" w:rsidRPr="00496E24">
        <w:rPr>
          <w:rFonts w:ascii="Times New Roman" w:hAnsi="Times New Roman" w:cs="Times New Roman"/>
          <w:color w:val="000000" w:themeColor="text1"/>
          <w:sz w:val="28"/>
          <w:szCs w:val="28"/>
          <w:lang w:bidi="ar-SA"/>
        </w:rPr>
        <w:instrText xml:space="preserve"> </w:instrText>
      </w:r>
      <w:r w:rsidR="00AC4691">
        <w:rPr>
          <w:rFonts w:ascii="Times New Roman" w:hAnsi="Times New Roman" w:cs="Times New Roman"/>
          <w:color w:val="000000" w:themeColor="text1"/>
          <w:sz w:val="28"/>
          <w:szCs w:val="28"/>
          <w:lang w:val="en-US" w:bidi="ar-SA"/>
        </w:rPr>
        <w:instrText>Luca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Buono</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Matteo</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Grandone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Elvira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Testa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Sophie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family</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Margaglione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given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Maurizio</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issued</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date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parts</w:instrText>
      </w:r>
      <w:r w:rsidR="00AC4691" w:rsidRPr="00496E24">
        <w:rPr>
          <w:rFonts w:ascii="Times New Roman" w:hAnsi="Times New Roman" w:cs="Times New Roman"/>
          <w:color w:val="000000" w:themeColor="text1"/>
          <w:sz w:val="28"/>
          <w:szCs w:val="28"/>
          <w:lang w:bidi="ar-SA"/>
        </w:rPr>
        <w:instrText>":[["2016",8]]}}}],"</w:instrText>
      </w:r>
      <w:r w:rsidR="00AC4691">
        <w:rPr>
          <w:rFonts w:ascii="Times New Roman" w:hAnsi="Times New Roman" w:cs="Times New Roman"/>
          <w:color w:val="000000" w:themeColor="text1"/>
          <w:sz w:val="28"/>
          <w:szCs w:val="28"/>
          <w:lang w:val="en-US" w:bidi="ar-SA"/>
        </w:rPr>
        <w:instrText>schema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https</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github</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com</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citation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style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language</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schema</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raw</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master</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csl</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citation</w:instrText>
      </w:r>
      <w:r w:rsidR="00AC4691" w:rsidRPr="00496E24">
        <w:rPr>
          <w:rFonts w:ascii="Times New Roman" w:hAnsi="Times New Roman" w:cs="Times New Roman"/>
          <w:color w:val="000000" w:themeColor="text1"/>
          <w:sz w:val="28"/>
          <w:szCs w:val="28"/>
          <w:lang w:bidi="ar-SA"/>
        </w:rPr>
        <w:instrText>.</w:instrText>
      </w:r>
      <w:r w:rsidR="00AC4691">
        <w:rPr>
          <w:rFonts w:ascii="Times New Roman" w:hAnsi="Times New Roman" w:cs="Times New Roman"/>
          <w:color w:val="000000" w:themeColor="text1"/>
          <w:sz w:val="28"/>
          <w:szCs w:val="28"/>
          <w:lang w:val="en-US" w:bidi="ar-SA"/>
        </w:rPr>
        <w:instrText>json</w:instrText>
      </w:r>
      <w:r w:rsidR="00AC4691" w:rsidRPr="00496E24">
        <w:rPr>
          <w:rFonts w:ascii="Times New Roman" w:hAnsi="Times New Roman" w:cs="Times New Roman"/>
          <w:color w:val="000000" w:themeColor="text1"/>
          <w:sz w:val="28"/>
          <w:szCs w:val="28"/>
          <w:lang w:bidi="ar-SA"/>
        </w:rPr>
        <w:instrText xml:space="preserve">"}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[18]</w:t>
      </w:r>
      <w:r>
        <w:rPr>
          <w:rFonts w:ascii="Times New Roman" w:hAnsi="Times New Roman" w:cs="Times New Roman"/>
          <w:color w:val="000000" w:themeColor="text1"/>
          <w:sz w:val="28"/>
          <w:szCs w:val="28"/>
          <w:lang w:bidi="ar-SA"/>
        </w:rPr>
        <w:fldChar w:fldCharType="end"/>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Минимальные концентрации дабигатрана в нашем исследовании (55,</w:t>
      </w:r>
      <w:r w:rsidRPr="007E0A7E">
        <w:rPr>
          <w:rFonts w:ascii="Times New Roman" w:hAnsi="Times New Roman" w:cs="Times New Roman"/>
          <w:color w:val="000000" w:themeColor="text1"/>
          <w:sz w:val="28"/>
          <w:szCs w:val="28"/>
          <w:lang w:bidi="ar-SA"/>
        </w:rPr>
        <w:t xml:space="preserve">6 </w:t>
      </w:r>
      <w:r>
        <w:rPr>
          <w:rFonts w:ascii="Times New Roman" w:hAnsi="Times New Roman" w:cs="Times New Roman"/>
          <w:color w:val="000000" w:themeColor="text1"/>
          <w:sz w:val="28"/>
          <w:szCs w:val="28"/>
          <w:lang w:bidi="ar-SA"/>
        </w:rPr>
        <w:t xml:space="preserve">нг/мл) соответствует медиане 59нг/мл, описанному в исследовании </w:t>
      </w:r>
      <w:r>
        <w:rPr>
          <w:rFonts w:ascii="Times New Roman" w:hAnsi="Times New Roman" w:cs="Times New Roman"/>
          <w:color w:val="000000" w:themeColor="text1"/>
          <w:sz w:val="28"/>
          <w:szCs w:val="28"/>
          <w:lang w:val="en-US" w:bidi="ar-SA"/>
        </w:rPr>
        <w:t>Boonen</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val="en-US" w:bidi="ar-SA"/>
        </w:rPr>
        <w:t>et</w:t>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val="en-US" w:bidi="ar-SA"/>
        </w:rPr>
        <w:t>al</w:t>
      </w:r>
      <w:r w:rsidRPr="007E0A7E">
        <w:rPr>
          <w:rFonts w:ascii="Times New Roman" w:hAnsi="Times New Roman" w:cs="Times New Roman"/>
          <w:color w:val="000000" w:themeColor="text1"/>
          <w:sz w:val="28"/>
          <w:szCs w:val="28"/>
          <w:lang w:bidi="ar-SA"/>
        </w:rPr>
        <w:t>.</w:t>
      </w:r>
      <w:r>
        <w:rPr>
          <w:rFonts w:ascii="Times New Roman" w:hAnsi="Times New Roman" w:cs="Times New Roman"/>
          <w:color w:val="000000" w:themeColor="text1"/>
          <w:sz w:val="28"/>
          <w:szCs w:val="28"/>
          <w:lang w:bidi="ar-SA"/>
        </w:rPr>
        <w:t xml:space="preserve"> (2017)</w:t>
      </w:r>
      <w:r>
        <w:rPr>
          <w:rFonts w:ascii="Times New Roman" w:hAnsi="Times New Roman" w:cs="Times New Roman"/>
          <w:color w:val="000000" w:themeColor="text1"/>
          <w:sz w:val="28"/>
          <w:szCs w:val="28"/>
          <w:lang w:bidi="ar-SA"/>
        </w:rPr>
        <w:fldChar w:fldCharType="begin"/>
      </w:r>
      <w:r w:rsidR="00AC4691">
        <w:rPr>
          <w:rFonts w:ascii="Times New Roman" w:hAnsi="Times New Roman" w:cs="Times New Roman"/>
          <w:color w:val="000000" w:themeColor="text1"/>
          <w:sz w:val="28"/>
          <w:szCs w:val="28"/>
          <w:lang w:bidi="ar-SA"/>
        </w:rPr>
        <w:instrText xml:space="preserve"> ADDIN ZOTERO_ITEM CSL_CITATION {"citationID":"wjRdNazJ","properties":{"unsorted":false,"formattedCitation":"[248]","plainCitation":"[248]","noteIndex":0},"citationItems":[{"id":23,"uris":["http://zotero.org/users/14784094/items/XEC4DR6G"],"itemData":{"id":23,"type":"article-journal","abstract":"BACKGROUND: Dabigatran is prescribed to increasing numbers of patients with atrial fibrillation (AF). Although routine monitoring is not considered to be useful, measuring drug concentrations can be clinically relevant in specific situations. The aim of this study was the comparison of different functional and non-functional assays for determination of dabigatran concentrations at different timepoints in a real-life patient population with AF. We focused on the differences between assays in identifying patients with low drug concentrations. Furthermore, we studied the effect of glucuronidation on the established concentration as determined with different assays.\nMETHODS: This study established dabigatran concentration ranges in 40 real-life AF patients by an ultra-performance liquid chromatography-tandem mass spectrometry (UPLC-MS/MS) reference method and compared these with results from coagulation assays (Hemoclot dTT, LD-dTT and ECA). Samples were taken just before and 2 and 4 h after taking the drug.\nRESULTS: A wide range of concentrations at different time points was found in this patient group. Coagulation assays correlate best with UPLC-MS/MS results that include the glucuronidated metabolites, showing that the pharmacologically active glucuronides are also measured in coagulation testing. The LD-dTT has the best agreement with UPLC-MS/MS and combines good sensitivity with high specificity. Several patients show consistently low or high drug concentrations, implying that drug exposure differs between patients.\nCONCLUSIONS: Based on the association of dabigatran concentrations with bleeding and thromboembolic risk, we believe that dabigatran monitoring could be beneficial for further optimizing anticoagulation therapy in AF.","container-title":"Clinical Chemistry and Laboratory Medicine","DOI":"10.1515/cclm-2016-0681","ISSN":"1437-4331","issue":"12","journalAbbreviation":"Clin Chem Lab Med","language":"eng","page":"2002-2009","PMID":"28328523","source":"PubMed","title":"Real life dabigatran and metabolite concentrations, focused on inter-patient variability and assay differences in patients with atrial fibrillation","volume":"55","author":[{"family":"Boonen","given":"Kristel"},{"family":"Schmitz","given":"Ellen"},{"family":"Rozestraten","given":"Fleur"},{"family":"Heuvel","given":"Dennis","non-dropping-particle":"van den"},{"family":"Brunsveld","given":"Luc"},{"family":"Voort","given":"Pepijn","non-dropping-particle":"van der"},{"family":"Kerkhof","given":"Daan","non-dropping-particle":"van de"}],"issued":{"date-parts":[["2017",10,26]]}}}],"schema":"https://github.com/citation-style-language/schema/raw/master/csl-citation.json"} </w:instrText>
      </w:r>
      <w:r>
        <w:rPr>
          <w:rFonts w:ascii="Times New Roman" w:hAnsi="Times New Roman" w:cs="Times New Roman"/>
          <w:color w:val="000000" w:themeColor="text1"/>
          <w:sz w:val="28"/>
          <w:szCs w:val="28"/>
          <w:lang w:bidi="ar-SA"/>
        </w:rPr>
        <w:fldChar w:fldCharType="separate"/>
      </w:r>
      <w:r w:rsidR="00AC4691">
        <w:rPr>
          <w:rFonts w:ascii="Times New Roman" w:eastAsiaTheme="minorHAnsi" w:hAnsi="Times New Roman" w:cs="Times New Roman"/>
          <w:color w:val="000000"/>
          <w:sz w:val="28"/>
          <w:szCs w:val="24"/>
          <w:lang w:eastAsia="en-US"/>
          <w14:ligatures w14:val="standardContextual"/>
        </w:rPr>
        <w:t>[248]</w:t>
      </w:r>
      <w:r>
        <w:rPr>
          <w:rFonts w:ascii="Times New Roman" w:hAnsi="Times New Roman" w:cs="Times New Roman"/>
          <w:color w:val="000000" w:themeColor="text1"/>
          <w:sz w:val="28"/>
          <w:szCs w:val="28"/>
          <w:lang w:bidi="ar-SA"/>
        </w:rPr>
        <w:fldChar w:fldCharType="end"/>
      </w:r>
      <w:r w:rsidRPr="007E0A7E">
        <w:rPr>
          <w:rFonts w:ascii="Times New Roman" w:hAnsi="Times New Roman" w:cs="Times New Roman"/>
          <w:color w:val="000000" w:themeColor="text1"/>
          <w:sz w:val="28"/>
          <w:szCs w:val="28"/>
          <w:lang w:bidi="ar-SA"/>
        </w:rPr>
        <w:t xml:space="preserve">. </w:t>
      </w:r>
      <w:r>
        <w:rPr>
          <w:rFonts w:ascii="Times New Roman" w:hAnsi="Times New Roman" w:cs="Times New Roman"/>
          <w:color w:val="000000" w:themeColor="text1"/>
          <w:sz w:val="28"/>
          <w:szCs w:val="28"/>
          <w:lang w:bidi="ar-SA"/>
        </w:rPr>
        <w:t>Минимальная концентрация у пожилых пациентов была выше (р=0,05), несмотря на отсутствие различий в С</w:t>
      </w:r>
      <w:r w:rsidRPr="003C7C22">
        <w:rPr>
          <w:rFonts w:ascii="Times New Roman" w:hAnsi="Times New Roman" w:cs="Times New Roman"/>
          <w:color w:val="000000" w:themeColor="text1"/>
          <w:sz w:val="28"/>
          <w:szCs w:val="28"/>
          <w:vertAlign w:val="subscript"/>
          <w:lang w:val="en-US" w:bidi="ar-SA"/>
        </w:rPr>
        <w:t>max</w:t>
      </w:r>
      <w:r>
        <w:rPr>
          <w:rFonts w:ascii="Times New Roman" w:hAnsi="Times New Roman" w:cs="Times New Roman"/>
          <w:color w:val="000000" w:themeColor="text1"/>
          <w:sz w:val="28"/>
          <w:szCs w:val="28"/>
          <w:lang w:bidi="ar-SA"/>
        </w:rPr>
        <w:t>.</w:t>
      </w:r>
    </w:p>
    <w:p w14:paraId="26070D7D" w14:textId="715D1C7F" w:rsidR="00790171" w:rsidRDefault="00790171" w:rsidP="007E0A7E">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eastAsia="Times New Roman" w:hAnsi="Times New Roman" w:cs="Times New Roman"/>
          <w:noProof/>
          <w:sz w:val="28"/>
          <w:szCs w:val="28"/>
          <w:lang w:eastAsia="ru-RU" w:bidi="ar-SA"/>
        </w:rPr>
        <w:drawing>
          <wp:anchor distT="0" distB="0" distL="114300" distR="114300" simplePos="0" relativeHeight="251688960" behindDoc="0" locked="0" layoutInCell="0" allowOverlap="1" wp14:anchorId="51A9893C" wp14:editId="2DD3C961">
            <wp:simplePos x="0" y="0"/>
            <wp:positionH relativeFrom="column">
              <wp:posOffset>18195</wp:posOffset>
            </wp:positionH>
            <wp:positionV relativeFrom="paragraph">
              <wp:posOffset>3369411</wp:posOffset>
            </wp:positionV>
            <wp:extent cx="5575935" cy="2707005"/>
            <wp:effectExtent l="0" t="0" r="0" b="0"/>
            <wp:wrapTopAndBottom/>
            <wp:docPr id="1362616459" name="Image17" descr="Изображение выглядит как текст, линия,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7" descr="Изображение выглядит как текст, линия, Шрифт, диаграмма&#10;&#10;Содержимое, созданное искусственным интеллектом, может быть неверным."/>
                    <pic:cNvPicPr>
                      <a:picLocks noChangeAspect="1" noChangeArrowheads="1"/>
                    </pic:cNvPicPr>
                  </pic:nvPicPr>
                  <pic:blipFill>
                    <a:blip r:embed="rId30"/>
                    <a:stretch>
                      <a:fillRect/>
                    </a:stretch>
                  </pic:blipFill>
                  <pic:spPr bwMode="auto">
                    <a:xfrm>
                      <a:off x="0" y="0"/>
                      <a:ext cx="5575935" cy="2707005"/>
                    </a:xfrm>
                    <a:prstGeom prst="rect">
                      <a:avLst/>
                    </a:prstGeom>
                  </pic:spPr>
                </pic:pic>
              </a:graphicData>
            </a:graphic>
            <wp14:sizeRelV relativeFrom="margin">
              <wp14:pctHeight>0</wp14:pctHeight>
            </wp14:sizeRelV>
          </wp:anchor>
        </w:drawing>
      </w:r>
      <w:r>
        <w:rPr>
          <w:rFonts w:ascii="Times New Roman" w:eastAsia="Times New Roman" w:hAnsi="Times New Roman" w:cs="Times New Roman"/>
          <w:noProof/>
          <w:sz w:val="28"/>
          <w:szCs w:val="28"/>
          <w:lang w:eastAsia="ru-RU" w:bidi="ar-SA"/>
        </w:rPr>
        <w:drawing>
          <wp:anchor distT="0" distB="0" distL="114300" distR="114300" simplePos="0" relativeHeight="251684864" behindDoc="0" locked="0" layoutInCell="0" allowOverlap="1" wp14:anchorId="79F45AB1" wp14:editId="32C8A035">
            <wp:simplePos x="0" y="0"/>
            <wp:positionH relativeFrom="column">
              <wp:posOffset>69215</wp:posOffset>
            </wp:positionH>
            <wp:positionV relativeFrom="paragraph">
              <wp:posOffset>721731</wp:posOffset>
            </wp:positionV>
            <wp:extent cx="5777230" cy="2643505"/>
            <wp:effectExtent l="0" t="0" r="1270" b="0"/>
            <wp:wrapTopAndBottom/>
            <wp:docPr id="14" name="Image13" descr="Изображение выглядит как текст, линия,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descr="Изображение выглядит как текст, линия, диаграмма, Шрифт&#10;&#10;Содержимое, созданное искусственным интеллектом, может быть неверным."/>
                    <pic:cNvPicPr>
                      <a:picLocks noChangeAspect="1" noChangeArrowheads="1"/>
                    </pic:cNvPicPr>
                  </pic:nvPicPr>
                  <pic:blipFill>
                    <a:blip r:embed="rId31"/>
                    <a:stretch>
                      <a:fillRect/>
                    </a:stretch>
                  </pic:blipFill>
                  <pic:spPr bwMode="auto">
                    <a:xfrm>
                      <a:off x="0" y="0"/>
                      <a:ext cx="5777230" cy="2643505"/>
                    </a:xfrm>
                    <a:prstGeom prst="rect">
                      <a:avLst/>
                    </a:prstGeom>
                  </pic:spPr>
                </pic:pic>
              </a:graphicData>
            </a:graphic>
            <wp14:sizeRelV relativeFrom="margin">
              <wp14:pctHeight>0</wp14:pctHeight>
            </wp14:sizeRelV>
          </wp:anchor>
        </w:drawing>
      </w:r>
      <w:r w:rsidR="007E0A7E" w:rsidRPr="003C7C22">
        <w:rPr>
          <w:rFonts w:ascii="Times New Roman" w:hAnsi="Times New Roman" w:cs="Times New Roman"/>
          <w:b/>
          <w:bCs/>
          <w:color w:val="000000" w:themeColor="text1"/>
          <w:sz w:val="28"/>
          <w:szCs w:val="28"/>
          <w:lang w:bidi="ar-SA"/>
        </w:rPr>
        <w:t>Концентрация апиксабана</w:t>
      </w:r>
      <w:r w:rsidR="007E0A7E">
        <w:rPr>
          <w:rFonts w:ascii="Times New Roman" w:hAnsi="Times New Roman" w:cs="Times New Roman"/>
          <w:color w:val="000000" w:themeColor="text1"/>
          <w:sz w:val="28"/>
          <w:szCs w:val="28"/>
          <w:lang w:bidi="ar-SA"/>
        </w:rPr>
        <w:t>. Средняя пиковая концентрация апиксабана в общей популяции составила 164,6</w:t>
      </w:r>
      <w:r w:rsidR="007E0A7E">
        <w:rPr>
          <w:rFonts w:ascii="Times New Roman" w:hAnsi="Times New Roman" w:cs="Times New Roman"/>
          <w:color w:val="000000" w:themeColor="text1"/>
          <w:sz w:val="28"/>
          <w:szCs w:val="28"/>
          <w:lang w:bidi="ar-SA"/>
        </w:rPr>
        <w:sym w:font="Symbol" w:char="F0B1"/>
      </w:r>
      <w:r w:rsidR="007E0A7E">
        <w:rPr>
          <w:rFonts w:ascii="Times New Roman" w:hAnsi="Times New Roman" w:cs="Times New Roman"/>
          <w:color w:val="000000" w:themeColor="text1"/>
          <w:sz w:val="28"/>
          <w:szCs w:val="28"/>
          <w:lang w:bidi="ar-SA"/>
        </w:rPr>
        <w:t>78,1 нг/мл, минимальная концентрация 101,1</w:t>
      </w:r>
      <w:r w:rsidR="007E0A7E">
        <w:rPr>
          <w:rFonts w:ascii="Times New Roman" w:hAnsi="Times New Roman" w:cs="Times New Roman"/>
          <w:color w:val="000000" w:themeColor="text1"/>
          <w:sz w:val="28"/>
          <w:szCs w:val="28"/>
          <w:lang w:bidi="ar-SA"/>
        </w:rPr>
        <w:sym w:font="Symbol" w:char="F0B1"/>
      </w:r>
      <w:r w:rsidR="007E0A7E">
        <w:rPr>
          <w:rFonts w:ascii="Times New Roman" w:hAnsi="Times New Roman" w:cs="Times New Roman"/>
          <w:color w:val="000000" w:themeColor="text1"/>
          <w:sz w:val="28"/>
          <w:szCs w:val="28"/>
          <w:lang w:bidi="ar-SA"/>
        </w:rPr>
        <w:t xml:space="preserve">45,9нг/мл. </w:t>
      </w:r>
    </w:p>
    <w:p w14:paraId="0F776F5C" w14:textId="77777777" w:rsidR="00790171" w:rsidRDefault="00790171" w:rsidP="00790171">
      <w:pPr>
        <w:pStyle w:val="LO-normal"/>
        <w:spacing w:after="0" w:line="240" w:lineRule="auto"/>
        <w:jc w:val="both"/>
        <w:rPr>
          <w:rFonts w:ascii="Times New Roman" w:hAnsi="Times New Roman" w:cs="Times New Roman"/>
          <w:sz w:val="28"/>
          <w:szCs w:val="28"/>
          <w:lang w:bidi="ar-SA"/>
        </w:rPr>
      </w:pPr>
    </w:p>
    <w:p w14:paraId="3A9678F4" w14:textId="77777777" w:rsidR="00790171" w:rsidRDefault="00790171" w:rsidP="00790171">
      <w:pPr>
        <w:pStyle w:val="LO-normal"/>
        <w:spacing w:after="0" w:line="240" w:lineRule="auto"/>
        <w:ind w:firstLine="567"/>
        <w:jc w:val="both"/>
        <w:rPr>
          <w:rFonts w:ascii="Times New Roman" w:hAnsi="Times New Roman" w:cs="Times New Roman"/>
          <w:sz w:val="28"/>
          <w:szCs w:val="28"/>
          <w:lang w:bidi="ar-SA"/>
        </w:rPr>
      </w:pPr>
      <w:r w:rsidRPr="003C7C22">
        <w:rPr>
          <w:rFonts w:ascii="Times New Roman" w:hAnsi="Times New Roman" w:cs="Times New Roman"/>
          <w:color w:val="000000" w:themeColor="text1"/>
          <w:sz w:val="28"/>
          <w:szCs w:val="28"/>
          <w:lang w:bidi="ar-SA"/>
        </w:rPr>
        <w:t xml:space="preserve">Рисунок 12. </w:t>
      </w:r>
      <w:r>
        <w:rPr>
          <w:rFonts w:ascii="Times New Roman" w:hAnsi="Times New Roman" w:cs="Times New Roman"/>
          <w:sz w:val="28"/>
          <w:szCs w:val="28"/>
          <w:lang w:bidi="ar-SA"/>
        </w:rPr>
        <w:t>Сравнительный анализ концентраций апиксабана в плазме между гендерными и возрастными группами.</w:t>
      </w:r>
    </w:p>
    <w:p w14:paraId="69ABE147" w14:textId="66379B0F" w:rsidR="007E0A7E" w:rsidRDefault="007E0A7E" w:rsidP="0079017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color w:val="000000" w:themeColor="text1"/>
          <w:sz w:val="28"/>
          <w:szCs w:val="28"/>
          <w:lang w:bidi="ar-SA"/>
        </w:rPr>
        <w:t>Хотя С</w:t>
      </w:r>
      <w:r w:rsidRPr="003C7C22">
        <w:rPr>
          <w:rFonts w:ascii="Times New Roman" w:hAnsi="Times New Roman" w:cs="Times New Roman"/>
          <w:color w:val="000000" w:themeColor="text1"/>
          <w:sz w:val="28"/>
          <w:szCs w:val="28"/>
          <w:vertAlign w:val="subscript"/>
          <w:lang w:val="en-US" w:bidi="ar-SA"/>
        </w:rPr>
        <w:t>max</w:t>
      </w:r>
      <w:r>
        <w:rPr>
          <w:rFonts w:ascii="Times New Roman" w:hAnsi="Times New Roman" w:cs="Times New Roman"/>
          <w:color w:val="000000" w:themeColor="text1"/>
          <w:sz w:val="28"/>
          <w:szCs w:val="28"/>
          <w:lang w:bidi="ar-SA"/>
        </w:rPr>
        <w:t xml:space="preserve"> апиксабана у женщин была выше, различие было на грани статистической значимости (р=0,06), а минимальная концентрация достоверно выше (р=0,01) </w:t>
      </w:r>
      <w:r w:rsidRPr="003C7C22">
        <w:rPr>
          <w:rFonts w:ascii="Times New Roman" w:hAnsi="Times New Roman" w:cs="Times New Roman"/>
          <w:color w:val="000000" w:themeColor="text1"/>
          <w:sz w:val="28"/>
          <w:szCs w:val="28"/>
          <w:lang w:bidi="ar-SA"/>
        </w:rPr>
        <w:t xml:space="preserve">(рисунок 12). </w:t>
      </w:r>
      <w:r>
        <w:rPr>
          <w:rFonts w:ascii="Times New Roman" w:hAnsi="Times New Roman" w:cs="Times New Roman"/>
          <w:sz w:val="28"/>
          <w:szCs w:val="28"/>
          <w:lang w:bidi="ar-SA"/>
        </w:rPr>
        <w:t>Схожие результаты были</w:t>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в исследовании </w:t>
      </w:r>
      <w:r>
        <w:rPr>
          <w:rFonts w:ascii="Times New Roman" w:hAnsi="Times New Roman" w:cs="Times New Roman"/>
          <w:sz w:val="28"/>
          <w:szCs w:val="28"/>
          <w:lang w:val="en-US" w:bidi="ar-SA"/>
        </w:rPr>
        <w:t>Thomas</w:t>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et</w:t>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al</w:t>
      </w:r>
      <w:r w:rsidRPr="007E0A7E">
        <w:rPr>
          <w:rFonts w:ascii="Times New Roman" w:hAnsi="Times New Roman" w:cs="Times New Roman"/>
          <w:sz w:val="28"/>
          <w:szCs w:val="28"/>
          <w:lang w:bidi="ar-SA"/>
        </w:rPr>
        <w:t>.</w:t>
      </w:r>
      <w:r>
        <w:rPr>
          <w:rFonts w:ascii="Times New Roman" w:hAnsi="Times New Roman" w:cs="Times New Roman"/>
          <w:sz w:val="28"/>
          <w:szCs w:val="28"/>
          <w:lang w:bidi="ar-SA"/>
        </w:rPr>
        <w:t>, где было обнаружено, что у женщин в среднем были более высокие пиковые и минимальные концентрации апиксабана, чем у мужчин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peak</w:t>
      </w:r>
      <w:r w:rsidRPr="007E0A7E">
        <w:rPr>
          <w:rFonts w:ascii="Times New Roman" w:hAnsi="Times New Roman" w:cs="Times New Roman"/>
          <w:color w:val="000000" w:themeColor="text1"/>
          <w:sz w:val="28"/>
          <w:szCs w:val="28"/>
          <w:vertAlign w:val="subscript"/>
          <w:lang w:bidi="ar-SA"/>
        </w:rPr>
        <w:t xml:space="preserve"> </w:t>
      </w:r>
      <w:r>
        <w:rPr>
          <w:rFonts w:ascii="Times New Roman" w:hAnsi="Times New Roman" w:cs="Times New Roman"/>
          <w:color w:val="000000" w:themeColor="text1"/>
          <w:sz w:val="28"/>
          <w:szCs w:val="28"/>
          <w:lang w:bidi="ar-SA"/>
        </w:rPr>
        <w:t>248</w:t>
      </w:r>
      <w:r>
        <w:rPr>
          <w:rFonts w:ascii="Times New Roman" w:hAnsi="Times New Roman" w:cs="Times New Roman"/>
          <w:color w:val="000000" w:themeColor="text1"/>
          <w:sz w:val="28"/>
          <w:szCs w:val="28"/>
          <w:lang w:val="en-US" w:bidi="ar-SA"/>
        </w:rPr>
        <w:sym w:font="Symbol" w:char="F0B1"/>
      </w:r>
      <w:r w:rsidRPr="007E0A7E">
        <w:rPr>
          <w:rFonts w:ascii="Times New Roman" w:hAnsi="Times New Roman" w:cs="Times New Roman"/>
          <w:color w:val="000000" w:themeColor="text1"/>
          <w:sz w:val="28"/>
          <w:szCs w:val="28"/>
          <w:lang w:bidi="ar-SA"/>
        </w:rPr>
        <w:t>10</w:t>
      </w:r>
      <w:r>
        <w:rPr>
          <w:rFonts w:ascii="Times New Roman" w:hAnsi="Times New Roman" w:cs="Times New Roman"/>
          <w:color w:val="000000" w:themeColor="text1"/>
          <w:sz w:val="28"/>
          <w:szCs w:val="28"/>
          <w:lang w:bidi="ar-SA"/>
        </w:rPr>
        <w:t xml:space="preserve">5нг/мл,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trough</w:t>
      </w:r>
      <w:r>
        <w:rPr>
          <w:rFonts w:ascii="Times New Roman" w:hAnsi="Times New Roman" w:cs="Times New Roman"/>
          <w:color w:val="000000" w:themeColor="text1"/>
          <w:sz w:val="28"/>
          <w:szCs w:val="28"/>
          <w:lang w:bidi="ar-SA"/>
        </w:rPr>
        <w:t xml:space="preserve"> 128</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 xml:space="preserve">70нг/мл против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peak</w:t>
      </w:r>
      <w:r w:rsidRPr="007E0A7E">
        <w:rPr>
          <w:rFonts w:ascii="Times New Roman" w:hAnsi="Times New Roman" w:cs="Times New Roman"/>
          <w:color w:val="000000" w:themeColor="text1"/>
          <w:sz w:val="28"/>
          <w:szCs w:val="28"/>
          <w:vertAlign w:val="subscript"/>
          <w:lang w:bidi="ar-SA"/>
        </w:rPr>
        <w:t xml:space="preserve"> </w:t>
      </w:r>
      <w:r>
        <w:rPr>
          <w:rFonts w:ascii="Times New Roman" w:hAnsi="Times New Roman" w:cs="Times New Roman"/>
          <w:color w:val="000000" w:themeColor="text1"/>
          <w:sz w:val="28"/>
          <w:szCs w:val="28"/>
          <w:lang w:bidi="ar-SA"/>
        </w:rPr>
        <w:t>174</w:t>
      </w:r>
      <w:r>
        <w:rPr>
          <w:rFonts w:ascii="Times New Roman" w:hAnsi="Times New Roman" w:cs="Times New Roman"/>
          <w:color w:val="000000" w:themeColor="text1"/>
          <w:sz w:val="28"/>
          <w:szCs w:val="28"/>
          <w:lang w:val="en-US" w:bidi="ar-SA"/>
        </w:rPr>
        <w:sym w:font="Symbol" w:char="F0B1"/>
      </w:r>
      <w:r>
        <w:rPr>
          <w:rFonts w:ascii="Times New Roman" w:hAnsi="Times New Roman" w:cs="Times New Roman"/>
          <w:color w:val="000000" w:themeColor="text1"/>
          <w:sz w:val="28"/>
          <w:szCs w:val="28"/>
          <w:lang w:bidi="ar-SA"/>
        </w:rPr>
        <w:t xml:space="preserve">67нг/мл, </w:t>
      </w:r>
      <w:r>
        <w:rPr>
          <w:rFonts w:ascii="Times New Roman" w:hAnsi="Times New Roman" w:cs="Times New Roman"/>
          <w:color w:val="000000" w:themeColor="text1"/>
          <w:sz w:val="28"/>
          <w:szCs w:val="28"/>
          <w:lang w:val="en-US" w:bidi="ar-SA"/>
        </w:rPr>
        <w:t>C</w:t>
      </w:r>
      <w:r w:rsidRPr="007E0A7E">
        <w:rPr>
          <w:rFonts w:ascii="Times New Roman" w:hAnsi="Times New Roman" w:cs="Times New Roman"/>
          <w:color w:val="000000" w:themeColor="text1"/>
          <w:sz w:val="28"/>
          <w:szCs w:val="28"/>
          <w:vertAlign w:val="subscript"/>
          <w:lang w:val="en-US" w:bidi="ar-SA"/>
        </w:rPr>
        <w:t>trough</w:t>
      </w:r>
      <w:r>
        <w:rPr>
          <w:rFonts w:ascii="Times New Roman" w:hAnsi="Times New Roman" w:cs="Times New Roman"/>
          <w:color w:val="000000" w:themeColor="text1"/>
          <w:sz w:val="28"/>
          <w:szCs w:val="28"/>
          <w:lang w:bidi="ar-SA"/>
        </w:rPr>
        <w:t xml:space="preserve"> 100 </w:t>
      </w:r>
      <w:r>
        <w:rPr>
          <w:rFonts w:ascii="Times New Roman" w:hAnsi="Times New Roman" w:cs="Times New Roman"/>
          <w:color w:val="000000" w:themeColor="text1"/>
          <w:sz w:val="28"/>
          <w:szCs w:val="28"/>
          <w:lang w:bidi="ar-SA"/>
        </w:rPr>
        <w:sym w:font="Symbol" w:char="F0B1"/>
      </w:r>
      <w:r>
        <w:rPr>
          <w:rFonts w:ascii="Times New Roman" w:hAnsi="Times New Roman" w:cs="Times New Roman"/>
          <w:color w:val="000000" w:themeColor="text1"/>
          <w:sz w:val="28"/>
          <w:szCs w:val="28"/>
          <w:lang w:bidi="ar-SA"/>
        </w:rPr>
        <w:t>47нг/мл</w:t>
      </w:r>
      <w:r>
        <w:rPr>
          <w:rFonts w:ascii="Times New Roman" w:hAnsi="Times New Roman" w:cs="Times New Roman"/>
          <w:sz w:val="28"/>
          <w:szCs w:val="28"/>
          <w:lang w:bidi="ar-SA"/>
        </w:rPr>
        <w:t>)</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{"citationID":"yqw7sRk3","properties":{"unsorted":false,"formattedCitation":"[249]","plainCitation":"[249]","noteIndex":0},"citationItems":[{"id":18,"uris":["http://zotero.org/users/14784094/items/PERSWI49"],"itemData":{"id":18,"type":"article-journal","container-title":"JACC: Advances","DOI":"10.1016/j.jacadv.2022.100039","issue":"2","page":"100039","publisher":"American College of Cardiology Foundation","source":"jacc.org (Atypon)","title":"Apixaban Concentrations in Routine Clinical Care of Older Adults With Nonvalvular Atrial Fibrillation","volume":"1","author":[{"family":"Thomas","given":"Alveena"},{"family":"Fang","given":"Margaret C."},{"family":"Kogan","given":"Scott"},{"family":"Hubbard","given":"Colin C."},{"family":"Friedman","given":"Paula N."},{"family":"Gong","given":"Li"},{"family":"Klein","given":"Teri E."},{"family":"Nutescu","given":"Edith A."},{"family":"O","given":"'Brien Travis J."},{"family":"Tuck","given":"Matthew"},{"family":"Perera","given":"Minoli A."},{"family":"Schwartz","given":"Janice B."}],"issued":{"date-parts":[["2022",6]]}}}],"schema":"https://github.com/citation-style-language/schema/raw/master/csl-citation.json"}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[249]</w:t>
      </w:r>
      <w:r>
        <w:rPr>
          <w:rFonts w:ascii="Times New Roman" w:hAnsi="Times New Roman" w:cs="Times New Roman"/>
          <w:sz w:val="28"/>
          <w:szCs w:val="28"/>
          <w:lang w:bidi="ar-SA"/>
        </w:rPr>
        <w:fldChar w:fldCharType="end"/>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У пациентов </w:t>
      </w:r>
      <w:r>
        <w:rPr>
          <w:rFonts w:ascii="Times New Roman" w:hAnsi="Times New Roman" w:cs="Times New Roman"/>
          <w:sz w:val="28"/>
          <w:szCs w:val="28"/>
          <w:lang w:bidi="ar-SA"/>
        </w:rPr>
        <w:sym w:font="Symbol" w:char="F0B3"/>
      </w:r>
      <w:r>
        <w:rPr>
          <w:rFonts w:ascii="Times New Roman" w:hAnsi="Times New Roman" w:cs="Times New Roman"/>
          <w:sz w:val="28"/>
          <w:szCs w:val="28"/>
          <w:lang w:bidi="ar-SA"/>
        </w:rPr>
        <w:t xml:space="preserve">65 лет </w:t>
      </w:r>
      <w:r>
        <w:rPr>
          <w:rFonts w:ascii="Times New Roman" w:hAnsi="Times New Roman" w:cs="Times New Roman"/>
          <w:sz w:val="28"/>
          <w:szCs w:val="28"/>
          <w:lang w:val="en-US" w:bidi="ar-SA"/>
        </w:rPr>
        <w:t>Cmax</w:t>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Cmin</w:t>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превышали показатели группы </w:t>
      </w:r>
      <w:r w:rsidRPr="007E0A7E">
        <w:rPr>
          <w:rFonts w:ascii="Times New Roman" w:hAnsi="Times New Roman" w:cs="Times New Roman"/>
          <w:sz w:val="28"/>
          <w:szCs w:val="28"/>
          <w:lang w:bidi="ar-SA"/>
        </w:rPr>
        <w:t>&lt;65</w:t>
      </w:r>
      <w:r>
        <w:rPr>
          <w:rFonts w:ascii="Times New Roman" w:hAnsi="Times New Roman" w:cs="Times New Roman"/>
          <w:sz w:val="28"/>
          <w:szCs w:val="28"/>
          <w:lang w:bidi="ar-SA"/>
        </w:rPr>
        <w:t>лет на 15,6% и 23,3% соответственно (р</w:t>
      </w:r>
      <w:r w:rsidRPr="007E0A7E">
        <w:rPr>
          <w:rFonts w:ascii="Times New Roman" w:hAnsi="Times New Roman" w:cs="Times New Roman"/>
          <w:sz w:val="28"/>
          <w:szCs w:val="28"/>
          <w:lang w:bidi="ar-SA"/>
        </w:rPr>
        <w:t>&lt;0</w:t>
      </w:r>
      <w:r>
        <w:rPr>
          <w:rFonts w:ascii="Times New Roman" w:hAnsi="Times New Roman" w:cs="Times New Roman"/>
          <w:sz w:val="28"/>
          <w:szCs w:val="28"/>
          <w:lang w:bidi="ar-SA"/>
        </w:rPr>
        <w:t xml:space="preserve">,05). </w:t>
      </w:r>
    </w:p>
    <w:p w14:paraId="2ACE4409" w14:textId="68427F77" w:rsidR="00D904DE" w:rsidRDefault="00D904DE" w:rsidP="007E0A7E">
      <w:pPr>
        <w:pStyle w:val="LO-normal"/>
        <w:spacing w:after="0" w:line="240" w:lineRule="auto"/>
        <w:ind w:firstLine="567"/>
        <w:jc w:val="both"/>
        <w:rPr>
          <w:rFonts w:ascii="Times New Roman" w:hAnsi="Times New Roman" w:cs="Times New Roman"/>
          <w:sz w:val="28"/>
          <w:szCs w:val="28"/>
          <w:lang w:bidi="ar-SA"/>
        </w:rPr>
      </w:pPr>
    </w:p>
    <w:p w14:paraId="71A4ADAE" w14:textId="77777777" w:rsidR="00790171" w:rsidRDefault="00790171" w:rsidP="007E0A7E">
      <w:pPr>
        <w:pStyle w:val="LO-normal"/>
        <w:spacing w:after="0" w:line="240" w:lineRule="auto"/>
        <w:ind w:firstLine="567"/>
        <w:jc w:val="both"/>
        <w:rPr>
          <w:rFonts w:ascii="Times New Roman" w:hAnsi="Times New Roman" w:cs="Times New Roman"/>
          <w:sz w:val="28"/>
          <w:szCs w:val="28"/>
          <w:lang w:bidi="ar-SA"/>
        </w:rPr>
      </w:pPr>
    </w:p>
    <w:p w14:paraId="119DD872" w14:textId="3D0B1A12" w:rsidR="007E0A7E" w:rsidRPr="007E0A7E" w:rsidRDefault="007E0A7E" w:rsidP="00E22ABE">
      <w:pPr>
        <w:pStyle w:val="LO-normal"/>
        <w:numPr>
          <w:ilvl w:val="1"/>
          <w:numId w:val="19"/>
        </w:numPr>
        <w:tabs>
          <w:tab w:val="left" w:pos="993"/>
        </w:tabs>
        <w:spacing w:after="0" w:line="240" w:lineRule="auto"/>
        <w:ind w:left="567" w:firstLine="0"/>
        <w:jc w:val="both"/>
        <w:rPr>
          <w:rFonts w:ascii="Times New Roman" w:hAnsi="Times New Roman" w:cs="Times New Roman"/>
          <w:b/>
          <w:bCs/>
          <w:sz w:val="28"/>
          <w:szCs w:val="28"/>
          <w:lang w:bidi="ar-SA"/>
        </w:rPr>
      </w:pPr>
      <w:r w:rsidRPr="007E0A7E">
        <w:rPr>
          <w:rFonts w:ascii="Times New Roman" w:hAnsi="Times New Roman" w:cs="Times New Roman"/>
          <w:b/>
          <w:bCs/>
          <w:sz w:val="28"/>
          <w:szCs w:val="28"/>
          <w:lang w:bidi="ar-SA"/>
        </w:rPr>
        <w:t xml:space="preserve">Результаты </w:t>
      </w:r>
      <w:r w:rsidRPr="007E0A7E">
        <w:rPr>
          <w:rFonts w:ascii="Times New Roman" w:hAnsi="Times New Roman" w:cs="Times New Roman"/>
          <w:b/>
          <w:bCs/>
          <w:sz w:val="28"/>
          <w:szCs w:val="28"/>
          <w:lang w:val="en-US" w:bidi="ar-SA"/>
        </w:rPr>
        <w:t>SNP</w:t>
      </w:r>
      <w:r w:rsidRPr="007E0A7E">
        <w:rPr>
          <w:rFonts w:ascii="Times New Roman" w:hAnsi="Times New Roman" w:cs="Times New Roman"/>
          <w:b/>
          <w:bCs/>
          <w:sz w:val="28"/>
          <w:szCs w:val="28"/>
          <w:lang w:bidi="ar-SA"/>
        </w:rPr>
        <w:t xml:space="preserve"> генотипирования</w:t>
      </w:r>
    </w:p>
    <w:p w14:paraId="2FF4E5F1" w14:textId="7741B23D" w:rsidR="007E0A7E" w:rsidRPr="007E0A7E" w:rsidRDefault="007E0A7E" w:rsidP="007E0A7E">
      <w:pPr>
        <w:pStyle w:val="LO-normal"/>
        <w:numPr>
          <w:ilvl w:val="2"/>
          <w:numId w:val="19"/>
        </w:numPr>
        <w:spacing w:after="0" w:line="240" w:lineRule="auto"/>
        <w:jc w:val="both"/>
        <w:rPr>
          <w:rFonts w:ascii="Times New Roman" w:hAnsi="Times New Roman" w:cs="Times New Roman"/>
          <w:b/>
          <w:bCs/>
          <w:sz w:val="28"/>
          <w:szCs w:val="28"/>
          <w:lang w:bidi="ar-SA"/>
        </w:rPr>
      </w:pPr>
      <w:r w:rsidRPr="007E0A7E">
        <w:rPr>
          <w:rFonts w:ascii="Times New Roman" w:hAnsi="Times New Roman" w:cs="Times New Roman"/>
          <w:b/>
          <w:bCs/>
          <w:sz w:val="28"/>
          <w:szCs w:val="28"/>
          <w:lang w:bidi="ar-SA"/>
        </w:rPr>
        <w:t xml:space="preserve">Распределение генотипов </w:t>
      </w:r>
      <w:r w:rsidRPr="007E0A7E">
        <w:rPr>
          <w:rFonts w:ascii="Times New Roman" w:hAnsi="Times New Roman" w:cs="Times New Roman"/>
          <w:b/>
          <w:bCs/>
          <w:sz w:val="28"/>
          <w:szCs w:val="28"/>
          <w:lang w:val="en-US" w:bidi="ar-SA"/>
        </w:rPr>
        <w:t>ABCB</w:t>
      </w:r>
      <w:r w:rsidRPr="007E0A7E">
        <w:rPr>
          <w:rFonts w:ascii="Times New Roman" w:hAnsi="Times New Roman" w:cs="Times New Roman"/>
          <w:b/>
          <w:bCs/>
          <w:sz w:val="28"/>
          <w:szCs w:val="28"/>
          <w:lang w:bidi="ar-SA"/>
        </w:rPr>
        <w:t xml:space="preserve">1 и </w:t>
      </w:r>
      <w:r w:rsidRPr="007E0A7E">
        <w:rPr>
          <w:rFonts w:ascii="Times New Roman" w:hAnsi="Times New Roman" w:cs="Times New Roman"/>
          <w:b/>
          <w:bCs/>
          <w:sz w:val="28"/>
          <w:szCs w:val="28"/>
          <w:lang w:val="en-US" w:bidi="ar-SA"/>
        </w:rPr>
        <w:t>CES</w:t>
      </w:r>
      <w:r w:rsidRPr="007E0A7E">
        <w:rPr>
          <w:rFonts w:ascii="Times New Roman" w:hAnsi="Times New Roman" w:cs="Times New Roman"/>
          <w:b/>
          <w:bCs/>
          <w:sz w:val="28"/>
          <w:szCs w:val="28"/>
          <w:lang w:bidi="ar-SA"/>
        </w:rPr>
        <w:t>1 и частот аллелей</w:t>
      </w:r>
    </w:p>
    <w:p w14:paraId="08D89AFB" w14:textId="31128C9F" w:rsidR="00790171" w:rsidRDefault="007E0A7E" w:rsidP="00790171">
      <w:pPr>
        <w:pStyle w:val="LO-normal"/>
        <w:spacing w:after="0" w:line="240" w:lineRule="auto"/>
        <w:ind w:firstLine="567"/>
        <w:jc w:val="both"/>
        <w:rPr>
          <w:rFonts w:ascii="Times New Roman" w:hAnsi="Times New Roman" w:cs="Times New Roman"/>
          <w:sz w:val="28"/>
          <w:szCs w:val="28"/>
          <w:lang w:bidi="ar-SA"/>
        </w:rPr>
      </w:pPr>
      <w:r w:rsidRPr="007E0A7E">
        <w:rPr>
          <w:rFonts w:ascii="Times New Roman" w:hAnsi="Times New Roman" w:cs="Times New Roman"/>
          <w:b/>
          <w:bCs/>
          <w:sz w:val="28"/>
          <w:szCs w:val="28"/>
          <w:lang w:bidi="ar-SA"/>
        </w:rPr>
        <w:t>Ген АВСВ1</w:t>
      </w:r>
      <w:r w:rsidRPr="007E0A7E">
        <w:rPr>
          <w:rFonts w:ascii="Times New Roman" w:hAnsi="Times New Roman" w:cs="Times New Roman"/>
          <w:sz w:val="28"/>
          <w:szCs w:val="28"/>
          <w:lang w:bidi="ar-SA"/>
        </w:rPr>
        <w:t xml:space="preserve">. </w:t>
      </w:r>
      <w:r w:rsidRPr="00790171">
        <w:rPr>
          <w:rFonts w:ascii="Times New Roman" w:hAnsi="Times New Roman" w:cs="Times New Roman"/>
          <w:i/>
          <w:iCs/>
          <w:sz w:val="28"/>
          <w:szCs w:val="28"/>
          <w:lang w:val="en-US" w:bidi="ar-SA"/>
        </w:rPr>
        <w:t>rs</w:t>
      </w:r>
      <w:r w:rsidRPr="00790171">
        <w:rPr>
          <w:rFonts w:ascii="Times New Roman" w:hAnsi="Times New Roman" w:cs="Times New Roman"/>
          <w:i/>
          <w:iCs/>
          <w:sz w:val="28"/>
          <w:szCs w:val="28"/>
          <w:lang w:bidi="ar-SA"/>
        </w:rPr>
        <w:t>4148738 (С&gt;</w:t>
      </w:r>
      <w:r w:rsidRPr="00790171">
        <w:rPr>
          <w:rFonts w:ascii="Times New Roman" w:hAnsi="Times New Roman" w:cs="Times New Roman"/>
          <w:i/>
          <w:iCs/>
          <w:sz w:val="28"/>
          <w:szCs w:val="28"/>
          <w:lang w:val="en-US" w:bidi="ar-SA"/>
        </w:rPr>
        <w:t>T</w:t>
      </w:r>
      <w:r w:rsidRPr="00790171">
        <w:rPr>
          <w:rFonts w:ascii="Times New Roman" w:hAnsi="Times New Roman" w:cs="Times New Roman"/>
          <w:i/>
          <w:iCs/>
          <w:sz w:val="28"/>
          <w:szCs w:val="28"/>
          <w:lang w:bidi="ar-SA"/>
        </w:rPr>
        <w:t>):</w:t>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наиболее частым генотипом оказался гетерозиготный СТ (42,7%), при этом минорный аллель С имел частоту 40,4%, что сопоставимо с глобальной частотой (38,14%). Генотипное распределение не нарушает </w:t>
      </w:r>
      <w:r>
        <w:rPr>
          <w:rFonts w:ascii="Times New Roman" w:hAnsi="Times New Roman" w:cs="Times New Roman"/>
          <w:sz w:val="28"/>
          <w:szCs w:val="28"/>
          <w:lang w:val="en-US" w:bidi="ar-SA"/>
        </w:rPr>
        <w:t>HWE</w:t>
      </w:r>
      <w:r>
        <w:rPr>
          <w:rFonts w:ascii="Times New Roman" w:hAnsi="Times New Roman" w:cs="Times New Roman"/>
          <w:sz w:val="28"/>
          <w:szCs w:val="28"/>
          <w:lang w:bidi="ar-SA"/>
        </w:rPr>
        <w:t xml:space="preserve"> (р=0,149). </w:t>
      </w:r>
      <w:r w:rsidRPr="00790171">
        <w:rPr>
          <w:rFonts w:ascii="Times New Roman" w:hAnsi="Times New Roman" w:cs="Times New Roman"/>
          <w:i/>
          <w:iCs/>
          <w:sz w:val="28"/>
          <w:szCs w:val="28"/>
          <w:lang w:val="en-US" w:bidi="ar-SA"/>
        </w:rPr>
        <w:t>rs</w:t>
      </w:r>
      <w:r w:rsidRPr="00790171">
        <w:rPr>
          <w:rFonts w:ascii="Times New Roman" w:hAnsi="Times New Roman" w:cs="Times New Roman"/>
          <w:i/>
          <w:iCs/>
          <w:sz w:val="28"/>
          <w:szCs w:val="28"/>
          <w:lang w:bidi="ar-SA"/>
        </w:rPr>
        <w:t>1045642 (</w:t>
      </w:r>
      <w:r w:rsidRPr="00790171">
        <w:rPr>
          <w:rFonts w:ascii="Times New Roman" w:hAnsi="Times New Roman" w:cs="Times New Roman"/>
          <w:i/>
          <w:iCs/>
          <w:sz w:val="28"/>
          <w:szCs w:val="28"/>
          <w:lang w:val="en-US" w:bidi="ar-SA"/>
        </w:rPr>
        <w:t>A</w:t>
      </w:r>
      <w:r w:rsidRPr="00790171">
        <w:rPr>
          <w:rFonts w:ascii="Times New Roman" w:hAnsi="Times New Roman" w:cs="Times New Roman"/>
          <w:i/>
          <w:iCs/>
          <w:sz w:val="28"/>
          <w:szCs w:val="28"/>
          <w:lang w:bidi="ar-SA"/>
        </w:rPr>
        <w:t>&gt;</w:t>
      </w:r>
      <w:r w:rsidRPr="00790171">
        <w:rPr>
          <w:rFonts w:ascii="Times New Roman" w:hAnsi="Times New Roman" w:cs="Times New Roman"/>
          <w:i/>
          <w:iCs/>
          <w:sz w:val="28"/>
          <w:szCs w:val="28"/>
          <w:lang w:val="en-US" w:bidi="ar-SA"/>
        </w:rPr>
        <w:t>G</w:t>
      </w:r>
      <w:r w:rsidRPr="00790171">
        <w:rPr>
          <w:rFonts w:ascii="Times New Roman" w:hAnsi="Times New Roman" w:cs="Times New Roman"/>
          <w:i/>
          <w:iCs/>
          <w:sz w:val="28"/>
          <w:szCs w:val="28"/>
          <w:lang w:bidi="ar-SA"/>
        </w:rPr>
        <w:t>):</w:t>
      </w:r>
      <w:r w:rsidRPr="007E0A7E">
        <w:rPr>
          <w:rFonts w:ascii="Times New Roman" w:hAnsi="Times New Roman" w:cs="Times New Roman"/>
          <w:sz w:val="28"/>
          <w:szCs w:val="28"/>
          <w:lang w:bidi="ar-SA"/>
        </w:rPr>
        <w:t xml:space="preserve"> </w:t>
      </w:r>
      <w:r>
        <w:rPr>
          <w:rFonts w:ascii="Times New Roman" w:hAnsi="Times New Roman" w:cs="Times New Roman"/>
          <w:sz w:val="28"/>
          <w:szCs w:val="28"/>
          <w:lang w:bidi="ar-SA"/>
        </w:rPr>
        <w:t>минорный аллель А встречался с частотой 38,3%, что близко к глобальной частоте (39,52%). Распределение генотипов АА</w:t>
      </w:r>
      <w:r w:rsidRPr="007E0A7E">
        <w:rPr>
          <w:rFonts w:ascii="Times New Roman" w:hAnsi="Times New Roman" w:cs="Times New Roman"/>
          <w:sz w:val="28"/>
          <w:szCs w:val="28"/>
          <w:lang w:bidi="ar-SA"/>
        </w:rPr>
        <w:t>/</w:t>
      </w:r>
      <w:r>
        <w:rPr>
          <w:rFonts w:ascii="Times New Roman" w:hAnsi="Times New Roman" w:cs="Times New Roman"/>
          <w:sz w:val="28"/>
          <w:szCs w:val="28"/>
          <w:lang w:val="en-US" w:bidi="ar-SA"/>
        </w:rPr>
        <w:t>AG</w:t>
      </w:r>
      <w:r w:rsidRPr="007E0A7E">
        <w:rPr>
          <w:rFonts w:ascii="Times New Roman" w:hAnsi="Times New Roman" w:cs="Times New Roman"/>
          <w:sz w:val="28"/>
          <w:szCs w:val="28"/>
          <w:lang w:bidi="ar-SA"/>
        </w:rPr>
        <w:t>/</w:t>
      </w:r>
      <w:r>
        <w:rPr>
          <w:rFonts w:ascii="Times New Roman" w:hAnsi="Times New Roman" w:cs="Times New Roman"/>
          <w:sz w:val="28"/>
          <w:szCs w:val="28"/>
          <w:lang w:val="en-US" w:bidi="ar-SA"/>
        </w:rPr>
        <w:t>GG</w:t>
      </w:r>
      <w:r>
        <w:rPr>
          <w:rFonts w:ascii="Times New Roman" w:hAnsi="Times New Roman" w:cs="Times New Roman"/>
          <w:sz w:val="28"/>
          <w:szCs w:val="28"/>
          <w:lang w:bidi="ar-SA"/>
        </w:rPr>
        <w:t xml:space="preserve"> составило 22/46,7/31,3%, соответственно. </w:t>
      </w:r>
      <w:r>
        <w:rPr>
          <w:rFonts w:ascii="Times New Roman" w:hAnsi="Times New Roman" w:cs="Times New Roman"/>
          <w:sz w:val="28"/>
          <w:szCs w:val="28"/>
          <w:lang w:val="en-US" w:bidi="ar-SA"/>
        </w:rPr>
        <w:t>HWE</w:t>
      </w:r>
      <w:r>
        <w:rPr>
          <w:rFonts w:ascii="Times New Roman" w:hAnsi="Times New Roman" w:cs="Times New Roman"/>
          <w:sz w:val="28"/>
          <w:szCs w:val="28"/>
          <w:lang w:bidi="ar-SA"/>
        </w:rPr>
        <w:t xml:space="preserve"> соблюден (р=0,553). </w:t>
      </w:r>
      <w:r w:rsidRPr="00790171">
        <w:rPr>
          <w:rFonts w:ascii="Times New Roman" w:hAnsi="Times New Roman" w:cs="Times New Roman"/>
          <w:i/>
          <w:iCs/>
          <w:sz w:val="28"/>
          <w:szCs w:val="28"/>
          <w:lang w:val="en-US" w:bidi="ar-SA"/>
        </w:rPr>
        <w:t>rs</w:t>
      </w:r>
      <w:r w:rsidRPr="00790171">
        <w:rPr>
          <w:rFonts w:ascii="Times New Roman" w:hAnsi="Times New Roman" w:cs="Times New Roman"/>
          <w:i/>
          <w:iCs/>
          <w:sz w:val="28"/>
          <w:szCs w:val="28"/>
          <w:lang w:bidi="ar-SA"/>
        </w:rPr>
        <w:t>2032582 (</w:t>
      </w:r>
      <w:r w:rsidRPr="00790171">
        <w:rPr>
          <w:rFonts w:ascii="Times New Roman" w:hAnsi="Times New Roman" w:cs="Times New Roman"/>
          <w:i/>
          <w:iCs/>
          <w:sz w:val="28"/>
          <w:szCs w:val="28"/>
          <w:lang w:val="en-US" w:bidi="ar-SA"/>
        </w:rPr>
        <w:t>C</w:t>
      </w:r>
      <w:r w:rsidRPr="00790171">
        <w:rPr>
          <w:rFonts w:ascii="Times New Roman" w:hAnsi="Times New Roman" w:cs="Times New Roman"/>
          <w:i/>
          <w:iCs/>
          <w:sz w:val="28"/>
          <w:szCs w:val="28"/>
          <w:lang w:bidi="ar-SA"/>
        </w:rPr>
        <w:t>&gt;</w:t>
      </w:r>
      <w:r w:rsidRPr="00790171">
        <w:rPr>
          <w:rFonts w:ascii="Times New Roman" w:hAnsi="Times New Roman" w:cs="Times New Roman"/>
          <w:i/>
          <w:iCs/>
          <w:sz w:val="28"/>
          <w:szCs w:val="28"/>
          <w:lang w:val="en-US" w:bidi="ar-SA"/>
        </w:rPr>
        <w:t>A</w:t>
      </w:r>
      <w:r w:rsidRPr="00790171">
        <w:rPr>
          <w:rFonts w:ascii="Times New Roman" w:hAnsi="Times New Roman" w:cs="Times New Roman"/>
          <w:i/>
          <w:iCs/>
          <w:sz w:val="28"/>
          <w:szCs w:val="28"/>
          <w:lang w:bidi="ar-SA"/>
        </w:rPr>
        <w:t>):</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bidi="ar-SA"/>
        </w:rPr>
        <w:t>зафиксировано от</w:t>
      </w:r>
      <w:r w:rsidR="0077750B">
        <w:rPr>
          <w:rFonts w:ascii="Times New Roman" w:hAnsi="Times New Roman" w:cs="Times New Roman"/>
          <w:sz w:val="28"/>
          <w:szCs w:val="28"/>
          <w:lang w:bidi="ar-SA"/>
        </w:rPr>
        <w:t xml:space="preserve">клонение от равновесия Хайди-Вайнберга (р=0,0003), что может быть обусловлено структурой выборки или популяционными особенностями. Минорный аллель А имел частоту 56,3%, существенно выше: чем в глобальной базе данных (33,43%). </w:t>
      </w:r>
      <w:r w:rsidR="0077750B" w:rsidRPr="00790171">
        <w:rPr>
          <w:rFonts w:ascii="Times New Roman" w:hAnsi="Times New Roman" w:cs="Times New Roman"/>
          <w:i/>
          <w:iCs/>
          <w:sz w:val="28"/>
          <w:szCs w:val="28"/>
          <w:lang w:val="en-US" w:bidi="ar-SA"/>
        </w:rPr>
        <w:t>rs</w:t>
      </w:r>
      <w:r w:rsidR="0077750B" w:rsidRPr="00790171">
        <w:rPr>
          <w:rFonts w:ascii="Times New Roman" w:hAnsi="Times New Roman" w:cs="Times New Roman"/>
          <w:i/>
          <w:iCs/>
          <w:sz w:val="28"/>
          <w:szCs w:val="28"/>
          <w:lang w:bidi="ar-SA"/>
        </w:rPr>
        <w:t>1128503 (</w:t>
      </w:r>
      <w:r w:rsidR="0077750B" w:rsidRPr="00790171">
        <w:rPr>
          <w:rFonts w:ascii="Times New Roman" w:hAnsi="Times New Roman" w:cs="Times New Roman"/>
          <w:i/>
          <w:iCs/>
          <w:sz w:val="28"/>
          <w:szCs w:val="28"/>
          <w:lang w:val="en-US" w:bidi="ar-SA"/>
        </w:rPr>
        <w:t>A</w:t>
      </w:r>
      <w:r w:rsidR="0077750B" w:rsidRPr="00790171">
        <w:rPr>
          <w:rFonts w:ascii="Times New Roman" w:hAnsi="Times New Roman" w:cs="Times New Roman"/>
          <w:i/>
          <w:iCs/>
          <w:sz w:val="28"/>
          <w:szCs w:val="28"/>
          <w:lang w:bidi="ar-SA"/>
        </w:rPr>
        <w:t>&gt;</w:t>
      </w:r>
      <w:r w:rsidR="0077750B" w:rsidRPr="00790171">
        <w:rPr>
          <w:rFonts w:ascii="Times New Roman" w:hAnsi="Times New Roman" w:cs="Times New Roman"/>
          <w:i/>
          <w:iCs/>
          <w:sz w:val="28"/>
          <w:szCs w:val="28"/>
          <w:lang w:val="en-US" w:bidi="ar-SA"/>
        </w:rPr>
        <w:t>G</w:t>
      </w:r>
      <w:r w:rsidR="0077750B" w:rsidRPr="00790171">
        <w:rPr>
          <w:rFonts w:ascii="Times New Roman" w:hAnsi="Times New Roman" w:cs="Times New Roman"/>
          <w:i/>
          <w:iCs/>
          <w:sz w:val="28"/>
          <w:szCs w:val="28"/>
          <w:lang w:bidi="ar-SA"/>
        </w:rPr>
        <w:t>):</w:t>
      </w:r>
      <w:r w:rsidR="0077750B" w:rsidRPr="0077750B">
        <w:rPr>
          <w:rFonts w:ascii="Times New Roman" w:hAnsi="Times New Roman" w:cs="Times New Roman"/>
          <w:sz w:val="28"/>
          <w:szCs w:val="28"/>
          <w:lang w:bidi="ar-SA"/>
        </w:rPr>
        <w:t xml:space="preserve"> </w:t>
      </w:r>
      <w:r w:rsidR="0077750B">
        <w:rPr>
          <w:rFonts w:ascii="Times New Roman" w:hAnsi="Times New Roman" w:cs="Times New Roman"/>
          <w:sz w:val="28"/>
          <w:szCs w:val="28"/>
          <w:lang w:bidi="ar-SA"/>
        </w:rPr>
        <w:t xml:space="preserve">частота минорного аллеля А составила 62,6%, что выше глобального значения (41,61%), однако значимого отклонения от </w:t>
      </w:r>
      <w:r w:rsidR="0077750B">
        <w:rPr>
          <w:rFonts w:ascii="Times New Roman" w:hAnsi="Times New Roman" w:cs="Times New Roman"/>
          <w:sz w:val="28"/>
          <w:szCs w:val="28"/>
          <w:lang w:val="en-US" w:bidi="ar-SA"/>
        </w:rPr>
        <w:t>HWE</w:t>
      </w:r>
      <w:r w:rsidR="0077750B">
        <w:rPr>
          <w:rFonts w:ascii="Times New Roman" w:hAnsi="Times New Roman" w:cs="Times New Roman"/>
          <w:sz w:val="28"/>
          <w:szCs w:val="28"/>
          <w:lang w:bidi="ar-SA"/>
        </w:rPr>
        <w:t xml:space="preserve"> не зафиксировано (р=0,064). Это может свидетельствовать об этнических особенностях аллельного распределения в казахской популяции. </w:t>
      </w:r>
      <w:r w:rsidR="0077750B" w:rsidRPr="00790171">
        <w:rPr>
          <w:rFonts w:ascii="Times New Roman" w:hAnsi="Times New Roman" w:cs="Times New Roman"/>
          <w:b/>
          <w:bCs/>
          <w:sz w:val="28"/>
          <w:szCs w:val="28"/>
          <w:lang w:bidi="ar-SA"/>
        </w:rPr>
        <w:t xml:space="preserve">Ген </w:t>
      </w:r>
      <w:r w:rsidR="0077750B" w:rsidRPr="00790171">
        <w:rPr>
          <w:rFonts w:ascii="Times New Roman" w:hAnsi="Times New Roman" w:cs="Times New Roman"/>
          <w:b/>
          <w:bCs/>
          <w:sz w:val="28"/>
          <w:szCs w:val="28"/>
          <w:lang w:val="en-US" w:bidi="ar-SA"/>
        </w:rPr>
        <w:t>CES</w:t>
      </w:r>
      <w:r w:rsidR="0077750B" w:rsidRPr="00790171">
        <w:rPr>
          <w:rFonts w:ascii="Times New Roman" w:hAnsi="Times New Roman" w:cs="Times New Roman"/>
          <w:b/>
          <w:bCs/>
          <w:sz w:val="28"/>
          <w:szCs w:val="28"/>
          <w:lang w:bidi="ar-SA"/>
        </w:rPr>
        <w:t>1.</w:t>
      </w:r>
      <w:r w:rsidR="0077750B">
        <w:rPr>
          <w:rFonts w:ascii="Times New Roman" w:hAnsi="Times New Roman" w:cs="Times New Roman"/>
          <w:sz w:val="28"/>
          <w:szCs w:val="28"/>
          <w:lang w:bidi="ar-SA"/>
        </w:rPr>
        <w:t xml:space="preserve"> </w:t>
      </w:r>
      <w:r w:rsidR="0077750B" w:rsidRPr="00790171">
        <w:rPr>
          <w:rFonts w:ascii="Times New Roman" w:hAnsi="Times New Roman" w:cs="Times New Roman"/>
          <w:i/>
          <w:iCs/>
          <w:sz w:val="28"/>
          <w:szCs w:val="28"/>
          <w:lang w:val="en-US" w:bidi="ar-SA"/>
        </w:rPr>
        <w:t>rs</w:t>
      </w:r>
      <w:r w:rsidR="0077750B" w:rsidRPr="00790171">
        <w:rPr>
          <w:rFonts w:ascii="Times New Roman" w:hAnsi="Times New Roman" w:cs="Times New Roman"/>
          <w:i/>
          <w:iCs/>
          <w:sz w:val="28"/>
          <w:szCs w:val="28"/>
          <w:lang w:bidi="ar-SA"/>
        </w:rPr>
        <w:t>8192935 (</w:t>
      </w:r>
      <w:r w:rsidR="0077750B" w:rsidRPr="00790171">
        <w:rPr>
          <w:rFonts w:ascii="Times New Roman" w:hAnsi="Times New Roman" w:cs="Times New Roman"/>
          <w:i/>
          <w:iCs/>
          <w:sz w:val="28"/>
          <w:szCs w:val="28"/>
          <w:lang w:val="en-US" w:bidi="ar-SA"/>
        </w:rPr>
        <w:t>A</w:t>
      </w:r>
      <w:r w:rsidR="0077750B" w:rsidRPr="00790171">
        <w:rPr>
          <w:rFonts w:ascii="Times New Roman" w:hAnsi="Times New Roman" w:cs="Times New Roman"/>
          <w:i/>
          <w:iCs/>
          <w:sz w:val="28"/>
          <w:szCs w:val="28"/>
          <w:lang w:bidi="ar-SA"/>
        </w:rPr>
        <w:t>&gt;</w:t>
      </w:r>
      <w:r w:rsidR="0077750B" w:rsidRPr="00790171">
        <w:rPr>
          <w:rFonts w:ascii="Times New Roman" w:hAnsi="Times New Roman" w:cs="Times New Roman"/>
          <w:i/>
          <w:iCs/>
          <w:sz w:val="28"/>
          <w:szCs w:val="28"/>
          <w:lang w:val="en-US" w:bidi="ar-SA"/>
        </w:rPr>
        <w:t>G</w:t>
      </w:r>
      <w:r w:rsidR="0077750B" w:rsidRPr="00790171">
        <w:rPr>
          <w:rFonts w:ascii="Times New Roman" w:hAnsi="Times New Roman" w:cs="Times New Roman"/>
          <w:i/>
          <w:iCs/>
          <w:sz w:val="28"/>
          <w:szCs w:val="28"/>
          <w:lang w:bidi="ar-SA"/>
        </w:rPr>
        <w:t>):</w:t>
      </w:r>
      <w:r w:rsidR="0077750B" w:rsidRPr="0077750B">
        <w:rPr>
          <w:rFonts w:ascii="Times New Roman" w:hAnsi="Times New Roman" w:cs="Times New Roman"/>
          <w:sz w:val="28"/>
          <w:szCs w:val="28"/>
          <w:lang w:bidi="ar-SA"/>
        </w:rPr>
        <w:t xml:space="preserve"> </w:t>
      </w:r>
      <w:r w:rsidR="0077750B">
        <w:rPr>
          <w:rFonts w:ascii="Times New Roman" w:hAnsi="Times New Roman" w:cs="Times New Roman"/>
          <w:sz w:val="28"/>
          <w:szCs w:val="28"/>
          <w:lang w:bidi="ar-SA"/>
        </w:rPr>
        <w:t xml:space="preserve">наиболее распространенный генотип – гетерозиготный </w:t>
      </w:r>
      <w:r w:rsidR="0077750B">
        <w:rPr>
          <w:rFonts w:ascii="Times New Roman" w:hAnsi="Times New Roman" w:cs="Times New Roman"/>
          <w:sz w:val="28"/>
          <w:szCs w:val="28"/>
          <w:lang w:val="en-US" w:bidi="ar-SA"/>
        </w:rPr>
        <w:t>AG</w:t>
      </w:r>
      <w:r w:rsidR="0077750B">
        <w:rPr>
          <w:rFonts w:ascii="Times New Roman" w:hAnsi="Times New Roman" w:cs="Times New Roman"/>
          <w:sz w:val="28"/>
          <w:szCs w:val="28"/>
          <w:lang w:bidi="ar-SA"/>
        </w:rPr>
        <w:t xml:space="preserve"> (50%). Частота минорного аллеля А – 61,2%, хорошо согласуется с глобальной популяции (33,27%). При этом распределение генотипов не нарушает </w:t>
      </w:r>
      <w:r w:rsidR="0077750B">
        <w:rPr>
          <w:rFonts w:ascii="Times New Roman" w:hAnsi="Times New Roman" w:cs="Times New Roman"/>
          <w:sz w:val="28"/>
          <w:szCs w:val="28"/>
          <w:lang w:val="en-US" w:bidi="ar-SA"/>
        </w:rPr>
        <w:t>HWE</w:t>
      </w:r>
      <w:r w:rsidR="0077750B">
        <w:rPr>
          <w:rFonts w:ascii="Times New Roman" w:hAnsi="Times New Roman" w:cs="Times New Roman"/>
          <w:sz w:val="28"/>
          <w:szCs w:val="28"/>
          <w:lang w:bidi="ar-SA"/>
        </w:rPr>
        <w:t xml:space="preserve"> (р=0,498). Этот полиморфизм в ряде исследований </w:t>
      </w:r>
      <w:r w:rsidR="00790171">
        <w:rPr>
          <w:rFonts w:ascii="Times New Roman" w:hAnsi="Times New Roman" w:cs="Times New Roman"/>
          <w:sz w:val="28"/>
          <w:szCs w:val="28"/>
          <w:lang w:bidi="ar-SA"/>
        </w:rPr>
        <w:t>ассоциируется</w:t>
      </w:r>
      <w:r w:rsidR="0077750B">
        <w:rPr>
          <w:rFonts w:ascii="Times New Roman" w:hAnsi="Times New Roman" w:cs="Times New Roman"/>
          <w:sz w:val="28"/>
          <w:szCs w:val="28"/>
          <w:lang w:bidi="ar-SA"/>
        </w:rPr>
        <w:t xml:space="preserve"> с пониженной экспозицией дабигатрана (</w:t>
      </w:r>
      <w:r w:rsidR="0077750B">
        <w:rPr>
          <w:rFonts w:ascii="Times New Roman" w:hAnsi="Times New Roman" w:cs="Times New Roman"/>
          <w:sz w:val="28"/>
          <w:szCs w:val="28"/>
          <w:lang w:val="en-US" w:bidi="ar-SA"/>
        </w:rPr>
        <w:t>Pare</w:t>
      </w:r>
      <w:r w:rsidR="0077750B" w:rsidRPr="0077750B">
        <w:rPr>
          <w:rFonts w:ascii="Times New Roman" w:hAnsi="Times New Roman" w:cs="Times New Roman"/>
          <w:sz w:val="28"/>
          <w:szCs w:val="28"/>
          <w:lang w:bidi="ar-SA"/>
        </w:rPr>
        <w:t xml:space="preserve"> </w:t>
      </w:r>
      <w:r w:rsidR="0077750B">
        <w:rPr>
          <w:rFonts w:ascii="Times New Roman" w:hAnsi="Times New Roman" w:cs="Times New Roman"/>
          <w:sz w:val="28"/>
          <w:szCs w:val="28"/>
          <w:lang w:val="en-US" w:bidi="ar-SA"/>
        </w:rPr>
        <w:t>G</w:t>
      </w:r>
      <w:r w:rsidR="0077750B" w:rsidRPr="0077750B">
        <w:rPr>
          <w:rFonts w:ascii="Times New Roman" w:hAnsi="Times New Roman" w:cs="Times New Roman"/>
          <w:sz w:val="28"/>
          <w:szCs w:val="28"/>
          <w:lang w:bidi="ar-SA"/>
        </w:rPr>
        <w:t>.</w:t>
      </w:r>
      <w:r w:rsidR="0077750B">
        <w:rPr>
          <w:rFonts w:ascii="Times New Roman" w:hAnsi="Times New Roman" w:cs="Times New Roman"/>
          <w:sz w:val="28"/>
          <w:szCs w:val="28"/>
          <w:lang w:val="en-US" w:bidi="ar-SA"/>
        </w:rPr>
        <w:t>et</w:t>
      </w:r>
      <w:r w:rsidR="0077750B" w:rsidRPr="0077750B">
        <w:rPr>
          <w:rFonts w:ascii="Times New Roman" w:hAnsi="Times New Roman" w:cs="Times New Roman"/>
          <w:sz w:val="28"/>
          <w:szCs w:val="28"/>
          <w:lang w:bidi="ar-SA"/>
        </w:rPr>
        <w:t xml:space="preserve"> </w:t>
      </w:r>
      <w:r w:rsidR="0077750B">
        <w:rPr>
          <w:rFonts w:ascii="Times New Roman" w:hAnsi="Times New Roman" w:cs="Times New Roman"/>
          <w:sz w:val="28"/>
          <w:szCs w:val="28"/>
          <w:lang w:val="en-US" w:bidi="ar-SA"/>
        </w:rPr>
        <w:t>al</w:t>
      </w:r>
      <w:r w:rsidR="0077750B" w:rsidRPr="0077750B">
        <w:rPr>
          <w:rFonts w:ascii="Times New Roman" w:hAnsi="Times New Roman" w:cs="Times New Roman"/>
          <w:sz w:val="28"/>
          <w:szCs w:val="28"/>
          <w:lang w:bidi="ar-SA"/>
        </w:rPr>
        <w:t>., 2013</w:t>
      </w:r>
      <w:r w:rsidR="0077750B">
        <w:rPr>
          <w:rFonts w:ascii="Times New Roman" w:hAnsi="Times New Roman" w:cs="Times New Roman"/>
          <w:sz w:val="28"/>
          <w:szCs w:val="28"/>
          <w:lang w:bidi="ar-SA"/>
        </w:rPr>
        <w:t>)</w:t>
      </w:r>
      <w:r w:rsidR="0077750B">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mJt5vLdN","properties":{"unsorted":false,"formattedCitation":"[19]","plainCitation":"[19]","noteIndex":0},"citationItems":[{"id":682,"uris":["http://zotero.org/users/14784094/items/L3TI6FF7"],"itemData":{"id":682,"type":"article-journal","abstract":"Background—Fixed-dose unmonitored treatment with dabigatran etexilate is effective and has a favorable safety profile in the prevention of stroke in atrial fibrillation patients compared with warfarin. We hypothesized that genetic variants could contribute to interindividual variability in blood concentrations of the active metabolite of dabigatran etexilate and influence the safety and efficacy of dabigatran.\nMethods and Results—We successfully conducted a genome-wide association study in 2944 Randomized Evaluation of Long-term Anticoagulation Therapy (RE-LY) participants. The CES1 single-nucleotide polymorphism rs2244613 was associated with trough concentrations, and the ABCB1 single-nucleotide polymorphism rs4148738 and the CES1 singlenucleotide polymorphism rs8192935 were associated with peak concentrations at genome-wide significance (P&lt;9×10−8) with a gene-dose effect. Each minor allele of the CES1 single-nucleotide polymorphism rs2244613 was associated with lower trough concentrations (15% decrease per allele; 95% confidence interval, 10–19; P=1.2×10−8) and a lower risk of any bleeding (odds ratio, 0.67; 95% confidence interval, 0.55–0.82; P=7×10−5) in dabigatran-treated participants, with a consistent but nonsignificant lower risk of major bleeding (odds ratio, 0.66; 95% confidence interval, 0.43–1.01). The interaction between treatment (warfarin versus all dabigatran) and carrier status was statistically significant (P=0.002), with carriers having less bleeding with dabigatran than warfarin (hazard ratio, 0.59; 95% confidence interval, 0.46–0.76; P=5.2×10−5) in contrast to no difference in noncarriers (hazard ratio, 0.96; 95% confidence interval, 0.81–1.14; P=0.65). There was no association with ischemic events, and neither rs4148738 nor rs8192935 was associated with bleeding or ischemic events.\nConclusions—Genome-wide association analysis identified that carriage of the CES1 rs2244613 minor allele occurred in 32.8% of patients in RE-LY and was associated with lower exposure to active dabigatran metabolite. The presence of the polymorphism was associated with a lower risk of bleeding.","container-title":"Circulation","DOI":"10.1161/CIRCULATIONAHA.112.001233","ISSN":"0009-7322, 1524-4539","issue":"13","journalAbbreviation":"Circulation","language":"en","page":"1404-1412","source":"DOI.org (Crossref)","title":"Genetic Determinants of Dabigatran Plasma Levels and Their Relation to Bleeding","volume":"127","author":[{"family":"Paré","given":"Guillaume"},{"family":"Eriksson","given":"Niclas"},{"family":"Lehr","given":"Thorsten"},{"family":"Connolly","given":"Stuart"},{"family":"Eikelboom","given":"John"},{"family":"Ezekowitz","given":"Michael D."},{"family":"Axelsson","given":"Tomas"},{"family":"Haertter","given":"Sebastian"},{"family":"Oldgren","given":"Jonas"},{"family":"Reilly","given":"Paul"},{"family":"Siegbahn","given":"Agneta"},{"family":"Syvanen","given":"Ann-Christine"},{"family":"Wadelius","given":"Claes"},{"family":"Wadelius","given":"Mia"},{"family":"Zimdahl-Gelling","given":"Heike"},{"family":"Yusuf","given":"Salim"},{"family":"Wallentin","given":"Lars"}],"issued":{"date-parts":[["2013",4,2]]}}}],"schema":"https://github.com/citation-style-language/schema/raw/master/csl-citation.json"} </w:instrText>
      </w:r>
      <w:r w:rsidR="0077750B">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w:t>
      </w:r>
      <w:r w:rsidR="0077750B">
        <w:rPr>
          <w:rFonts w:ascii="Times New Roman" w:hAnsi="Times New Roman" w:cs="Times New Roman"/>
          <w:sz w:val="28"/>
          <w:szCs w:val="28"/>
          <w:lang w:bidi="ar-SA"/>
        </w:rPr>
        <w:fldChar w:fldCharType="end"/>
      </w:r>
      <w:r w:rsidR="0077750B" w:rsidRPr="0077750B">
        <w:rPr>
          <w:rFonts w:ascii="Times New Roman" w:hAnsi="Times New Roman" w:cs="Times New Roman"/>
          <w:sz w:val="28"/>
          <w:szCs w:val="28"/>
          <w:lang w:bidi="ar-SA"/>
        </w:rPr>
        <w:t xml:space="preserve">. </w:t>
      </w:r>
      <w:r w:rsidR="0077750B" w:rsidRPr="00790171">
        <w:rPr>
          <w:rFonts w:ascii="Times New Roman" w:hAnsi="Times New Roman" w:cs="Times New Roman"/>
          <w:i/>
          <w:iCs/>
          <w:sz w:val="28"/>
          <w:szCs w:val="28"/>
          <w:lang w:val="en-US" w:bidi="ar-SA"/>
        </w:rPr>
        <w:t>rs</w:t>
      </w:r>
      <w:r w:rsidR="0077750B" w:rsidRPr="00790171">
        <w:rPr>
          <w:rFonts w:ascii="Times New Roman" w:hAnsi="Times New Roman" w:cs="Times New Roman"/>
          <w:i/>
          <w:iCs/>
          <w:sz w:val="28"/>
          <w:szCs w:val="28"/>
          <w:lang w:bidi="ar-SA"/>
        </w:rPr>
        <w:t>71647871 (</w:t>
      </w:r>
      <w:r w:rsidR="0077750B" w:rsidRPr="00790171">
        <w:rPr>
          <w:rFonts w:ascii="Times New Roman" w:hAnsi="Times New Roman" w:cs="Times New Roman"/>
          <w:i/>
          <w:iCs/>
          <w:sz w:val="28"/>
          <w:szCs w:val="28"/>
          <w:lang w:val="en-US" w:bidi="ar-SA"/>
        </w:rPr>
        <w:t>A</w:t>
      </w:r>
      <w:r w:rsidR="0077750B" w:rsidRPr="00790171">
        <w:rPr>
          <w:rFonts w:ascii="Times New Roman" w:hAnsi="Times New Roman" w:cs="Times New Roman"/>
          <w:i/>
          <w:iCs/>
          <w:sz w:val="28"/>
          <w:szCs w:val="28"/>
          <w:lang w:bidi="ar-SA"/>
        </w:rPr>
        <w:t>&gt;</w:t>
      </w:r>
      <w:r w:rsidR="0077750B" w:rsidRPr="00790171">
        <w:rPr>
          <w:rFonts w:ascii="Times New Roman" w:hAnsi="Times New Roman" w:cs="Times New Roman"/>
          <w:i/>
          <w:iCs/>
          <w:sz w:val="28"/>
          <w:szCs w:val="28"/>
          <w:lang w:val="en-US" w:bidi="ar-SA"/>
        </w:rPr>
        <w:t>G</w:t>
      </w:r>
      <w:r w:rsidR="0077750B" w:rsidRPr="00790171">
        <w:rPr>
          <w:rFonts w:ascii="Times New Roman" w:hAnsi="Times New Roman" w:cs="Times New Roman"/>
          <w:i/>
          <w:iCs/>
          <w:sz w:val="28"/>
          <w:szCs w:val="28"/>
          <w:lang w:bidi="ar-SA"/>
        </w:rPr>
        <w:t>):</w:t>
      </w:r>
      <w:r w:rsidR="0077750B" w:rsidRPr="0077750B">
        <w:rPr>
          <w:rFonts w:ascii="Times New Roman" w:hAnsi="Times New Roman" w:cs="Times New Roman"/>
          <w:sz w:val="28"/>
          <w:szCs w:val="28"/>
          <w:lang w:bidi="ar-SA"/>
        </w:rPr>
        <w:t xml:space="preserve"> </w:t>
      </w:r>
      <w:r w:rsidR="0077750B">
        <w:rPr>
          <w:rFonts w:ascii="Times New Roman" w:hAnsi="Times New Roman" w:cs="Times New Roman"/>
          <w:sz w:val="28"/>
          <w:szCs w:val="28"/>
          <w:lang w:bidi="ar-SA"/>
        </w:rPr>
        <w:t xml:space="preserve">крайне редкий вариант, генотип </w:t>
      </w:r>
      <w:r w:rsidR="0077750B">
        <w:rPr>
          <w:rFonts w:ascii="Times New Roman" w:hAnsi="Times New Roman" w:cs="Times New Roman"/>
          <w:sz w:val="28"/>
          <w:szCs w:val="28"/>
          <w:lang w:val="en-US" w:bidi="ar-SA"/>
        </w:rPr>
        <w:t>AG</w:t>
      </w:r>
      <w:r w:rsidR="0077750B">
        <w:rPr>
          <w:rFonts w:ascii="Times New Roman" w:hAnsi="Times New Roman" w:cs="Times New Roman"/>
          <w:sz w:val="28"/>
          <w:szCs w:val="28"/>
          <w:lang w:bidi="ar-SA"/>
        </w:rPr>
        <w:t xml:space="preserve"> выявлен лишь у 2 пациентов (1,3%), все остальные имели гомозиготный </w:t>
      </w:r>
      <w:r w:rsidR="0077750B">
        <w:rPr>
          <w:rFonts w:ascii="Times New Roman" w:hAnsi="Times New Roman" w:cs="Times New Roman"/>
          <w:sz w:val="28"/>
          <w:szCs w:val="28"/>
          <w:lang w:val="en-US" w:bidi="ar-SA"/>
        </w:rPr>
        <w:t>GG</w:t>
      </w:r>
      <w:r w:rsidR="0077750B" w:rsidRPr="0077750B">
        <w:rPr>
          <w:rFonts w:ascii="Times New Roman" w:hAnsi="Times New Roman" w:cs="Times New Roman"/>
          <w:sz w:val="28"/>
          <w:szCs w:val="28"/>
          <w:lang w:bidi="ar-SA"/>
        </w:rPr>
        <w:t>.</w:t>
      </w:r>
      <w:r w:rsidR="0077750B">
        <w:rPr>
          <w:rFonts w:ascii="Times New Roman" w:hAnsi="Times New Roman" w:cs="Times New Roman"/>
          <w:sz w:val="28"/>
          <w:szCs w:val="28"/>
          <w:lang w:bidi="ar-SA"/>
        </w:rPr>
        <w:t xml:space="preserve"> Минорный аллель А отсутствует в общей популяции согласно базе 1000 </w:t>
      </w:r>
      <w:r w:rsidR="0077750B">
        <w:rPr>
          <w:rFonts w:ascii="Times New Roman" w:hAnsi="Times New Roman" w:cs="Times New Roman"/>
          <w:sz w:val="28"/>
          <w:szCs w:val="28"/>
          <w:lang w:val="en-US" w:bidi="ar-SA"/>
        </w:rPr>
        <w:t>Genomes</w:t>
      </w:r>
      <w:r w:rsidR="0077750B" w:rsidRPr="0077750B">
        <w:rPr>
          <w:rFonts w:ascii="Times New Roman" w:hAnsi="Times New Roman" w:cs="Times New Roman"/>
          <w:sz w:val="28"/>
          <w:szCs w:val="28"/>
          <w:lang w:bidi="ar-SA"/>
        </w:rPr>
        <w:t xml:space="preserve">. </w:t>
      </w:r>
      <w:r w:rsidR="0077750B">
        <w:rPr>
          <w:rFonts w:ascii="Times New Roman" w:hAnsi="Times New Roman" w:cs="Times New Roman"/>
          <w:sz w:val="28"/>
          <w:szCs w:val="28"/>
          <w:lang w:bidi="ar-SA"/>
        </w:rPr>
        <w:t xml:space="preserve">Распределение генотипов резко отклоняется от </w:t>
      </w:r>
      <w:r w:rsidR="0077750B">
        <w:rPr>
          <w:rFonts w:ascii="Times New Roman" w:hAnsi="Times New Roman" w:cs="Times New Roman"/>
          <w:sz w:val="28"/>
          <w:szCs w:val="28"/>
          <w:lang w:val="en-US" w:bidi="ar-SA"/>
        </w:rPr>
        <w:t>HWE</w:t>
      </w:r>
      <w:r w:rsidR="0077750B">
        <w:rPr>
          <w:rFonts w:ascii="Times New Roman" w:hAnsi="Times New Roman" w:cs="Times New Roman"/>
          <w:sz w:val="28"/>
          <w:szCs w:val="28"/>
          <w:lang w:bidi="ar-SA"/>
        </w:rPr>
        <w:t xml:space="preserve"> </w:t>
      </w:r>
      <w:r w:rsidR="0077750B" w:rsidRPr="00790171">
        <w:rPr>
          <w:rFonts w:ascii="Times New Roman" w:hAnsi="Times New Roman" w:cs="Times New Roman"/>
          <w:color w:val="000000" w:themeColor="text1"/>
          <w:sz w:val="28"/>
          <w:szCs w:val="28"/>
          <w:lang w:bidi="ar-SA"/>
        </w:rPr>
        <w:t>(</w:t>
      </w:r>
      <w:r w:rsidR="0077750B" w:rsidRPr="00790171">
        <w:rPr>
          <w:rFonts w:ascii="Times New Roman" w:hAnsi="Times New Roman" w:cs="Times New Roman"/>
          <w:color w:val="000000" w:themeColor="text1"/>
          <w:sz w:val="28"/>
          <w:szCs w:val="28"/>
          <w:lang w:val="en-US" w:bidi="ar-SA"/>
        </w:rPr>
        <w:t>p</w:t>
      </w:r>
      <w:r w:rsidR="0077750B" w:rsidRPr="00790171">
        <w:rPr>
          <w:rFonts w:ascii="Times New Roman" w:hAnsi="Times New Roman" w:cs="Times New Roman"/>
          <w:color w:val="000000" w:themeColor="text1"/>
          <w:sz w:val="28"/>
          <w:szCs w:val="28"/>
          <w:lang w:bidi="ar-SA"/>
        </w:rPr>
        <w:t>=1,43</w:t>
      </w:r>
      <w:r w:rsidR="0077750B" w:rsidRPr="00790171">
        <w:rPr>
          <w:rFonts w:ascii="Times New Roman" w:hAnsi="Times New Roman" w:cs="Times New Roman"/>
          <w:color w:val="000000" w:themeColor="text1"/>
          <w:sz w:val="28"/>
          <w:szCs w:val="28"/>
          <w:lang w:val="en-US" w:bidi="ar-SA"/>
        </w:rPr>
        <w:t>x</w:t>
      </w:r>
      <w:r w:rsidR="0077750B" w:rsidRPr="00790171">
        <w:rPr>
          <w:rFonts w:ascii="Times New Roman" w:hAnsi="Times New Roman" w:cs="Times New Roman"/>
          <w:color w:val="000000" w:themeColor="text1"/>
          <w:sz w:val="28"/>
          <w:szCs w:val="28"/>
          <w:lang w:bidi="ar-SA"/>
        </w:rPr>
        <w:t>10</w:t>
      </w:r>
      <w:r w:rsidR="0077750B" w:rsidRPr="00790171">
        <w:rPr>
          <w:rFonts w:ascii="Times New Roman" w:hAnsi="Times New Roman" w:cs="Times New Roman"/>
          <w:color w:val="000000" w:themeColor="text1"/>
          <w:sz w:val="28"/>
          <w:szCs w:val="28"/>
          <w:vertAlign w:val="superscript"/>
          <w:lang w:bidi="ar-SA"/>
        </w:rPr>
        <w:t>-9</w:t>
      </w:r>
      <w:r w:rsidR="0077750B" w:rsidRPr="00790171">
        <w:rPr>
          <w:rFonts w:ascii="Times New Roman" w:hAnsi="Times New Roman" w:cs="Times New Roman"/>
          <w:color w:val="000000" w:themeColor="text1"/>
          <w:sz w:val="28"/>
          <w:szCs w:val="28"/>
          <w:lang w:bidi="ar-SA"/>
        </w:rPr>
        <w:t xml:space="preserve">), </w:t>
      </w:r>
      <w:r w:rsidR="0077750B">
        <w:rPr>
          <w:rFonts w:ascii="Times New Roman" w:hAnsi="Times New Roman" w:cs="Times New Roman"/>
          <w:sz w:val="28"/>
          <w:szCs w:val="28"/>
          <w:lang w:bidi="ar-SA"/>
        </w:rPr>
        <w:t>что может быть обусловлено крайне низкой частотой</w:t>
      </w:r>
      <w:r w:rsidR="00790171">
        <w:rPr>
          <w:rFonts w:ascii="Times New Roman" w:hAnsi="Times New Roman" w:cs="Times New Roman"/>
          <w:sz w:val="28"/>
          <w:szCs w:val="28"/>
          <w:lang w:bidi="ar-SA"/>
        </w:rPr>
        <w:t xml:space="preserve"> (таблица 4)</w:t>
      </w:r>
      <w:r w:rsidR="0077750B">
        <w:rPr>
          <w:rFonts w:ascii="Times New Roman" w:hAnsi="Times New Roman" w:cs="Times New Roman"/>
          <w:sz w:val="28"/>
          <w:szCs w:val="28"/>
          <w:lang w:bidi="ar-SA"/>
        </w:rPr>
        <w:t xml:space="preserve">. </w:t>
      </w:r>
    </w:p>
    <w:p w14:paraId="37C7EB48" w14:textId="77777777" w:rsidR="00790171" w:rsidRDefault="00790171" w:rsidP="00790171">
      <w:pPr>
        <w:pStyle w:val="LO-normal"/>
        <w:spacing w:after="0" w:line="240" w:lineRule="auto"/>
        <w:ind w:firstLine="567"/>
        <w:jc w:val="both"/>
        <w:rPr>
          <w:rFonts w:ascii="Times New Roman" w:hAnsi="Times New Roman" w:cs="Times New Roman"/>
          <w:sz w:val="28"/>
          <w:szCs w:val="28"/>
          <w:lang w:bidi="ar-SA"/>
        </w:rPr>
      </w:pPr>
    </w:p>
    <w:p w14:paraId="66BD4D38" w14:textId="77777777" w:rsidR="00790171" w:rsidRDefault="00790171" w:rsidP="0079017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Распределение частот генотипов и аллелей у пациентов с ФП и в других популяциях, таких как европейцы, африканцы, афроамериканцы, азиаты и восточноазиаты, обобщены в </w:t>
      </w:r>
      <w:r w:rsidRPr="00790171">
        <w:rPr>
          <w:rFonts w:ascii="Times New Roman" w:hAnsi="Times New Roman" w:cs="Times New Roman"/>
          <w:color w:val="000000" w:themeColor="text1"/>
          <w:sz w:val="28"/>
          <w:szCs w:val="28"/>
          <w:lang w:bidi="ar-SA"/>
        </w:rPr>
        <w:t xml:space="preserve">рисунке 13. </w:t>
      </w:r>
      <w:r>
        <w:rPr>
          <w:rFonts w:ascii="Times New Roman" w:hAnsi="Times New Roman" w:cs="Times New Roman"/>
          <w:sz w:val="28"/>
          <w:szCs w:val="28"/>
          <w:lang w:bidi="ar-SA"/>
        </w:rPr>
        <w:t xml:space="preserve">Распределения частот аллелей в других популяциях были взяты из базы данных </w:t>
      </w:r>
      <w:hyperlink r:id="rId32" w:history="1">
        <w:r w:rsidRPr="00817721">
          <w:rPr>
            <w:rStyle w:val="af0"/>
            <w:rFonts w:ascii="Times New Roman" w:hAnsi="Times New Roman" w:cs="Times New Roman"/>
            <w:sz w:val="28"/>
            <w:szCs w:val="28"/>
            <w:lang w:val="en-US" w:bidi="ar-SA"/>
          </w:rPr>
          <w:t>https</w:t>
        </w:r>
        <w:r w:rsidRPr="00817721">
          <w:rPr>
            <w:rStyle w:val="af0"/>
            <w:rFonts w:ascii="Times New Roman" w:hAnsi="Times New Roman" w:cs="Times New Roman"/>
            <w:sz w:val="28"/>
            <w:szCs w:val="28"/>
            <w:lang w:bidi="ar-SA"/>
          </w:rPr>
          <w:t>://</w:t>
        </w:r>
        <w:r w:rsidRPr="00817721">
          <w:rPr>
            <w:rStyle w:val="af0"/>
            <w:rFonts w:ascii="Times New Roman" w:hAnsi="Times New Roman" w:cs="Times New Roman"/>
            <w:sz w:val="28"/>
            <w:szCs w:val="28"/>
            <w:lang w:val="en-US" w:bidi="ar-SA"/>
          </w:rPr>
          <w:t>www</w:t>
        </w:r>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ncbi</w:t>
        </w:r>
        <w:proofErr w:type="spellEnd"/>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nlm</w:t>
        </w:r>
        <w:proofErr w:type="spellEnd"/>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nih</w:t>
        </w:r>
        <w:proofErr w:type="spellEnd"/>
        <w:r w:rsidRPr="00817721">
          <w:rPr>
            <w:rStyle w:val="af0"/>
            <w:rFonts w:ascii="Times New Roman" w:hAnsi="Times New Roman" w:cs="Times New Roman"/>
            <w:sz w:val="28"/>
            <w:szCs w:val="28"/>
            <w:lang w:bidi="ar-SA"/>
          </w:rPr>
          <w:t>.</w:t>
        </w:r>
        <w:proofErr w:type="spellStart"/>
        <w:r w:rsidRPr="00817721">
          <w:rPr>
            <w:rStyle w:val="af0"/>
            <w:rFonts w:ascii="Times New Roman" w:hAnsi="Times New Roman" w:cs="Times New Roman"/>
            <w:sz w:val="28"/>
            <w:szCs w:val="28"/>
            <w:lang w:val="en-US" w:bidi="ar-SA"/>
          </w:rPr>
          <w:t>gov</w:t>
        </w:r>
        <w:proofErr w:type="spellEnd"/>
        <w:r w:rsidRPr="00817721">
          <w:rPr>
            <w:rStyle w:val="af0"/>
            <w:rFonts w:ascii="Times New Roman" w:hAnsi="Times New Roman" w:cs="Times New Roman"/>
            <w:sz w:val="28"/>
            <w:szCs w:val="28"/>
            <w:lang w:bidi="ar-SA"/>
          </w:rPr>
          <w:t>/</w:t>
        </w:r>
      </w:hyperlink>
      <w:r w:rsidRPr="0077750B">
        <w:rPr>
          <w:rFonts w:ascii="Times New Roman" w:hAnsi="Times New Roman" w:cs="Times New Roman"/>
          <w:sz w:val="28"/>
          <w:szCs w:val="28"/>
          <w:lang w:bidi="ar-SA"/>
        </w:rPr>
        <w:t xml:space="preserve">. </w:t>
      </w:r>
    </w:p>
    <w:p w14:paraId="16C38C80" w14:textId="5BFEFB3E" w:rsidR="0077750B" w:rsidRPr="00926EC0" w:rsidRDefault="0077750B" w:rsidP="00790171">
      <w:pPr>
        <w:pStyle w:val="LO-normal"/>
        <w:spacing w:after="0" w:line="240" w:lineRule="auto"/>
        <w:ind w:firstLine="567"/>
        <w:jc w:val="both"/>
        <w:rPr>
          <w:rFonts w:ascii="Times New Roman" w:hAnsi="Times New Roman" w:cs="Times New Roman"/>
          <w:sz w:val="28"/>
          <w:szCs w:val="28"/>
          <w:lang w:bidi="ar-SA"/>
        </w:rPr>
      </w:pPr>
      <w:r w:rsidRPr="00790171">
        <w:rPr>
          <w:rFonts w:ascii="Times New Roman" w:hAnsi="Times New Roman" w:cs="Times New Roman"/>
          <w:color w:val="000000" w:themeColor="text1"/>
          <w:sz w:val="28"/>
          <w:szCs w:val="28"/>
          <w:lang w:bidi="ar-SA"/>
        </w:rPr>
        <w:t xml:space="preserve">Таблица </w:t>
      </w:r>
      <w:r w:rsidR="00790171">
        <w:rPr>
          <w:rFonts w:ascii="Times New Roman" w:hAnsi="Times New Roman" w:cs="Times New Roman"/>
          <w:color w:val="000000" w:themeColor="text1"/>
          <w:sz w:val="28"/>
          <w:szCs w:val="28"/>
          <w:lang w:bidi="ar-SA"/>
        </w:rPr>
        <w:t>4</w:t>
      </w:r>
      <w:r w:rsidRPr="00790171">
        <w:rPr>
          <w:rFonts w:ascii="Times New Roman" w:hAnsi="Times New Roman" w:cs="Times New Roman"/>
          <w:color w:val="000000" w:themeColor="text1"/>
          <w:sz w:val="28"/>
          <w:szCs w:val="28"/>
          <w:lang w:bidi="ar-SA"/>
        </w:rPr>
        <w:t xml:space="preserve">. </w:t>
      </w:r>
      <w:r>
        <w:rPr>
          <w:rFonts w:ascii="Times New Roman" w:hAnsi="Times New Roman" w:cs="Times New Roman"/>
          <w:sz w:val="28"/>
          <w:szCs w:val="28"/>
          <w:lang w:bidi="ar-SA"/>
        </w:rPr>
        <w:t xml:space="preserve">Распределение генотипов </w:t>
      </w:r>
      <w:r>
        <w:rPr>
          <w:rFonts w:ascii="Times New Roman" w:hAnsi="Times New Roman" w:cs="Times New Roman"/>
          <w:sz w:val="28"/>
          <w:szCs w:val="28"/>
          <w:lang w:val="en-US" w:bidi="ar-SA"/>
        </w:rPr>
        <w:t>ABCB</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и</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и частот аллелей в казахской популяции </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f4Nt5h18","properties":{"unsorted":false,"formattedCitation":"[199]","plainCitation":"[199]","noteIndex":0},"citationItems":[{"id":600,"uris":["http://zotero.org/users/14784094/items/EAA3S3TB"],"itemData":{"id":600,"type":"article-journal","abstract":"Background:\nAllelic variants of genes encoding enzymes of the esterase system (CES1) and P-glycoprotein (ABCB1) can change the metabolism and pharmacokinetics of dabigatran. Therefore, they act as determining factors in the development of side effects, especially bleeding. We analyzed the genotype–phenotype relationship of ABCB1 (rs1045642, rs4148738, rs2032582, and rs1128503) and CES1 (rs8192935, rs71647871, and rs2244613) polymorphisms in patients with atrial fibrillation who had been treated with dabigatran.\n\nMethods:\nA total of 150 patients were recruited for this study. TaqMan technology was used for SNP genotyping.\n\nResults:\n Patients with the rs2244613 GG genotype had a lower concentration (55.27 ± 34.22 ng/ml) compared to those with the TT genotype (63.33 ± 52.25 ng/ml) (additive model, P = 0.000). Individuals with the rs8192935 AA genotype had a lower concentration (52.72 ± 30.45 ng/ml) compared to those with the GG genotype (79.78 ± 57 ng/ml) (additive model, P = 0.001). The APTT values among the different genotypes of the ABCB1 SNPs, rs4148738 and rs1045642, were significantly different (P = 0.035 and P = 0.024, respectively).\n\nConclusion:\nOur research demonstrates that the CES1 polymorphisms, rs8192935 and rs2244613, are associated with the pharmacodynamics and pharmacokinetics of dabigatran in the Kazakh subpopulation.","container-title":"Caspian Journal of Internal Medicine","DOI":"10.22088/cjim.15.3.499","ISSN":"2008-6164","issue":"3","journalAbbreviation":"Caspian J Intern Med","page":"499-508","PMID":"39011438","PMCID":"PMC11246689","source":"PubMed Central","title":"Genetic variants of ABCB1 and CES1 genes on dabigatran metabolism in the Kazakh population","volume":"15","author":[{"family":"Abdrakhmanov","given":"Ayan"},{"family":"Zholdybayeva","given":"Elena"},{"family":"Shaimerdinova","given":"Aizhana"},{"family":"Kulmambetova","given":"Gulmira"},{"family":"Abildinova","given":"Svetlana"},{"family":"Albayev","given":"Rustam"},{"family":"Tuyakova","given":"Gulnara"},{"family":"Rib","given":"Elena"},{"family":"Suleimen","given":"Zhanasyl"},{"family":"Abdrakhmanova","given":"Zhanar"},{"family":"Bekbossynova","given":"Makhabbat"}],"issued":{"date-parts":[["2024",8,1]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[199]</w:t>
      </w:r>
      <w:r>
        <w:rPr>
          <w:rFonts w:ascii="Times New Roman" w:hAnsi="Times New Roman" w:cs="Times New Roman"/>
          <w:sz w:val="28"/>
          <w:szCs w:val="28"/>
          <w:lang w:bidi="ar-SA"/>
        </w:rPr>
        <w:fldChar w:fldCharType="end"/>
      </w:r>
    </w:p>
    <w:tbl>
      <w:tblPr>
        <w:tblW w:w="9344" w:type="dxa"/>
        <w:tblLayout w:type="fixed"/>
        <w:tblLook w:val="0000" w:firstRow="0" w:lastRow="0" w:firstColumn="0" w:lastColumn="0" w:noHBand="0" w:noVBand="0"/>
      </w:tblPr>
      <w:tblGrid>
        <w:gridCol w:w="982"/>
        <w:gridCol w:w="1339"/>
        <w:gridCol w:w="1069"/>
        <w:gridCol w:w="1147"/>
        <w:gridCol w:w="1274"/>
        <w:gridCol w:w="736"/>
        <w:gridCol w:w="1671"/>
        <w:gridCol w:w="1126"/>
      </w:tblGrid>
      <w:tr w:rsidR="00790171" w14:paraId="720230E9" w14:textId="77777777" w:rsidTr="00B57F2E">
        <w:tc>
          <w:tcPr>
            <w:tcW w:w="982" w:type="dxa"/>
            <w:tcBorders>
              <w:top w:val="single" w:sz="4" w:space="0" w:color="A8D08D"/>
              <w:left w:val="single" w:sz="4" w:space="0" w:color="A8D08D"/>
              <w:bottom w:val="single" w:sz="12" w:space="0" w:color="A8D08D"/>
              <w:right w:val="single" w:sz="4" w:space="0" w:color="A8D08D"/>
            </w:tcBorders>
          </w:tcPr>
          <w:p w14:paraId="3DCAFE0B"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Ген</w:t>
            </w:r>
          </w:p>
        </w:tc>
        <w:tc>
          <w:tcPr>
            <w:tcW w:w="1339" w:type="dxa"/>
            <w:tcBorders>
              <w:top w:val="single" w:sz="4" w:space="0" w:color="A8D08D"/>
              <w:left w:val="single" w:sz="4" w:space="0" w:color="A8D08D"/>
              <w:bottom w:val="single" w:sz="12" w:space="0" w:color="A8D08D"/>
              <w:right w:val="single" w:sz="4" w:space="0" w:color="A8D08D"/>
            </w:tcBorders>
          </w:tcPr>
          <w:p w14:paraId="2F80BCB2"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SNP</w:t>
            </w:r>
          </w:p>
        </w:tc>
        <w:tc>
          <w:tcPr>
            <w:tcW w:w="1069" w:type="dxa"/>
            <w:tcBorders>
              <w:top w:val="single" w:sz="4" w:space="0" w:color="A8D08D"/>
              <w:left w:val="single" w:sz="4" w:space="0" w:color="A8D08D"/>
              <w:bottom w:val="single" w:sz="12" w:space="0" w:color="A8D08D"/>
              <w:right w:val="single" w:sz="4" w:space="0" w:color="A8D08D"/>
            </w:tcBorders>
          </w:tcPr>
          <w:p w14:paraId="78D3C43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Генотип</w:t>
            </w:r>
          </w:p>
        </w:tc>
        <w:tc>
          <w:tcPr>
            <w:tcW w:w="1147" w:type="dxa"/>
            <w:tcBorders>
              <w:top w:val="single" w:sz="4" w:space="0" w:color="A8D08D"/>
              <w:left w:val="single" w:sz="4" w:space="0" w:color="A8D08D"/>
              <w:bottom w:val="single" w:sz="12" w:space="0" w:color="A8D08D"/>
              <w:right w:val="single" w:sz="4" w:space="0" w:color="A8D08D"/>
            </w:tcBorders>
          </w:tcPr>
          <w:p w14:paraId="6F1A693C"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n (%)</w:t>
            </w:r>
          </w:p>
        </w:tc>
        <w:tc>
          <w:tcPr>
            <w:tcW w:w="1274" w:type="dxa"/>
            <w:tcBorders>
              <w:top w:val="single" w:sz="4" w:space="0" w:color="A8D08D"/>
              <w:left w:val="single" w:sz="4" w:space="0" w:color="A8D08D"/>
              <w:bottom w:val="single" w:sz="12" w:space="0" w:color="A8D08D"/>
              <w:right w:val="single" w:sz="4" w:space="0" w:color="A8D08D"/>
            </w:tcBorders>
          </w:tcPr>
          <w:p w14:paraId="6344101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Минорный аллель</w:t>
            </w:r>
          </w:p>
        </w:tc>
        <w:tc>
          <w:tcPr>
            <w:tcW w:w="736" w:type="dxa"/>
            <w:tcBorders>
              <w:top w:val="single" w:sz="4" w:space="0" w:color="A8D08D"/>
              <w:left w:val="single" w:sz="4" w:space="0" w:color="A8D08D"/>
              <w:bottom w:val="single" w:sz="12" w:space="0" w:color="A8D08D"/>
              <w:right w:val="single" w:sz="4" w:space="0" w:color="A8D08D"/>
            </w:tcBorders>
          </w:tcPr>
          <w:p w14:paraId="452B295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MAF (%)</w:t>
            </w:r>
          </w:p>
        </w:tc>
        <w:tc>
          <w:tcPr>
            <w:tcW w:w="1671" w:type="dxa"/>
            <w:tcBorders>
              <w:top w:val="single" w:sz="4" w:space="0" w:color="A8D08D"/>
              <w:left w:val="single" w:sz="4" w:space="0" w:color="A8D08D"/>
              <w:bottom w:val="single" w:sz="12" w:space="0" w:color="A8D08D"/>
              <w:right w:val="single" w:sz="4" w:space="0" w:color="A8D08D"/>
            </w:tcBorders>
          </w:tcPr>
          <w:p w14:paraId="23DDAB4D"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MAF (Global1000G)</w:t>
            </w:r>
          </w:p>
        </w:tc>
        <w:tc>
          <w:tcPr>
            <w:tcW w:w="1126" w:type="dxa"/>
            <w:tcBorders>
              <w:top w:val="single" w:sz="4" w:space="0" w:color="A8D08D"/>
              <w:left w:val="single" w:sz="4" w:space="0" w:color="A8D08D"/>
              <w:bottom w:val="single" w:sz="12" w:space="0" w:color="A8D08D"/>
              <w:right w:val="single" w:sz="4" w:space="0" w:color="A8D08D"/>
            </w:tcBorders>
          </w:tcPr>
          <w:p w14:paraId="0A01616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HWE р значение</w:t>
            </w:r>
          </w:p>
        </w:tc>
      </w:tr>
      <w:tr w:rsidR="00790171" w14:paraId="4187FE56" w14:textId="77777777" w:rsidTr="00B57F2E">
        <w:tc>
          <w:tcPr>
            <w:tcW w:w="982" w:type="dxa"/>
            <w:tcBorders>
              <w:top w:val="single" w:sz="4" w:space="0" w:color="A8D08D"/>
              <w:left w:val="single" w:sz="4" w:space="0" w:color="A8D08D"/>
              <w:bottom w:val="single" w:sz="4" w:space="0" w:color="A8D08D"/>
              <w:right w:val="single" w:sz="4" w:space="0" w:color="A8D08D"/>
            </w:tcBorders>
            <w:shd w:val="clear" w:color="auto" w:fill="E2EFD9"/>
          </w:tcPr>
          <w:p w14:paraId="591B56F3"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p>
        </w:tc>
        <w:tc>
          <w:tcPr>
            <w:tcW w:w="1339" w:type="dxa"/>
            <w:tcBorders>
              <w:top w:val="single" w:sz="4" w:space="0" w:color="A8D08D"/>
              <w:left w:val="single" w:sz="4" w:space="0" w:color="A8D08D"/>
              <w:bottom w:val="single" w:sz="4" w:space="0" w:color="A8D08D"/>
              <w:right w:val="single" w:sz="4" w:space="0" w:color="A8D08D"/>
            </w:tcBorders>
            <w:shd w:val="clear" w:color="auto" w:fill="E2EFD9"/>
          </w:tcPr>
          <w:p w14:paraId="08E38F4F"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69" w:type="dxa"/>
            <w:tcBorders>
              <w:top w:val="single" w:sz="4" w:space="0" w:color="A8D08D"/>
              <w:left w:val="single" w:sz="4" w:space="0" w:color="A8D08D"/>
              <w:bottom w:val="single" w:sz="4" w:space="0" w:color="A8D08D"/>
              <w:right w:val="single" w:sz="4" w:space="0" w:color="A8D08D"/>
            </w:tcBorders>
            <w:shd w:val="clear" w:color="auto" w:fill="E2EFD9"/>
          </w:tcPr>
          <w:p w14:paraId="1CFD73D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47" w:type="dxa"/>
            <w:tcBorders>
              <w:top w:val="single" w:sz="4" w:space="0" w:color="A8D08D"/>
              <w:left w:val="single" w:sz="4" w:space="0" w:color="A8D08D"/>
              <w:bottom w:val="single" w:sz="4" w:space="0" w:color="A8D08D"/>
              <w:right w:val="single" w:sz="4" w:space="0" w:color="A8D08D"/>
            </w:tcBorders>
            <w:shd w:val="clear" w:color="auto" w:fill="E2EFD9"/>
          </w:tcPr>
          <w:p w14:paraId="4250A92F"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274" w:type="dxa"/>
            <w:tcBorders>
              <w:top w:val="single" w:sz="4" w:space="0" w:color="A8D08D"/>
              <w:left w:val="single" w:sz="4" w:space="0" w:color="A8D08D"/>
              <w:bottom w:val="single" w:sz="4" w:space="0" w:color="A8D08D"/>
              <w:right w:val="single" w:sz="4" w:space="0" w:color="A8D08D"/>
            </w:tcBorders>
            <w:shd w:val="clear" w:color="auto" w:fill="E2EFD9"/>
          </w:tcPr>
          <w:p w14:paraId="2B7759E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36" w:type="dxa"/>
            <w:tcBorders>
              <w:top w:val="single" w:sz="4" w:space="0" w:color="A8D08D"/>
              <w:left w:val="single" w:sz="4" w:space="0" w:color="A8D08D"/>
              <w:bottom w:val="single" w:sz="4" w:space="0" w:color="A8D08D"/>
              <w:right w:val="single" w:sz="4" w:space="0" w:color="A8D08D"/>
            </w:tcBorders>
            <w:shd w:val="clear" w:color="auto" w:fill="E2EFD9"/>
          </w:tcPr>
          <w:p w14:paraId="1CBFAC23"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671" w:type="dxa"/>
            <w:tcBorders>
              <w:top w:val="single" w:sz="4" w:space="0" w:color="A8D08D"/>
              <w:left w:val="single" w:sz="4" w:space="0" w:color="A8D08D"/>
              <w:bottom w:val="single" w:sz="4" w:space="0" w:color="A8D08D"/>
              <w:right w:val="single" w:sz="4" w:space="0" w:color="A8D08D"/>
            </w:tcBorders>
            <w:shd w:val="clear" w:color="auto" w:fill="E2EFD9"/>
          </w:tcPr>
          <w:p w14:paraId="003B7251"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26" w:type="dxa"/>
            <w:tcBorders>
              <w:top w:val="single" w:sz="4" w:space="0" w:color="A8D08D"/>
              <w:left w:val="single" w:sz="4" w:space="0" w:color="A8D08D"/>
              <w:bottom w:val="single" w:sz="4" w:space="0" w:color="A8D08D"/>
              <w:right w:val="single" w:sz="4" w:space="0" w:color="A8D08D"/>
            </w:tcBorders>
            <w:shd w:val="clear" w:color="auto" w:fill="E2EFD9"/>
          </w:tcPr>
          <w:p w14:paraId="039D385D"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790171" w14:paraId="306B1F7D" w14:textId="77777777" w:rsidTr="00B57F2E">
        <w:tc>
          <w:tcPr>
            <w:tcW w:w="982" w:type="dxa"/>
            <w:tcBorders>
              <w:top w:val="single" w:sz="4" w:space="0" w:color="A8D08D"/>
              <w:left w:val="single" w:sz="4" w:space="0" w:color="A8D08D"/>
              <w:bottom w:val="single" w:sz="4" w:space="0" w:color="A8D08D"/>
              <w:right w:val="single" w:sz="4" w:space="0" w:color="A8D08D"/>
            </w:tcBorders>
          </w:tcPr>
          <w:p w14:paraId="1934F41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ABCB1</w:t>
            </w:r>
          </w:p>
        </w:tc>
        <w:tc>
          <w:tcPr>
            <w:tcW w:w="1339" w:type="dxa"/>
            <w:tcBorders>
              <w:top w:val="single" w:sz="4" w:space="0" w:color="A8D08D"/>
              <w:left w:val="single" w:sz="4" w:space="0" w:color="A8D08D"/>
              <w:bottom w:val="single" w:sz="4" w:space="0" w:color="A8D08D"/>
              <w:right w:val="single" w:sz="4" w:space="0" w:color="A8D08D"/>
            </w:tcBorders>
          </w:tcPr>
          <w:p w14:paraId="1F849E3A"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rs4148738</w:t>
            </w:r>
          </w:p>
        </w:tc>
        <w:tc>
          <w:tcPr>
            <w:tcW w:w="1069" w:type="dxa"/>
            <w:tcBorders>
              <w:top w:val="single" w:sz="4" w:space="0" w:color="A8D08D"/>
              <w:left w:val="single" w:sz="4" w:space="0" w:color="A8D08D"/>
              <w:bottom w:val="single" w:sz="4" w:space="0" w:color="A8D08D"/>
              <w:right w:val="single" w:sz="4" w:space="0" w:color="A8D08D"/>
            </w:tcBorders>
          </w:tcPr>
          <w:p w14:paraId="3DB6CD52"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CC</w:t>
            </w:r>
          </w:p>
          <w:p w14:paraId="28EF89BF"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CT</w:t>
            </w:r>
          </w:p>
          <w:p w14:paraId="08843EC1"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TT</w:t>
            </w:r>
          </w:p>
        </w:tc>
        <w:tc>
          <w:tcPr>
            <w:tcW w:w="1147" w:type="dxa"/>
            <w:tcBorders>
              <w:top w:val="single" w:sz="4" w:space="0" w:color="A8D08D"/>
              <w:left w:val="single" w:sz="4" w:space="0" w:color="A8D08D"/>
              <w:bottom w:val="single" w:sz="4" w:space="0" w:color="A8D08D"/>
              <w:right w:val="single" w:sz="4" w:space="0" w:color="A8D08D"/>
            </w:tcBorders>
          </w:tcPr>
          <w:p w14:paraId="546827D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32(21.3)</w:t>
            </w:r>
          </w:p>
          <w:p w14:paraId="3ACD1FA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64(42.7)</w:t>
            </w:r>
          </w:p>
          <w:p w14:paraId="6A43F42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54(36)</w:t>
            </w:r>
          </w:p>
        </w:tc>
        <w:tc>
          <w:tcPr>
            <w:tcW w:w="1274" w:type="dxa"/>
            <w:tcBorders>
              <w:top w:val="single" w:sz="4" w:space="0" w:color="A8D08D"/>
              <w:left w:val="single" w:sz="4" w:space="0" w:color="A8D08D"/>
              <w:bottom w:val="single" w:sz="4" w:space="0" w:color="A8D08D"/>
              <w:right w:val="single" w:sz="4" w:space="0" w:color="A8D08D"/>
            </w:tcBorders>
          </w:tcPr>
          <w:p w14:paraId="4BFA55A2"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736" w:type="dxa"/>
            <w:tcBorders>
              <w:top w:val="single" w:sz="4" w:space="0" w:color="A8D08D"/>
              <w:left w:val="single" w:sz="4" w:space="0" w:color="A8D08D"/>
              <w:bottom w:val="single" w:sz="4" w:space="0" w:color="A8D08D"/>
              <w:right w:val="single" w:sz="4" w:space="0" w:color="A8D08D"/>
            </w:tcBorders>
          </w:tcPr>
          <w:p w14:paraId="5DB3FD0B"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40.4</w:t>
            </w:r>
          </w:p>
        </w:tc>
        <w:tc>
          <w:tcPr>
            <w:tcW w:w="1671" w:type="dxa"/>
            <w:tcBorders>
              <w:top w:val="single" w:sz="4" w:space="0" w:color="A8D08D"/>
              <w:left w:val="single" w:sz="4" w:space="0" w:color="A8D08D"/>
              <w:bottom w:val="single" w:sz="4" w:space="0" w:color="A8D08D"/>
              <w:right w:val="single" w:sz="4" w:space="0" w:color="A8D08D"/>
            </w:tcBorders>
          </w:tcPr>
          <w:p w14:paraId="5CFF7CFD"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38.14</w:t>
            </w:r>
          </w:p>
        </w:tc>
        <w:tc>
          <w:tcPr>
            <w:tcW w:w="1126" w:type="dxa"/>
            <w:tcBorders>
              <w:top w:val="single" w:sz="4" w:space="0" w:color="A8D08D"/>
              <w:left w:val="single" w:sz="4" w:space="0" w:color="A8D08D"/>
              <w:bottom w:val="single" w:sz="4" w:space="0" w:color="A8D08D"/>
              <w:right w:val="single" w:sz="4" w:space="0" w:color="A8D08D"/>
            </w:tcBorders>
          </w:tcPr>
          <w:p w14:paraId="506AE8A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0.149</w:t>
            </w:r>
          </w:p>
        </w:tc>
      </w:tr>
      <w:tr w:rsidR="00790171" w14:paraId="584AC43A" w14:textId="77777777" w:rsidTr="00B57F2E">
        <w:tc>
          <w:tcPr>
            <w:tcW w:w="982" w:type="dxa"/>
            <w:tcBorders>
              <w:top w:val="single" w:sz="4" w:space="0" w:color="A8D08D"/>
              <w:left w:val="single" w:sz="4" w:space="0" w:color="A8D08D"/>
              <w:bottom w:val="single" w:sz="4" w:space="0" w:color="A8D08D"/>
              <w:right w:val="single" w:sz="4" w:space="0" w:color="A8D08D"/>
            </w:tcBorders>
            <w:shd w:val="clear" w:color="auto" w:fill="E2EFD9"/>
          </w:tcPr>
          <w:p w14:paraId="18A3BE54"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ABCB1</w:t>
            </w:r>
          </w:p>
        </w:tc>
        <w:tc>
          <w:tcPr>
            <w:tcW w:w="1339" w:type="dxa"/>
            <w:tcBorders>
              <w:top w:val="single" w:sz="4" w:space="0" w:color="A8D08D"/>
              <w:left w:val="single" w:sz="4" w:space="0" w:color="A8D08D"/>
              <w:bottom w:val="single" w:sz="4" w:space="0" w:color="A8D08D"/>
              <w:right w:val="single" w:sz="4" w:space="0" w:color="A8D08D"/>
            </w:tcBorders>
            <w:shd w:val="clear" w:color="auto" w:fill="E2EFD9"/>
          </w:tcPr>
          <w:p w14:paraId="5CC94DAB"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rs1045642</w:t>
            </w:r>
          </w:p>
        </w:tc>
        <w:tc>
          <w:tcPr>
            <w:tcW w:w="1069" w:type="dxa"/>
            <w:tcBorders>
              <w:top w:val="single" w:sz="4" w:space="0" w:color="A8D08D"/>
              <w:left w:val="single" w:sz="4" w:space="0" w:color="A8D08D"/>
              <w:bottom w:val="single" w:sz="4" w:space="0" w:color="A8D08D"/>
              <w:right w:val="single" w:sz="4" w:space="0" w:color="A8D08D"/>
            </w:tcBorders>
            <w:shd w:val="clear" w:color="auto" w:fill="E2EFD9"/>
          </w:tcPr>
          <w:p w14:paraId="31B578F5"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AA</w:t>
            </w:r>
          </w:p>
          <w:p w14:paraId="19EE0EB2"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AG</w:t>
            </w:r>
          </w:p>
          <w:p w14:paraId="5CB6854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GG</w:t>
            </w:r>
          </w:p>
        </w:tc>
        <w:tc>
          <w:tcPr>
            <w:tcW w:w="1147" w:type="dxa"/>
            <w:tcBorders>
              <w:top w:val="single" w:sz="4" w:space="0" w:color="A8D08D"/>
              <w:left w:val="single" w:sz="4" w:space="0" w:color="A8D08D"/>
              <w:bottom w:val="single" w:sz="4" w:space="0" w:color="A8D08D"/>
              <w:right w:val="single" w:sz="4" w:space="0" w:color="A8D08D"/>
            </w:tcBorders>
            <w:shd w:val="clear" w:color="auto" w:fill="E2EFD9"/>
          </w:tcPr>
          <w:p w14:paraId="6123BAA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33(22)</w:t>
            </w:r>
          </w:p>
          <w:p w14:paraId="32BB710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70(46.7)</w:t>
            </w:r>
          </w:p>
          <w:p w14:paraId="5BECF343"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47(31.3)</w:t>
            </w:r>
          </w:p>
        </w:tc>
        <w:tc>
          <w:tcPr>
            <w:tcW w:w="1274" w:type="dxa"/>
            <w:tcBorders>
              <w:top w:val="single" w:sz="4" w:space="0" w:color="A8D08D"/>
              <w:left w:val="single" w:sz="4" w:space="0" w:color="A8D08D"/>
              <w:bottom w:val="single" w:sz="4" w:space="0" w:color="A8D08D"/>
              <w:right w:val="single" w:sz="4" w:space="0" w:color="A8D08D"/>
            </w:tcBorders>
            <w:shd w:val="clear" w:color="auto" w:fill="E2EFD9"/>
          </w:tcPr>
          <w:p w14:paraId="2C3D2EA1"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736" w:type="dxa"/>
            <w:tcBorders>
              <w:top w:val="single" w:sz="4" w:space="0" w:color="A8D08D"/>
              <w:left w:val="single" w:sz="4" w:space="0" w:color="A8D08D"/>
              <w:bottom w:val="single" w:sz="4" w:space="0" w:color="A8D08D"/>
              <w:right w:val="single" w:sz="4" w:space="0" w:color="A8D08D"/>
            </w:tcBorders>
            <w:shd w:val="clear" w:color="auto" w:fill="E2EFD9"/>
          </w:tcPr>
          <w:p w14:paraId="42328F6F"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38.3</w:t>
            </w:r>
          </w:p>
        </w:tc>
        <w:tc>
          <w:tcPr>
            <w:tcW w:w="1671" w:type="dxa"/>
            <w:tcBorders>
              <w:top w:val="single" w:sz="4" w:space="0" w:color="A8D08D"/>
              <w:left w:val="single" w:sz="4" w:space="0" w:color="A8D08D"/>
              <w:bottom w:val="single" w:sz="4" w:space="0" w:color="A8D08D"/>
              <w:right w:val="single" w:sz="4" w:space="0" w:color="A8D08D"/>
            </w:tcBorders>
            <w:shd w:val="clear" w:color="auto" w:fill="E2EFD9"/>
          </w:tcPr>
          <w:p w14:paraId="28B570F7"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39.52</w:t>
            </w:r>
          </w:p>
        </w:tc>
        <w:tc>
          <w:tcPr>
            <w:tcW w:w="1126" w:type="dxa"/>
            <w:tcBorders>
              <w:top w:val="single" w:sz="4" w:space="0" w:color="A8D08D"/>
              <w:left w:val="single" w:sz="4" w:space="0" w:color="A8D08D"/>
              <w:bottom w:val="single" w:sz="4" w:space="0" w:color="A8D08D"/>
              <w:right w:val="single" w:sz="4" w:space="0" w:color="A8D08D"/>
            </w:tcBorders>
            <w:shd w:val="clear" w:color="auto" w:fill="E2EFD9"/>
          </w:tcPr>
          <w:p w14:paraId="53BB6CD3"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0.553</w:t>
            </w:r>
          </w:p>
        </w:tc>
      </w:tr>
      <w:tr w:rsidR="00790171" w14:paraId="33EC0473" w14:textId="77777777" w:rsidTr="00B57F2E">
        <w:tc>
          <w:tcPr>
            <w:tcW w:w="982" w:type="dxa"/>
            <w:tcBorders>
              <w:top w:val="single" w:sz="4" w:space="0" w:color="A8D08D"/>
              <w:left w:val="single" w:sz="4" w:space="0" w:color="A8D08D"/>
              <w:bottom w:val="single" w:sz="4" w:space="0" w:color="A8D08D"/>
              <w:right w:val="single" w:sz="4" w:space="0" w:color="A8D08D"/>
            </w:tcBorders>
          </w:tcPr>
          <w:p w14:paraId="4756BC4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ABCB1</w:t>
            </w:r>
          </w:p>
        </w:tc>
        <w:tc>
          <w:tcPr>
            <w:tcW w:w="1339" w:type="dxa"/>
            <w:tcBorders>
              <w:top w:val="single" w:sz="4" w:space="0" w:color="A8D08D"/>
              <w:left w:val="single" w:sz="4" w:space="0" w:color="A8D08D"/>
              <w:bottom w:val="single" w:sz="4" w:space="0" w:color="A8D08D"/>
              <w:right w:val="single" w:sz="4" w:space="0" w:color="A8D08D"/>
            </w:tcBorders>
          </w:tcPr>
          <w:p w14:paraId="658226D7"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rs2032582</w:t>
            </w:r>
          </w:p>
        </w:tc>
        <w:tc>
          <w:tcPr>
            <w:tcW w:w="1069" w:type="dxa"/>
            <w:tcBorders>
              <w:top w:val="single" w:sz="4" w:space="0" w:color="A8D08D"/>
              <w:left w:val="single" w:sz="4" w:space="0" w:color="A8D08D"/>
              <w:bottom w:val="single" w:sz="4" w:space="0" w:color="A8D08D"/>
              <w:right w:val="single" w:sz="4" w:space="0" w:color="A8D08D"/>
            </w:tcBorders>
          </w:tcPr>
          <w:p w14:paraId="4D18FCA4"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CC</w:t>
            </w:r>
          </w:p>
          <w:p w14:paraId="52A1070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CA</w:t>
            </w:r>
          </w:p>
          <w:p w14:paraId="06987802"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AA</w:t>
            </w:r>
          </w:p>
        </w:tc>
        <w:tc>
          <w:tcPr>
            <w:tcW w:w="1147" w:type="dxa"/>
            <w:tcBorders>
              <w:top w:val="single" w:sz="4" w:space="0" w:color="A8D08D"/>
              <w:left w:val="single" w:sz="4" w:space="0" w:color="A8D08D"/>
              <w:bottom w:val="single" w:sz="4" w:space="0" w:color="A8D08D"/>
              <w:right w:val="single" w:sz="4" w:space="0" w:color="A8D08D"/>
            </w:tcBorders>
          </w:tcPr>
          <w:p w14:paraId="2240A8FD"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53(35.3)</w:t>
            </w:r>
          </w:p>
          <w:p w14:paraId="259FB798"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52(34.7)</w:t>
            </w:r>
          </w:p>
          <w:p w14:paraId="7B531935"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45(30)</w:t>
            </w:r>
          </w:p>
        </w:tc>
        <w:tc>
          <w:tcPr>
            <w:tcW w:w="1274" w:type="dxa"/>
            <w:tcBorders>
              <w:top w:val="single" w:sz="4" w:space="0" w:color="A8D08D"/>
              <w:left w:val="single" w:sz="4" w:space="0" w:color="A8D08D"/>
              <w:bottom w:val="single" w:sz="4" w:space="0" w:color="A8D08D"/>
              <w:right w:val="single" w:sz="4" w:space="0" w:color="A8D08D"/>
            </w:tcBorders>
          </w:tcPr>
          <w:p w14:paraId="3DFB020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736" w:type="dxa"/>
            <w:tcBorders>
              <w:top w:val="single" w:sz="4" w:space="0" w:color="A8D08D"/>
              <w:left w:val="single" w:sz="4" w:space="0" w:color="A8D08D"/>
              <w:bottom w:val="single" w:sz="4" w:space="0" w:color="A8D08D"/>
              <w:right w:val="single" w:sz="4" w:space="0" w:color="A8D08D"/>
            </w:tcBorders>
          </w:tcPr>
          <w:p w14:paraId="6189EFC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56.3</w:t>
            </w:r>
          </w:p>
        </w:tc>
        <w:tc>
          <w:tcPr>
            <w:tcW w:w="1671" w:type="dxa"/>
            <w:tcBorders>
              <w:top w:val="single" w:sz="4" w:space="0" w:color="A8D08D"/>
              <w:left w:val="single" w:sz="4" w:space="0" w:color="A8D08D"/>
              <w:bottom w:val="single" w:sz="4" w:space="0" w:color="A8D08D"/>
              <w:right w:val="single" w:sz="4" w:space="0" w:color="A8D08D"/>
            </w:tcBorders>
          </w:tcPr>
          <w:p w14:paraId="03C19831"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33.43</w:t>
            </w:r>
          </w:p>
        </w:tc>
        <w:tc>
          <w:tcPr>
            <w:tcW w:w="1126" w:type="dxa"/>
            <w:tcBorders>
              <w:top w:val="single" w:sz="4" w:space="0" w:color="A8D08D"/>
              <w:left w:val="single" w:sz="4" w:space="0" w:color="A8D08D"/>
              <w:bottom w:val="single" w:sz="4" w:space="0" w:color="A8D08D"/>
              <w:right w:val="single" w:sz="4" w:space="0" w:color="A8D08D"/>
            </w:tcBorders>
          </w:tcPr>
          <w:p w14:paraId="34F847EC"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0.0003</w:t>
            </w:r>
          </w:p>
        </w:tc>
      </w:tr>
      <w:tr w:rsidR="00790171" w14:paraId="1A10E0AA" w14:textId="77777777" w:rsidTr="00B57F2E">
        <w:trPr>
          <w:trHeight w:val="1240"/>
        </w:trPr>
        <w:tc>
          <w:tcPr>
            <w:tcW w:w="982" w:type="dxa"/>
            <w:tcBorders>
              <w:top w:val="single" w:sz="4" w:space="0" w:color="A8D08D"/>
              <w:left w:val="single" w:sz="4" w:space="0" w:color="A8D08D"/>
              <w:bottom w:val="single" w:sz="4" w:space="0" w:color="A8D08D"/>
              <w:right w:val="single" w:sz="4" w:space="0" w:color="A8D08D"/>
            </w:tcBorders>
            <w:shd w:val="clear" w:color="auto" w:fill="E2EFD9"/>
          </w:tcPr>
          <w:p w14:paraId="00736FD8"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ABCB1</w:t>
            </w:r>
          </w:p>
        </w:tc>
        <w:tc>
          <w:tcPr>
            <w:tcW w:w="1339" w:type="dxa"/>
            <w:tcBorders>
              <w:top w:val="single" w:sz="4" w:space="0" w:color="A8D08D"/>
              <w:left w:val="single" w:sz="4" w:space="0" w:color="A8D08D"/>
              <w:bottom w:val="single" w:sz="4" w:space="0" w:color="A8D08D"/>
              <w:right w:val="single" w:sz="4" w:space="0" w:color="A8D08D"/>
            </w:tcBorders>
            <w:shd w:val="clear" w:color="auto" w:fill="E2EFD9"/>
          </w:tcPr>
          <w:p w14:paraId="6796708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rs1128503</w:t>
            </w:r>
          </w:p>
        </w:tc>
        <w:tc>
          <w:tcPr>
            <w:tcW w:w="1069" w:type="dxa"/>
            <w:tcBorders>
              <w:top w:val="single" w:sz="4" w:space="0" w:color="A8D08D"/>
              <w:left w:val="single" w:sz="4" w:space="0" w:color="A8D08D"/>
              <w:bottom w:val="single" w:sz="4" w:space="0" w:color="A8D08D"/>
              <w:right w:val="single" w:sz="4" w:space="0" w:color="A8D08D"/>
            </w:tcBorders>
            <w:shd w:val="clear" w:color="auto" w:fill="E2EFD9"/>
          </w:tcPr>
          <w:p w14:paraId="1168F58B"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AA</w:t>
            </w:r>
          </w:p>
          <w:p w14:paraId="02A0A167"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AG</w:t>
            </w:r>
          </w:p>
          <w:p w14:paraId="675C9FF7"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GG</w:t>
            </w:r>
          </w:p>
        </w:tc>
        <w:tc>
          <w:tcPr>
            <w:tcW w:w="1147" w:type="dxa"/>
            <w:tcBorders>
              <w:top w:val="single" w:sz="4" w:space="0" w:color="A8D08D"/>
              <w:left w:val="single" w:sz="4" w:space="0" w:color="A8D08D"/>
              <w:bottom w:val="single" w:sz="4" w:space="0" w:color="A8D08D"/>
              <w:right w:val="single" w:sz="4" w:space="0" w:color="A8D08D"/>
            </w:tcBorders>
            <w:shd w:val="clear" w:color="auto" w:fill="E2EFD9"/>
          </w:tcPr>
          <w:p w14:paraId="6771C5BC"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53(35.3)</w:t>
            </w:r>
          </w:p>
          <w:p w14:paraId="12BBA992"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62(41.3)</w:t>
            </w:r>
          </w:p>
          <w:p w14:paraId="44650B93"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35(23.3)</w:t>
            </w:r>
          </w:p>
        </w:tc>
        <w:tc>
          <w:tcPr>
            <w:tcW w:w="1274" w:type="dxa"/>
            <w:tcBorders>
              <w:top w:val="single" w:sz="4" w:space="0" w:color="A8D08D"/>
              <w:left w:val="single" w:sz="4" w:space="0" w:color="A8D08D"/>
              <w:bottom w:val="single" w:sz="4" w:space="0" w:color="A8D08D"/>
              <w:right w:val="single" w:sz="4" w:space="0" w:color="A8D08D"/>
            </w:tcBorders>
            <w:shd w:val="clear" w:color="auto" w:fill="E2EFD9"/>
          </w:tcPr>
          <w:p w14:paraId="7379CF74"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736" w:type="dxa"/>
            <w:tcBorders>
              <w:top w:val="single" w:sz="4" w:space="0" w:color="A8D08D"/>
              <w:left w:val="single" w:sz="4" w:space="0" w:color="A8D08D"/>
              <w:bottom w:val="single" w:sz="4" w:space="0" w:color="A8D08D"/>
              <w:right w:val="single" w:sz="4" w:space="0" w:color="A8D08D"/>
            </w:tcBorders>
            <w:shd w:val="clear" w:color="auto" w:fill="E2EFD9"/>
          </w:tcPr>
          <w:p w14:paraId="2318992B"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62.6</w:t>
            </w:r>
          </w:p>
        </w:tc>
        <w:tc>
          <w:tcPr>
            <w:tcW w:w="1671" w:type="dxa"/>
            <w:tcBorders>
              <w:top w:val="single" w:sz="4" w:space="0" w:color="A8D08D"/>
              <w:left w:val="single" w:sz="4" w:space="0" w:color="A8D08D"/>
              <w:bottom w:val="single" w:sz="4" w:space="0" w:color="A8D08D"/>
              <w:right w:val="single" w:sz="4" w:space="0" w:color="A8D08D"/>
            </w:tcBorders>
            <w:shd w:val="clear" w:color="auto" w:fill="E2EFD9"/>
          </w:tcPr>
          <w:p w14:paraId="01B8BC0D"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41.61</w:t>
            </w:r>
          </w:p>
        </w:tc>
        <w:tc>
          <w:tcPr>
            <w:tcW w:w="1126" w:type="dxa"/>
            <w:tcBorders>
              <w:top w:val="single" w:sz="4" w:space="0" w:color="A8D08D"/>
              <w:left w:val="single" w:sz="4" w:space="0" w:color="A8D08D"/>
              <w:bottom w:val="single" w:sz="4" w:space="0" w:color="A8D08D"/>
              <w:right w:val="single" w:sz="4" w:space="0" w:color="A8D08D"/>
            </w:tcBorders>
            <w:shd w:val="clear" w:color="auto" w:fill="E2EFD9"/>
          </w:tcPr>
          <w:p w14:paraId="2712DF65"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0.064</w:t>
            </w:r>
          </w:p>
        </w:tc>
      </w:tr>
      <w:tr w:rsidR="00790171" w14:paraId="1E0346E1" w14:textId="77777777" w:rsidTr="00B57F2E">
        <w:tc>
          <w:tcPr>
            <w:tcW w:w="982" w:type="dxa"/>
            <w:tcBorders>
              <w:top w:val="single" w:sz="4" w:space="0" w:color="A8D08D"/>
              <w:left w:val="single" w:sz="4" w:space="0" w:color="A8D08D"/>
              <w:bottom w:val="single" w:sz="4" w:space="0" w:color="A8D08D"/>
              <w:right w:val="single" w:sz="4" w:space="0" w:color="A8D08D"/>
            </w:tcBorders>
          </w:tcPr>
          <w:p w14:paraId="1487A25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CES1</w:t>
            </w:r>
          </w:p>
        </w:tc>
        <w:tc>
          <w:tcPr>
            <w:tcW w:w="1339" w:type="dxa"/>
            <w:tcBorders>
              <w:top w:val="single" w:sz="4" w:space="0" w:color="A8D08D"/>
              <w:left w:val="single" w:sz="4" w:space="0" w:color="A8D08D"/>
              <w:bottom w:val="single" w:sz="4" w:space="0" w:color="A8D08D"/>
              <w:right w:val="single" w:sz="4" w:space="0" w:color="A8D08D"/>
            </w:tcBorders>
          </w:tcPr>
          <w:p w14:paraId="326CA40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rs8192935</w:t>
            </w:r>
          </w:p>
        </w:tc>
        <w:tc>
          <w:tcPr>
            <w:tcW w:w="1069" w:type="dxa"/>
            <w:tcBorders>
              <w:top w:val="single" w:sz="4" w:space="0" w:color="A8D08D"/>
              <w:left w:val="single" w:sz="4" w:space="0" w:color="A8D08D"/>
              <w:bottom w:val="single" w:sz="4" w:space="0" w:color="A8D08D"/>
              <w:right w:val="single" w:sz="4" w:space="0" w:color="A8D08D"/>
            </w:tcBorders>
          </w:tcPr>
          <w:p w14:paraId="0CDC6227"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AA</w:t>
            </w:r>
          </w:p>
          <w:p w14:paraId="7DAE36F3"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AG</w:t>
            </w:r>
          </w:p>
          <w:p w14:paraId="1F7EFEB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GG</w:t>
            </w:r>
          </w:p>
        </w:tc>
        <w:tc>
          <w:tcPr>
            <w:tcW w:w="1147" w:type="dxa"/>
            <w:tcBorders>
              <w:top w:val="single" w:sz="4" w:space="0" w:color="A8D08D"/>
              <w:left w:val="single" w:sz="4" w:space="0" w:color="A8D08D"/>
              <w:bottom w:val="single" w:sz="4" w:space="0" w:color="A8D08D"/>
              <w:right w:val="single" w:sz="4" w:space="0" w:color="A8D08D"/>
            </w:tcBorders>
          </w:tcPr>
          <w:p w14:paraId="65FF793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56(37.3)</w:t>
            </w:r>
          </w:p>
          <w:p w14:paraId="14DB1E8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75(50)</w:t>
            </w:r>
          </w:p>
          <w:p w14:paraId="352F2D8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19(12.7)</w:t>
            </w:r>
          </w:p>
        </w:tc>
        <w:tc>
          <w:tcPr>
            <w:tcW w:w="1274" w:type="dxa"/>
            <w:tcBorders>
              <w:top w:val="single" w:sz="4" w:space="0" w:color="A8D08D"/>
              <w:left w:val="single" w:sz="4" w:space="0" w:color="A8D08D"/>
              <w:bottom w:val="single" w:sz="4" w:space="0" w:color="A8D08D"/>
              <w:right w:val="single" w:sz="4" w:space="0" w:color="A8D08D"/>
            </w:tcBorders>
          </w:tcPr>
          <w:p w14:paraId="6DF2AA5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736" w:type="dxa"/>
            <w:tcBorders>
              <w:top w:val="single" w:sz="4" w:space="0" w:color="A8D08D"/>
              <w:left w:val="single" w:sz="4" w:space="0" w:color="A8D08D"/>
              <w:bottom w:val="single" w:sz="4" w:space="0" w:color="A8D08D"/>
              <w:right w:val="single" w:sz="4" w:space="0" w:color="A8D08D"/>
            </w:tcBorders>
          </w:tcPr>
          <w:p w14:paraId="117E006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61.2</w:t>
            </w:r>
          </w:p>
        </w:tc>
        <w:tc>
          <w:tcPr>
            <w:tcW w:w="1671" w:type="dxa"/>
            <w:tcBorders>
              <w:top w:val="single" w:sz="4" w:space="0" w:color="A8D08D"/>
              <w:left w:val="single" w:sz="4" w:space="0" w:color="A8D08D"/>
              <w:bottom w:val="single" w:sz="4" w:space="0" w:color="A8D08D"/>
              <w:right w:val="single" w:sz="4" w:space="0" w:color="A8D08D"/>
            </w:tcBorders>
          </w:tcPr>
          <w:p w14:paraId="29E27B2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58,05</w:t>
            </w:r>
          </w:p>
        </w:tc>
        <w:tc>
          <w:tcPr>
            <w:tcW w:w="1126" w:type="dxa"/>
            <w:tcBorders>
              <w:top w:val="single" w:sz="4" w:space="0" w:color="A8D08D"/>
              <w:left w:val="single" w:sz="4" w:space="0" w:color="A8D08D"/>
              <w:bottom w:val="single" w:sz="4" w:space="0" w:color="A8D08D"/>
              <w:right w:val="single" w:sz="4" w:space="0" w:color="A8D08D"/>
            </w:tcBorders>
          </w:tcPr>
          <w:p w14:paraId="709BA484"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0.508</w:t>
            </w:r>
          </w:p>
        </w:tc>
      </w:tr>
      <w:tr w:rsidR="00790171" w14:paraId="3F4F6DE2" w14:textId="77777777" w:rsidTr="00B57F2E">
        <w:tc>
          <w:tcPr>
            <w:tcW w:w="982" w:type="dxa"/>
            <w:tcBorders>
              <w:top w:val="single" w:sz="4" w:space="0" w:color="A8D08D"/>
              <w:left w:val="single" w:sz="4" w:space="0" w:color="A8D08D"/>
              <w:bottom w:val="single" w:sz="4" w:space="0" w:color="A8D08D"/>
              <w:right w:val="single" w:sz="4" w:space="0" w:color="A8D08D"/>
            </w:tcBorders>
            <w:shd w:val="clear" w:color="auto" w:fill="E2EFD9"/>
          </w:tcPr>
          <w:p w14:paraId="7EC2E101"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CES1</w:t>
            </w:r>
          </w:p>
        </w:tc>
        <w:tc>
          <w:tcPr>
            <w:tcW w:w="1339" w:type="dxa"/>
            <w:tcBorders>
              <w:top w:val="single" w:sz="4" w:space="0" w:color="A8D08D"/>
              <w:left w:val="single" w:sz="4" w:space="0" w:color="A8D08D"/>
              <w:bottom w:val="single" w:sz="4" w:space="0" w:color="A8D08D"/>
              <w:right w:val="single" w:sz="4" w:space="0" w:color="A8D08D"/>
            </w:tcBorders>
            <w:shd w:val="clear" w:color="auto" w:fill="E2EFD9"/>
          </w:tcPr>
          <w:p w14:paraId="153ED735"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rs2244613</w:t>
            </w:r>
          </w:p>
        </w:tc>
        <w:tc>
          <w:tcPr>
            <w:tcW w:w="1069" w:type="dxa"/>
            <w:tcBorders>
              <w:top w:val="single" w:sz="4" w:space="0" w:color="A8D08D"/>
              <w:left w:val="single" w:sz="4" w:space="0" w:color="A8D08D"/>
              <w:bottom w:val="single" w:sz="4" w:space="0" w:color="A8D08D"/>
              <w:right w:val="single" w:sz="4" w:space="0" w:color="A8D08D"/>
            </w:tcBorders>
            <w:shd w:val="clear" w:color="auto" w:fill="E2EFD9"/>
          </w:tcPr>
          <w:p w14:paraId="26D2B8B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GG</w:t>
            </w:r>
          </w:p>
          <w:p w14:paraId="7D0406C2"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GT</w:t>
            </w:r>
          </w:p>
          <w:p w14:paraId="1E8443FA"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TT</w:t>
            </w:r>
          </w:p>
        </w:tc>
        <w:tc>
          <w:tcPr>
            <w:tcW w:w="1147" w:type="dxa"/>
            <w:tcBorders>
              <w:top w:val="single" w:sz="4" w:space="0" w:color="A8D08D"/>
              <w:left w:val="single" w:sz="4" w:space="0" w:color="A8D08D"/>
              <w:bottom w:val="single" w:sz="4" w:space="0" w:color="A8D08D"/>
              <w:right w:val="single" w:sz="4" w:space="0" w:color="A8D08D"/>
            </w:tcBorders>
            <w:shd w:val="clear" w:color="auto" w:fill="E2EFD9"/>
          </w:tcPr>
          <w:p w14:paraId="53309F44"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37(24.7)</w:t>
            </w:r>
          </w:p>
          <w:p w14:paraId="0B5ADE8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70(46.7)</w:t>
            </w:r>
          </w:p>
          <w:p w14:paraId="3818A1D0"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43(28.7)</w:t>
            </w:r>
          </w:p>
        </w:tc>
        <w:tc>
          <w:tcPr>
            <w:tcW w:w="1274" w:type="dxa"/>
            <w:tcBorders>
              <w:top w:val="single" w:sz="4" w:space="0" w:color="A8D08D"/>
              <w:left w:val="single" w:sz="4" w:space="0" w:color="A8D08D"/>
              <w:bottom w:val="single" w:sz="4" w:space="0" w:color="A8D08D"/>
              <w:right w:val="single" w:sz="4" w:space="0" w:color="A8D08D"/>
            </w:tcBorders>
            <w:shd w:val="clear" w:color="auto" w:fill="E2EFD9"/>
          </w:tcPr>
          <w:p w14:paraId="24047331"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G</w:t>
            </w:r>
          </w:p>
        </w:tc>
        <w:tc>
          <w:tcPr>
            <w:tcW w:w="736" w:type="dxa"/>
            <w:tcBorders>
              <w:top w:val="single" w:sz="4" w:space="0" w:color="A8D08D"/>
              <w:left w:val="single" w:sz="4" w:space="0" w:color="A8D08D"/>
              <w:bottom w:val="single" w:sz="4" w:space="0" w:color="A8D08D"/>
              <w:right w:val="single" w:sz="4" w:space="0" w:color="A8D08D"/>
            </w:tcBorders>
            <w:shd w:val="clear" w:color="auto" w:fill="E2EFD9"/>
          </w:tcPr>
          <w:p w14:paraId="59C3F557"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57.1</w:t>
            </w:r>
          </w:p>
        </w:tc>
        <w:tc>
          <w:tcPr>
            <w:tcW w:w="1671" w:type="dxa"/>
            <w:tcBorders>
              <w:top w:val="single" w:sz="4" w:space="0" w:color="A8D08D"/>
              <w:left w:val="single" w:sz="4" w:space="0" w:color="A8D08D"/>
              <w:bottom w:val="single" w:sz="4" w:space="0" w:color="A8D08D"/>
              <w:right w:val="single" w:sz="4" w:space="0" w:color="A8D08D"/>
            </w:tcBorders>
            <w:shd w:val="clear" w:color="auto" w:fill="E2EFD9"/>
          </w:tcPr>
          <w:p w14:paraId="4DA802F1"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33.27</w:t>
            </w:r>
          </w:p>
        </w:tc>
        <w:tc>
          <w:tcPr>
            <w:tcW w:w="1126" w:type="dxa"/>
            <w:tcBorders>
              <w:top w:val="single" w:sz="4" w:space="0" w:color="A8D08D"/>
              <w:left w:val="single" w:sz="4" w:space="0" w:color="A8D08D"/>
              <w:bottom w:val="single" w:sz="4" w:space="0" w:color="A8D08D"/>
              <w:right w:val="single" w:sz="4" w:space="0" w:color="A8D08D"/>
            </w:tcBorders>
            <w:shd w:val="clear" w:color="auto" w:fill="E2EFD9"/>
          </w:tcPr>
          <w:p w14:paraId="4185A673"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0.498</w:t>
            </w:r>
          </w:p>
        </w:tc>
      </w:tr>
      <w:tr w:rsidR="00790171" w14:paraId="1549DB41" w14:textId="77777777" w:rsidTr="00B57F2E">
        <w:tc>
          <w:tcPr>
            <w:tcW w:w="982" w:type="dxa"/>
            <w:tcBorders>
              <w:top w:val="single" w:sz="4" w:space="0" w:color="A8D08D"/>
              <w:left w:val="single" w:sz="4" w:space="0" w:color="A8D08D"/>
              <w:bottom w:val="single" w:sz="4" w:space="0" w:color="A8D08D"/>
              <w:right w:val="single" w:sz="4" w:space="0" w:color="A8D08D"/>
            </w:tcBorders>
          </w:tcPr>
          <w:p w14:paraId="6537445A"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CES1</w:t>
            </w:r>
          </w:p>
        </w:tc>
        <w:tc>
          <w:tcPr>
            <w:tcW w:w="1339" w:type="dxa"/>
            <w:tcBorders>
              <w:top w:val="single" w:sz="4" w:space="0" w:color="A8D08D"/>
              <w:left w:val="single" w:sz="4" w:space="0" w:color="A8D08D"/>
              <w:bottom w:val="single" w:sz="4" w:space="0" w:color="A8D08D"/>
              <w:right w:val="single" w:sz="4" w:space="0" w:color="A8D08D"/>
            </w:tcBorders>
          </w:tcPr>
          <w:p w14:paraId="144614F4"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rs71647871</w:t>
            </w:r>
          </w:p>
        </w:tc>
        <w:tc>
          <w:tcPr>
            <w:tcW w:w="1069" w:type="dxa"/>
            <w:tcBorders>
              <w:top w:val="single" w:sz="4" w:space="0" w:color="A8D08D"/>
              <w:left w:val="single" w:sz="4" w:space="0" w:color="A8D08D"/>
              <w:bottom w:val="single" w:sz="4" w:space="0" w:color="A8D08D"/>
              <w:right w:val="single" w:sz="4" w:space="0" w:color="A8D08D"/>
            </w:tcBorders>
          </w:tcPr>
          <w:p w14:paraId="5F9E8977"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AA</w:t>
            </w:r>
          </w:p>
          <w:p w14:paraId="600C763E"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AG</w:t>
            </w:r>
          </w:p>
          <w:p w14:paraId="5921047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GG</w:t>
            </w:r>
          </w:p>
        </w:tc>
        <w:tc>
          <w:tcPr>
            <w:tcW w:w="1147" w:type="dxa"/>
            <w:tcBorders>
              <w:top w:val="single" w:sz="4" w:space="0" w:color="A8D08D"/>
              <w:left w:val="single" w:sz="4" w:space="0" w:color="A8D08D"/>
              <w:bottom w:val="single" w:sz="4" w:space="0" w:color="A8D08D"/>
              <w:right w:val="single" w:sz="4" w:space="0" w:color="A8D08D"/>
            </w:tcBorders>
          </w:tcPr>
          <w:p w14:paraId="62B4F7D6"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w:t>
            </w:r>
          </w:p>
          <w:p w14:paraId="5394A5D5"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2(1.3)</w:t>
            </w:r>
          </w:p>
          <w:p w14:paraId="08AAB519"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148(98.7)</w:t>
            </w:r>
          </w:p>
        </w:tc>
        <w:tc>
          <w:tcPr>
            <w:tcW w:w="1274" w:type="dxa"/>
            <w:tcBorders>
              <w:top w:val="single" w:sz="4" w:space="0" w:color="A8D08D"/>
              <w:left w:val="single" w:sz="4" w:space="0" w:color="A8D08D"/>
              <w:bottom w:val="single" w:sz="4" w:space="0" w:color="A8D08D"/>
              <w:right w:val="single" w:sz="4" w:space="0" w:color="A8D08D"/>
            </w:tcBorders>
          </w:tcPr>
          <w:p w14:paraId="17F235F5"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736" w:type="dxa"/>
            <w:tcBorders>
              <w:top w:val="single" w:sz="4" w:space="0" w:color="A8D08D"/>
              <w:left w:val="single" w:sz="4" w:space="0" w:color="A8D08D"/>
              <w:bottom w:val="single" w:sz="4" w:space="0" w:color="A8D08D"/>
              <w:right w:val="single" w:sz="4" w:space="0" w:color="A8D08D"/>
            </w:tcBorders>
          </w:tcPr>
          <w:p w14:paraId="420CC27C" w14:textId="77777777"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71" w:type="dxa"/>
            <w:tcBorders>
              <w:top w:val="single" w:sz="4" w:space="0" w:color="A8D08D"/>
              <w:left w:val="single" w:sz="4" w:space="0" w:color="A8D08D"/>
              <w:bottom w:val="single" w:sz="4" w:space="0" w:color="A8D08D"/>
              <w:right w:val="single" w:sz="4" w:space="0" w:color="A8D08D"/>
            </w:tcBorders>
          </w:tcPr>
          <w:p w14:paraId="7E8DD7A6" w14:textId="0A667A70" w:rsid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Нет доступных частот</w:t>
            </w:r>
          </w:p>
        </w:tc>
        <w:tc>
          <w:tcPr>
            <w:tcW w:w="1126" w:type="dxa"/>
            <w:tcBorders>
              <w:top w:val="single" w:sz="4" w:space="0" w:color="A8D08D"/>
              <w:left w:val="single" w:sz="4" w:space="0" w:color="A8D08D"/>
              <w:bottom w:val="single" w:sz="4" w:space="0" w:color="A8D08D"/>
              <w:right w:val="single" w:sz="4" w:space="0" w:color="A8D08D"/>
            </w:tcBorders>
          </w:tcPr>
          <w:p w14:paraId="2296FBE2" w14:textId="7BEC500A" w:rsidR="00790171" w:rsidRPr="00790171" w:rsidRDefault="00790171" w:rsidP="00B57F2E">
            <w:pPr>
              <w:pStyle w:val="LO-normal"/>
              <w:widowControl w:val="0"/>
              <w:spacing w:before="57" w:after="86" w:line="240" w:lineRule="auto"/>
              <w:jc w:val="both"/>
              <w:textAlignment w:val="baseline"/>
              <w:rPr>
                <w:rFonts w:ascii="Times New Roman" w:eastAsia="Times New Roman" w:hAnsi="Times New Roman" w:cs="Times New Roman"/>
                <w:color w:val="000000"/>
              </w:rPr>
            </w:pPr>
            <w:r w:rsidRPr="00790171">
              <w:rPr>
                <w:rFonts w:ascii="Times New Roman" w:hAnsi="Times New Roman" w:cs="Times New Roman"/>
                <w:color w:val="000000" w:themeColor="text1"/>
                <w:lang w:bidi="ar-SA"/>
              </w:rPr>
              <w:t>1,43</w:t>
            </w:r>
            <w:r w:rsidRPr="00790171">
              <w:rPr>
                <w:rFonts w:ascii="Times New Roman" w:hAnsi="Times New Roman" w:cs="Times New Roman"/>
                <w:color w:val="000000" w:themeColor="text1"/>
                <w:lang w:val="en-US" w:bidi="ar-SA"/>
              </w:rPr>
              <w:t>x</w:t>
            </w:r>
            <w:r w:rsidRPr="00790171">
              <w:rPr>
                <w:rFonts w:ascii="Times New Roman" w:hAnsi="Times New Roman" w:cs="Times New Roman"/>
                <w:color w:val="000000" w:themeColor="text1"/>
                <w:lang w:bidi="ar-SA"/>
              </w:rPr>
              <w:t>10</w:t>
            </w:r>
            <w:r w:rsidRPr="00790171">
              <w:rPr>
                <w:rFonts w:ascii="Times New Roman" w:hAnsi="Times New Roman" w:cs="Times New Roman"/>
                <w:color w:val="000000" w:themeColor="text1"/>
                <w:vertAlign w:val="superscript"/>
                <w:lang w:bidi="ar-SA"/>
              </w:rPr>
              <w:t>-9</w:t>
            </w:r>
          </w:p>
        </w:tc>
      </w:tr>
    </w:tbl>
    <w:p w14:paraId="3BD68419" w14:textId="77777777" w:rsidR="0077750B" w:rsidRPr="00926EC0" w:rsidRDefault="0077750B" w:rsidP="0077750B">
      <w:pPr>
        <w:pStyle w:val="LO-normal"/>
        <w:spacing w:after="0" w:line="240" w:lineRule="auto"/>
        <w:ind w:firstLine="567"/>
        <w:jc w:val="both"/>
        <w:rPr>
          <w:rFonts w:ascii="Times New Roman" w:hAnsi="Times New Roman" w:cs="Times New Roman"/>
          <w:sz w:val="28"/>
          <w:szCs w:val="28"/>
          <w:lang w:bidi="ar-SA"/>
        </w:rPr>
      </w:pPr>
    </w:p>
    <w:p w14:paraId="756DD289" w14:textId="77777777" w:rsidR="0077750B" w:rsidRDefault="0077750B" w:rsidP="00790171">
      <w:pPr>
        <w:pStyle w:val="LO-normal"/>
        <w:spacing w:after="0" w:line="240" w:lineRule="auto"/>
        <w:jc w:val="both"/>
        <w:rPr>
          <w:rFonts w:ascii="Times New Roman" w:hAnsi="Times New Roman" w:cs="Times New Roman"/>
          <w:sz w:val="28"/>
          <w:szCs w:val="28"/>
          <w:lang w:bidi="ar-SA"/>
        </w:rPr>
      </w:pPr>
    </w:p>
    <w:p w14:paraId="6260F539" w14:textId="46490618" w:rsidR="0077750B" w:rsidRDefault="0077750B" w:rsidP="00171CCC">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Наше исследование показало, что распределения частот аллелей </w:t>
      </w:r>
      <w:r>
        <w:rPr>
          <w:rFonts w:ascii="Times New Roman" w:hAnsi="Times New Roman" w:cs="Times New Roman"/>
          <w:sz w:val="28"/>
          <w:szCs w:val="28"/>
          <w:lang w:val="en-US" w:bidi="ar-SA"/>
        </w:rPr>
        <w:t>SNP</w:t>
      </w:r>
      <w:r>
        <w:rPr>
          <w:rFonts w:ascii="Times New Roman" w:hAnsi="Times New Roman" w:cs="Times New Roman"/>
          <w:sz w:val="28"/>
          <w:szCs w:val="28"/>
          <w:lang w:bidi="ar-SA"/>
        </w:rPr>
        <w:t xml:space="preserve"> в генах </w:t>
      </w:r>
      <w:r>
        <w:rPr>
          <w:rFonts w:ascii="Times New Roman" w:hAnsi="Times New Roman" w:cs="Times New Roman"/>
          <w:sz w:val="28"/>
          <w:szCs w:val="28"/>
          <w:lang w:val="en-US" w:bidi="ar-SA"/>
        </w:rPr>
        <w:t>ABCB</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и</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в казахской популяции несколько сходны с азиатской и восточноазиатскими популяциями, особенно в локусах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1128503 (</w:t>
      </w:r>
      <w:r>
        <w:rPr>
          <w:rFonts w:ascii="Times New Roman" w:hAnsi="Times New Roman" w:cs="Times New Roman"/>
          <w:sz w:val="28"/>
          <w:szCs w:val="28"/>
          <w:lang w:val="en-US" w:bidi="ar-SA"/>
        </w:rPr>
        <w:t>ABCB</w:t>
      </w:r>
      <w:r w:rsidRPr="0077750B">
        <w:rPr>
          <w:rFonts w:ascii="Times New Roman" w:hAnsi="Times New Roman" w:cs="Times New Roman"/>
          <w:sz w:val="28"/>
          <w:szCs w:val="28"/>
          <w:lang w:bidi="ar-SA"/>
        </w:rPr>
        <w:t xml:space="preserve">1) </w:t>
      </w:r>
      <w:r>
        <w:rPr>
          <w:rFonts w:ascii="Times New Roman" w:hAnsi="Times New Roman" w:cs="Times New Roman"/>
          <w:sz w:val="28"/>
          <w:szCs w:val="28"/>
          <w:lang w:bidi="ar-SA"/>
        </w:rPr>
        <w:t>и</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8192935 (</w:t>
      </w:r>
      <w:r>
        <w:rPr>
          <w:rFonts w:ascii="Times New Roman" w:hAnsi="Times New Roman" w:cs="Times New Roman"/>
          <w:sz w:val="28"/>
          <w:szCs w:val="28"/>
          <w:lang w:val="en-US" w:bidi="ar-SA"/>
        </w:rPr>
        <w:t>CES</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{"citationID":"rVsylK6A","properties":{"unsorted":false,"formattedCitation":"[198]","plainCitation":"[198]","noteIndex":0},"citationItems":[{"id":701,"uris":["http://zotero.org/users/14784094/items/VPE5JM7S"],"itemData":{"id":701,"type":"article-journal","abstract":"Nowadays, direct oral anticoagulants (DOACs) are the ﬁrst-line anticoagulant strategy in patients with non-valvular atrial ﬁbrillation (NVAF). We aimed to identify the inﬂuence of polymorphisms of the genes encoding P-glycoprotein (ABCB1) and carboxylesterase 1 (CES1) on the variability of plasma concentrations of DOACs in Kazakhstani patients with NVAF. We analyzed polymorphisms rs4148738, rs1045642, rs2032582 and rs1128503 in ABCB1 and rs8192935, rs2244613 and rs71647871 CES1 genes and measured the plasma concentrations of dabigatran/apixaban and biochemical parameters in 150 Kazakhstani NVAF patients. Polymorphism rs8192935 in the CES1 gene (p = 0.04), BMI (p = 0.01) and APTT level (p = 0.01) were statistically signiﬁcant independent factors of trough plasma concentration of dabigatran. In contrast, polymorphisms rs4148738, rs1045642, rs2032582 and rs1128503 in ABCB1 and rs8192935, rs2244613 and rs71647871 CES1 genes did not show signiﬁcant inﬂuence on plasma concentrations of dabigatran/apixaban drugs (p &gt; 0.05). Patients with GG genotype (138.8 ± 100.1 ng/mL) had higher peak plasma concentration of dabigatran than with AA genotype (100.9 ± 59.6 ng/mL) and AG genotype (98.7 ± 72.3 ng/mL) (Kruskal–Wallis test, p = 0.25). Thus, CES1 rs8192935 is signiﬁcantly associated with plasma concentrations of dabigatran in Kazakhstani NVAF patients (p &lt; 0.05). The level of the plasma concentration shows that biotransformation of the dabigatran processed faster in individual carriers of GG genotype rs8192935 in the CES1 gene than with AA genotype.","container-title":"Genes","DOI":"10.3390/genes14061192","ISSN":"2073-4425","issue":"6","journalAbbreviation":"Genes","language":"en","license":"https://creativecommons.org/licenses/by/4.0/","page":"1192","source":"DOI.org (Crossref)","title":"The Distribution of the Genotypes of ABCB1 and CES1 Polymorphisms in Kazakhstani Patients with Atrial Fibrillation Treated with DOAC","volume":"14","author":[{"family":"Abdrakhmanov","given":"Ayan"},{"family":"Akilzhanova","given":"Ainur"},{"family":"Shaimerdinova","given":"Aizhan"},{"family":"Zhalbinova","given":"Madina"},{"family":"Tuyakova","given":"Gulnara"},{"family":"Abildinova","given":"Svetlana"},{"family":"Albayev","given":"Rustam"},{"family":"Ainabekova","given":"Bayan"},{"family":"Chinybayeva","given":"Assel"},{"family":"Suleimen","given":"Zhanasyl"},{"family":"Bekbossynova","given":"Makhabbat"}],"issued":{"date-parts":[["2023",5,29]]}}}],"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[198]</w:t>
      </w:r>
      <w:r>
        <w:rPr>
          <w:rFonts w:ascii="Times New Roman" w:hAnsi="Times New Roman" w:cs="Times New Roman"/>
          <w:sz w:val="28"/>
          <w:szCs w:val="28"/>
          <w:lang w:bidi="ar-SA"/>
        </w:rPr>
        <w:fldChar w:fldCharType="end"/>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Однако некоторые из полиморфизмов показали разницу в частоте аллелей в азиатском населении. Например, частота полиморфизма аллеля </w:t>
      </w:r>
      <w:r>
        <w:rPr>
          <w:rFonts w:ascii="Times New Roman" w:hAnsi="Times New Roman" w:cs="Times New Roman"/>
          <w:sz w:val="28"/>
          <w:szCs w:val="28"/>
          <w:lang w:val="en-US" w:bidi="ar-SA"/>
        </w:rPr>
        <w:t>G</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2244613 </w:t>
      </w:r>
      <w:r>
        <w:rPr>
          <w:rFonts w:ascii="Times New Roman" w:hAnsi="Times New Roman" w:cs="Times New Roman"/>
          <w:sz w:val="28"/>
          <w:szCs w:val="28"/>
          <w:lang w:bidi="ar-SA"/>
        </w:rPr>
        <w:t xml:space="preserve">гена </w:t>
      </w:r>
      <w:r>
        <w:rPr>
          <w:rFonts w:ascii="Times New Roman" w:hAnsi="Times New Roman" w:cs="Times New Roman"/>
          <w:sz w:val="28"/>
          <w:szCs w:val="28"/>
          <w:lang w:val="en-US" w:bidi="ar-SA"/>
        </w:rPr>
        <w:t>CES</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в казахской популяции (0,48) была несколько ниже, чем в азиатской (0,57) и восточноазиатских популяциях (0,61)</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{"citationID":"zHDPuDPT","properties":{"unsorted":false,"formattedCitation":"[198]","plainCitation":"[198]","noteIndex":0},"citationItems":[{"id":701,"uris":["http://zotero.org/users/14784094/items/VPE5JM7S"],"itemData":{"id":701,"type":"article-journal","abstract":"Nowadays, direct oral anticoagulants (DOACs) are the ﬁrst-line anticoagulant strategy in patients with non-valvular atrial ﬁbrillation (NVAF). We aimed to identify the inﬂuence of polymorphisms of the genes encoding P-glycoprotein (ABCB1) and carboxylesterase 1 (CES1) on the variability of plasma concentrations of DOACs in Kazakhstani patients with NVAF. We analyzed polymorphisms rs4148738, rs1045642, rs2032582 and rs1128503 in ABCB1 and rs8192935, rs2244613 and rs71647871 CES1 genes and measured the plasma concentrations of dabigatran/apixaban and biochemical parameters in 150 Kazakhstani NVAF patients. Polymorphism rs8192935 in the CES1 gene (p = 0.04), BMI (p = 0.01) and APTT level (p = 0.01) were statistically signiﬁcant independent factors of trough plasma concentration of dabigatran. In contrast, polymorphisms rs4148738, rs1045642, rs2032582 and rs1128503 in ABCB1 and rs8192935, rs2244613 and rs71647871 CES1 genes did not show signiﬁcant inﬂuence on plasma concentrations of dabigatran/apixaban drugs (p &gt; 0.05). Patients with GG genotype (138.8 ± 100.1 ng/mL) had higher peak plasma concentration of dabigatran than with AA genotype (100.9 ± 59.6 ng/mL) and AG genotype (98.7 ± 72.3 ng/mL) (Kruskal–Wallis test, p = 0.25). Thus, CES1 rs8192935 is signiﬁcantly associated with plasma concentrations of dabigatran in Kazakhstani NVAF patients (p &lt; 0.05). The level of the plasma concentration shows that biotransformation of the dabigatran processed faster in individual carriers of GG genotype rs8192935 in the CES1 gene than with AA genotype.","container-title":"Genes","DOI":"10.3390/genes14061192","ISSN":"2073-4425","issue":"6","journalAbbreviation":"Genes","language":"en","license":"https://creativecommons.org/licenses/by/4.0/","page":"1192","source":"DOI.org (Crossref)","title":"The Distribution of the Genotypes of ABCB1 and CES1 Polymorphisms in Kazakhstani Patients with Atrial Fibrillation Treated with DOAC","volume":"14","author":[{"family":"Abdrakhmanov","given":"Ayan"},{"family":"Akilzhanova","given":"Ainur"},{"family":"Shaimerdinova","given":"Aizhan"},{"family":"Zhalbinova","given":"Madina"},{"family":"Tuyakova","given":"Gulnara"},{"family":"Abildinova","given":"Svetlana"},{"family":"Albayev","given":"Rustam"},{"family":"Ainabekova","given":"Bayan"},{"family":"Chinybayeva","given":"Assel"},{"family":"Suleimen","given":"Zhanasyl"},{"family":"Bekbossynova","given":"Makhabbat"}],"issued":{"date-parts":[["2023",5,29]]}}}],"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[198]</w:t>
      </w:r>
      <w:r>
        <w:rPr>
          <w:rFonts w:ascii="Times New Roman" w:hAnsi="Times New Roman" w:cs="Times New Roman"/>
          <w:sz w:val="28"/>
          <w:szCs w:val="28"/>
          <w:lang w:bidi="ar-SA"/>
        </w:rPr>
        <w:fldChar w:fldCharType="end"/>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А также установлено, что частота аллелей полиморфизмов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1128503 </w:t>
      </w:r>
      <w:r>
        <w:rPr>
          <w:rFonts w:ascii="Times New Roman" w:hAnsi="Times New Roman" w:cs="Times New Roman"/>
          <w:sz w:val="28"/>
          <w:szCs w:val="28"/>
          <w:lang w:bidi="ar-SA"/>
        </w:rPr>
        <w:t xml:space="preserve">гена </w:t>
      </w:r>
      <w:r>
        <w:rPr>
          <w:rFonts w:ascii="Times New Roman" w:hAnsi="Times New Roman" w:cs="Times New Roman"/>
          <w:sz w:val="28"/>
          <w:szCs w:val="28"/>
          <w:lang w:val="en-US" w:bidi="ar-SA"/>
        </w:rPr>
        <w:t>ABCB</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в казахской популяции сходна с европейской популяцией. Полиморфизм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2244613 (</w:t>
      </w:r>
      <w:r>
        <w:rPr>
          <w:rFonts w:ascii="Times New Roman" w:hAnsi="Times New Roman" w:cs="Times New Roman"/>
          <w:sz w:val="28"/>
          <w:szCs w:val="28"/>
          <w:lang w:val="en-US" w:bidi="ar-SA"/>
        </w:rPr>
        <w:t>CES</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ассоциированный со сниженной концентрацией дабигатрана, в казахской выборке представлен в соотношении </w:t>
      </w:r>
      <w:proofErr w:type="gramStart"/>
      <w:r>
        <w:rPr>
          <w:rFonts w:ascii="Times New Roman" w:hAnsi="Times New Roman" w:cs="Times New Roman"/>
          <w:sz w:val="28"/>
          <w:szCs w:val="28"/>
          <w:lang w:val="en-US" w:bidi="ar-SA"/>
        </w:rPr>
        <w:t>G</w:t>
      </w:r>
      <w:r w:rsidRPr="0077750B">
        <w:rPr>
          <w:rFonts w:ascii="Times New Roman" w:hAnsi="Times New Roman" w:cs="Times New Roman"/>
          <w:sz w:val="28"/>
          <w:szCs w:val="28"/>
          <w:lang w:bidi="ar-SA"/>
        </w:rPr>
        <w:t>:</w:t>
      </w:r>
      <w:r>
        <w:rPr>
          <w:rFonts w:ascii="Times New Roman" w:hAnsi="Times New Roman" w:cs="Times New Roman"/>
          <w:sz w:val="28"/>
          <w:szCs w:val="28"/>
          <w:lang w:val="en-US" w:bidi="ar-SA"/>
        </w:rPr>
        <w:t>T</w:t>
      </w:r>
      <w:proofErr w:type="gramEnd"/>
      <w:r w:rsidRPr="0077750B">
        <w:rPr>
          <w:rFonts w:ascii="Times New Roman" w:hAnsi="Times New Roman" w:cs="Times New Roman"/>
          <w:sz w:val="28"/>
          <w:szCs w:val="28"/>
          <w:lang w:bidi="ar-SA"/>
        </w:rPr>
        <w:t xml:space="preserve">=0,48:0,52, </w:t>
      </w:r>
      <w:r>
        <w:rPr>
          <w:rFonts w:ascii="Times New Roman" w:hAnsi="Times New Roman" w:cs="Times New Roman"/>
          <w:sz w:val="28"/>
          <w:szCs w:val="28"/>
          <w:lang w:bidi="ar-SA"/>
        </w:rPr>
        <w:t xml:space="preserve">что ближе к азиатским данным (0,57:0,43), чем в европейским (0,19:0,81). Частота аллелей африканской и афроамериканской популяции полностью отличается от казахской. Например, частота аллея С в полиморфизме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4148738</w:t>
      </w:r>
      <w:r>
        <w:rPr>
          <w:rFonts w:ascii="Times New Roman" w:hAnsi="Times New Roman" w:cs="Times New Roman"/>
          <w:sz w:val="28"/>
          <w:szCs w:val="28"/>
          <w:lang w:bidi="ar-SA"/>
        </w:rPr>
        <w:t xml:space="preserve"> гена АВСВ1 была выше (0,43) по сравнению с афроамериканской (0,24) популяцие</w:t>
      </w:r>
      <w:r w:rsidR="00171CCC">
        <w:rPr>
          <w:rFonts w:ascii="Times New Roman" w:hAnsi="Times New Roman" w:cs="Times New Roman"/>
          <w:sz w:val="28"/>
          <w:szCs w:val="28"/>
          <w:lang w:bidi="ar-SA"/>
        </w:rPr>
        <w:t xml:space="preserve">й. Интересно, что частота полиморфизма аллеля А </w:t>
      </w:r>
      <w:r w:rsidR="00171CCC">
        <w:rPr>
          <w:rFonts w:ascii="Times New Roman" w:hAnsi="Times New Roman" w:cs="Times New Roman"/>
          <w:sz w:val="28"/>
          <w:szCs w:val="28"/>
          <w:lang w:val="en-US" w:bidi="ar-SA"/>
        </w:rPr>
        <w:t>rs</w:t>
      </w:r>
      <w:r w:rsidR="00171CCC" w:rsidRPr="0077750B">
        <w:rPr>
          <w:rFonts w:ascii="Times New Roman" w:hAnsi="Times New Roman" w:cs="Times New Roman"/>
          <w:sz w:val="28"/>
          <w:szCs w:val="28"/>
          <w:lang w:bidi="ar-SA"/>
        </w:rPr>
        <w:t xml:space="preserve">71647871 </w:t>
      </w:r>
      <w:r w:rsidR="00171CCC">
        <w:rPr>
          <w:rFonts w:ascii="Times New Roman" w:hAnsi="Times New Roman" w:cs="Times New Roman"/>
          <w:sz w:val="28"/>
          <w:szCs w:val="28"/>
          <w:lang w:bidi="ar-SA"/>
        </w:rPr>
        <w:t xml:space="preserve">в гене </w:t>
      </w:r>
      <w:r w:rsidR="00171CCC">
        <w:rPr>
          <w:rFonts w:ascii="Times New Roman" w:hAnsi="Times New Roman" w:cs="Times New Roman"/>
          <w:sz w:val="28"/>
          <w:szCs w:val="28"/>
          <w:lang w:val="en-US" w:bidi="ar-SA"/>
        </w:rPr>
        <w:t>CES</w:t>
      </w:r>
      <w:r w:rsidR="00171CCC" w:rsidRPr="0077750B">
        <w:rPr>
          <w:rFonts w:ascii="Times New Roman" w:hAnsi="Times New Roman" w:cs="Times New Roman"/>
          <w:sz w:val="28"/>
          <w:szCs w:val="28"/>
          <w:lang w:bidi="ar-SA"/>
        </w:rPr>
        <w:t>1</w:t>
      </w:r>
      <w:r w:rsidR="00171CCC">
        <w:rPr>
          <w:rFonts w:ascii="Times New Roman" w:hAnsi="Times New Roman" w:cs="Times New Roman"/>
          <w:sz w:val="28"/>
          <w:szCs w:val="28"/>
          <w:lang w:bidi="ar-SA"/>
        </w:rPr>
        <w:t xml:space="preserve"> практически отсутствовала в ранее перечисленных популяциях</w:t>
      </w:r>
      <w:r w:rsidR="00171CCC">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{"citationID":"yUsUlCDq","properties":{"unsorted":false,"formattedCitation":"[198]","plainCitation":"[198]","noteIndex":0},"citationItems":[{"id":701,"uris":["http://zotero.org/users/14784094/items/VPE5JM7S"],"itemData":{"id":701,"type":"article-journal","abstract":"Nowadays, direct oral anticoagulants (DOACs) are the ﬁrst-line anticoagulant strategy in patients with non-valvular atrial ﬁbrillation (NVAF). We aimed to identify the inﬂuence of polymorphisms of the genes encoding P-glycoprotein (ABCB1) and carboxylesterase 1 (CES1) on the variability of plasma concentrations of DOACs in Kazakhstani patients with NVAF. We analyzed polymorphisms rs4148738, rs1045642, rs2032582 and rs1128503 in ABCB1 and rs8192935, rs2244613 and rs71647871 CES1 genes and measured the plasma concentrations of dabigatran/apixaban and biochemical parameters in 150 Kazakhstani NVAF patients. Polymorphism rs8192935 in the CES1 gene (p = 0.04), BMI (p = 0.01) and APTT level (p = 0.01) were statistically signiﬁcant independent factors of trough plasma concentration of dabigatran. In contrast, polymorphisms rs4148738, rs1045642, rs2032582 and rs1128503 in ABCB1 and rs8192935, rs2244613 and rs71647871 CES1 genes did not show signiﬁcant inﬂuence on plasma concentrations of dabigatran/apixaban drugs (p &gt; 0.05). Patients with GG genotype (138.8 ± 100.1 ng/mL) had higher peak plasma concentration of dabigatran than with AA genotype (100.9 ± 59.6 ng/mL) and AG genotype (98.7 ± 72.3 ng/mL) (Kruskal–Wallis test, p = 0.25). Thus, CES1 rs8192935 is signiﬁcantly associated with plasma concentrations of dabigatran in Kazakhstani NVAF patients (p &lt; 0.05). The level of the plasma concentration shows that biotransformation of the dabigatran processed faster in individual carriers of GG genotype rs8192935 in the CES1 gene than with AA genotype.","container-title":"Genes","DOI":"10.3390/genes14061192","ISSN":"2073-4425","issue":"6","journalAbbreviation":"Genes","language":"en","license":"https://creativecommons.org/licenses/by/4.0/","page":"1192","source":"DOI.org (Crossref)","title":"The Distribution of the Genotypes of ABCB1 and CES1 Polymorphisms in Kazakhstani Patients with Atrial Fibrillation Treated with DOAC","volume":"14","author":[{"family":"Abdrakhmanov","given":"Ayan"},{"family":"Akilzhanova","given":"Ainur"},{"family":"Shaimerdinova","given":"Aizhan"},{"family":"Zhalbinova","given":"Madina"},{"family":"Tuyakova","given":"Gulnara"},{"family":"Abildinova","given":"Svetlana"},{"family":"Albayev","given":"Rustam"},{"family":"Ainabekova","given":"Bayan"},{"family":"Chinybayeva","given":"Assel"},{"family":"Suleimen","given":"Zhanasyl"},{"family":"Bekbossynova","given":"Makhabbat"}],"issued":{"date-parts":[["2023",5,29]]}}}],"schema":"https://github.com/citation-style-language/schema/raw/master/csl-citation.json"} </w:instrText>
      </w:r>
      <w:r w:rsidR="00171CCC">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[198]</w:t>
      </w:r>
      <w:r w:rsidR="00171CCC">
        <w:rPr>
          <w:rFonts w:ascii="Times New Roman" w:hAnsi="Times New Roman" w:cs="Times New Roman"/>
          <w:sz w:val="28"/>
          <w:szCs w:val="28"/>
          <w:lang w:bidi="ar-SA"/>
        </w:rPr>
        <w:fldChar w:fldCharType="end"/>
      </w:r>
      <w:r w:rsidR="00171CCC" w:rsidRPr="00926EC0">
        <w:rPr>
          <w:rFonts w:ascii="Times New Roman" w:hAnsi="Times New Roman" w:cs="Times New Roman"/>
          <w:sz w:val="28"/>
          <w:szCs w:val="28"/>
          <w:lang w:bidi="ar-SA"/>
        </w:rPr>
        <w:t>.</w:t>
      </w:r>
    </w:p>
    <w:p w14:paraId="1B95A106" w14:textId="36CCDB9A" w:rsidR="00790171" w:rsidRDefault="00790171" w:rsidP="0077750B">
      <w:pPr>
        <w:pStyle w:val="LO-normal"/>
        <w:spacing w:after="0" w:line="240" w:lineRule="auto"/>
        <w:ind w:firstLine="567"/>
        <w:jc w:val="both"/>
        <w:rPr>
          <w:rFonts w:ascii="Times New Roman" w:hAnsi="Times New Roman" w:cs="Times New Roman"/>
          <w:sz w:val="28"/>
          <w:szCs w:val="28"/>
          <w:lang w:bidi="ar-SA"/>
        </w:rPr>
      </w:pPr>
    </w:p>
    <w:p w14:paraId="5737E95A" w14:textId="59B2227C" w:rsidR="00790171" w:rsidRDefault="00790171" w:rsidP="0077750B">
      <w:pPr>
        <w:pStyle w:val="LO-normal"/>
        <w:spacing w:after="0" w:line="240" w:lineRule="auto"/>
        <w:ind w:firstLine="567"/>
        <w:jc w:val="both"/>
        <w:rPr>
          <w:rFonts w:ascii="Times New Roman" w:hAnsi="Times New Roman" w:cs="Times New Roman"/>
          <w:sz w:val="28"/>
          <w:szCs w:val="28"/>
          <w:lang w:bidi="ar-SA"/>
        </w:rPr>
      </w:pPr>
    </w:p>
    <w:p w14:paraId="2BCA6E2C" w14:textId="3B383770" w:rsidR="00171CCC" w:rsidRDefault="00171CCC" w:rsidP="00171CCC">
      <w:pPr>
        <w:pStyle w:val="LO-normal"/>
        <w:tabs>
          <w:tab w:val="left" w:pos="2237"/>
        </w:tabs>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ab/>
      </w:r>
    </w:p>
    <w:p w14:paraId="1ED0C831" w14:textId="315721DC" w:rsidR="00171CCC" w:rsidRDefault="00171CCC" w:rsidP="0077750B">
      <w:pPr>
        <w:pStyle w:val="LO-normal"/>
        <w:spacing w:after="0" w:line="240" w:lineRule="auto"/>
        <w:ind w:firstLine="567"/>
        <w:jc w:val="both"/>
        <w:rPr>
          <w:rFonts w:ascii="Times New Roman" w:hAnsi="Times New Roman" w:cs="Times New Roman"/>
          <w:sz w:val="28"/>
          <w:szCs w:val="28"/>
          <w:lang w:bidi="ar-SA"/>
        </w:rPr>
      </w:pPr>
    </w:p>
    <w:p w14:paraId="7D2B47B2" w14:textId="77777777" w:rsidR="00171CCC" w:rsidRDefault="00171CCC" w:rsidP="0077750B">
      <w:pPr>
        <w:pStyle w:val="LO-normal"/>
        <w:spacing w:after="0" w:line="240" w:lineRule="auto"/>
        <w:ind w:firstLine="567"/>
        <w:jc w:val="both"/>
        <w:rPr>
          <w:rFonts w:ascii="Times New Roman" w:hAnsi="Times New Roman" w:cs="Times New Roman"/>
          <w:sz w:val="28"/>
          <w:szCs w:val="28"/>
          <w:lang w:bidi="ar-SA"/>
        </w:rPr>
      </w:pPr>
    </w:p>
    <w:p w14:paraId="107106CB" w14:textId="244B5E2F" w:rsidR="00171CCC" w:rsidRDefault="00171CCC" w:rsidP="0077750B">
      <w:pPr>
        <w:pStyle w:val="LO-normal"/>
        <w:spacing w:after="0" w:line="240" w:lineRule="auto"/>
        <w:ind w:firstLine="567"/>
        <w:jc w:val="both"/>
        <w:rPr>
          <w:rFonts w:ascii="Times New Roman" w:hAnsi="Times New Roman" w:cs="Times New Roman"/>
          <w:sz w:val="28"/>
          <w:szCs w:val="28"/>
          <w:lang w:bidi="ar-SA"/>
        </w:rPr>
      </w:pPr>
      <w:r>
        <w:rPr>
          <w:rFonts w:ascii="Times New Roman" w:eastAsia="Times New Roman" w:hAnsi="Times New Roman" w:cs="Times New Roman"/>
          <w:noProof/>
          <w:sz w:val="24"/>
          <w:szCs w:val="24"/>
          <w:lang w:eastAsia="ru-RU" w:bidi="ar-SA"/>
        </w:rPr>
        <w:drawing>
          <wp:anchor distT="0" distB="0" distL="114300" distR="114300" simplePos="0" relativeHeight="251711488" behindDoc="0" locked="0" layoutInCell="0" allowOverlap="1" wp14:anchorId="25CB711C" wp14:editId="66819369">
            <wp:simplePos x="0" y="0"/>
            <wp:positionH relativeFrom="column">
              <wp:posOffset>417830</wp:posOffset>
            </wp:positionH>
            <wp:positionV relativeFrom="paragraph">
              <wp:posOffset>5738495</wp:posOffset>
            </wp:positionV>
            <wp:extent cx="4588510" cy="2557780"/>
            <wp:effectExtent l="0" t="0" r="0" b="0"/>
            <wp:wrapTopAndBottom/>
            <wp:docPr id="19" name="Google Shape;168;p23" descr="Изображение выглядит как текст, снимок экрана,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oogle Shape;168;p23" descr="Изображение выглядит как текст, снимок экрана, число, Параллельный&#10;&#10;Содержимое, созданное искусственным интеллектом, может быть неверным."/>
                    <pic:cNvPicPr>
                      <a:picLocks noChangeAspect="1" noChangeArrowheads="1"/>
                    </pic:cNvPicPr>
                  </pic:nvPicPr>
                  <pic:blipFill>
                    <a:blip r:embed="rId33"/>
                    <a:stretch>
                      <a:fillRect/>
                    </a:stretch>
                  </pic:blipFill>
                  <pic:spPr bwMode="auto">
                    <a:xfrm>
                      <a:off x="0" y="0"/>
                      <a:ext cx="4588510" cy="25577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eastAsia="ru-RU" w:bidi="ar-SA"/>
        </w:rPr>
        <w:drawing>
          <wp:anchor distT="0" distB="0" distL="114300" distR="114300" simplePos="0" relativeHeight="251709440" behindDoc="0" locked="0" layoutInCell="0" allowOverlap="1" wp14:anchorId="5198D9E1" wp14:editId="62F7C1FB">
            <wp:simplePos x="0" y="0"/>
            <wp:positionH relativeFrom="column">
              <wp:posOffset>417830</wp:posOffset>
            </wp:positionH>
            <wp:positionV relativeFrom="paragraph">
              <wp:posOffset>2908300</wp:posOffset>
            </wp:positionV>
            <wp:extent cx="4572635" cy="2519045"/>
            <wp:effectExtent l="0" t="0" r="0" b="0"/>
            <wp:wrapTopAndBottom/>
            <wp:docPr id="17" name="Google Shape;169;p23"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oogle Shape;169;p23"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34"/>
                    <a:stretch>
                      <a:fillRect/>
                    </a:stretch>
                  </pic:blipFill>
                  <pic:spPr bwMode="auto">
                    <a:xfrm>
                      <a:off x="0" y="0"/>
                      <a:ext cx="4572635" cy="25190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eastAsia="ru-RU" w:bidi="ar-SA"/>
        </w:rPr>
        <w:drawing>
          <wp:inline distT="0" distB="0" distL="0" distR="0" wp14:anchorId="6B6A000D" wp14:editId="3F4F85AE">
            <wp:extent cx="4612612" cy="2548647"/>
            <wp:effectExtent l="0" t="0" r="0" b="4445"/>
            <wp:docPr id="16" name="Google Shape;170;p23"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oogle Shape;170;p23" descr="Изображение выглядит как текст, снимок экрана, диаграмма, линия&#10;&#10;Содержимое, созданное искусственным интеллектом, может быть неверным."/>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633857" cy="2560386"/>
                    </a:xfrm>
                    <a:prstGeom prst="rect">
                      <a:avLst/>
                    </a:prstGeom>
                  </pic:spPr>
                </pic:pic>
              </a:graphicData>
            </a:graphic>
          </wp:inline>
        </w:drawing>
      </w:r>
    </w:p>
    <w:p w14:paraId="369928F5" w14:textId="44B89A71" w:rsidR="00171CCC" w:rsidRDefault="00171CCC" w:rsidP="0077750B">
      <w:pPr>
        <w:pStyle w:val="LO-normal"/>
        <w:spacing w:after="0" w:line="240" w:lineRule="auto"/>
        <w:ind w:firstLine="567"/>
        <w:jc w:val="both"/>
        <w:rPr>
          <w:rFonts w:ascii="Times New Roman" w:hAnsi="Times New Roman" w:cs="Times New Roman"/>
          <w:sz w:val="28"/>
          <w:szCs w:val="28"/>
          <w:lang w:bidi="ar-SA"/>
        </w:rPr>
      </w:pPr>
      <w:r>
        <w:rPr>
          <w:rFonts w:ascii="Times New Roman" w:eastAsia="Times New Roman" w:hAnsi="Times New Roman" w:cs="Times New Roman"/>
          <w:noProof/>
          <w:sz w:val="24"/>
          <w:szCs w:val="24"/>
          <w:lang w:eastAsia="ru-RU" w:bidi="ar-SA"/>
        </w:rPr>
        <w:drawing>
          <wp:inline distT="0" distB="0" distL="0" distR="0" wp14:anchorId="07896CB2" wp14:editId="485F47E6">
            <wp:extent cx="4581727" cy="2711591"/>
            <wp:effectExtent l="0" t="0" r="3175" b="6350"/>
            <wp:docPr id="18" name="Google Shape;167;p23" descr="Изображение выглядит как текст, снимок экрана, линия,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oogle Shape;167;p23" descr="Изображение выглядит как текст, снимок экрана, линия, число&#10;&#10;Содержимое, созданное искусственным интеллектом, может быть неверным."/>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4602239" cy="2723731"/>
                    </a:xfrm>
                    <a:prstGeom prst="rect">
                      <a:avLst/>
                    </a:prstGeom>
                  </pic:spPr>
                </pic:pic>
              </a:graphicData>
            </a:graphic>
          </wp:inline>
        </w:drawing>
      </w:r>
    </w:p>
    <w:p w14:paraId="39C18B7E" w14:textId="6D97F8EB" w:rsidR="00171CCC" w:rsidRDefault="00171CCC" w:rsidP="0077750B">
      <w:pPr>
        <w:pStyle w:val="LO-normal"/>
        <w:spacing w:after="0" w:line="240" w:lineRule="auto"/>
        <w:ind w:firstLine="567"/>
        <w:jc w:val="both"/>
        <w:rPr>
          <w:rFonts w:ascii="Times New Roman" w:hAnsi="Times New Roman" w:cs="Times New Roman"/>
          <w:sz w:val="28"/>
          <w:szCs w:val="28"/>
          <w:lang w:bidi="ar-SA"/>
        </w:rPr>
      </w:pPr>
      <w:r>
        <w:rPr>
          <w:rFonts w:ascii="Times New Roman" w:eastAsia="Times New Roman" w:hAnsi="Times New Roman" w:cs="Times New Roman"/>
          <w:noProof/>
          <w:sz w:val="24"/>
          <w:szCs w:val="24"/>
          <w:lang w:eastAsia="ru-RU" w:bidi="ar-SA"/>
        </w:rPr>
        <w:drawing>
          <wp:anchor distT="0" distB="0" distL="114300" distR="114300" simplePos="0" relativeHeight="251715584" behindDoc="0" locked="0" layoutInCell="0" allowOverlap="1" wp14:anchorId="3D17C35F" wp14:editId="1CBCCCDE">
            <wp:simplePos x="0" y="0"/>
            <wp:positionH relativeFrom="column">
              <wp:posOffset>359410</wp:posOffset>
            </wp:positionH>
            <wp:positionV relativeFrom="paragraph">
              <wp:posOffset>3128010</wp:posOffset>
            </wp:positionV>
            <wp:extent cx="4709795" cy="2820670"/>
            <wp:effectExtent l="0" t="0" r="1905" b="0"/>
            <wp:wrapTopAndBottom/>
            <wp:docPr id="21" name="Google Shape;179;p24"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oogle Shape;179;p24" descr="Изображение выглядит как текст, снимок экрана, Шрифт, диаграмма&#10;&#10;Содержимое, созданное искусственным интеллектом, может быть неверным."/>
                    <pic:cNvPicPr>
                      <a:picLocks noChangeAspect="1" noChangeArrowheads="1"/>
                    </pic:cNvPicPr>
                  </pic:nvPicPr>
                  <pic:blipFill>
                    <a:blip r:embed="rId37"/>
                    <a:stretch>
                      <a:fillRect/>
                    </a:stretch>
                  </pic:blipFill>
                  <pic:spPr bwMode="auto">
                    <a:xfrm>
                      <a:off x="0" y="0"/>
                      <a:ext cx="4709795" cy="28206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eastAsia="ru-RU" w:bidi="ar-SA"/>
        </w:rPr>
        <w:drawing>
          <wp:anchor distT="0" distB="0" distL="114300" distR="114300" simplePos="0" relativeHeight="251713536" behindDoc="0" locked="0" layoutInCell="0" allowOverlap="1" wp14:anchorId="610788FC" wp14:editId="64B48D9F">
            <wp:simplePos x="0" y="0"/>
            <wp:positionH relativeFrom="column">
              <wp:posOffset>359410</wp:posOffset>
            </wp:positionH>
            <wp:positionV relativeFrom="paragraph">
              <wp:posOffset>277495</wp:posOffset>
            </wp:positionV>
            <wp:extent cx="4673600" cy="2655570"/>
            <wp:effectExtent l="0" t="0" r="0" b="0"/>
            <wp:wrapTopAndBottom/>
            <wp:docPr id="20" name="Google Shape;178;p24"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oogle Shape;178;p24"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38"/>
                    <a:stretch>
                      <a:fillRect/>
                    </a:stretch>
                  </pic:blipFill>
                  <pic:spPr bwMode="auto">
                    <a:xfrm>
                      <a:off x="0" y="0"/>
                      <a:ext cx="4673600" cy="2655570"/>
                    </a:xfrm>
                    <a:prstGeom prst="rect">
                      <a:avLst/>
                    </a:prstGeom>
                  </pic:spPr>
                </pic:pic>
              </a:graphicData>
            </a:graphic>
            <wp14:sizeRelH relativeFrom="margin">
              <wp14:pctWidth>0</wp14:pctWidth>
            </wp14:sizeRelH>
            <wp14:sizeRelV relativeFrom="margin">
              <wp14:pctHeight>0</wp14:pctHeight>
            </wp14:sizeRelV>
          </wp:anchor>
        </w:drawing>
      </w:r>
    </w:p>
    <w:p w14:paraId="19A6F161" w14:textId="14ABE6F4" w:rsidR="00171CCC" w:rsidRDefault="00171CCC" w:rsidP="0077750B">
      <w:pPr>
        <w:pStyle w:val="LO-normal"/>
        <w:spacing w:after="0" w:line="240" w:lineRule="auto"/>
        <w:ind w:firstLine="567"/>
        <w:jc w:val="both"/>
        <w:rPr>
          <w:rFonts w:ascii="Times New Roman" w:hAnsi="Times New Roman" w:cs="Times New Roman"/>
          <w:sz w:val="28"/>
          <w:szCs w:val="28"/>
          <w:lang w:bidi="ar-SA"/>
        </w:rPr>
      </w:pPr>
    </w:p>
    <w:p w14:paraId="788C23F8" w14:textId="1F0A6A2D" w:rsidR="00790171" w:rsidRDefault="00790171" w:rsidP="0077750B">
      <w:pPr>
        <w:pStyle w:val="LO-normal"/>
        <w:spacing w:after="0" w:line="240" w:lineRule="auto"/>
        <w:ind w:firstLine="567"/>
        <w:jc w:val="both"/>
        <w:rPr>
          <w:rFonts w:ascii="Times New Roman" w:hAnsi="Times New Roman" w:cs="Times New Roman"/>
          <w:sz w:val="28"/>
          <w:szCs w:val="28"/>
          <w:lang w:bidi="ar-SA"/>
        </w:rPr>
      </w:pPr>
    </w:p>
    <w:p w14:paraId="44B67F7A" w14:textId="3E0968BF" w:rsidR="00632A96" w:rsidRDefault="00171CCC" w:rsidP="00171CCC">
      <w:pPr>
        <w:pStyle w:val="LO-normal"/>
        <w:spacing w:after="0" w:line="240" w:lineRule="auto"/>
        <w:ind w:firstLine="567"/>
        <w:jc w:val="both"/>
        <w:rPr>
          <w:rFonts w:ascii="Times New Roman" w:hAnsi="Times New Roman" w:cs="Times New Roman"/>
          <w:sz w:val="28"/>
          <w:szCs w:val="28"/>
          <w:lang w:bidi="ar-SA"/>
        </w:rPr>
      </w:pPr>
      <w:r>
        <w:rPr>
          <w:rFonts w:ascii="Times New Roman" w:eastAsia="Times New Roman" w:hAnsi="Times New Roman" w:cs="Times New Roman"/>
          <w:noProof/>
          <w:sz w:val="28"/>
          <w:szCs w:val="28"/>
          <w:lang w:eastAsia="ru-RU" w:bidi="ar-SA"/>
        </w:rPr>
        <w:drawing>
          <wp:inline distT="0" distB="0" distL="0" distR="0" wp14:anchorId="4899A383" wp14:editId="50D2B227">
            <wp:extent cx="4783954" cy="2675106"/>
            <wp:effectExtent l="0" t="0" r="4445" b="5080"/>
            <wp:docPr id="22" name="Google Shape;180;p24"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oogle Shape;180;p24" descr="Изображение выглядит как текст, снимок экрана, число, Шрифт&#10;&#10;Содержимое, созданное искусственным интеллектом, может быть неверным."/>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4799528" cy="2683815"/>
                    </a:xfrm>
                    <a:prstGeom prst="rect">
                      <a:avLst/>
                    </a:prstGeom>
                  </pic:spPr>
                </pic:pic>
              </a:graphicData>
            </a:graphic>
          </wp:inline>
        </w:drawing>
      </w:r>
    </w:p>
    <w:p w14:paraId="6C55D3A3" w14:textId="77777777" w:rsidR="00632A96" w:rsidRDefault="00632A96" w:rsidP="00632A96">
      <w:pPr>
        <w:pStyle w:val="LO-normal"/>
        <w:spacing w:after="0" w:line="240" w:lineRule="auto"/>
        <w:ind w:firstLine="567"/>
        <w:jc w:val="both"/>
      </w:pPr>
      <w:r>
        <w:rPr>
          <w:rFonts w:ascii="Times New Roman" w:eastAsia="Times New Roman" w:hAnsi="Times New Roman" w:cs="Times New Roman"/>
          <w:sz w:val="28"/>
          <w:szCs w:val="28"/>
        </w:rPr>
        <w:t>Рисунок 13.  Распределения частот генотипов и аллелей у пациентов с ФП в других популяциях</w:t>
      </w:r>
    </w:p>
    <w:p w14:paraId="01AF47C6" w14:textId="1C5DD373" w:rsidR="00632A96" w:rsidRDefault="00632A96" w:rsidP="0077750B">
      <w:pPr>
        <w:pStyle w:val="LO-normal"/>
        <w:spacing w:after="0" w:line="240" w:lineRule="auto"/>
        <w:ind w:firstLine="567"/>
        <w:jc w:val="both"/>
        <w:rPr>
          <w:rFonts w:ascii="Times New Roman" w:hAnsi="Times New Roman" w:cs="Times New Roman"/>
          <w:sz w:val="28"/>
          <w:szCs w:val="28"/>
          <w:lang w:bidi="ar-SA"/>
        </w:rPr>
      </w:pPr>
    </w:p>
    <w:p w14:paraId="460615BC" w14:textId="77777777" w:rsidR="00632A96" w:rsidRDefault="0077750B" w:rsidP="00632A96">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Кроме того, мы проанализировали распределение частот аллелей и генотипов среди половой группы в связи с выявлением достоверной разницы в концентрациях в плазме препаратов дабигатрана и апиксабана (</w:t>
      </w:r>
      <w:r w:rsidRPr="00632A96">
        <w:rPr>
          <w:rFonts w:ascii="Times New Roman" w:hAnsi="Times New Roman" w:cs="Times New Roman"/>
          <w:color w:val="000000" w:themeColor="text1"/>
          <w:sz w:val="28"/>
          <w:szCs w:val="28"/>
          <w:lang w:bidi="ar-SA"/>
        </w:rPr>
        <w:t xml:space="preserve">таблица </w:t>
      </w:r>
      <w:r w:rsidR="00632A96">
        <w:rPr>
          <w:rFonts w:ascii="Times New Roman" w:hAnsi="Times New Roman" w:cs="Times New Roman"/>
          <w:color w:val="000000" w:themeColor="text1"/>
          <w:sz w:val="28"/>
          <w:szCs w:val="28"/>
          <w:lang w:bidi="ar-SA"/>
        </w:rPr>
        <w:t>5</w:t>
      </w:r>
      <w:r>
        <w:rPr>
          <w:rFonts w:ascii="Times New Roman" w:hAnsi="Times New Roman" w:cs="Times New Roman"/>
          <w:sz w:val="28"/>
          <w:szCs w:val="28"/>
          <w:lang w:bidi="ar-SA"/>
        </w:rPr>
        <w:t xml:space="preserve">). Распределение частот аллелей и генотипов полиморфизмов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2032582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1128503 </w:t>
      </w:r>
      <w:r>
        <w:rPr>
          <w:rFonts w:ascii="Times New Roman" w:hAnsi="Times New Roman" w:cs="Times New Roman"/>
          <w:sz w:val="28"/>
          <w:szCs w:val="28"/>
          <w:lang w:bidi="ar-SA"/>
        </w:rPr>
        <w:t>гена</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ABCB</w:t>
      </w:r>
      <w:r w:rsidRPr="0077750B">
        <w:rPr>
          <w:rFonts w:ascii="Times New Roman" w:hAnsi="Times New Roman" w:cs="Times New Roman"/>
          <w:sz w:val="28"/>
          <w:szCs w:val="28"/>
          <w:lang w:bidi="ar-SA"/>
        </w:rPr>
        <w:t xml:space="preserve">1 </w:t>
      </w:r>
      <w:r>
        <w:rPr>
          <w:rFonts w:ascii="Times New Roman" w:hAnsi="Times New Roman" w:cs="Times New Roman"/>
          <w:sz w:val="28"/>
          <w:szCs w:val="28"/>
          <w:lang w:bidi="ar-SA"/>
        </w:rPr>
        <w:t>и</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8192935,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2244613 и</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71647871 </w:t>
      </w:r>
      <w:r>
        <w:rPr>
          <w:rFonts w:ascii="Times New Roman" w:hAnsi="Times New Roman" w:cs="Times New Roman"/>
          <w:sz w:val="28"/>
          <w:szCs w:val="28"/>
          <w:lang w:bidi="ar-SA"/>
        </w:rPr>
        <w:t xml:space="preserve">гена </w:t>
      </w:r>
      <w:r>
        <w:rPr>
          <w:rFonts w:ascii="Times New Roman" w:hAnsi="Times New Roman" w:cs="Times New Roman"/>
          <w:sz w:val="28"/>
          <w:szCs w:val="28"/>
          <w:lang w:val="en-US" w:bidi="ar-SA"/>
        </w:rPr>
        <w:t>CES</w:t>
      </w:r>
      <w:r w:rsidRPr="0077750B">
        <w:rPr>
          <w:rFonts w:ascii="Times New Roman" w:hAnsi="Times New Roman" w:cs="Times New Roman"/>
          <w:sz w:val="28"/>
          <w:szCs w:val="28"/>
          <w:lang w:bidi="ar-SA"/>
        </w:rPr>
        <w:t>1</w:t>
      </w:r>
      <w:r>
        <w:rPr>
          <w:rFonts w:ascii="Times New Roman" w:hAnsi="Times New Roman" w:cs="Times New Roman"/>
          <w:sz w:val="28"/>
          <w:szCs w:val="28"/>
          <w:lang w:bidi="ar-SA"/>
        </w:rPr>
        <w:t xml:space="preserve"> достоверно не различалось между мужскими и женскими группами.</w:t>
      </w:r>
    </w:p>
    <w:p w14:paraId="26EC63DD" w14:textId="00EE036D" w:rsidR="0077750B" w:rsidRDefault="0077750B" w:rsidP="00632A96">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 </w:t>
      </w:r>
    </w:p>
    <w:p w14:paraId="0A67B8C2" w14:textId="40972187" w:rsidR="0077750B" w:rsidRDefault="0077750B" w:rsidP="0077750B">
      <w:pPr>
        <w:pStyle w:val="LO-normal"/>
        <w:spacing w:after="0" w:line="240" w:lineRule="auto"/>
        <w:ind w:firstLine="567"/>
        <w:jc w:val="both"/>
        <w:rPr>
          <w:rFonts w:ascii="Times New Roman" w:hAnsi="Times New Roman" w:cs="Times New Roman"/>
          <w:sz w:val="28"/>
          <w:szCs w:val="28"/>
          <w:lang w:bidi="ar-SA"/>
        </w:rPr>
      </w:pPr>
      <w:r w:rsidRPr="00632A96">
        <w:rPr>
          <w:rFonts w:ascii="Times New Roman" w:hAnsi="Times New Roman" w:cs="Times New Roman"/>
          <w:color w:val="000000" w:themeColor="text1"/>
          <w:sz w:val="28"/>
          <w:szCs w:val="28"/>
          <w:lang w:bidi="ar-SA"/>
        </w:rPr>
        <w:t xml:space="preserve">Таблица </w:t>
      </w:r>
      <w:r w:rsidR="00632A96" w:rsidRPr="00632A96">
        <w:rPr>
          <w:rFonts w:ascii="Times New Roman" w:hAnsi="Times New Roman" w:cs="Times New Roman"/>
          <w:color w:val="000000" w:themeColor="text1"/>
          <w:sz w:val="28"/>
          <w:szCs w:val="28"/>
          <w:lang w:bidi="ar-SA"/>
        </w:rPr>
        <w:t>5.</w:t>
      </w:r>
      <w:r w:rsidRPr="00632A96">
        <w:rPr>
          <w:rFonts w:ascii="Times New Roman" w:hAnsi="Times New Roman" w:cs="Times New Roman"/>
          <w:color w:val="000000" w:themeColor="text1"/>
          <w:sz w:val="28"/>
          <w:szCs w:val="28"/>
          <w:lang w:bidi="ar-SA"/>
        </w:rPr>
        <w:t xml:space="preserve"> </w:t>
      </w:r>
      <w:r>
        <w:rPr>
          <w:rFonts w:ascii="Times New Roman" w:hAnsi="Times New Roman" w:cs="Times New Roman"/>
          <w:sz w:val="28"/>
          <w:szCs w:val="28"/>
          <w:lang w:bidi="ar-SA"/>
        </w:rPr>
        <w:t xml:space="preserve">Распределение частот аллелей и генотипов 7 </w:t>
      </w:r>
      <w:r>
        <w:rPr>
          <w:rFonts w:ascii="Times New Roman" w:hAnsi="Times New Roman" w:cs="Times New Roman"/>
          <w:sz w:val="28"/>
          <w:szCs w:val="28"/>
          <w:lang w:val="en-US" w:bidi="ar-SA"/>
        </w:rPr>
        <w:t>SNP</w:t>
      </w:r>
      <w:r>
        <w:rPr>
          <w:rFonts w:ascii="Times New Roman" w:hAnsi="Times New Roman" w:cs="Times New Roman"/>
          <w:sz w:val="28"/>
          <w:szCs w:val="28"/>
          <w:lang w:bidi="ar-SA"/>
        </w:rPr>
        <w:t xml:space="preserve"> между гендерными группами</w:t>
      </w:r>
    </w:p>
    <w:tbl>
      <w:tblPr>
        <w:tblW w:w="9071" w:type="dxa"/>
        <w:tblLayout w:type="fixed"/>
        <w:tblLook w:val="0000" w:firstRow="0" w:lastRow="0" w:firstColumn="0" w:lastColumn="0" w:noHBand="0" w:noVBand="0"/>
      </w:tblPr>
      <w:tblGrid>
        <w:gridCol w:w="811"/>
        <w:gridCol w:w="945"/>
        <w:gridCol w:w="683"/>
        <w:gridCol w:w="1083"/>
        <w:gridCol w:w="1481"/>
        <w:gridCol w:w="1083"/>
        <w:gridCol w:w="1478"/>
        <w:gridCol w:w="1271"/>
        <w:gridCol w:w="236"/>
      </w:tblGrid>
      <w:tr w:rsidR="00A6651D" w14:paraId="4C35F6F2" w14:textId="77777777" w:rsidTr="00B57F2E">
        <w:trPr>
          <w:trHeight w:val="900"/>
        </w:trPr>
        <w:tc>
          <w:tcPr>
            <w:tcW w:w="828" w:type="dxa"/>
            <w:tcBorders>
              <w:top w:val="single" w:sz="4" w:space="0" w:color="B4C6E7"/>
              <w:left w:val="single" w:sz="4" w:space="0" w:color="B4C6E7"/>
              <w:bottom w:val="single" w:sz="4" w:space="0" w:color="B4C6E7"/>
              <w:right w:val="single" w:sz="4" w:space="0" w:color="B4C6E7"/>
            </w:tcBorders>
          </w:tcPr>
          <w:p w14:paraId="505501A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Ген</w:t>
            </w:r>
          </w:p>
        </w:tc>
        <w:tc>
          <w:tcPr>
            <w:tcW w:w="965" w:type="dxa"/>
            <w:tcBorders>
              <w:top w:val="single" w:sz="4" w:space="0" w:color="B4C6E7"/>
              <w:left w:val="single" w:sz="4" w:space="0" w:color="B4C6E7"/>
              <w:bottom w:val="single" w:sz="4" w:space="0" w:color="B4C6E7"/>
              <w:right w:val="single" w:sz="4" w:space="0" w:color="B4C6E7"/>
            </w:tcBorders>
          </w:tcPr>
          <w:p w14:paraId="682C541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rPr>
            </w:pPr>
            <w:r>
              <w:rPr>
                <w:rFonts w:ascii="Times New Roman" w:eastAsia="Times New Roman" w:hAnsi="Times New Roman" w:cs="Times New Roman"/>
                <w:b/>
              </w:rPr>
              <w:t>SNP rs</w:t>
            </w:r>
          </w:p>
        </w:tc>
        <w:tc>
          <w:tcPr>
            <w:tcW w:w="696" w:type="dxa"/>
            <w:tcBorders>
              <w:top w:val="single" w:sz="4" w:space="0" w:color="B4C6E7"/>
              <w:left w:val="single" w:sz="4" w:space="0" w:color="B4C6E7"/>
              <w:bottom w:val="single" w:sz="4" w:space="0" w:color="B4C6E7"/>
              <w:right w:val="single" w:sz="4" w:space="0" w:color="B4C6E7"/>
            </w:tcBorders>
          </w:tcPr>
          <w:p w14:paraId="07A368C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rPr>
            </w:pPr>
            <w:r>
              <w:rPr>
                <w:rFonts w:ascii="Times New Roman" w:eastAsia="Times New Roman" w:hAnsi="Times New Roman" w:cs="Times New Roman"/>
                <w:b/>
              </w:rPr>
              <w:t>Характеристики</w:t>
            </w:r>
          </w:p>
        </w:tc>
        <w:tc>
          <w:tcPr>
            <w:tcW w:w="1107" w:type="dxa"/>
            <w:tcBorders>
              <w:top w:val="single" w:sz="4" w:space="0" w:color="B4C6E7"/>
              <w:left w:val="single" w:sz="4" w:space="0" w:color="B4C6E7"/>
              <w:bottom w:val="single" w:sz="4" w:space="0" w:color="B4C6E7"/>
              <w:right w:val="single" w:sz="4" w:space="0" w:color="B4C6E7"/>
            </w:tcBorders>
          </w:tcPr>
          <w:p w14:paraId="22F6588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rPr>
            </w:pPr>
            <w:r>
              <w:rPr>
                <w:rFonts w:ascii="Times New Roman" w:eastAsia="Times New Roman" w:hAnsi="Times New Roman" w:cs="Times New Roman"/>
                <w:b/>
              </w:rPr>
              <w:t>Муж.</w:t>
            </w:r>
          </w:p>
        </w:tc>
        <w:tc>
          <w:tcPr>
            <w:tcW w:w="1517" w:type="dxa"/>
            <w:tcBorders>
              <w:top w:val="single" w:sz="4" w:space="0" w:color="B4C6E7"/>
              <w:left w:val="single" w:sz="4" w:space="0" w:color="B4C6E7"/>
              <w:bottom w:val="single" w:sz="4" w:space="0" w:color="B4C6E7"/>
              <w:right w:val="single" w:sz="4" w:space="0" w:color="B4C6E7"/>
            </w:tcBorders>
          </w:tcPr>
          <w:p w14:paraId="5FAF1785"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rPr>
            </w:pPr>
            <w:r>
              <w:rPr>
                <w:rFonts w:ascii="Times New Roman" w:eastAsia="Times New Roman" w:hAnsi="Times New Roman" w:cs="Times New Roman"/>
                <w:b/>
              </w:rPr>
              <w:t>Частота аллелей в мужской группе</w:t>
            </w:r>
          </w:p>
        </w:tc>
        <w:tc>
          <w:tcPr>
            <w:tcW w:w="1107" w:type="dxa"/>
            <w:tcBorders>
              <w:top w:val="single" w:sz="4" w:space="0" w:color="B4C6E7"/>
              <w:left w:val="single" w:sz="4" w:space="0" w:color="B4C6E7"/>
              <w:bottom w:val="single" w:sz="4" w:space="0" w:color="B4C6E7"/>
              <w:right w:val="single" w:sz="4" w:space="0" w:color="B4C6E7"/>
            </w:tcBorders>
          </w:tcPr>
          <w:p w14:paraId="5B26396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rPr>
            </w:pPr>
            <w:r>
              <w:rPr>
                <w:rFonts w:ascii="Times New Roman" w:eastAsia="Times New Roman" w:hAnsi="Times New Roman" w:cs="Times New Roman"/>
                <w:b/>
              </w:rPr>
              <w:t>Жен.</w:t>
            </w:r>
          </w:p>
        </w:tc>
        <w:tc>
          <w:tcPr>
            <w:tcW w:w="1514" w:type="dxa"/>
            <w:tcBorders>
              <w:top w:val="single" w:sz="4" w:space="0" w:color="B4C6E7"/>
              <w:left w:val="single" w:sz="4" w:space="0" w:color="B4C6E7"/>
              <w:bottom w:val="single" w:sz="4" w:space="0" w:color="B4C6E7"/>
              <w:right w:val="single" w:sz="4" w:space="0" w:color="B4C6E7"/>
            </w:tcBorders>
          </w:tcPr>
          <w:p w14:paraId="647540C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rPr>
            </w:pPr>
            <w:r>
              <w:rPr>
                <w:rFonts w:ascii="Times New Roman" w:eastAsia="Times New Roman" w:hAnsi="Times New Roman" w:cs="Times New Roman"/>
                <w:b/>
              </w:rPr>
              <w:t>Частота аллелей в женской группе</w:t>
            </w:r>
          </w:p>
        </w:tc>
        <w:tc>
          <w:tcPr>
            <w:tcW w:w="1301" w:type="dxa"/>
            <w:tcBorders>
              <w:top w:val="single" w:sz="4" w:space="0" w:color="B4C6E7"/>
              <w:left w:val="single" w:sz="4" w:space="0" w:color="B4C6E7"/>
              <w:bottom w:val="single" w:sz="4" w:space="0" w:color="B4C6E7"/>
              <w:right w:val="single" w:sz="4" w:space="0" w:color="B4C6E7"/>
            </w:tcBorders>
          </w:tcPr>
          <w:p w14:paraId="014388D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rPr>
            </w:pPr>
            <w:r>
              <w:rPr>
                <w:rFonts w:ascii="Times New Roman" w:eastAsia="Times New Roman" w:hAnsi="Times New Roman" w:cs="Times New Roman"/>
                <w:b/>
              </w:rPr>
              <w:t>Значение P (</w:t>
            </w:r>
            <w:proofErr w:type="spellStart"/>
            <w:r>
              <w:rPr>
                <w:rFonts w:ascii="Times New Roman" w:eastAsia="Times New Roman" w:hAnsi="Times New Roman" w:cs="Times New Roman"/>
                <w:b/>
              </w:rPr>
              <w:t>value</w:t>
            </w:r>
            <w:proofErr w:type="spellEnd"/>
            <w:r>
              <w:rPr>
                <w:rFonts w:ascii="Times New Roman" w:eastAsia="Times New Roman" w:hAnsi="Times New Roman" w:cs="Times New Roman"/>
                <w:b/>
              </w:rPr>
              <w:t xml:space="preserve">) </w:t>
            </w:r>
            <w:proofErr w:type="gramStart"/>
            <w:r>
              <w:rPr>
                <w:rFonts w:ascii="Times New Roman" w:eastAsia="Times New Roman" w:hAnsi="Times New Roman" w:cs="Times New Roman"/>
                <w:b/>
              </w:rPr>
              <w:t>с  SPSS</w:t>
            </w:r>
            <w:proofErr w:type="gramEnd"/>
          </w:p>
        </w:tc>
        <w:tc>
          <w:tcPr>
            <w:tcW w:w="36" w:type="dxa"/>
          </w:tcPr>
          <w:p w14:paraId="16E4379B"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6CD1E4AB" w14:textId="77777777" w:rsidTr="00B57F2E">
        <w:trPr>
          <w:trHeight w:val="900"/>
        </w:trPr>
        <w:tc>
          <w:tcPr>
            <w:tcW w:w="828" w:type="dxa"/>
            <w:tcBorders>
              <w:top w:val="single" w:sz="4" w:space="0" w:color="B4C6E7"/>
              <w:left w:val="single" w:sz="4" w:space="0" w:color="B4C6E7"/>
              <w:bottom w:val="single" w:sz="4" w:space="0" w:color="B4C6E7"/>
              <w:right w:val="single" w:sz="4" w:space="0" w:color="B4C6E7"/>
            </w:tcBorders>
          </w:tcPr>
          <w:p w14:paraId="4D4F8BC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1</w:t>
            </w:r>
          </w:p>
        </w:tc>
        <w:tc>
          <w:tcPr>
            <w:tcW w:w="965" w:type="dxa"/>
            <w:tcBorders>
              <w:top w:val="single" w:sz="4" w:space="0" w:color="B4C6E7"/>
              <w:left w:val="single" w:sz="4" w:space="0" w:color="B4C6E7"/>
              <w:bottom w:val="single" w:sz="4" w:space="0" w:color="B4C6E7"/>
              <w:right w:val="single" w:sz="4" w:space="0" w:color="B4C6E7"/>
            </w:tcBorders>
          </w:tcPr>
          <w:p w14:paraId="7FB12135"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w:t>
            </w:r>
          </w:p>
        </w:tc>
        <w:tc>
          <w:tcPr>
            <w:tcW w:w="696" w:type="dxa"/>
            <w:tcBorders>
              <w:top w:val="single" w:sz="4" w:space="0" w:color="B4C6E7"/>
              <w:left w:val="single" w:sz="4" w:space="0" w:color="B4C6E7"/>
              <w:bottom w:val="single" w:sz="4" w:space="0" w:color="B4C6E7"/>
              <w:right w:val="single" w:sz="4" w:space="0" w:color="B4C6E7"/>
            </w:tcBorders>
          </w:tcPr>
          <w:p w14:paraId="4953F40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w:t>
            </w:r>
          </w:p>
        </w:tc>
        <w:tc>
          <w:tcPr>
            <w:tcW w:w="1107" w:type="dxa"/>
            <w:tcBorders>
              <w:top w:val="single" w:sz="4" w:space="0" w:color="B4C6E7"/>
              <w:left w:val="single" w:sz="4" w:space="0" w:color="B4C6E7"/>
              <w:bottom w:val="single" w:sz="4" w:space="0" w:color="B4C6E7"/>
              <w:right w:val="single" w:sz="4" w:space="0" w:color="B4C6E7"/>
            </w:tcBorders>
          </w:tcPr>
          <w:p w14:paraId="34C486A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4</w:t>
            </w:r>
          </w:p>
        </w:tc>
        <w:tc>
          <w:tcPr>
            <w:tcW w:w="1517" w:type="dxa"/>
            <w:tcBorders>
              <w:top w:val="single" w:sz="4" w:space="0" w:color="B4C6E7"/>
              <w:left w:val="single" w:sz="4" w:space="0" w:color="B4C6E7"/>
              <w:bottom w:val="single" w:sz="4" w:space="0" w:color="B4C6E7"/>
              <w:right w:val="single" w:sz="4" w:space="0" w:color="B4C6E7"/>
            </w:tcBorders>
          </w:tcPr>
          <w:p w14:paraId="726FA38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5</w:t>
            </w:r>
          </w:p>
        </w:tc>
        <w:tc>
          <w:tcPr>
            <w:tcW w:w="1107" w:type="dxa"/>
            <w:tcBorders>
              <w:top w:val="single" w:sz="4" w:space="0" w:color="B4C6E7"/>
              <w:left w:val="single" w:sz="4" w:space="0" w:color="B4C6E7"/>
              <w:bottom w:val="single" w:sz="4" w:space="0" w:color="B4C6E7"/>
              <w:right w:val="single" w:sz="4" w:space="0" w:color="B4C6E7"/>
            </w:tcBorders>
          </w:tcPr>
          <w:p w14:paraId="3FE0E4C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w:t>
            </w:r>
          </w:p>
        </w:tc>
        <w:tc>
          <w:tcPr>
            <w:tcW w:w="1514" w:type="dxa"/>
            <w:tcBorders>
              <w:top w:val="single" w:sz="4" w:space="0" w:color="B4C6E7"/>
              <w:left w:val="single" w:sz="4" w:space="0" w:color="B4C6E7"/>
              <w:bottom w:val="single" w:sz="4" w:space="0" w:color="B4C6E7"/>
              <w:right w:val="single" w:sz="4" w:space="0" w:color="B4C6E7"/>
            </w:tcBorders>
          </w:tcPr>
          <w:p w14:paraId="31B5A0C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7</w:t>
            </w:r>
          </w:p>
        </w:tc>
        <w:tc>
          <w:tcPr>
            <w:tcW w:w="1301" w:type="dxa"/>
            <w:tcBorders>
              <w:top w:val="single" w:sz="4" w:space="0" w:color="B4C6E7"/>
              <w:left w:val="single" w:sz="4" w:space="0" w:color="B4C6E7"/>
              <w:bottom w:val="single" w:sz="4" w:space="0" w:color="B4C6E7"/>
              <w:right w:val="single" w:sz="4" w:space="0" w:color="B4C6E7"/>
            </w:tcBorders>
          </w:tcPr>
          <w:p w14:paraId="1FE6B1A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8</w:t>
            </w:r>
          </w:p>
        </w:tc>
        <w:tc>
          <w:tcPr>
            <w:tcW w:w="36" w:type="dxa"/>
          </w:tcPr>
          <w:p w14:paraId="703999E5"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248322F4" w14:textId="77777777" w:rsidTr="00B57F2E">
        <w:trPr>
          <w:trHeight w:val="300"/>
        </w:trPr>
        <w:tc>
          <w:tcPr>
            <w:tcW w:w="828" w:type="dxa"/>
            <w:vMerge w:val="restart"/>
            <w:tcBorders>
              <w:top w:val="single" w:sz="4" w:space="0" w:color="B4C6E7"/>
              <w:left w:val="single" w:sz="4" w:space="0" w:color="B4C6E7"/>
              <w:bottom w:val="single" w:sz="4" w:space="0" w:color="B4C6E7"/>
              <w:right w:val="single" w:sz="4" w:space="0" w:color="B4C6E7"/>
            </w:tcBorders>
          </w:tcPr>
          <w:p w14:paraId="4B3E6556"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ABCB1</w:t>
            </w:r>
          </w:p>
        </w:tc>
        <w:tc>
          <w:tcPr>
            <w:tcW w:w="965" w:type="dxa"/>
            <w:vMerge w:val="restart"/>
            <w:tcBorders>
              <w:top w:val="single" w:sz="4" w:space="0" w:color="B4C6E7"/>
              <w:left w:val="single" w:sz="4" w:space="0" w:color="B4C6E7"/>
              <w:bottom w:val="single" w:sz="4" w:space="0" w:color="B4C6E7"/>
              <w:right w:val="single" w:sz="4" w:space="0" w:color="B4C6E7"/>
            </w:tcBorders>
          </w:tcPr>
          <w:p w14:paraId="33C27FC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rs4148738</w:t>
            </w:r>
          </w:p>
        </w:tc>
        <w:tc>
          <w:tcPr>
            <w:tcW w:w="696" w:type="dxa"/>
            <w:tcBorders>
              <w:top w:val="single" w:sz="4" w:space="0" w:color="B4C6E7"/>
              <w:left w:val="single" w:sz="4" w:space="0" w:color="B4C6E7"/>
              <w:bottom w:val="single" w:sz="4" w:space="0" w:color="B4C6E7"/>
              <w:right w:val="single" w:sz="4" w:space="0" w:color="B4C6E7"/>
            </w:tcBorders>
          </w:tcPr>
          <w:p w14:paraId="47AC4EC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CC</w:t>
            </w:r>
          </w:p>
        </w:tc>
        <w:tc>
          <w:tcPr>
            <w:tcW w:w="1107" w:type="dxa"/>
            <w:tcBorders>
              <w:top w:val="single" w:sz="4" w:space="0" w:color="B4C6E7"/>
              <w:left w:val="single" w:sz="4" w:space="0" w:color="B4C6E7"/>
              <w:bottom w:val="single" w:sz="4" w:space="0" w:color="B4C6E7"/>
              <w:right w:val="single" w:sz="4" w:space="0" w:color="B4C6E7"/>
            </w:tcBorders>
          </w:tcPr>
          <w:p w14:paraId="38571A8F"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21 (23.3)</w:t>
            </w:r>
          </w:p>
        </w:tc>
        <w:tc>
          <w:tcPr>
            <w:tcW w:w="1517" w:type="dxa"/>
            <w:vMerge w:val="restart"/>
            <w:tcBorders>
              <w:top w:val="single" w:sz="4" w:space="0" w:color="B4C6E7"/>
              <w:left w:val="single" w:sz="4" w:space="0" w:color="B4C6E7"/>
              <w:bottom w:val="single" w:sz="4" w:space="0" w:color="B4C6E7"/>
              <w:right w:val="single" w:sz="4" w:space="0" w:color="B4C6E7"/>
            </w:tcBorders>
          </w:tcPr>
          <w:p w14:paraId="00A2B9D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C :</w:t>
            </w:r>
            <w:proofErr w:type="gramEnd"/>
            <w:r>
              <w:rPr>
                <w:rFonts w:ascii="Times New Roman" w:eastAsia="Times New Roman" w:hAnsi="Times New Roman" w:cs="Times New Roman"/>
              </w:rPr>
              <w:t xml:space="preserve"> T = 0.43: 0.57</w:t>
            </w:r>
          </w:p>
        </w:tc>
        <w:tc>
          <w:tcPr>
            <w:tcW w:w="1107" w:type="dxa"/>
            <w:tcBorders>
              <w:top w:val="single" w:sz="4" w:space="0" w:color="B4C6E7"/>
              <w:left w:val="single" w:sz="4" w:space="0" w:color="B4C6E7"/>
              <w:bottom w:val="single" w:sz="4" w:space="0" w:color="B4C6E7"/>
              <w:right w:val="single" w:sz="4" w:space="0" w:color="B4C6E7"/>
            </w:tcBorders>
          </w:tcPr>
          <w:p w14:paraId="7DC12BE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11 (18.3)</w:t>
            </w:r>
          </w:p>
        </w:tc>
        <w:tc>
          <w:tcPr>
            <w:tcW w:w="1514" w:type="dxa"/>
            <w:vMerge w:val="restart"/>
            <w:tcBorders>
              <w:top w:val="single" w:sz="4" w:space="0" w:color="B4C6E7"/>
              <w:left w:val="single" w:sz="4" w:space="0" w:color="B4C6E7"/>
              <w:bottom w:val="single" w:sz="4" w:space="0" w:color="B4C6E7"/>
              <w:right w:val="single" w:sz="4" w:space="0" w:color="B4C6E7"/>
            </w:tcBorders>
          </w:tcPr>
          <w:p w14:paraId="76BEF85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C :</w:t>
            </w:r>
            <w:proofErr w:type="gramEnd"/>
            <w:r>
              <w:rPr>
                <w:rFonts w:ascii="Times New Roman" w:eastAsia="Times New Roman" w:hAnsi="Times New Roman" w:cs="Times New Roman"/>
              </w:rPr>
              <w:t xml:space="preserve"> T = 0.42 : 0.57</w:t>
            </w:r>
          </w:p>
        </w:tc>
        <w:tc>
          <w:tcPr>
            <w:tcW w:w="1301" w:type="dxa"/>
            <w:vMerge w:val="restart"/>
            <w:tcBorders>
              <w:top w:val="single" w:sz="4" w:space="0" w:color="B4C6E7"/>
              <w:left w:val="single" w:sz="4" w:space="0" w:color="B4C6E7"/>
              <w:bottom w:val="single" w:sz="4" w:space="0" w:color="B4C6E7"/>
              <w:right w:val="single" w:sz="4" w:space="0" w:color="B4C6E7"/>
            </w:tcBorders>
          </w:tcPr>
          <w:p w14:paraId="174B084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0.57</w:t>
            </w:r>
          </w:p>
        </w:tc>
        <w:tc>
          <w:tcPr>
            <w:tcW w:w="36" w:type="dxa"/>
          </w:tcPr>
          <w:p w14:paraId="3489C624"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1337D43F"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55E0B63E"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28BC4CEE"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5AE0093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CT</w:t>
            </w:r>
          </w:p>
        </w:tc>
        <w:tc>
          <w:tcPr>
            <w:tcW w:w="1107" w:type="dxa"/>
            <w:tcBorders>
              <w:top w:val="single" w:sz="4" w:space="0" w:color="B4C6E7"/>
              <w:left w:val="single" w:sz="4" w:space="0" w:color="B4C6E7"/>
              <w:bottom w:val="single" w:sz="4" w:space="0" w:color="B4C6E7"/>
              <w:right w:val="single" w:sz="4" w:space="0" w:color="B4C6E7"/>
            </w:tcBorders>
          </w:tcPr>
          <w:p w14:paraId="5FCEA37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36 (40.0)</w:t>
            </w:r>
          </w:p>
        </w:tc>
        <w:tc>
          <w:tcPr>
            <w:tcW w:w="1517" w:type="dxa"/>
            <w:vMerge/>
            <w:tcBorders>
              <w:top w:val="single" w:sz="4" w:space="0" w:color="B4C6E7"/>
              <w:left w:val="single" w:sz="4" w:space="0" w:color="B4C6E7"/>
              <w:bottom w:val="single" w:sz="4" w:space="0" w:color="B4C6E7"/>
              <w:right w:val="single" w:sz="4" w:space="0" w:color="B4C6E7"/>
            </w:tcBorders>
          </w:tcPr>
          <w:p w14:paraId="15625C02"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797086A6"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29 (48.3)</w:t>
            </w:r>
          </w:p>
        </w:tc>
        <w:tc>
          <w:tcPr>
            <w:tcW w:w="1514" w:type="dxa"/>
            <w:vMerge/>
            <w:tcBorders>
              <w:top w:val="single" w:sz="4" w:space="0" w:color="B4C6E7"/>
              <w:left w:val="single" w:sz="4" w:space="0" w:color="B4C6E7"/>
              <w:bottom w:val="single" w:sz="4" w:space="0" w:color="B4C6E7"/>
              <w:right w:val="single" w:sz="4" w:space="0" w:color="B4C6E7"/>
            </w:tcBorders>
          </w:tcPr>
          <w:p w14:paraId="6CEA8AE8"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7CDFE92D" w14:textId="77777777" w:rsidR="00A6651D" w:rsidRDefault="00A6651D" w:rsidP="00B57F2E"/>
        </w:tc>
        <w:tc>
          <w:tcPr>
            <w:tcW w:w="36" w:type="dxa"/>
          </w:tcPr>
          <w:p w14:paraId="35017024"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2B7D940A"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5FD62D15"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368C614F"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427DF60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TT</w:t>
            </w:r>
          </w:p>
        </w:tc>
        <w:tc>
          <w:tcPr>
            <w:tcW w:w="1107" w:type="dxa"/>
            <w:tcBorders>
              <w:top w:val="single" w:sz="4" w:space="0" w:color="B4C6E7"/>
              <w:left w:val="single" w:sz="4" w:space="0" w:color="B4C6E7"/>
              <w:bottom w:val="single" w:sz="4" w:space="0" w:color="B4C6E7"/>
              <w:right w:val="single" w:sz="4" w:space="0" w:color="B4C6E7"/>
            </w:tcBorders>
          </w:tcPr>
          <w:p w14:paraId="75536A3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33 (36.7)</w:t>
            </w:r>
          </w:p>
        </w:tc>
        <w:tc>
          <w:tcPr>
            <w:tcW w:w="1517" w:type="dxa"/>
            <w:vMerge/>
            <w:tcBorders>
              <w:top w:val="single" w:sz="4" w:space="0" w:color="B4C6E7"/>
              <w:left w:val="single" w:sz="4" w:space="0" w:color="B4C6E7"/>
              <w:bottom w:val="single" w:sz="4" w:space="0" w:color="B4C6E7"/>
              <w:right w:val="single" w:sz="4" w:space="0" w:color="B4C6E7"/>
            </w:tcBorders>
          </w:tcPr>
          <w:p w14:paraId="1C1DADDF"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39A41635"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20 (33.3)</w:t>
            </w:r>
          </w:p>
        </w:tc>
        <w:tc>
          <w:tcPr>
            <w:tcW w:w="1514" w:type="dxa"/>
            <w:vMerge/>
            <w:tcBorders>
              <w:top w:val="single" w:sz="4" w:space="0" w:color="B4C6E7"/>
              <w:left w:val="single" w:sz="4" w:space="0" w:color="B4C6E7"/>
              <w:bottom w:val="single" w:sz="4" w:space="0" w:color="B4C6E7"/>
              <w:right w:val="single" w:sz="4" w:space="0" w:color="B4C6E7"/>
            </w:tcBorders>
          </w:tcPr>
          <w:p w14:paraId="66F4D30E"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5951BE30" w14:textId="77777777" w:rsidR="00A6651D" w:rsidRDefault="00A6651D" w:rsidP="00B57F2E"/>
        </w:tc>
        <w:tc>
          <w:tcPr>
            <w:tcW w:w="36" w:type="dxa"/>
          </w:tcPr>
          <w:p w14:paraId="2FFA2C2D"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64E7F083"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0BA5075F"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551882C7"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285E002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C</w:t>
            </w:r>
          </w:p>
        </w:tc>
        <w:tc>
          <w:tcPr>
            <w:tcW w:w="1107" w:type="dxa"/>
            <w:tcBorders>
              <w:top w:val="single" w:sz="4" w:space="0" w:color="B4C6E7"/>
              <w:left w:val="single" w:sz="4" w:space="0" w:color="B4C6E7"/>
              <w:bottom w:val="single" w:sz="4" w:space="0" w:color="B4C6E7"/>
              <w:right w:val="single" w:sz="4" w:space="0" w:color="B4C6E7"/>
            </w:tcBorders>
          </w:tcPr>
          <w:p w14:paraId="3937EB26"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78</w:t>
            </w:r>
          </w:p>
        </w:tc>
        <w:tc>
          <w:tcPr>
            <w:tcW w:w="1517" w:type="dxa"/>
            <w:vMerge/>
            <w:tcBorders>
              <w:top w:val="single" w:sz="4" w:space="0" w:color="B4C6E7"/>
              <w:left w:val="single" w:sz="4" w:space="0" w:color="B4C6E7"/>
              <w:bottom w:val="single" w:sz="4" w:space="0" w:color="B4C6E7"/>
              <w:right w:val="single" w:sz="4" w:space="0" w:color="B4C6E7"/>
            </w:tcBorders>
          </w:tcPr>
          <w:p w14:paraId="3144DFA1"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3A4400A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51</w:t>
            </w:r>
          </w:p>
        </w:tc>
        <w:tc>
          <w:tcPr>
            <w:tcW w:w="1514" w:type="dxa"/>
            <w:vMerge/>
            <w:tcBorders>
              <w:top w:val="single" w:sz="4" w:space="0" w:color="B4C6E7"/>
              <w:left w:val="single" w:sz="4" w:space="0" w:color="B4C6E7"/>
              <w:bottom w:val="single" w:sz="4" w:space="0" w:color="B4C6E7"/>
              <w:right w:val="single" w:sz="4" w:space="0" w:color="B4C6E7"/>
            </w:tcBorders>
          </w:tcPr>
          <w:p w14:paraId="5DD8CB7F"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6103AB0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64C49729"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C02BED1"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3102ABA8"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4E800C3F"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216299E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T</w:t>
            </w:r>
          </w:p>
        </w:tc>
        <w:tc>
          <w:tcPr>
            <w:tcW w:w="1107" w:type="dxa"/>
            <w:tcBorders>
              <w:top w:val="single" w:sz="4" w:space="0" w:color="B4C6E7"/>
              <w:left w:val="single" w:sz="4" w:space="0" w:color="B4C6E7"/>
              <w:bottom w:val="single" w:sz="4" w:space="0" w:color="B4C6E7"/>
              <w:right w:val="single" w:sz="4" w:space="0" w:color="B4C6E7"/>
            </w:tcBorders>
          </w:tcPr>
          <w:p w14:paraId="5EB7755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102</w:t>
            </w:r>
          </w:p>
        </w:tc>
        <w:tc>
          <w:tcPr>
            <w:tcW w:w="1517" w:type="dxa"/>
            <w:vMerge/>
            <w:tcBorders>
              <w:top w:val="single" w:sz="4" w:space="0" w:color="B4C6E7"/>
              <w:left w:val="single" w:sz="4" w:space="0" w:color="B4C6E7"/>
              <w:bottom w:val="single" w:sz="4" w:space="0" w:color="B4C6E7"/>
              <w:right w:val="single" w:sz="4" w:space="0" w:color="B4C6E7"/>
            </w:tcBorders>
          </w:tcPr>
          <w:p w14:paraId="3F1E0B9C"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7EB03A8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69</w:t>
            </w:r>
          </w:p>
        </w:tc>
        <w:tc>
          <w:tcPr>
            <w:tcW w:w="1514" w:type="dxa"/>
            <w:vMerge/>
            <w:tcBorders>
              <w:top w:val="single" w:sz="4" w:space="0" w:color="B4C6E7"/>
              <w:left w:val="single" w:sz="4" w:space="0" w:color="B4C6E7"/>
              <w:bottom w:val="single" w:sz="4" w:space="0" w:color="B4C6E7"/>
              <w:right w:val="single" w:sz="4" w:space="0" w:color="B4C6E7"/>
            </w:tcBorders>
          </w:tcPr>
          <w:p w14:paraId="49C36673"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683E363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35B21600"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7F5FE13E" w14:textId="77777777" w:rsidTr="00B57F2E">
        <w:trPr>
          <w:trHeight w:val="300"/>
        </w:trPr>
        <w:tc>
          <w:tcPr>
            <w:tcW w:w="828" w:type="dxa"/>
            <w:vMerge w:val="restart"/>
            <w:tcBorders>
              <w:top w:val="single" w:sz="4" w:space="0" w:color="B4C6E7"/>
              <w:left w:val="single" w:sz="4" w:space="0" w:color="B4C6E7"/>
              <w:bottom w:val="single" w:sz="4" w:space="0" w:color="B4C6E7"/>
              <w:right w:val="single" w:sz="4" w:space="0" w:color="B4C6E7"/>
            </w:tcBorders>
          </w:tcPr>
          <w:p w14:paraId="605F0FF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ABCB1</w:t>
            </w:r>
          </w:p>
        </w:tc>
        <w:tc>
          <w:tcPr>
            <w:tcW w:w="965" w:type="dxa"/>
            <w:vMerge w:val="restart"/>
            <w:tcBorders>
              <w:top w:val="single" w:sz="4" w:space="0" w:color="B4C6E7"/>
              <w:left w:val="single" w:sz="4" w:space="0" w:color="B4C6E7"/>
              <w:bottom w:val="single" w:sz="4" w:space="0" w:color="B4C6E7"/>
              <w:right w:val="single" w:sz="4" w:space="0" w:color="B4C6E7"/>
            </w:tcBorders>
          </w:tcPr>
          <w:p w14:paraId="39F4983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rs1045642</w:t>
            </w:r>
          </w:p>
        </w:tc>
        <w:tc>
          <w:tcPr>
            <w:tcW w:w="696" w:type="dxa"/>
            <w:tcBorders>
              <w:top w:val="single" w:sz="4" w:space="0" w:color="B4C6E7"/>
              <w:left w:val="single" w:sz="4" w:space="0" w:color="B4C6E7"/>
              <w:bottom w:val="single" w:sz="4" w:space="0" w:color="B4C6E7"/>
              <w:right w:val="single" w:sz="4" w:space="0" w:color="B4C6E7"/>
            </w:tcBorders>
          </w:tcPr>
          <w:p w14:paraId="777FC71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AA</w:t>
            </w:r>
          </w:p>
        </w:tc>
        <w:tc>
          <w:tcPr>
            <w:tcW w:w="1107" w:type="dxa"/>
            <w:tcBorders>
              <w:top w:val="single" w:sz="4" w:space="0" w:color="B4C6E7"/>
              <w:left w:val="single" w:sz="4" w:space="0" w:color="B4C6E7"/>
              <w:bottom w:val="single" w:sz="4" w:space="0" w:color="B4C6E7"/>
              <w:right w:val="single" w:sz="4" w:space="0" w:color="B4C6E7"/>
            </w:tcBorders>
          </w:tcPr>
          <w:p w14:paraId="7C0508F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22 (24.4)</w:t>
            </w:r>
          </w:p>
        </w:tc>
        <w:tc>
          <w:tcPr>
            <w:tcW w:w="1517" w:type="dxa"/>
            <w:vMerge w:val="restart"/>
            <w:tcBorders>
              <w:top w:val="single" w:sz="4" w:space="0" w:color="B4C6E7"/>
              <w:left w:val="single" w:sz="4" w:space="0" w:color="B4C6E7"/>
              <w:bottom w:val="single" w:sz="4" w:space="0" w:color="B4C6E7"/>
              <w:right w:val="single" w:sz="4" w:space="0" w:color="B4C6E7"/>
            </w:tcBorders>
          </w:tcPr>
          <w:p w14:paraId="6836605F"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A :</w:t>
            </w:r>
            <w:proofErr w:type="gramEnd"/>
            <w:r>
              <w:rPr>
                <w:rFonts w:ascii="Times New Roman" w:eastAsia="Times New Roman" w:hAnsi="Times New Roman" w:cs="Times New Roman"/>
              </w:rPr>
              <w:t xml:space="preserve"> G = 0.46 : 0.54</w:t>
            </w:r>
          </w:p>
        </w:tc>
        <w:tc>
          <w:tcPr>
            <w:tcW w:w="1107" w:type="dxa"/>
            <w:tcBorders>
              <w:top w:val="single" w:sz="4" w:space="0" w:color="B4C6E7"/>
              <w:left w:val="single" w:sz="4" w:space="0" w:color="B4C6E7"/>
              <w:bottom w:val="single" w:sz="4" w:space="0" w:color="B4C6E7"/>
              <w:right w:val="single" w:sz="4" w:space="0" w:color="B4C6E7"/>
            </w:tcBorders>
          </w:tcPr>
          <w:p w14:paraId="091BF89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11 (18.3)</w:t>
            </w:r>
          </w:p>
        </w:tc>
        <w:tc>
          <w:tcPr>
            <w:tcW w:w="1514" w:type="dxa"/>
            <w:vMerge w:val="restart"/>
            <w:tcBorders>
              <w:top w:val="single" w:sz="4" w:space="0" w:color="B4C6E7"/>
              <w:left w:val="single" w:sz="4" w:space="0" w:color="B4C6E7"/>
              <w:bottom w:val="single" w:sz="4" w:space="0" w:color="B4C6E7"/>
              <w:right w:val="single" w:sz="4" w:space="0" w:color="B4C6E7"/>
            </w:tcBorders>
          </w:tcPr>
          <w:p w14:paraId="111CE87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A :</w:t>
            </w:r>
            <w:proofErr w:type="gramEnd"/>
            <w:r>
              <w:rPr>
                <w:rFonts w:ascii="Times New Roman" w:eastAsia="Times New Roman" w:hAnsi="Times New Roman" w:cs="Times New Roman"/>
              </w:rPr>
              <w:t xml:space="preserve"> G = 0.45 : 0.55</w:t>
            </w:r>
          </w:p>
        </w:tc>
        <w:tc>
          <w:tcPr>
            <w:tcW w:w="1301" w:type="dxa"/>
            <w:vMerge w:val="restart"/>
            <w:tcBorders>
              <w:top w:val="single" w:sz="4" w:space="0" w:color="B4C6E7"/>
              <w:left w:val="single" w:sz="4" w:space="0" w:color="B4C6E7"/>
              <w:bottom w:val="single" w:sz="4" w:space="0" w:color="B4C6E7"/>
              <w:right w:val="single" w:sz="4" w:space="0" w:color="B4C6E7"/>
            </w:tcBorders>
          </w:tcPr>
          <w:p w14:paraId="1D0FD44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0.49</w:t>
            </w:r>
          </w:p>
        </w:tc>
        <w:tc>
          <w:tcPr>
            <w:tcW w:w="36" w:type="dxa"/>
          </w:tcPr>
          <w:p w14:paraId="034EC172"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3E2B211B"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1C50F586"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68E7D298"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208704E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AG</w:t>
            </w:r>
          </w:p>
        </w:tc>
        <w:tc>
          <w:tcPr>
            <w:tcW w:w="1107" w:type="dxa"/>
            <w:tcBorders>
              <w:top w:val="single" w:sz="4" w:space="0" w:color="B4C6E7"/>
              <w:left w:val="single" w:sz="4" w:space="0" w:color="B4C6E7"/>
              <w:bottom w:val="single" w:sz="4" w:space="0" w:color="B4C6E7"/>
              <w:right w:val="single" w:sz="4" w:space="0" w:color="B4C6E7"/>
            </w:tcBorders>
          </w:tcPr>
          <w:p w14:paraId="76D4238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39 (43.3)</w:t>
            </w:r>
          </w:p>
        </w:tc>
        <w:tc>
          <w:tcPr>
            <w:tcW w:w="1517" w:type="dxa"/>
            <w:vMerge/>
            <w:tcBorders>
              <w:top w:val="single" w:sz="4" w:space="0" w:color="B4C6E7"/>
              <w:left w:val="single" w:sz="4" w:space="0" w:color="B4C6E7"/>
              <w:bottom w:val="single" w:sz="4" w:space="0" w:color="B4C6E7"/>
              <w:right w:val="single" w:sz="4" w:space="0" w:color="B4C6E7"/>
            </w:tcBorders>
          </w:tcPr>
          <w:p w14:paraId="4362E2EE"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43A8A0D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32 (53.3)</w:t>
            </w:r>
          </w:p>
        </w:tc>
        <w:tc>
          <w:tcPr>
            <w:tcW w:w="1514" w:type="dxa"/>
            <w:vMerge/>
            <w:tcBorders>
              <w:top w:val="single" w:sz="4" w:space="0" w:color="B4C6E7"/>
              <w:left w:val="single" w:sz="4" w:space="0" w:color="B4C6E7"/>
              <w:bottom w:val="single" w:sz="4" w:space="0" w:color="B4C6E7"/>
              <w:right w:val="single" w:sz="4" w:space="0" w:color="B4C6E7"/>
            </w:tcBorders>
          </w:tcPr>
          <w:p w14:paraId="372F7D40"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33E4C09D" w14:textId="77777777" w:rsidR="00A6651D" w:rsidRDefault="00A6651D" w:rsidP="00B57F2E"/>
        </w:tc>
        <w:tc>
          <w:tcPr>
            <w:tcW w:w="36" w:type="dxa"/>
          </w:tcPr>
          <w:p w14:paraId="69BE21FF"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F13B77D"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17A1F11D"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3AAB9304"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6333E41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GG</w:t>
            </w:r>
          </w:p>
        </w:tc>
        <w:tc>
          <w:tcPr>
            <w:tcW w:w="1107" w:type="dxa"/>
            <w:tcBorders>
              <w:top w:val="single" w:sz="4" w:space="0" w:color="B4C6E7"/>
              <w:left w:val="single" w:sz="4" w:space="0" w:color="B4C6E7"/>
              <w:bottom w:val="single" w:sz="4" w:space="0" w:color="B4C6E7"/>
              <w:right w:val="single" w:sz="4" w:space="0" w:color="B4C6E7"/>
            </w:tcBorders>
          </w:tcPr>
          <w:p w14:paraId="58C2CFF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29 (32.2)</w:t>
            </w:r>
          </w:p>
        </w:tc>
        <w:tc>
          <w:tcPr>
            <w:tcW w:w="1517" w:type="dxa"/>
            <w:vMerge/>
            <w:tcBorders>
              <w:top w:val="single" w:sz="4" w:space="0" w:color="B4C6E7"/>
              <w:left w:val="single" w:sz="4" w:space="0" w:color="B4C6E7"/>
              <w:bottom w:val="single" w:sz="4" w:space="0" w:color="B4C6E7"/>
              <w:right w:val="single" w:sz="4" w:space="0" w:color="B4C6E7"/>
            </w:tcBorders>
          </w:tcPr>
          <w:p w14:paraId="44B18070"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689921A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17 (28.3)</w:t>
            </w:r>
          </w:p>
        </w:tc>
        <w:tc>
          <w:tcPr>
            <w:tcW w:w="1514" w:type="dxa"/>
            <w:vMerge/>
            <w:tcBorders>
              <w:top w:val="single" w:sz="4" w:space="0" w:color="B4C6E7"/>
              <w:left w:val="single" w:sz="4" w:space="0" w:color="B4C6E7"/>
              <w:bottom w:val="single" w:sz="4" w:space="0" w:color="B4C6E7"/>
              <w:right w:val="single" w:sz="4" w:space="0" w:color="B4C6E7"/>
            </w:tcBorders>
          </w:tcPr>
          <w:p w14:paraId="55ABE844"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3EFA5D2F" w14:textId="77777777" w:rsidR="00A6651D" w:rsidRDefault="00A6651D" w:rsidP="00B57F2E"/>
        </w:tc>
        <w:tc>
          <w:tcPr>
            <w:tcW w:w="36" w:type="dxa"/>
          </w:tcPr>
          <w:p w14:paraId="25D59DCE"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3CE81861"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0272ED1D"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0DFF1594"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0DEB906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w:t>
            </w:r>
          </w:p>
        </w:tc>
        <w:tc>
          <w:tcPr>
            <w:tcW w:w="1107" w:type="dxa"/>
            <w:tcBorders>
              <w:top w:val="single" w:sz="4" w:space="0" w:color="B4C6E7"/>
              <w:left w:val="single" w:sz="4" w:space="0" w:color="B4C6E7"/>
              <w:bottom w:val="single" w:sz="4" w:space="0" w:color="B4C6E7"/>
              <w:right w:val="single" w:sz="4" w:space="0" w:color="B4C6E7"/>
            </w:tcBorders>
          </w:tcPr>
          <w:p w14:paraId="210FB4C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83</w:t>
            </w:r>
          </w:p>
        </w:tc>
        <w:tc>
          <w:tcPr>
            <w:tcW w:w="1517" w:type="dxa"/>
            <w:vMerge/>
            <w:tcBorders>
              <w:top w:val="single" w:sz="4" w:space="0" w:color="B4C6E7"/>
              <w:left w:val="single" w:sz="4" w:space="0" w:color="B4C6E7"/>
              <w:bottom w:val="single" w:sz="4" w:space="0" w:color="B4C6E7"/>
              <w:right w:val="single" w:sz="4" w:space="0" w:color="B4C6E7"/>
            </w:tcBorders>
          </w:tcPr>
          <w:p w14:paraId="72963B2F"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0869699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54</w:t>
            </w:r>
          </w:p>
        </w:tc>
        <w:tc>
          <w:tcPr>
            <w:tcW w:w="1514" w:type="dxa"/>
            <w:vMerge/>
            <w:tcBorders>
              <w:top w:val="single" w:sz="4" w:space="0" w:color="B4C6E7"/>
              <w:left w:val="single" w:sz="4" w:space="0" w:color="B4C6E7"/>
              <w:bottom w:val="single" w:sz="4" w:space="0" w:color="B4C6E7"/>
              <w:right w:val="single" w:sz="4" w:space="0" w:color="B4C6E7"/>
            </w:tcBorders>
          </w:tcPr>
          <w:p w14:paraId="4F03C44E"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5E8EBC0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24CF39C6"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3693CED2"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2EFC049A"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154946BD"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372B7C6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w:t>
            </w:r>
          </w:p>
        </w:tc>
        <w:tc>
          <w:tcPr>
            <w:tcW w:w="1107" w:type="dxa"/>
            <w:tcBorders>
              <w:top w:val="single" w:sz="4" w:space="0" w:color="B4C6E7"/>
              <w:left w:val="single" w:sz="4" w:space="0" w:color="B4C6E7"/>
              <w:bottom w:val="single" w:sz="4" w:space="0" w:color="B4C6E7"/>
              <w:right w:val="single" w:sz="4" w:space="0" w:color="B4C6E7"/>
            </w:tcBorders>
          </w:tcPr>
          <w:p w14:paraId="1A4F662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97</w:t>
            </w:r>
          </w:p>
        </w:tc>
        <w:tc>
          <w:tcPr>
            <w:tcW w:w="1517" w:type="dxa"/>
            <w:vMerge/>
            <w:tcBorders>
              <w:top w:val="single" w:sz="4" w:space="0" w:color="B4C6E7"/>
              <w:left w:val="single" w:sz="4" w:space="0" w:color="B4C6E7"/>
              <w:bottom w:val="single" w:sz="4" w:space="0" w:color="B4C6E7"/>
              <w:right w:val="single" w:sz="4" w:space="0" w:color="B4C6E7"/>
            </w:tcBorders>
          </w:tcPr>
          <w:p w14:paraId="730F1353"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24654E9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66</w:t>
            </w:r>
          </w:p>
        </w:tc>
        <w:tc>
          <w:tcPr>
            <w:tcW w:w="1514" w:type="dxa"/>
            <w:vMerge/>
            <w:tcBorders>
              <w:top w:val="single" w:sz="4" w:space="0" w:color="B4C6E7"/>
              <w:left w:val="single" w:sz="4" w:space="0" w:color="B4C6E7"/>
              <w:bottom w:val="single" w:sz="4" w:space="0" w:color="B4C6E7"/>
              <w:right w:val="single" w:sz="4" w:space="0" w:color="B4C6E7"/>
            </w:tcBorders>
          </w:tcPr>
          <w:p w14:paraId="5D84BEDC"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489AED1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7A8760A7"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67BE869B" w14:textId="77777777" w:rsidTr="00B57F2E">
        <w:trPr>
          <w:trHeight w:val="300"/>
        </w:trPr>
        <w:tc>
          <w:tcPr>
            <w:tcW w:w="828" w:type="dxa"/>
            <w:vMerge w:val="restart"/>
            <w:tcBorders>
              <w:top w:val="single" w:sz="4" w:space="0" w:color="B4C6E7"/>
              <w:left w:val="single" w:sz="4" w:space="0" w:color="B4C6E7"/>
              <w:bottom w:val="single" w:sz="4" w:space="0" w:color="B4C6E7"/>
              <w:right w:val="single" w:sz="4" w:space="0" w:color="B4C6E7"/>
            </w:tcBorders>
          </w:tcPr>
          <w:p w14:paraId="5F72143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ABCB1</w:t>
            </w:r>
          </w:p>
        </w:tc>
        <w:tc>
          <w:tcPr>
            <w:tcW w:w="965" w:type="dxa"/>
            <w:vMerge w:val="restart"/>
            <w:tcBorders>
              <w:top w:val="single" w:sz="4" w:space="0" w:color="B4C6E7"/>
              <w:left w:val="single" w:sz="4" w:space="0" w:color="B4C6E7"/>
              <w:bottom w:val="single" w:sz="4" w:space="0" w:color="B4C6E7"/>
              <w:right w:val="single" w:sz="4" w:space="0" w:color="B4C6E7"/>
            </w:tcBorders>
          </w:tcPr>
          <w:p w14:paraId="367DAE1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rs2032582</w:t>
            </w:r>
          </w:p>
        </w:tc>
        <w:tc>
          <w:tcPr>
            <w:tcW w:w="696" w:type="dxa"/>
            <w:tcBorders>
              <w:top w:val="single" w:sz="4" w:space="0" w:color="B4C6E7"/>
              <w:left w:val="single" w:sz="4" w:space="0" w:color="B4C6E7"/>
              <w:bottom w:val="single" w:sz="4" w:space="0" w:color="B4C6E7"/>
              <w:right w:val="single" w:sz="4" w:space="0" w:color="B4C6E7"/>
            </w:tcBorders>
          </w:tcPr>
          <w:p w14:paraId="0E8B64DF"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CC</w:t>
            </w:r>
          </w:p>
        </w:tc>
        <w:tc>
          <w:tcPr>
            <w:tcW w:w="1107" w:type="dxa"/>
            <w:tcBorders>
              <w:top w:val="single" w:sz="4" w:space="0" w:color="B4C6E7"/>
              <w:left w:val="single" w:sz="4" w:space="0" w:color="B4C6E7"/>
              <w:bottom w:val="single" w:sz="4" w:space="0" w:color="B4C6E7"/>
              <w:right w:val="single" w:sz="4" w:space="0" w:color="B4C6E7"/>
            </w:tcBorders>
          </w:tcPr>
          <w:p w14:paraId="14A9765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34 (37.8)</w:t>
            </w:r>
          </w:p>
        </w:tc>
        <w:tc>
          <w:tcPr>
            <w:tcW w:w="1517" w:type="dxa"/>
            <w:vMerge w:val="restart"/>
            <w:tcBorders>
              <w:top w:val="single" w:sz="4" w:space="0" w:color="B4C6E7"/>
              <w:left w:val="single" w:sz="4" w:space="0" w:color="B4C6E7"/>
              <w:bottom w:val="single" w:sz="4" w:space="0" w:color="B4C6E7"/>
              <w:right w:val="single" w:sz="4" w:space="0" w:color="B4C6E7"/>
            </w:tcBorders>
          </w:tcPr>
          <w:p w14:paraId="442C907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C :</w:t>
            </w:r>
            <w:proofErr w:type="gramEnd"/>
            <w:r>
              <w:rPr>
                <w:rFonts w:ascii="Times New Roman" w:eastAsia="Times New Roman" w:hAnsi="Times New Roman" w:cs="Times New Roman"/>
              </w:rPr>
              <w:t xml:space="preserve"> A = 0.53 : 0.47</w:t>
            </w:r>
          </w:p>
        </w:tc>
        <w:tc>
          <w:tcPr>
            <w:tcW w:w="1107" w:type="dxa"/>
            <w:tcBorders>
              <w:top w:val="single" w:sz="4" w:space="0" w:color="B4C6E7"/>
              <w:left w:val="single" w:sz="4" w:space="0" w:color="B4C6E7"/>
              <w:bottom w:val="single" w:sz="4" w:space="0" w:color="B4C6E7"/>
              <w:right w:val="single" w:sz="4" w:space="0" w:color="B4C6E7"/>
            </w:tcBorders>
          </w:tcPr>
          <w:p w14:paraId="7CAFD27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19 (31.7)</w:t>
            </w:r>
          </w:p>
        </w:tc>
        <w:tc>
          <w:tcPr>
            <w:tcW w:w="1514" w:type="dxa"/>
            <w:vMerge w:val="restart"/>
            <w:tcBorders>
              <w:top w:val="single" w:sz="4" w:space="0" w:color="B4C6E7"/>
              <w:left w:val="single" w:sz="4" w:space="0" w:color="B4C6E7"/>
              <w:bottom w:val="single" w:sz="4" w:space="0" w:color="B4C6E7"/>
              <w:right w:val="single" w:sz="4" w:space="0" w:color="B4C6E7"/>
            </w:tcBorders>
          </w:tcPr>
          <w:p w14:paraId="00291A6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C :</w:t>
            </w:r>
            <w:proofErr w:type="gramEnd"/>
            <w:r>
              <w:rPr>
                <w:rFonts w:ascii="Times New Roman" w:eastAsia="Times New Roman" w:hAnsi="Times New Roman" w:cs="Times New Roman"/>
              </w:rPr>
              <w:t xml:space="preserve"> A = 0.52 : 0.48</w:t>
            </w:r>
          </w:p>
        </w:tc>
        <w:tc>
          <w:tcPr>
            <w:tcW w:w="1301" w:type="dxa"/>
            <w:vMerge w:val="restart"/>
            <w:tcBorders>
              <w:top w:val="single" w:sz="4" w:space="0" w:color="B4C6E7"/>
              <w:left w:val="single" w:sz="4" w:space="0" w:color="B4C6E7"/>
              <w:bottom w:val="single" w:sz="4" w:space="0" w:color="B4C6E7"/>
              <w:right w:val="single" w:sz="4" w:space="0" w:color="B4C6E7"/>
            </w:tcBorders>
          </w:tcPr>
          <w:p w14:paraId="43E5F9A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0.53</w:t>
            </w:r>
          </w:p>
        </w:tc>
        <w:tc>
          <w:tcPr>
            <w:tcW w:w="36" w:type="dxa"/>
          </w:tcPr>
          <w:p w14:paraId="68A6F2D3"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0012FAF"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133ECF1D"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6B9C471A"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656099C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CA</w:t>
            </w:r>
          </w:p>
        </w:tc>
        <w:tc>
          <w:tcPr>
            <w:tcW w:w="1107" w:type="dxa"/>
            <w:tcBorders>
              <w:top w:val="single" w:sz="4" w:space="0" w:color="B4C6E7"/>
              <w:left w:val="single" w:sz="4" w:space="0" w:color="B4C6E7"/>
              <w:bottom w:val="single" w:sz="4" w:space="0" w:color="B4C6E7"/>
              <w:right w:val="single" w:sz="4" w:space="0" w:color="B4C6E7"/>
            </w:tcBorders>
          </w:tcPr>
          <w:p w14:paraId="45F8E96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28 (31.1)</w:t>
            </w:r>
          </w:p>
        </w:tc>
        <w:tc>
          <w:tcPr>
            <w:tcW w:w="1517" w:type="dxa"/>
            <w:vMerge/>
            <w:tcBorders>
              <w:top w:val="single" w:sz="4" w:space="0" w:color="B4C6E7"/>
              <w:left w:val="single" w:sz="4" w:space="0" w:color="B4C6E7"/>
              <w:bottom w:val="single" w:sz="4" w:space="0" w:color="B4C6E7"/>
              <w:right w:val="single" w:sz="4" w:space="0" w:color="B4C6E7"/>
            </w:tcBorders>
          </w:tcPr>
          <w:p w14:paraId="791FA48E"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4DF8D10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24 (40.0)</w:t>
            </w:r>
          </w:p>
        </w:tc>
        <w:tc>
          <w:tcPr>
            <w:tcW w:w="1514" w:type="dxa"/>
            <w:vMerge/>
            <w:tcBorders>
              <w:top w:val="single" w:sz="4" w:space="0" w:color="B4C6E7"/>
              <w:left w:val="single" w:sz="4" w:space="0" w:color="B4C6E7"/>
              <w:bottom w:val="single" w:sz="4" w:space="0" w:color="B4C6E7"/>
              <w:right w:val="single" w:sz="4" w:space="0" w:color="B4C6E7"/>
            </w:tcBorders>
          </w:tcPr>
          <w:p w14:paraId="5D76B8C0"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2E9A9018" w14:textId="77777777" w:rsidR="00A6651D" w:rsidRDefault="00A6651D" w:rsidP="00B57F2E"/>
        </w:tc>
        <w:tc>
          <w:tcPr>
            <w:tcW w:w="36" w:type="dxa"/>
          </w:tcPr>
          <w:p w14:paraId="7A96A33C"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59874F2C"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488EFBDB"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3060CBA4"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0C71141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AA</w:t>
            </w:r>
          </w:p>
        </w:tc>
        <w:tc>
          <w:tcPr>
            <w:tcW w:w="1107" w:type="dxa"/>
            <w:tcBorders>
              <w:top w:val="single" w:sz="4" w:space="0" w:color="B4C6E7"/>
              <w:left w:val="single" w:sz="4" w:space="0" w:color="B4C6E7"/>
              <w:bottom w:val="single" w:sz="4" w:space="0" w:color="B4C6E7"/>
              <w:right w:val="single" w:sz="4" w:space="0" w:color="B4C6E7"/>
            </w:tcBorders>
          </w:tcPr>
          <w:p w14:paraId="691BA09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28 (31.1)</w:t>
            </w:r>
          </w:p>
        </w:tc>
        <w:tc>
          <w:tcPr>
            <w:tcW w:w="1517" w:type="dxa"/>
            <w:vMerge/>
            <w:tcBorders>
              <w:top w:val="single" w:sz="4" w:space="0" w:color="B4C6E7"/>
              <w:left w:val="single" w:sz="4" w:space="0" w:color="B4C6E7"/>
              <w:bottom w:val="single" w:sz="4" w:space="0" w:color="B4C6E7"/>
              <w:right w:val="single" w:sz="4" w:space="0" w:color="B4C6E7"/>
            </w:tcBorders>
          </w:tcPr>
          <w:p w14:paraId="63EBFD6B"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6F65DFC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17 (28.3)</w:t>
            </w:r>
          </w:p>
        </w:tc>
        <w:tc>
          <w:tcPr>
            <w:tcW w:w="1514" w:type="dxa"/>
            <w:vMerge/>
            <w:tcBorders>
              <w:top w:val="single" w:sz="4" w:space="0" w:color="B4C6E7"/>
              <w:left w:val="single" w:sz="4" w:space="0" w:color="B4C6E7"/>
              <w:bottom w:val="single" w:sz="4" w:space="0" w:color="B4C6E7"/>
              <w:right w:val="single" w:sz="4" w:space="0" w:color="B4C6E7"/>
            </w:tcBorders>
          </w:tcPr>
          <w:p w14:paraId="32473421"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70A7B778" w14:textId="77777777" w:rsidR="00A6651D" w:rsidRDefault="00A6651D" w:rsidP="00B57F2E"/>
        </w:tc>
        <w:tc>
          <w:tcPr>
            <w:tcW w:w="36" w:type="dxa"/>
          </w:tcPr>
          <w:p w14:paraId="6D365C7E"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4F695DE6"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36F53F80"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7991D648"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6AD67E9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C</w:t>
            </w:r>
          </w:p>
        </w:tc>
        <w:tc>
          <w:tcPr>
            <w:tcW w:w="1107" w:type="dxa"/>
            <w:tcBorders>
              <w:top w:val="single" w:sz="4" w:space="0" w:color="B4C6E7"/>
              <w:left w:val="single" w:sz="4" w:space="0" w:color="B4C6E7"/>
              <w:bottom w:val="single" w:sz="4" w:space="0" w:color="B4C6E7"/>
              <w:right w:val="single" w:sz="4" w:space="0" w:color="B4C6E7"/>
            </w:tcBorders>
          </w:tcPr>
          <w:p w14:paraId="41C453F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96</w:t>
            </w:r>
          </w:p>
        </w:tc>
        <w:tc>
          <w:tcPr>
            <w:tcW w:w="1517" w:type="dxa"/>
            <w:vMerge/>
            <w:tcBorders>
              <w:top w:val="single" w:sz="4" w:space="0" w:color="B4C6E7"/>
              <w:left w:val="single" w:sz="4" w:space="0" w:color="B4C6E7"/>
              <w:bottom w:val="single" w:sz="4" w:space="0" w:color="B4C6E7"/>
              <w:right w:val="single" w:sz="4" w:space="0" w:color="B4C6E7"/>
            </w:tcBorders>
          </w:tcPr>
          <w:p w14:paraId="23D6A345"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7C4254C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62</w:t>
            </w:r>
          </w:p>
        </w:tc>
        <w:tc>
          <w:tcPr>
            <w:tcW w:w="1514" w:type="dxa"/>
            <w:vMerge/>
            <w:tcBorders>
              <w:top w:val="single" w:sz="4" w:space="0" w:color="B4C6E7"/>
              <w:left w:val="single" w:sz="4" w:space="0" w:color="B4C6E7"/>
              <w:bottom w:val="single" w:sz="4" w:space="0" w:color="B4C6E7"/>
              <w:right w:val="single" w:sz="4" w:space="0" w:color="B4C6E7"/>
            </w:tcBorders>
          </w:tcPr>
          <w:p w14:paraId="17BC01EF"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22A2EFF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5FDD7F4C"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39DF30CC"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184431D9"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0B391DE3"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293C4EF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w:t>
            </w:r>
          </w:p>
        </w:tc>
        <w:tc>
          <w:tcPr>
            <w:tcW w:w="1107" w:type="dxa"/>
            <w:tcBorders>
              <w:top w:val="single" w:sz="4" w:space="0" w:color="B4C6E7"/>
              <w:left w:val="single" w:sz="4" w:space="0" w:color="B4C6E7"/>
              <w:bottom w:val="single" w:sz="4" w:space="0" w:color="B4C6E7"/>
              <w:right w:val="single" w:sz="4" w:space="0" w:color="B4C6E7"/>
            </w:tcBorders>
          </w:tcPr>
          <w:p w14:paraId="09ADB70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84</w:t>
            </w:r>
          </w:p>
        </w:tc>
        <w:tc>
          <w:tcPr>
            <w:tcW w:w="1517" w:type="dxa"/>
            <w:vMerge/>
            <w:tcBorders>
              <w:top w:val="single" w:sz="4" w:space="0" w:color="B4C6E7"/>
              <w:left w:val="single" w:sz="4" w:space="0" w:color="B4C6E7"/>
              <w:bottom w:val="single" w:sz="4" w:space="0" w:color="B4C6E7"/>
              <w:right w:val="single" w:sz="4" w:space="0" w:color="B4C6E7"/>
            </w:tcBorders>
          </w:tcPr>
          <w:p w14:paraId="6853D0A6"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72785E3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58</w:t>
            </w:r>
          </w:p>
        </w:tc>
        <w:tc>
          <w:tcPr>
            <w:tcW w:w="1514" w:type="dxa"/>
            <w:vMerge/>
            <w:tcBorders>
              <w:top w:val="single" w:sz="4" w:space="0" w:color="B4C6E7"/>
              <w:left w:val="single" w:sz="4" w:space="0" w:color="B4C6E7"/>
              <w:bottom w:val="single" w:sz="4" w:space="0" w:color="B4C6E7"/>
              <w:right w:val="single" w:sz="4" w:space="0" w:color="B4C6E7"/>
            </w:tcBorders>
          </w:tcPr>
          <w:p w14:paraId="0EC39C75"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0155EFA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58D68CAA"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71DB9094" w14:textId="77777777" w:rsidTr="00B57F2E">
        <w:trPr>
          <w:trHeight w:val="300"/>
        </w:trPr>
        <w:tc>
          <w:tcPr>
            <w:tcW w:w="828" w:type="dxa"/>
            <w:vMerge w:val="restart"/>
            <w:tcBorders>
              <w:top w:val="single" w:sz="4" w:space="0" w:color="B4C6E7"/>
              <w:left w:val="single" w:sz="4" w:space="0" w:color="B4C6E7"/>
              <w:bottom w:val="single" w:sz="4" w:space="0" w:color="B4C6E7"/>
              <w:right w:val="single" w:sz="4" w:space="0" w:color="B4C6E7"/>
            </w:tcBorders>
          </w:tcPr>
          <w:p w14:paraId="425FDBA6"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ABCB1</w:t>
            </w:r>
          </w:p>
        </w:tc>
        <w:tc>
          <w:tcPr>
            <w:tcW w:w="965" w:type="dxa"/>
            <w:vMerge w:val="restart"/>
            <w:tcBorders>
              <w:top w:val="single" w:sz="4" w:space="0" w:color="B4C6E7"/>
              <w:left w:val="single" w:sz="4" w:space="0" w:color="B4C6E7"/>
              <w:bottom w:val="single" w:sz="4" w:space="0" w:color="B4C6E7"/>
              <w:right w:val="single" w:sz="4" w:space="0" w:color="B4C6E7"/>
            </w:tcBorders>
          </w:tcPr>
          <w:p w14:paraId="727A4B7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rs1128503</w:t>
            </w:r>
          </w:p>
        </w:tc>
        <w:tc>
          <w:tcPr>
            <w:tcW w:w="696" w:type="dxa"/>
            <w:tcBorders>
              <w:top w:val="single" w:sz="4" w:space="0" w:color="B4C6E7"/>
              <w:left w:val="single" w:sz="4" w:space="0" w:color="B4C6E7"/>
              <w:bottom w:val="single" w:sz="4" w:space="0" w:color="B4C6E7"/>
              <w:right w:val="single" w:sz="4" w:space="0" w:color="B4C6E7"/>
            </w:tcBorders>
          </w:tcPr>
          <w:p w14:paraId="58ADFE1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AA</w:t>
            </w:r>
          </w:p>
        </w:tc>
        <w:tc>
          <w:tcPr>
            <w:tcW w:w="1107" w:type="dxa"/>
            <w:tcBorders>
              <w:top w:val="single" w:sz="4" w:space="0" w:color="B4C6E7"/>
              <w:left w:val="single" w:sz="4" w:space="0" w:color="B4C6E7"/>
              <w:bottom w:val="single" w:sz="4" w:space="0" w:color="B4C6E7"/>
              <w:right w:val="single" w:sz="4" w:space="0" w:color="B4C6E7"/>
            </w:tcBorders>
          </w:tcPr>
          <w:p w14:paraId="25FA1E9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33 (36.7)</w:t>
            </w:r>
          </w:p>
        </w:tc>
        <w:tc>
          <w:tcPr>
            <w:tcW w:w="1517" w:type="dxa"/>
            <w:vMerge w:val="restart"/>
            <w:tcBorders>
              <w:top w:val="single" w:sz="4" w:space="0" w:color="B4C6E7"/>
              <w:left w:val="single" w:sz="4" w:space="0" w:color="B4C6E7"/>
              <w:bottom w:val="single" w:sz="4" w:space="0" w:color="B4C6E7"/>
              <w:right w:val="single" w:sz="4" w:space="0" w:color="B4C6E7"/>
            </w:tcBorders>
          </w:tcPr>
          <w:p w14:paraId="0775277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A :</w:t>
            </w:r>
            <w:proofErr w:type="gramEnd"/>
            <w:r>
              <w:rPr>
                <w:rFonts w:ascii="Times New Roman" w:eastAsia="Times New Roman" w:hAnsi="Times New Roman" w:cs="Times New Roman"/>
              </w:rPr>
              <w:t xml:space="preserve"> G = 0.55 : 0.45</w:t>
            </w:r>
          </w:p>
        </w:tc>
        <w:tc>
          <w:tcPr>
            <w:tcW w:w="1107" w:type="dxa"/>
            <w:tcBorders>
              <w:top w:val="single" w:sz="4" w:space="0" w:color="B4C6E7"/>
              <w:left w:val="single" w:sz="4" w:space="0" w:color="B4C6E7"/>
              <w:bottom w:val="single" w:sz="4" w:space="0" w:color="B4C6E7"/>
              <w:right w:val="single" w:sz="4" w:space="0" w:color="B4C6E7"/>
            </w:tcBorders>
          </w:tcPr>
          <w:p w14:paraId="3478673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20 (33.3)</w:t>
            </w:r>
          </w:p>
        </w:tc>
        <w:tc>
          <w:tcPr>
            <w:tcW w:w="1514" w:type="dxa"/>
            <w:vMerge w:val="restart"/>
            <w:tcBorders>
              <w:top w:val="single" w:sz="4" w:space="0" w:color="B4C6E7"/>
              <w:left w:val="single" w:sz="4" w:space="0" w:color="B4C6E7"/>
              <w:bottom w:val="single" w:sz="4" w:space="0" w:color="B4C6E7"/>
              <w:right w:val="single" w:sz="4" w:space="0" w:color="B4C6E7"/>
            </w:tcBorders>
          </w:tcPr>
          <w:p w14:paraId="0A1D429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A :</w:t>
            </w:r>
            <w:proofErr w:type="gramEnd"/>
            <w:r>
              <w:rPr>
                <w:rFonts w:ascii="Times New Roman" w:eastAsia="Times New Roman" w:hAnsi="Times New Roman" w:cs="Times New Roman"/>
              </w:rPr>
              <w:t xml:space="preserve"> G = 0.57 : 0.43</w:t>
            </w:r>
          </w:p>
        </w:tc>
        <w:tc>
          <w:tcPr>
            <w:tcW w:w="1301" w:type="dxa"/>
            <w:vMerge w:val="restart"/>
            <w:tcBorders>
              <w:top w:val="single" w:sz="4" w:space="0" w:color="B4C6E7"/>
              <w:left w:val="single" w:sz="4" w:space="0" w:color="B4C6E7"/>
              <w:bottom w:val="single" w:sz="4" w:space="0" w:color="B4C6E7"/>
              <w:right w:val="single" w:sz="4" w:space="0" w:color="B4C6E7"/>
            </w:tcBorders>
          </w:tcPr>
          <w:p w14:paraId="1F8F5905"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0.46</w:t>
            </w:r>
          </w:p>
        </w:tc>
        <w:tc>
          <w:tcPr>
            <w:tcW w:w="36" w:type="dxa"/>
          </w:tcPr>
          <w:p w14:paraId="5956CBF6"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109A2489"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0F467368"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1CC61701"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766D3A0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AG</w:t>
            </w:r>
          </w:p>
        </w:tc>
        <w:tc>
          <w:tcPr>
            <w:tcW w:w="1107" w:type="dxa"/>
            <w:tcBorders>
              <w:top w:val="single" w:sz="4" w:space="0" w:color="B4C6E7"/>
              <w:left w:val="single" w:sz="4" w:space="0" w:color="B4C6E7"/>
              <w:bottom w:val="single" w:sz="4" w:space="0" w:color="B4C6E7"/>
              <w:right w:val="single" w:sz="4" w:space="0" w:color="B4C6E7"/>
            </w:tcBorders>
          </w:tcPr>
          <w:p w14:paraId="575744D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33 (36.7)</w:t>
            </w:r>
          </w:p>
        </w:tc>
        <w:tc>
          <w:tcPr>
            <w:tcW w:w="1517" w:type="dxa"/>
            <w:vMerge/>
            <w:tcBorders>
              <w:top w:val="single" w:sz="4" w:space="0" w:color="B4C6E7"/>
              <w:left w:val="single" w:sz="4" w:space="0" w:color="B4C6E7"/>
              <w:bottom w:val="single" w:sz="4" w:space="0" w:color="B4C6E7"/>
              <w:right w:val="single" w:sz="4" w:space="0" w:color="B4C6E7"/>
            </w:tcBorders>
          </w:tcPr>
          <w:p w14:paraId="49F94F36"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7C60B9A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28 (46.7)</w:t>
            </w:r>
          </w:p>
        </w:tc>
        <w:tc>
          <w:tcPr>
            <w:tcW w:w="1514" w:type="dxa"/>
            <w:vMerge/>
            <w:tcBorders>
              <w:top w:val="single" w:sz="4" w:space="0" w:color="B4C6E7"/>
              <w:left w:val="single" w:sz="4" w:space="0" w:color="B4C6E7"/>
              <w:bottom w:val="single" w:sz="4" w:space="0" w:color="B4C6E7"/>
              <w:right w:val="single" w:sz="4" w:space="0" w:color="B4C6E7"/>
            </w:tcBorders>
          </w:tcPr>
          <w:p w14:paraId="25BF6994"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3B421CDF" w14:textId="77777777" w:rsidR="00A6651D" w:rsidRDefault="00A6651D" w:rsidP="00B57F2E"/>
        </w:tc>
        <w:tc>
          <w:tcPr>
            <w:tcW w:w="36" w:type="dxa"/>
          </w:tcPr>
          <w:p w14:paraId="725A6323"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318D73A5"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04786820"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1A3F4AA0"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091E9C0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GG</w:t>
            </w:r>
          </w:p>
        </w:tc>
        <w:tc>
          <w:tcPr>
            <w:tcW w:w="1107" w:type="dxa"/>
            <w:tcBorders>
              <w:top w:val="single" w:sz="4" w:space="0" w:color="B4C6E7"/>
              <w:left w:val="single" w:sz="4" w:space="0" w:color="B4C6E7"/>
              <w:bottom w:val="single" w:sz="4" w:space="0" w:color="B4C6E7"/>
              <w:right w:val="single" w:sz="4" w:space="0" w:color="B4C6E7"/>
            </w:tcBorders>
          </w:tcPr>
          <w:p w14:paraId="76550325"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24 (26.7)</w:t>
            </w:r>
          </w:p>
        </w:tc>
        <w:tc>
          <w:tcPr>
            <w:tcW w:w="1517" w:type="dxa"/>
            <w:vMerge/>
            <w:tcBorders>
              <w:top w:val="single" w:sz="4" w:space="0" w:color="B4C6E7"/>
              <w:left w:val="single" w:sz="4" w:space="0" w:color="B4C6E7"/>
              <w:bottom w:val="single" w:sz="4" w:space="0" w:color="B4C6E7"/>
              <w:right w:val="single" w:sz="4" w:space="0" w:color="B4C6E7"/>
            </w:tcBorders>
          </w:tcPr>
          <w:p w14:paraId="3666A8A4"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1B605B5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12 (20.0)</w:t>
            </w:r>
          </w:p>
        </w:tc>
        <w:tc>
          <w:tcPr>
            <w:tcW w:w="1514" w:type="dxa"/>
            <w:vMerge/>
            <w:tcBorders>
              <w:top w:val="single" w:sz="4" w:space="0" w:color="B4C6E7"/>
              <w:left w:val="single" w:sz="4" w:space="0" w:color="B4C6E7"/>
              <w:bottom w:val="single" w:sz="4" w:space="0" w:color="B4C6E7"/>
              <w:right w:val="single" w:sz="4" w:space="0" w:color="B4C6E7"/>
            </w:tcBorders>
          </w:tcPr>
          <w:p w14:paraId="5A9D088C"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555DCAEF" w14:textId="77777777" w:rsidR="00A6651D" w:rsidRDefault="00A6651D" w:rsidP="00B57F2E"/>
        </w:tc>
        <w:tc>
          <w:tcPr>
            <w:tcW w:w="36" w:type="dxa"/>
          </w:tcPr>
          <w:p w14:paraId="0A3F1822"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0CE7BFA"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1A9A49A0"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2C0739F2"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2C46C2F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w:t>
            </w:r>
          </w:p>
        </w:tc>
        <w:tc>
          <w:tcPr>
            <w:tcW w:w="1107" w:type="dxa"/>
            <w:tcBorders>
              <w:top w:val="single" w:sz="4" w:space="0" w:color="B4C6E7"/>
              <w:left w:val="single" w:sz="4" w:space="0" w:color="B4C6E7"/>
              <w:bottom w:val="single" w:sz="4" w:space="0" w:color="B4C6E7"/>
              <w:right w:val="single" w:sz="4" w:space="0" w:color="B4C6E7"/>
            </w:tcBorders>
          </w:tcPr>
          <w:p w14:paraId="31B1831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99</w:t>
            </w:r>
          </w:p>
        </w:tc>
        <w:tc>
          <w:tcPr>
            <w:tcW w:w="1517" w:type="dxa"/>
            <w:vMerge/>
            <w:tcBorders>
              <w:top w:val="single" w:sz="4" w:space="0" w:color="B4C6E7"/>
              <w:left w:val="single" w:sz="4" w:space="0" w:color="B4C6E7"/>
              <w:bottom w:val="single" w:sz="4" w:space="0" w:color="B4C6E7"/>
              <w:right w:val="single" w:sz="4" w:space="0" w:color="B4C6E7"/>
            </w:tcBorders>
          </w:tcPr>
          <w:p w14:paraId="01FE3C7C"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1163069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68</w:t>
            </w:r>
          </w:p>
        </w:tc>
        <w:tc>
          <w:tcPr>
            <w:tcW w:w="1514" w:type="dxa"/>
            <w:vMerge/>
            <w:tcBorders>
              <w:top w:val="single" w:sz="4" w:space="0" w:color="B4C6E7"/>
              <w:left w:val="single" w:sz="4" w:space="0" w:color="B4C6E7"/>
              <w:bottom w:val="single" w:sz="4" w:space="0" w:color="B4C6E7"/>
              <w:right w:val="single" w:sz="4" w:space="0" w:color="B4C6E7"/>
            </w:tcBorders>
          </w:tcPr>
          <w:p w14:paraId="1F008269"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7197BF6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659784CC"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B6536C8"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0C76CE96"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44DFFCC7"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5FF12AA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w:t>
            </w:r>
          </w:p>
        </w:tc>
        <w:tc>
          <w:tcPr>
            <w:tcW w:w="1107" w:type="dxa"/>
            <w:tcBorders>
              <w:top w:val="single" w:sz="4" w:space="0" w:color="B4C6E7"/>
              <w:left w:val="single" w:sz="4" w:space="0" w:color="B4C6E7"/>
              <w:bottom w:val="single" w:sz="4" w:space="0" w:color="B4C6E7"/>
              <w:right w:val="single" w:sz="4" w:space="0" w:color="B4C6E7"/>
            </w:tcBorders>
          </w:tcPr>
          <w:p w14:paraId="41FF4946"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81</w:t>
            </w:r>
          </w:p>
        </w:tc>
        <w:tc>
          <w:tcPr>
            <w:tcW w:w="1517" w:type="dxa"/>
            <w:vMerge/>
            <w:tcBorders>
              <w:top w:val="single" w:sz="4" w:space="0" w:color="B4C6E7"/>
              <w:left w:val="single" w:sz="4" w:space="0" w:color="B4C6E7"/>
              <w:bottom w:val="single" w:sz="4" w:space="0" w:color="B4C6E7"/>
              <w:right w:val="single" w:sz="4" w:space="0" w:color="B4C6E7"/>
            </w:tcBorders>
          </w:tcPr>
          <w:p w14:paraId="79AAEA21"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2CE4DCD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52</w:t>
            </w:r>
          </w:p>
        </w:tc>
        <w:tc>
          <w:tcPr>
            <w:tcW w:w="1514" w:type="dxa"/>
            <w:vMerge/>
            <w:tcBorders>
              <w:top w:val="single" w:sz="4" w:space="0" w:color="B4C6E7"/>
              <w:left w:val="single" w:sz="4" w:space="0" w:color="B4C6E7"/>
              <w:bottom w:val="single" w:sz="4" w:space="0" w:color="B4C6E7"/>
              <w:right w:val="single" w:sz="4" w:space="0" w:color="B4C6E7"/>
            </w:tcBorders>
          </w:tcPr>
          <w:p w14:paraId="62F7F5E5"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5DA1465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0F13F330"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D201F78" w14:textId="77777777" w:rsidTr="00B57F2E">
        <w:trPr>
          <w:trHeight w:val="300"/>
        </w:trPr>
        <w:tc>
          <w:tcPr>
            <w:tcW w:w="828" w:type="dxa"/>
            <w:vMerge w:val="restart"/>
            <w:tcBorders>
              <w:top w:val="single" w:sz="4" w:space="0" w:color="B4C6E7"/>
              <w:left w:val="single" w:sz="4" w:space="0" w:color="B4C6E7"/>
              <w:bottom w:val="single" w:sz="4" w:space="0" w:color="B4C6E7"/>
              <w:right w:val="single" w:sz="4" w:space="0" w:color="B4C6E7"/>
            </w:tcBorders>
          </w:tcPr>
          <w:p w14:paraId="44F34EE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CES1</w:t>
            </w:r>
          </w:p>
        </w:tc>
        <w:tc>
          <w:tcPr>
            <w:tcW w:w="965" w:type="dxa"/>
            <w:vMerge w:val="restart"/>
            <w:tcBorders>
              <w:top w:val="single" w:sz="4" w:space="0" w:color="B4C6E7"/>
              <w:left w:val="single" w:sz="4" w:space="0" w:color="B4C6E7"/>
              <w:bottom w:val="single" w:sz="4" w:space="0" w:color="B4C6E7"/>
              <w:right w:val="single" w:sz="4" w:space="0" w:color="B4C6E7"/>
            </w:tcBorders>
          </w:tcPr>
          <w:p w14:paraId="4527C3BF"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rs8192935</w:t>
            </w:r>
          </w:p>
        </w:tc>
        <w:tc>
          <w:tcPr>
            <w:tcW w:w="696" w:type="dxa"/>
            <w:tcBorders>
              <w:top w:val="single" w:sz="4" w:space="0" w:color="B4C6E7"/>
              <w:left w:val="single" w:sz="4" w:space="0" w:color="B4C6E7"/>
              <w:bottom w:val="single" w:sz="4" w:space="0" w:color="B4C6E7"/>
              <w:right w:val="single" w:sz="4" w:space="0" w:color="B4C6E7"/>
            </w:tcBorders>
          </w:tcPr>
          <w:p w14:paraId="218D549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AA</w:t>
            </w:r>
          </w:p>
        </w:tc>
        <w:tc>
          <w:tcPr>
            <w:tcW w:w="1107" w:type="dxa"/>
            <w:tcBorders>
              <w:top w:val="single" w:sz="4" w:space="0" w:color="B4C6E7"/>
              <w:left w:val="single" w:sz="4" w:space="0" w:color="B4C6E7"/>
              <w:bottom w:val="single" w:sz="4" w:space="0" w:color="B4C6E7"/>
              <w:right w:val="single" w:sz="4" w:space="0" w:color="B4C6E7"/>
            </w:tcBorders>
          </w:tcPr>
          <w:p w14:paraId="45F24B3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33 (36.7)</w:t>
            </w:r>
          </w:p>
        </w:tc>
        <w:tc>
          <w:tcPr>
            <w:tcW w:w="1517" w:type="dxa"/>
            <w:vMerge w:val="restart"/>
            <w:tcBorders>
              <w:top w:val="single" w:sz="4" w:space="0" w:color="B4C6E7"/>
              <w:left w:val="single" w:sz="4" w:space="0" w:color="B4C6E7"/>
              <w:bottom w:val="single" w:sz="4" w:space="0" w:color="B4C6E7"/>
              <w:right w:val="single" w:sz="4" w:space="0" w:color="B4C6E7"/>
            </w:tcBorders>
          </w:tcPr>
          <w:p w14:paraId="7B3D5A1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A :</w:t>
            </w:r>
            <w:proofErr w:type="gramEnd"/>
            <w:r>
              <w:rPr>
                <w:rFonts w:ascii="Times New Roman" w:eastAsia="Times New Roman" w:hAnsi="Times New Roman" w:cs="Times New Roman"/>
              </w:rPr>
              <w:t xml:space="preserve"> G = 0.63 : 0.37</w:t>
            </w:r>
          </w:p>
        </w:tc>
        <w:tc>
          <w:tcPr>
            <w:tcW w:w="1107" w:type="dxa"/>
            <w:tcBorders>
              <w:top w:val="single" w:sz="4" w:space="0" w:color="B4C6E7"/>
              <w:left w:val="single" w:sz="4" w:space="0" w:color="B4C6E7"/>
              <w:bottom w:val="single" w:sz="4" w:space="0" w:color="B4C6E7"/>
              <w:right w:val="single" w:sz="4" w:space="0" w:color="B4C6E7"/>
            </w:tcBorders>
          </w:tcPr>
          <w:p w14:paraId="7BB5487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22 (36.7)</w:t>
            </w:r>
          </w:p>
        </w:tc>
        <w:tc>
          <w:tcPr>
            <w:tcW w:w="1514" w:type="dxa"/>
            <w:vMerge w:val="restart"/>
            <w:tcBorders>
              <w:top w:val="single" w:sz="4" w:space="0" w:color="B4C6E7"/>
              <w:left w:val="single" w:sz="4" w:space="0" w:color="B4C6E7"/>
              <w:bottom w:val="single" w:sz="4" w:space="0" w:color="B4C6E7"/>
              <w:right w:val="single" w:sz="4" w:space="0" w:color="B4C6E7"/>
            </w:tcBorders>
          </w:tcPr>
          <w:p w14:paraId="74AAEF7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A :</w:t>
            </w:r>
            <w:proofErr w:type="gramEnd"/>
            <w:r>
              <w:rPr>
                <w:rFonts w:ascii="Times New Roman" w:eastAsia="Times New Roman" w:hAnsi="Times New Roman" w:cs="Times New Roman"/>
              </w:rPr>
              <w:t xml:space="preserve"> G = 0.61 : 0.39</w:t>
            </w:r>
          </w:p>
        </w:tc>
        <w:tc>
          <w:tcPr>
            <w:tcW w:w="1301" w:type="dxa"/>
            <w:vMerge w:val="restart"/>
            <w:tcBorders>
              <w:top w:val="single" w:sz="4" w:space="0" w:color="B4C6E7"/>
              <w:left w:val="single" w:sz="4" w:space="0" w:color="B4C6E7"/>
              <w:bottom w:val="single" w:sz="4" w:space="0" w:color="B4C6E7"/>
              <w:right w:val="single" w:sz="4" w:space="0" w:color="B4C6E7"/>
            </w:tcBorders>
          </w:tcPr>
          <w:p w14:paraId="5CB0FB5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0.78</w:t>
            </w:r>
          </w:p>
        </w:tc>
        <w:tc>
          <w:tcPr>
            <w:tcW w:w="36" w:type="dxa"/>
          </w:tcPr>
          <w:p w14:paraId="0CA766D1"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7EA8FF11"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2463F345"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29786C25"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0BD9854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AG</w:t>
            </w:r>
          </w:p>
        </w:tc>
        <w:tc>
          <w:tcPr>
            <w:tcW w:w="1107" w:type="dxa"/>
            <w:tcBorders>
              <w:top w:val="single" w:sz="4" w:space="0" w:color="B4C6E7"/>
              <w:left w:val="single" w:sz="4" w:space="0" w:color="B4C6E7"/>
              <w:bottom w:val="single" w:sz="4" w:space="0" w:color="B4C6E7"/>
              <w:right w:val="single" w:sz="4" w:space="0" w:color="B4C6E7"/>
            </w:tcBorders>
          </w:tcPr>
          <w:p w14:paraId="32DA093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47 (52.2)</w:t>
            </w:r>
          </w:p>
        </w:tc>
        <w:tc>
          <w:tcPr>
            <w:tcW w:w="1517" w:type="dxa"/>
            <w:vMerge/>
            <w:tcBorders>
              <w:top w:val="single" w:sz="4" w:space="0" w:color="B4C6E7"/>
              <w:left w:val="single" w:sz="4" w:space="0" w:color="B4C6E7"/>
              <w:bottom w:val="single" w:sz="4" w:space="0" w:color="B4C6E7"/>
              <w:right w:val="single" w:sz="4" w:space="0" w:color="B4C6E7"/>
            </w:tcBorders>
          </w:tcPr>
          <w:p w14:paraId="719FA34B"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1448762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29 (48.3)</w:t>
            </w:r>
          </w:p>
        </w:tc>
        <w:tc>
          <w:tcPr>
            <w:tcW w:w="1514" w:type="dxa"/>
            <w:vMerge/>
            <w:tcBorders>
              <w:top w:val="single" w:sz="4" w:space="0" w:color="B4C6E7"/>
              <w:left w:val="single" w:sz="4" w:space="0" w:color="B4C6E7"/>
              <w:bottom w:val="single" w:sz="4" w:space="0" w:color="B4C6E7"/>
              <w:right w:val="single" w:sz="4" w:space="0" w:color="B4C6E7"/>
            </w:tcBorders>
          </w:tcPr>
          <w:p w14:paraId="3AEA4E7A"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49D165A7" w14:textId="77777777" w:rsidR="00A6651D" w:rsidRDefault="00A6651D" w:rsidP="00B57F2E"/>
        </w:tc>
        <w:tc>
          <w:tcPr>
            <w:tcW w:w="36" w:type="dxa"/>
          </w:tcPr>
          <w:p w14:paraId="01358E84"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52380384"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344E3A52"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3820267E"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44718D4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GG</w:t>
            </w:r>
          </w:p>
        </w:tc>
        <w:tc>
          <w:tcPr>
            <w:tcW w:w="1107" w:type="dxa"/>
            <w:tcBorders>
              <w:top w:val="single" w:sz="4" w:space="0" w:color="B4C6E7"/>
              <w:left w:val="single" w:sz="4" w:space="0" w:color="B4C6E7"/>
              <w:bottom w:val="single" w:sz="4" w:space="0" w:color="B4C6E7"/>
              <w:right w:val="single" w:sz="4" w:space="0" w:color="B4C6E7"/>
            </w:tcBorders>
          </w:tcPr>
          <w:p w14:paraId="5345F75F"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10 (11.1)</w:t>
            </w:r>
          </w:p>
        </w:tc>
        <w:tc>
          <w:tcPr>
            <w:tcW w:w="1517" w:type="dxa"/>
            <w:vMerge/>
            <w:tcBorders>
              <w:top w:val="single" w:sz="4" w:space="0" w:color="B4C6E7"/>
              <w:left w:val="single" w:sz="4" w:space="0" w:color="B4C6E7"/>
              <w:bottom w:val="single" w:sz="4" w:space="0" w:color="B4C6E7"/>
              <w:right w:val="single" w:sz="4" w:space="0" w:color="B4C6E7"/>
            </w:tcBorders>
          </w:tcPr>
          <w:p w14:paraId="3E2FC6C9"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49E9ED9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9 (15.0)</w:t>
            </w:r>
          </w:p>
        </w:tc>
        <w:tc>
          <w:tcPr>
            <w:tcW w:w="1514" w:type="dxa"/>
            <w:vMerge/>
            <w:tcBorders>
              <w:top w:val="single" w:sz="4" w:space="0" w:color="B4C6E7"/>
              <w:left w:val="single" w:sz="4" w:space="0" w:color="B4C6E7"/>
              <w:bottom w:val="single" w:sz="4" w:space="0" w:color="B4C6E7"/>
              <w:right w:val="single" w:sz="4" w:space="0" w:color="B4C6E7"/>
            </w:tcBorders>
          </w:tcPr>
          <w:p w14:paraId="2E4D0BF5"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5CD075C4" w14:textId="77777777" w:rsidR="00A6651D" w:rsidRDefault="00A6651D" w:rsidP="00B57F2E"/>
        </w:tc>
        <w:tc>
          <w:tcPr>
            <w:tcW w:w="36" w:type="dxa"/>
          </w:tcPr>
          <w:p w14:paraId="4442D025"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66464C88"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49EBC442"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74D4E1A1"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25E0CC8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w:t>
            </w:r>
          </w:p>
        </w:tc>
        <w:tc>
          <w:tcPr>
            <w:tcW w:w="1107" w:type="dxa"/>
            <w:tcBorders>
              <w:top w:val="single" w:sz="4" w:space="0" w:color="B4C6E7"/>
              <w:left w:val="single" w:sz="4" w:space="0" w:color="B4C6E7"/>
              <w:bottom w:val="single" w:sz="4" w:space="0" w:color="B4C6E7"/>
              <w:right w:val="single" w:sz="4" w:space="0" w:color="B4C6E7"/>
            </w:tcBorders>
          </w:tcPr>
          <w:p w14:paraId="3C135E9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113</w:t>
            </w:r>
          </w:p>
        </w:tc>
        <w:tc>
          <w:tcPr>
            <w:tcW w:w="1517" w:type="dxa"/>
            <w:vMerge/>
            <w:tcBorders>
              <w:top w:val="single" w:sz="4" w:space="0" w:color="B4C6E7"/>
              <w:left w:val="single" w:sz="4" w:space="0" w:color="B4C6E7"/>
              <w:bottom w:val="single" w:sz="4" w:space="0" w:color="B4C6E7"/>
              <w:right w:val="single" w:sz="4" w:space="0" w:color="B4C6E7"/>
            </w:tcBorders>
          </w:tcPr>
          <w:p w14:paraId="4E2090E2"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5263199F"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73</w:t>
            </w:r>
          </w:p>
        </w:tc>
        <w:tc>
          <w:tcPr>
            <w:tcW w:w="1514" w:type="dxa"/>
            <w:vMerge/>
            <w:tcBorders>
              <w:top w:val="single" w:sz="4" w:space="0" w:color="B4C6E7"/>
              <w:left w:val="single" w:sz="4" w:space="0" w:color="B4C6E7"/>
              <w:bottom w:val="single" w:sz="4" w:space="0" w:color="B4C6E7"/>
              <w:right w:val="single" w:sz="4" w:space="0" w:color="B4C6E7"/>
            </w:tcBorders>
          </w:tcPr>
          <w:p w14:paraId="3EDADBB4"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6D2B544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324D9B29"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6C1353C0"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31F2F90A"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5148C33B"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6F769D06"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w:t>
            </w:r>
          </w:p>
        </w:tc>
        <w:tc>
          <w:tcPr>
            <w:tcW w:w="1107" w:type="dxa"/>
            <w:tcBorders>
              <w:top w:val="single" w:sz="4" w:space="0" w:color="B4C6E7"/>
              <w:left w:val="single" w:sz="4" w:space="0" w:color="B4C6E7"/>
              <w:bottom w:val="single" w:sz="4" w:space="0" w:color="B4C6E7"/>
              <w:right w:val="single" w:sz="4" w:space="0" w:color="B4C6E7"/>
            </w:tcBorders>
          </w:tcPr>
          <w:p w14:paraId="3472F34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67</w:t>
            </w:r>
          </w:p>
        </w:tc>
        <w:tc>
          <w:tcPr>
            <w:tcW w:w="1517" w:type="dxa"/>
            <w:vMerge/>
            <w:tcBorders>
              <w:top w:val="single" w:sz="4" w:space="0" w:color="B4C6E7"/>
              <w:left w:val="single" w:sz="4" w:space="0" w:color="B4C6E7"/>
              <w:bottom w:val="single" w:sz="4" w:space="0" w:color="B4C6E7"/>
              <w:right w:val="single" w:sz="4" w:space="0" w:color="B4C6E7"/>
            </w:tcBorders>
          </w:tcPr>
          <w:p w14:paraId="38EBCDA0"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493C3D0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47</w:t>
            </w:r>
          </w:p>
        </w:tc>
        <w:tc>
          <w:tcPr>
            <w:tcW w:w="1514" w:type="dxa"/>
            <w:vMerge/>
            <w:tcBorders>
              <w:top w:val="single" w:sz="4" w:space="0" w:color="B4C6E7"/>
              <w:left w:val="single" w:sz="4" w:space="0" w:color="B4C6E7"/>
              <w:bottom w:val="single" w:sz="4" w:space="0" w:color="B4C6E7"/>
              <w:right w:val="single" w:sz="4" w:space="0" w:color="B4C6E7"/>
            </w:tcBorders>
          </w:tcPr>
          <w:p w14:paraId="26FD2CF3"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59B23B1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2591F93D"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2FCBB047" w14:textId="77777777" w:rsidTr="00B57F2E">
        <w:trPr>
          <w:trHeight w:val="300"/>
        </w:trPr>
        <w:tc>
          <w:tcPr>
            <w:tcW w:w="828" w:type="dxa"/>
            <w:vMerge w:val="restart"/>
            <w:tcBorders>
              <w:top w:val="single" w:sz="4" w:space="0" w:color="B4C6E7"/>
              <w:left w:val="single" w:sz="4" w:space="0" w:color="B4C6E7"/>
              <w:bottom w:val="single" w:sz="4" w:space="0" w:color="B4C6E7"/>
              <w:right w:val="single" w:sz="4" w:space="0" w:color="B4C6E7"/>
            </w:tcBorders>
          </w:tcPr>
          <w:p w14:paraId="3C80EE9A"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CES1</w:t>
            </w:r>
          </w:p>
        </w:tc>
        <w:tc>
          <w:tcPr>
            <w:tcW w:w="965" w:type="dxa"/>
            <w:vMerge w:val="restart"/>
            <w:tcBorders>
              <w:top w:val="single" w:sz="4" w:space="0" w:color="B4C6E7"/>
              <w:left w:val="single" w:sz="4" w:space="0" w:color="B4C6E7"/>
              <w:bottom w:val="single" w:sz="4" w:space="0" w:color="B4C6E7"/>
              <w:right w:val="single" w:sz="4" w:space="0" w:color="B4C6E7"/>
            </w:tcBorders>
          </w:tcPr>
          <w:p w14:paraId="394E5B8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rs2244613</w:t>
            </w:r>
          </w:p>
        </w:tc>
        <w:tc>
          <w:tcPr>
            <w:tcW w:w="696" w:type="dxa"/>
            <w:tcBorders>
              <w:top w:val="single" w:sz="4" w:space="0" w:color="B4C6E7"/>
              <w:left w:val="single" w:sz="4" w:space="0" w:color="B4C6E7"/>
              <w:bottom w:val="single" w:sz="4" w:space="0" w:color="B4C6E7"/>
              <w:right w:val="single" w:sz="4" w:space="0" w:color="B4C6E7"/>
            </w:tcBorders>
          </w:tcPr>
          <w:p w14:paraId="0E1AB5E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GG</w:t>
            </w:r>
          </w:p>
        </w:tc>
        <w:tc>
          <w:tcPr>
            <w:tcW w:w="1107" w:type="dxa"/>
            <w:tcBorders>
              <w:top w:val="single" w:sz="4" w:space="0" w:color="B4C6E7"/>
              <w:left w:val="single" w:sz="4" w:space="0" w:color="B4C6E7"/>
              <w:bottom w:val="single" w:sz="4" w:space="0" w:color="B4C6E7"/>
              <w:right w:val="single" w:sz="4" w:space="0" w:color="B4C6E7"/>
            </w:tcBorders>
          </w:tcPr>
          <w:p w14:paraId="31C1CAB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20 (22.2)</w:t>
            </w:r>
          </w:p>
        </w:tc>
        <w:tc>
          <w:tcPr>
            <w:tcW w:w="1517" w:type="dxa"/>
            <w:vMerge w:val="restart"/>
            <w:tcBorders>
              <w:top w:val="single" w:sz="4" w:space="0" w:color="B4C6E7"/>
              <w:left w:val="single" w:sz="4" w:space="0" w:color="B4C6E7"/>
              <w:bottom w:val="single" w:sz="4" w:space="0" w:color="B4C6E7"/>
              <w:right w:val="single" w:sz="4" w:space="0" w:color="B4C6E7"/>
            </w:tcBorders>
          </w:tcPr>
          <w:p w14:paraId="728AC038"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G :</w:t>
            </w:r>
            <w:proofErr w:type="gramEnd"/>
            <w:r>
              <w:rPr>
                <w:rFonts w:ascii="Times New Roman" w:eastAsia="Times New Roman" w:hAnsi="Times New Roman" w:cs="Times New Roman"/>
              </w:rPr>
              <w:t xml:space="preserve"> T = 0.47 : 0.53</w:t>
            </w:r>
          </w:p>
        </w:tc>
        <w:tc>
          <w:tcPr>
            <w:tcW w:w="1107" w:type="dxa"/>
            <w:tcBorders>
              <w:top w:val="single" w:sz="4" w:space="0" w:color="B4C6E7"/>
              <w:left w:val="single" w:sz="4" w:space="0" w:color="B4C6E7"/>
              <w:bottom w:val="single" w:sz="4" w:space="0" w:color="B4C6E7"/>
              <w:right w:val="single" w:sz="4" w:space="0" w:color="B4C6E7"/>
            </w:tcBorders>
          </w:tcPr>
          <w:p w14:paraId="4FFD1A35"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17 (28.3)</w:t>
            </w:r>
          </w:p>
        </w:tc>
        <w:tc>
          <w:tcPr>
            <w:tcW w:w="1514" w:type="dxa"/>
            <w:vMerge w:val="restart"/>
            <w:tcBorders>
              <w:top w:val="single" w:sz="4" w:space="0" w:color="B4C6E7"/>
              <w:left w:val="single" w:sz="4" w:space="0" w:color="B4C6E7"/>
              <w:bottom w:val="single" w:sz="4" w:space="0" w:color="B4C6E7"/>
              <w:right w:val="single" w:sz="4" w:space="0" w:color="B4C6E7"/>
            </w:tcBorders>
          </w:tcPr>
          <w:p w14:paraId="3BE3327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G :</w:t>
            </w:r>
            <w:proofErr w:type="gramEnd"/>
            <w:r>
              <w:rPr>
                <w:rFonts w:ascii="Times New Roman" w:eastAsia="Times New Roman" w:hAnsi="Times New Roman" w:cs="Times New Roman"/>
              </w:rPr>
              <w:t xml:space="preserve"> T = 0.48 : 0.52</w:t>
            </w:r>
          </w:p>
        </w:tc>
        <w:tc>
          <w:tcPr>
            <w:tcW w:w="1301" w:type="dxa"/>
            <w:vMerge w:val="restart"/>
            <w:tcBorders>
              <w:top w:val="single" w:sz="4" w:space="0" w:color="B4C6E7"/>
              <w:left w:val="single" w:sz="4" w:space="0" w:color="B4C6E7"/>
              <w:bottom w:val="single" w:sz="4" w:space="0" w:color="B4C6E7"/>
              <w:right w:val="single" w:sz="4" w:space="0" w:color="B4C6E7"/>
            </w:tcBorders>
          </w:tcPr>
          <w:p w14:paraId="161365C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0.48</w:t>
            </w:r>
          </w:p>
        </w:tc>
        <w:tc>
          <w:tcPr>
            <w:tcW w:w="36" w:type="dxa"/>
          </w:tcPr>
          <w:p w14:paraId="0133803F"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6F312F60"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343660E5"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25301303"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405625C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GT</w:t>
            </w:r>
          </w:p>
        </w:tc>
        <w:tc>
          <w:tcPr>
            <w:tcW w:w="1107" w:type="dxa"/>
            <w:tcBorders>
              <w:top w:val="single" w:sz="4" w:space="0" w:color="B4C6E7"/>
              <w:left w:val="single" w:sz="4" w:space="0" w:color="B4C6E7"/>
              <w:bottom w:val="single" w:sz="4" w:space="0" w:color="B4C6E7"/>
              <w:right w:val="single" w:sz="4" w:space="0" w:color="B4C6E7"/>
            </w:tcBorders>
          </w:tcPr>
          <w:p w14:paraId="43F52B8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45 (50.0)</w:t>
            </w:r>
          </w:p>
        </w:tc>
        <w:tc>
          <w:tcPr>
            <w:tcW w:w="1517" w:type="dxa"/>
            <w:vMerge/>
            <w:tcBorders>
              <w:top w:val="single" w:sz="4" w:space="0" w:color="B4C6E7"/>
              <w:left w:val="single" w:sz="4" w:space="0" w:color="B4C6E7"/>
              <w:bottom w:val="single" w:sz="4" w:space="0" w:color="B4C6E7"/>
              <w:right w:val="single" w:sz="4" w:space="0" w:color="B4C6E7"/>
            </w:tcBorders>
          </w:tcPr>
          <w:p w14:paraId="2F931064"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37E890F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24 (40.0)</w:t>
            </w:r>
          </w:p>
        </w:tc>
        <w:tc>
          <w:tcPr>
            <w:tcW w:w="1514" w:type="dxa"/>
            <w:vMerge/>
            <w:tcBorders>
              <w:top w:val="single" w:sz="4" w:space="0" w:color="B4C6E7"/>
              <w:left w:val="single" w:sz="4" w:space="0" w:color="B4C6E7"/>
              <w:bottom w:val="single" w:sz="4" w:space="0" w:color="B4C6E7"/>
              <w:right w:val="single" w:sz="4" w:space="0" w:color="B4C6E7"/>
            </w:tcBorders>
          </w:tcPr>
          <w:p w14:paraId="700E15E4"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676AB493" w14:textId="77777777" w:rsidR="00A6651D" w:rsidRDefault="00A6651D" w:rsidP="00B57F2E"/>
        </w:tc>
        <w:tc>
          <w:tcPr>
            <w:tcW w:w="36" w:type="dxa"/>
          </w:tcPr>
          <w:p w14:paraId="039E6910"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3758CAC4"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4CF3684A"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30F4C6CF"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397BCA9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TT</w:t>
            </w:r>
          </w:p>
        </w:tc>
        <w:tc>
          <w:tcPr>
            <w:tcW w:w="1107" w:type="dxa"/>
            <w:tcBorders>
              <w:top w:val="single" w:sz="4" w:space="0" w:color="B4C6E7"/>
              <w:left w:val="single" w:sz="4" w:space="0" w:color="B4C6E7"/>
              <w:bottom w:val="single" w:sz="4" w:space="0" w:color="B4C6E7"/>
              <w:right w:val="single" w:sz="4" w:space="0" w:color="B4C6E7"/>
            </w:tcBorders>
          </w:tcPr>
          <w:p w14:paraId="5D16EE9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25 (27.8)</w:t>
            </w:r>
          </w:p>
        </w:tc>
        <w:tc>
          <w:tcPr>
            <w:tcW w:w="1517" w:type="dxa"/>
            <w:vMerge/>
            <w:tcBorders>
              <w:top w:val="single" w:sz="4" w:space="0" w:color="B4C6E7"/>
              <w:left w:val="single" w:sz="4" w:space="0" w:color="B4C6E7"/>
              <w:bottom w:val="single" w:sz="4" w:space="0" w:color="B4C6E7"/>
              <w:right w:val="single" w:sz="4" w:space="0" w:color="B4C6E7"/>
            </w:tcBorders>
          </w:tcPr>
          <w:p w14:paraId="53CB4555"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382FB61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19 (31.7)</w:t>
            </w:r>
          </w:p>
        </w:tc>
        <w:tc>
          <w:tcPr>
            <w:tcW w:w="1514" w:type="dxa"/>
            <w:vMerge/>
            <w:tcBorders>
              <w:top w:val="single" w:sz="4" w:space="0" w:color="B4C6E7"/>
              <w:left w:val="single" w:sz="4" w:space="0" w:color="B4C6E7"/>
              <w:bottom w:val="single" w:sz="4" w:space="0" w:color="B4C6E7"/>
              <w:right w:val="single" w:sz="4" w:space="0" w:color="B4C6E7"/>
            </w:tcBorders>
          </w:tcPr>
          <w:p w14:paraId="1969F6B0"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11297F5A" w14:textId="77777777" w:rsidR="00A6651D" w:rsidRDefault="00A6651D" w:rsidP="00B57F2E"/>
        </w:tc>
        <w:tc>
          <w:tcPr>
            <w:tcW w:w="36" w:type="dxa"/>
          </w:tcPr>
          <w:p w14:paraId="00076921"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EBE0DE1"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64678862"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72E81481"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4C67913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w:t>
            </w:r>
          </w:p>
        </w:tc>
        <w:tc>
          <w:tcPr>
            <w:tcW w:w="1107" w:type="dxa"/>
            <w:tcBorders>
              <w:top w:val="single" w:sz="4" w:space="0" w:color="B4C6E7"/>
              <w:left w:val="single" w:sz="4" w:space="0" w:color="B4C6E7"/>
              <w:bottom w:val="single" w:sz="4" w:space="0" w:color="B4C6E7"/>
              <w:right w:val="single" w:sz="4" w:space="0" w:color="B4C6E7"/>
            </w:tcBorders>
          </w:tcPr>
          <w:p w14:paraId="3C3A206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85</w:t>
            </w:r>
          </w:p>
        </w:tc>
        <w:tc>
          <w:tcPr>
            <w:tcW w:w="1517" w:type="dxa"/>
            <w:vMerge/>
            <w:tcBorders>
              <w:top w:val="single" w:sz="4" w:space="0" w:color="B4C6E7"/>
              <w:left w:val="single" w:sz="4" w:space="0" w:color="B4C6E7"/>
              <w:bottom w:val="single" w:sz="4" w:space="0" w:color="B4C6E7"/>
              <w:right w:val="single" w:sz="4" w:space="0" w:color="B4C6E7"/>
            </w:tcBorders>
          </w:tcPr>
          <w:p w14:paraId="1CFAD9B4"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5E7E9BA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58</w:t>
            </w:r>
          </w:p>
        </w:tc>
        <w:tc>
          <w:tcPr>
            <w:tcW w:w="1514" w:type="dxa"/>
            <w:vMerge/>
            <w:tcBorders>
              <w:top w:val="single" w:sz="4" w:space="0" w:color="B4C6E7"/>
              <w:left w:val="single" w:sz="4" w:space="0" w:color="B4C6E7"/>
              <w:bottom w:val="single" w:sz="4" w:space="0" w:color="B4C6E7"/>
              <w:right w:val="single" w:sz="4" w:space="0" w:color="B4C6E7"/>
            </w:tcBorders>
          </w:tcPr>
          <w:p w14:paraId="3A25C6D5"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5649B491"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64A0FAB0"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1EF0039D"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2C271F58"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73EA4C0E"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7E74B429"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T</w:t>
            </w:r>
          </w:p>
        </w:tc>
        <w:tc>
          <w:tcPr>
            <w:tcW w:w="1107" w:type="dxa"/>
            <w:tcBorders>
              <w:top w:val="single" w:sz="4" w:space="0" w:color="B4C6E7"/>
              <w:left w:val="single" w:sz="4" w:space="0" w:color="B4C6E7"/>
              <w:bottom w:val="single" w:sz="4" w:space="0" w:color="B4C6E7"/>
              <w:right w:val="single" w:sz="4" w:space="0" w:color="B4C6E7"/>
            </w:tcBorders>
          </w:tcPr>
          <w:p w14:paraId="5E308B7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95</w:t>
            </w:r>
          </w:p>
        </w:tc>
        <w:tc>
          <w:tcPr>
            <w:tcW w:w="1517" w:type="dxa"/>
            <w:vMerge/>
            <w:tcBorders>
              <w:top w:val="single" w:sz="4" w:space="0" w:color="B4C6E7"/>
              <w:left w:val="single" w:sz="4" w:space="0" w:color="B4C6E7"/>
              <w:bottom w:val="single" w:sz="4" w:space="0" w:color="B4C6E7"/>
              <w:right w:val="single" w:sz="4" w:space="0" w:color="B4C6E7"/>
            </w:tcBorders>
          </w:tcPr>
          <w:p w14:paraId="076451B2"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2E9EC2E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62</w:t>
            </w:r>
          </w:p>
        </w:tc>
        <w:tc>
          <w:tcPr>
            <w:tcW w:w="1514" w:type="dxa"/>
            <w:vMerge/>
            <w:tcBorders>
              <w:top w:val="single" w:sz="4" w:space="0" w:color="B4C6E7"/>
              <w:left w:val="single" w:sz="4" w:space="0" w:color="B4C6E7"/>
              <w:bottom w:val="single" w:sz="4" w:space="0" w:color="B4C6E7"/>
              <w:right w:val="single" w:sz="4" w:space="0" w:color="B4C6E7"/>
            </w:tcBorders>
          </w:tcPr>
          <w:p w14:paraId="1BA6E178"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6C24871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50607186"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1781ED0D" w14:textId="77777777" w:rsidTr="00B57F2E">
        <w:trPr>
          <w:trHeight w:val="465"/>
        </w:trPr>
        <w:tc>
          <w:tcPr>
            <w:tcW w:w="828" w:type="dxa"/>
            <w:vMerge w:val="restart"/>
            <w:tcBorders>
              <w:top w:val="single" w:sz="4" w:space="0" w:color="B4C6E7"/>
              <w:left w:val="single" w:sz="4" w:space="0" w:color="B4C6E7"/>
              <w:bottom w:val="single" w:sz="4" w:space="0" w:color="B4C6E7"/>
              <w:right w:val="single" w:sz="4" w:space="0" w:color="B4C6E7"/>
            </w:tcBorders>
          </w:tcPr>
          <w:p w14:paraId="78C76105"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b/>
                <w:bCs/>
              </w:rPr>
            </w:pPr>
            <w:r>
              <w:rPr>
                <w:rFonts w:ascii="Times New Roman" w:eastAsia="Times New Roman" w:hAnsi="Times New Roman" w:cs="Times New Roman"/>
                <w:b/>
                <w:bCs/>
              </w:rPr>
              <w:t>CES1</w:t>
            </w:r>
          </w:p>
        </w:tc>
        <w:tc>
          <w:tcPr>
            <w:tcW w:w="965" w:type="dxa"/>
            <w:vMerge w:val="restart"/>
            <w:tcBorders>
              <w:top w:val="single" w:sz="4" w:space="0" w:color="B4C6E7"/>
              <w:left w:val="single" w:sz="4" w:space="0" w:color="B4C6E7"/>
              <w:bottom w:val="single" w:sz="4" w:space="0" w:color="B4C6E7"/>
              <w:right w:val="single" w:sz="4" w:space="0" w:color="B4C6E7"/>
            </w:tcBorders>
          </w:tcPr>
          <w:p w14:paraId="13E1E57F"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rs71647871</w:t>
            </w:r>
          </w:p>
        </w:tc>
        <w:tc>
          <w:tcPr>
            <w:tcW w:w="696" w:type="dxa"/>
            <w:tcBorders>
              <w:top w:val="single" w:sz="4" w:space="0" w:color="B4C6E7"/>
              <w:left w:val="single" w:sz="4" w:space="0" w:color="B4C6E7"/>
              <w:bottom w:val="single" w:sz="4" w:space="0" w:color="B4C6E7"/>
              <w:right w:val="single" w:sz="4" w:space="0" w:color="B4C6E7"/>
            </w:tcBorders>
          </w:tcPr>
          <w:p w14:paraId="5C2DE32C"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GG</w:t>
            </w:r>
          </w:p>
        </w:tc>
        <w:tc>
          <w:tcPr>
            <w:tcW w:w="1107" w:type="dxa"/>
            <w:tcBorders>
              <w:top w:val="single" w:sz="4" w:space="0" w:color="B4C6E7"/>
              <w:left w:val="single" w:sz="4" w:space="0" w:color="B4C6E7"/>
              <w:bottom w:val="single" w:sz="4" w:space="0" w:color="B4C6E7"/>
              <w:right w:val="single" w:sz="4" w:space="0" w:color="B4C6E7"/>
            </w:tcBorders>
          </w:tcPr>
          <w:p w14:paraId="6770E50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88 (97.8)</w:t>
            </w:r>
          </w:p>
        </w:tc>
        <w:tc>
          <w:tcPr>
            <w:tcW w:w="1517" w:type="dxa"/>
            <w:vMerge w:val="restart"/>
            <w:tcBorders>
              <w:top w:val="single" w:sz="4" w:space="0" w:color="B4C6E7"/>
              <w:left w:val="single" w:sz="4" w:space="0" w:color="B4C6E7"/>
              <w:bottom w:val="single" w:sz="4" w:space="0" w:color="B4C6E7"/>
              <w:right w:val="single" w:sz="4" w:space="0" w:color="B4C6E7"/>
            </w:tcBorders>
          </w:tcPr>
          <w:p w14:paraId="710E1EEB"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G :</w:t>
            </w:r>
            <w:proofErr w:type="gramEnd"/>
            <w:r>
              <w:rPr>
                <w:rFonts w:ascii="Times New Roman" w:eastAsia="Times New Roman" w:hAnsi="Times New Roman" w:cs="Times New Roman"/>
              </w:rPr>
              <w:t xml:space="preserve"> A = 0.99 : 0.01</w:t>
            </w:r>
          </w:p>
        </w:tc>
        <w:tc>
          <w:tcPr>
            <w:tcW w:w="1107" w:type="dxa"/>
            <w:tcBorders>
              <w:top w:val="single" w:sz="4" w:space="0" w:color="B4C6E7"/>
              <w:left w:val="single" w:sz="4" w:space="0" w:color="B4C6E7"/>
              <w:bottom w:val="single" w:sz="4" w:space="0" w:color="B4C6E7"/>
              <w:right w:val="single" w:sz="4" w:space="0" w:color="B4C6E7"/>
            </w:tcBorders>
          </w:tcPr>
          <w:p w14:paraId="45C5091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60 (100.0)</w:t>
            </w:r>
          </w:p>
        </w:tc>
        <w:tc>
          <w:tcPr>
            <w:tcW w:w="1514" w:type="dxa"/>
            <w:vMerge w:val="restart"/>
            <w:tcBorders>
              <w:top w:val="single" w:sz="4" w:space="0" w:color="B4C6E7"/>
              <w:left w:val="single" w:sz="4" w:space="0" w:color="B4C6E7"/>
              <w:bottom w:val="single" w:sz="4" w:space="0" w:color="B4C6E7"/>
              <w:right w:val="single" w:sz="4" w:space="0" w:color="B4C6E7"/>
            </w:tcBorders>
          </w:tcPr>
          <w:p w14:paraId="32FBA562"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roofErr w:type="gramStart"/>
            <w:r>
              <w:rPr>
                <w:rFonts w:ascii="Times New Roman" w:eastAsia="Times New Roman" w:hAnsi="Times New Roman" w:cs="Times New Roman"/>
              </w:rPr>
              <w:t>G :</w:t>
            </w:r>
            <w:proofErr w:type="gramEnd"/>
            <w:r>
              <w:rPr>
                <w:rFonts w:ascii="Times New Roman" w:eastAsia="Times New Roman" w:hAnsi="Times New Roman" w:cs="Times New Roman"/>
              </w:rPr>
              <w:t xml:space="preserve"> A = 1.00 : 0.00</w:t>
            </w:r>
          </w:p>
        </w:tc>
        <w:tc>
          <w:tcPr>
            <w:tcW w:w="1301" w:type="dxa"/>
            <w:vMerge w:val="restart"/>
            <w:tcBorders>
              <w:top w:val="single" w:sz="4" w:space="0" w:color="B4C6E7"/>
              <w:left w:val="single" w:sz="4" w:space="0" w:color="B4C6E7"/>
              <w:bottom w:val="single" w:sz="4" w:space="0" w:color="B4C6E7"/>
              <w:right w:val="single" w:sz="4" w:space="0" w:color="B4C6E7"/>
            </w:tcBorders>
          </w:tcPr>
          <w:p w14:paraId="7B04602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0.52</w:t>
            </w:r>
          </w:p>
        </w:tc>
        <w:tc>
          <w:tcPr>
            <w:tcW w:w="36" w:type="dxa"/>
          </w:tcPr>
          <w:p w14:paraId="71E9201D"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6BD746DF"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6E6FD094"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52A1BB32"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2197498E"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AG</w:t>
            </w:r>
          </w:p>
        </w:tc>
        <w:tc>
          <w:tcPr>
            <w:tcW w:w="1107" w:type="dxa"/>
            <w:tcBorders>
              <w:top w:val="single" w:sz="4" w:space="0" w:color="B4C6E7"/>
              <w:left w:val="single" w:sz="4" w:space="0" w:color="B4C6E7"/>
              <w:bottom w:val="single" w:sz="4" w:space="0" w:color="B4C6E7"/>
              <w:right w:val="single" w:sz="4" w:space="0" w:color="B4C6E7"/>
            </w:tcBorders>
          </w:tcPr>
          <w:p w14:paraId="43ED7EA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 (2.2)</w:t>
            </w:r>
          </w:p>
        </w:tc>
        <w:tc>
          <w:tcPr>
            <w:tcW w:w="1517" w:type="dxa"/>
            <w:vMerge/>
            <w:tcBorders>
              <w:top w:val="single" w:sz="4" w:space="0" w:color="B4C6E7"/>
              <w:left w:val="single" w:sz="4" w:space="0" w:color="B4C6E7"/>
              <w:bottom w:val="single" w:sz="4" w:space="0" w:color="B4C6E7"/>
              <w:right w:val="single" w:sz="4" w:space="0" w:color="B4C6E7"/>
            </w:tcBorders>
          </w:tcPr>
          <w:p w14:paraId="092019F2"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2F900D84"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 (0.0)</w:t>
            </w:r>
          </w:p>
        </w:tc>
        <w:tc>
          <w:tcPr>
            <w:tcW w:w="1514" w:type="dxa"/>
            <w:vMerge/>
            <w:tcBorders>
              <w:top w:val="single" w:sz="4" w:space="0" w:color="B4C6E7"/>
              <w:left w:val="single" w:sz="4" w:space="0" w:color="B4C6E7"/>
              <w:bottom w:val="single" w:sz="4" w:space="0" w:color="B4C6E7"/>
              <w:right w:val="single" w:sz="4" w:space="0" w:color="B4C6E7"/>
            </w:tcBorders>
          </w:tcPr>
          <w:p w14:paraId="4463480F" w14:textId="77777777" w:rsidR="00A6651D" w:rsidRDefault="00A6651D" w:rsidP="00B57F2E"/>
        </w:tc>
        <w:tc>
          <w:tcPr>
            <w:tcW w:w="1301" w:type="dxa"/>
            <w:vMerge/>
            <w:tcBorders>
              <w:top w:val="single" w:sz="4" w:space="0" w:color="B4C6E7"/>
              <w:left w:val="single" w:sz="4" w:space="0" w:color="B4C6E7"/>
              <w:bottom w:val="single" w:sz="4" w:space="0" w:color="B4C6E7"/>
              <w:right w:val="single" w:sz="4" w:space="0" w:color="B4C6E7"/>
            </w:tcBorders>
          </w:tcPr>
          <w:p w14:paraId="2FD04FC0" w14:textId="77777777" w:rsidR="00A6651D" w:rsidRDefault="00A6651D" w:rsidP="00B57F2E"/>
        </w:tc>
        <w:tc>
          <w:tcPr>
            <w:tcW w:w="36" w:type="dxa"/>
          </w:tcPr>
          <w:p w14:paraId="65904C98"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086C0498"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3CC6C92E"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3120C067"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50820F53"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G</w:t>
            </w:r>
          </w:p>
        </w:tc>
        <w:tc>
          <w:tcPr>
            <w:tcW w:w="1107" w:type="dxa"/>
            <w:tcBorders>
              <w:top w:val="single" w:sz="4" w:space="0" w:color="B4C6E7"/>
              <w:left w:val="single" w:sz="4" w:space="0" w:color="B4C6E7"/>
              <w:bottom w:val="single" w:sz="4" w:space="0" w:color="B4C6E7"/>
              <w:right w:val="single" w:sz="4" w:space="0" w:color="B4C6E7"/>
            </w:tcBorders>
          </w:tcPr>
          <w:p w14:paraId="2892D02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178</w:t>
            </w:r>
          </w:p>
        </w:tc>
        <w:tc>
          <w:tcPr>
            <w:tcW w:w="1517" w:type="dxa"/>
            <w:vMerge/>
            <w:tcBorders>
              <w:top w:val="single" w:sz="4" w:space="0" w:color="B4C6E7"/>
              <w:left w:val="single" w:sz="4" w:space="0" w:color="B4C6E7"/>
              <w:bottom w:val="single" w:sz="4" w:space="0" w:color="B4C6E7"/>
              <w:right w:val="single" w:sz="4" w:space="0" w:color="B4C6E7"/>
            </w:tcBorders>
          </w:tcPr>
          <w:p w14:paraId="23490CD7"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447E5A50"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120</w:t>
            </w:r>
          </w:p>
        </w:tc>
        <w:tc>
          <w:tcPr>
            <w:tcW w:w="1514" w:type="dxa"/>
            <w:vMerge/>
            <w:tcBorders>
              <w:top w:val="single" w:sz="4" w:space="0" w:color="B4C6E7"/>
              <w:left w:val="single" w:sz="4" w:space="0" w:color="B4C6E7"/>
              <w:bottom w:val="single" w:sz="4" w:space="0" w:color="B4C6E7"/>
              <w:right w:val="single" w:sz="4" w:space="0" w:color="B4C6E7"/>
            </w:tcBorders>
          </w:tcPr>
          <w:p w14:paraId="3E5B9078"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59C22A8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08E65C35"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r w:rsidR="00A6651D" w14:paraId="3261558B" w14:textId="77777777" w:rsidTr="00B57F2E">
        <w:trPr>
          <w:trHeight w:val="300"/>
        </w:trPr>
        <w:tc>
          <w:tcPr>
            <w:tcW w:w="828" w:type="dxa"/>
            <w:vMerge/>
            <w:tcBorders>
              <w:top w:val="single" w:sz="4" w:space="0" w:color="B4C6E7"/>
              <w:left w:val="single" w:sz="4" w:space="0" w:color="B4C6E7"/>
              <w:bottom w:val="single" w:sz="4" w:space="0" w:color="B4C6E7"/>
              <w:right w:val="single" w:sz="4" w:space="0" w:color="B4C6E7"/>
            </w:tcBorders>
          </w:tcPr>
          <w:p w14:paraId="32F8FC8F" w14:textId="77777777" w:rsidR="00A6651D" w:rsidRDefault="00A6651D" w:rsidP="00B57F2E"/>
        </w:tc>
        <w:tc>
          <w:tcPr>
            <w:tcW w:w="965" w:type="dxa"/>
            <w:vMerge/>
            <w:tcBorders>
              <w:top w:val="single" w:sz="4" w:space="0" w:color="B4C6E7"/>
              <w:left w:val="single" w:sz="4" w:space="0" w:color="B4C6E7"/>
              <w:bottom w:val="single" w:sz="4" w:space="0" w:color="B4C6E7"/>
              <w:right w:val="single" w:sz="4" w:space="0" w:color="B4C6E7"/>
            </w:tcBorders>
          </w:tcPr>
          <w:p w14:paraId="14FDBC6A" w14:textId="77777777" w:rsidR="00A6651D" w:rsidRDefault="00A6651D" w:rsidP="00B57F2E"/>
        </w:tc>
        <w:tc>
          <w:tcPr>
            <w:tcW w:w="696" w:type="dxa"/>
            <w:tcBorders>
              <w:top w:val="single" w:sz="4" w:space="0" w:color="B4C6E7"/>
              <w:left w:val="single" w:sz="4" w:space="0" w:color="B4C6E7"/>
              <w:bottom w:val="single" w:sz="4" w:space="0" w:color="B4C6E7"/>
              <w:right w:val="single" w:sz="4" w:space="0" w:color="B4C6E7"/>
            </w:tcBorders>
          </w:tcPr>
          <w:p w14:paraId="6531E66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w:t>
            </w:r>
          </w:p>
        </w:tc>
        <w:tc>
          <w:tcPr>
            <w:tcW w:w="1107" w:type="dxa"/>
            <w:tcBorders>
              <w:top w:val="single" w:sz="4" w:space="0" w:color="B4C6E7"/>
              <w:left w:val="single" w:sz="4" w:space="0" w:color="B4C6E7"/>
              <w:bottom w:val="single" w:sz="4" w:space="0" w:color="B4C6E7"/>
              <w:right w:val="single" w:sz="4" w:space="0" w:color="B4C6E7"/>
            </w:tcBorders>
          </w:tcPr>
          <w:p w14:paraId="4660EA9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2</w:t>
            </w:r>
          </w:p>
        </w:tc>
        <w:tc>
          <w:tcPr>
            <w:tcW w:w="1517" w:type="dxa"/>
            <w:vMerge/>
            <w:tcBorders>
              <w:top w:val="single" w:sz="4" w:space="0" w:color="B4C6E7"/>
              <w:left w:val="single" w:sz="4" w:space="0" w:color="B4C6E7"/>
              <w:bottom w:val="single" w:sz="4" w:space="0" w:color="B4C6E7"/>
              <w:right w:val="single" w:sz="4" w:space="0" w:color="B4C6E7"/>
            </w:tcBorders>
          </w:tcPr>
          <w:p w14:paraId="0F146F49" w14:textId="77777777" w:rsidR="00A6651D" w:rsidRDefault="00A6651D" w:rsidP="00B57F2E"/>
        </w:tc>
        <w:tc>
          <w:tcPr>
            <w:tcW w:w="1107" w:type="dxa"/>
            <w:tcBorders>
              <w:top w:val="single" w:sz="4" w:space="0" w:color="B4C6E7"/>
              <w:left w:val="single" w:sz="4" w:space="0" w:color="B4C6E7"/>
              <w:bottom w:val="single" w:sz="4" w:space="0" w:color="B4C6E7"/>
              <w:right w:val="single" w:sz="4" w:space="0" w:color="B4C6E7"/>
            </w:tcBorders>
          </w:tcPr>
          <w:p w14:paraId="1DFE017D"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0</w:t>
            </w:r>
          </w:p>
        </w:tc>
        <w:tc>
          <w:tcPr>
            <w:tcW w:w="1514" w:type="dxa"/>
            <w:vMerge/>
            <w:tcBorders>
              <w:top w:val="single" w:sz="4" w:space="0" w:color="B4C6E7"/>
              <w:left w:val="single" w:sz="4" w:space="0" w:color="B4C6E7"/>
              <w:bottom w:val="single" w:sz="4" w:space="0" w:color="B4C6E7"/>
              <w:right w:val="single" w:sz="4" w:space="0" w:color="B4C6E7"/>
            </w:tcBorders>
          </w:tcPr>
          <w:p w14:paraId="348BD434" w14:textId="77777777" w:rsidR="00A6651D" w:rsidRDefault="00A6651D" w:rsidP="00B57F2E"/>
        </w:tc>
        <w:tc>
          <w:tcPr>
            <w:tcW w:w="1301" w:type="dxa"/>
            <w:tcBorders>
              <w:top w:val="single" w:sz="4" w:space="0" w:color="B4C6E7"/>
              <w:left w:val="single" w:sz="4" w:space="0" w:color="B4C6E7"/>
              <w:bottom w:val="single" w:sz="4" w:space="0" w:color="B4C6E7"/>
              <w:right w:val="single" w:sz="4" w:space="0" w:color="B4C6E7"/>
            </w:tcBorders>
          </w:tcPr>
          <w:p w14:paraId="7358A6C7" w14:textId="77777777" w:rsidR="00A6651D" w:rsidRDefault="00A6651D" w:rsidP="00B57F2E">
            <w:pPr>
              <w:pStyle w:val="LO-normal"/>
              <w:widowControl w:val="0"/>
              <w:spacing w:after="0" w:line="240" w:lineRule="auto"/>
              <w:jc w:val="both"/>
              <w:textAlignment w:val="baseline"/>
              <w:rPr>
                <w:rFonts w:ascii="Times New Roman" w:eastAsia="Times New Roman" w:hAnsi="Times New Roman" w:cs="Times New Roman"/>
              </w:rPr>
            </w:pPr>
          </w:p>
        </w:tc>
        <w:tc>
          <w:tcPr>
            <w:tcW w:w="36" w:type="dxa"/>
          </w:tcPr>
          <w:p w14:paraId="2B0322F8" w14:textId="77777777" w:rsidR="00A6651D" w:rsidRDefault="00A6651D" w:rsidP="00B57F2E">
            <w:pPr>
              <w:widowControl w:val="0"/>
              <w:suppressAutoHyphens/>
              <w:spacing w:after="0"/>
              <w:textAlignment w:val="baseline"/>
              <w:rPr>
                <w:rFonts w:ascii="Liberation Serif" w:eastAsia="SimSun" w:hAnsi="Liberation Serif" w:cs="Lucida Sans" w:hint="eastAsia"/>
                <w:kern w:val="2"/>
                <w:sz w:val="24"/>
                <w:szCs w:val="24"/>
                <w:lang w:bidi="hi-IN"/>
              </w:rPr>
            </w:pPr>
          </w:p>
        </w:tc>
      </w:tr>
    </w:tbl>
    <w:p w14:paraId="4FC193EE" w14:textId="77777777" w:rsidR="00A6651D" w:rsidRDefault="00A6651D" w:rsidP="0077750B">
      <w:pPr>
        <w:pStyle w:val="LO-normal"/>
        <w:spacing w:after="0" w:line="240" w:lineRule="auto"/>
        <w:ind w:firstLine="567"/>
        <w:jc w:val="both"/>
        <w:rPr>
          <w:rFonts w:ascii="Times New Roman" w:hAnsi="Times New Roman" w:cs="Times New Roman"/>
          <w:sz w:val="28"/>
          <w:szCs w:val="28"/>
          <w:lang w:bidi="ar-SA"/>
        </w:rPr>
      </w:pPr>
    </w:p>
    <w:p w14:paraId="4256D11D" w14:textId="4A94124B" w:rsidR="0077750B" w:rsidRDefault="0077750B" w:rsidP="0077750B">
      <w:pPr>
        <w:pStyle w:val="LO-normal"/>
        <w:spacing w:after="0" w:line="240" w:lineRule="auto"/>
        <w:ind w:firstLine="567"/>
        <w:jc w:val="both"/>
        <w:rPr>
          <w:rFonts w:ascii="Times New Roman" w:hAnsi="Times New Roman" w:cs="Times New Roman"/>
          <w:sz w:val="28"/>
          <w:szCs w:val="28"/>
          <w:lang w:bidi="ar-SA"/>
        </w:rPr>
      </w:pPr>
    </w:p>
    <w:p w14:paraId="7DC07491" w14:textId="42A32FFA" w:rsidR="0077750B" w:rsidRPr="00A6651D" w:rsidRDefault="0077750B" w:rsidP="00A6651D">
      <w:pPr>
        <w:pStyle w:val="LO-normal"/>
        <w:spacing w:after="0" w:line="240" w:lineRule="auto"/>
        <w:ind w:firstLine="567"/>
        <w:jc w:val="both"/>
        <w:rPr>
          <w:rFonts w:ascii="Times New Roman" w:hAnsi="Times New Roman" w:cs="Times New Roman"/>
          <w:b/>
          <w:bCs/>
          <w:sz w:val="28"/>
          <w:szCs w:val="28"/>
          <w:lang w:bidi="ar-SA"/>
        </w:rPr>
      </w:pPr>
      <w:r w:rsidRPr="00A6651D">
        <w:rPr>
          <w:rFonts w:ascii="Times New Roman" w:hAnsi="Times New Roman" w:cs="Times New Roman"/>
          <w:b/>
          <w:bCs/>
          <w:sz w:val="28"/>
          <w:szCs w:val="28"/>
          <w:lang w:bidi="ar-SA"/>
        </w:rPr>
        <w:t xml:space="preserve">3.3.2 Сравнительный анализ концентраций дабигатрана между генотипами </w:t>
      </w:r>
      <w:r w:rsidRPr="00A6651D">
        <w:rPr>
          <w:rFonts w:ascii="Times New Roman" w:hAnsi="Times New Roman" w:cs="Times New Roman"/>
          <w:b/>
          <w:bCs/>
          <w:sz w:val="28"/>
          <w:szCs w:val="28"/>
          <w:lang w:val="en-US" w:bidi="ar-SA"/>
        </w:rPr>
        <w:t>SNP</w:t>
      </w:r>
    </w:p>
    <w:p w14:paraId="5DCDF693" w14:textId="4E237E77" w:rsidR="0077750B" w:rsidRPr="00A6651D" w:rsidRDefault="0077750B" w:rsidP="0077750B">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sz w:val="28"/>
          <w:szCs w:val="28"/>
          <w:lang w:bidi="ar-SA"/>
        </w:rPr>
        <w:t xml:space="preserve">Мы провели сравнительный анализ концентраций дабигатрана в плазме между полиморфизмами генотипов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1128503 </w:t>
      </w:r>
      <w:r>
        <w:rPr>
          <w:rFonts w:ascii="Times New Roman" w:hAnsi="Times New Roman" w:cs="Times New Roman"/>
          <w:sz w:val="28"/>
          <w:szCs w:val="28"/>
          <w:lang w:bidi="ar-SA"/>
        </w:rPr>
        <w:t xml:space="preserve">в АВСВ1 и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8192935,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2244613,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 xml:space="preserve">71647871 </w:t>
      </w:r>
      <w:r>
        <w:rPr>
          <w:rFonts w:ascii="Times New Roman" w:hAnsi="Times New Roman" w:cs="Times New Roman"/>
          <w:sz w:val="28"/>
          <w:szCs w:val="28"/>
          <w:lang w:bidi="ar-SA"/>
        </w:rPr>
        <w:t xml:space="preserve">в генах </w:t>
      </w:r>
      <w:r>
        <w:rPr>
          <w:rFonts w:ascii="Times New Roman" w:hAnsi="Times New Roman" w:cs="Times New Roman"/>
          <w:sz w:val="28"/>
          <w:szCs w:val="28"/>
          <w:lang w:val="en-US" w:bidi="ar-SA"/>
        </w:rPr>
        <w:t>CES</w:t>
      </w:r>
      <w:r w:rsidRPr="0077750B">
        <w:rPr>
          <w:rFonts w:ascii="Times New Roman" w:hAnsi="Times New Roman" w:cs="Times New Roman"/>
          <w:sz w:val="28"/>
          <w:szCs w:val="28"/>
          <w:lang w:bidi="ar-SA"/>
        </w:rPr>
        <w:t xml:space="preserve">1 </w:t>
      </w:r>
      <w:r>
        <w:rPr>
          <w:rFonts w:ascii="Times New Roman" w:hAnsi="Times New Roman" w:cs="Times New Roman"/>
          <w:sz w:val="28"/>
          <w:szCs w:val="28"/>
          <w:lang w:bidi="ar-SA"/>
        </w:rPr>
        <w:t xml:space="preserve">у пациентов с ФП </w:t>
      </w:r>
      <w:r w:rsidRPr="00A6651D">
        <w:rPr>
          <w:rFonts w:ascii="Times New Roman" w:hAnsi="Times New Roman" w:cs="Times New Roman"/>
          <w:color w:val="000000" w:themeColor="text1"/>
          <w:sz w:val="28"/>
          <w:szCs w:val="28"/>
          <w:lang w:bidi="ar-SA"/>
        </w:rPr>
        <w:t xml:space="preserve">(таблица </w:t>
      </w:r>
      <w:r w:rsidR="00A6651D" w:rsidRPr="00A6651D">
        <w:rPr>
          <w:rFonts w:ascii="Times New Roman" w:hAnsi="Times New Roman" w:cs="Times New Roman"/>
          <w:color w:val="000000" w:themeColor="text1"/>
          <w:sz w:val="28"/>
          <w:szCs w:val="28"/>
          <w:lang w:bidi="ar-SA"/>
        </w:rPr>
        <w:t>6</w:t>
      </w:r>
      <w:r w:rsidRPr="00A6651D">
        <w:rPr>
          <w:rFonts w:ascii="Times New Roman" w:hAnsi="Times New Roman" w:cs="Times New Roman"/>
          <w:color w:val="000000" w:themeColor="text1"/>
          <w:sz w:val="28"/>
          <w:szCs w:val="28"/>
          <w:lang w:bidi="ar-SA"/>
        </w:rPr>
        <w:t xml:space="preserve">). </w:t>
      </w:r>
    </w:p>
    <w:p w14:paraId="3C4F333E" w14:textId="22BB4209" w:rsidR="0077750B" w:rsidRDefault="0077750B" w:rsidP="007847CD">
      <w:pPr>
        <w:pStyle w:val="LO-normal"/>
        <w:spacing w:after="0" w:line="240" w:lineRule="auto"/>
        <w:ind w:firstLine="567"/>
        <w:jc w:val="both"/>
        <w:rPr>
          <w:rFonts w:ascii="Times New Roman" w:hAnsi="Times New Roman" w:cs="Times New Roman"/>
          <w:sz w:val="28"/>
          <w:szCs w:val="28"/>
          <w:lang w:bidi="ar-SA"/>
        </w:rPr>
      </w:pPr>
      <w:r w:rsidRPr="00A6651D">
        <w:rPr>
          <w:rFonts w:ascii="Times New Roman" w:hAnsi="Times New Roman" w:cs="Times New Roman"/>
          <w:b/>
          <w:bCs/>
          <w:color w:val="000000" w:themeColor="text1"/>
          <w:sz w:val="28"/>
          <w:szCs w:val="28"/>
          <w:lang w:val="en-US" w:bidi="ar-SA"/>
        </w:rPr>
        <w:t>ABCB</w:t>
      </w:r>
      <w:r w:rsidRPr="00A6651D">
        <w:rPr>
          <w:rFonts w:ascii="Times New Roman" w:hAnsi="Times New Roman" w:cs="Times New Roman"/>
          <w:b/>
          <w:bCs/>
          <w:color w:val="000000" w:themeColor="text1"/>
          <w:sz w:val="28"/>
          <w:szCs w:val="28"/>
          <w:lang w:bidi="ar-SA"/>
        </w:rPr>
        <w:t>1</w:t>
      </w:r>
      <w:r w:rsidRPr="00A6651D">
        <w:rPr>
          <w:rFonts w:ascii="Times New Roman" w:hAnsi="Times New Roman" w:cs="Times New Roman"/>
          <w:color w:val="000000" w:themeColor="text1"/>
          <w:sz w:val="28"/>
          <w:szCs w:val="28"/>
          <w:lang w:bidi="ar-SA"/>
        </w:rPr>
        <w:t xml:space="preserve"> </w:t>
      </w:r>
      <w:r w:rsidRPr="00A6651D">
        <w:rPr>
          <w:rFonts w:ascii="Times New Roman" w:hAnsi="Times New Roman" w:cs="Times New Roman"/>
          <w:i/>
          <w:iCs/>
          <w:color w:val="000000" w:themeColor="text1"/>
          <w:sz w:val="28"/>
          <w:szCs w:val="28"/>
          <w:lang w:val="en-US" w:bidi="ar-SA"/>
        </w:rPr>
        <w:t>rs</w:t>
      </w:r>
      <w:r w:rsidRPr="00A6651D">
        <w:rPr>
          <w:rFonts w:ascii="Times New Roman" w:hAnsi="Times New Roman" w:cs="Times New Roman"/>
          <w:i/>
          <w:iCs/>
          <w:color w:val="000000" w:themeColor="text1"/>
          <w:sz w:val="28"/>
          <w:szCs w:val="28"/>
          <w:lang w:bidi="ar-SA"/>
        </w:rPr>
        <w:t>4148738 (</w:t>
      </w:r>
      <w:r w:rsidRPr="00A6651D">
        <w:rPr>
          <w:rFonts w:ascii="Times New Roman" w:hAnsi="Times New Roman" w:cs="Times New Roman"/>
          <w:i/>
          <w:iCs/>
          <w:color w:val="000000" w:themeColor="text1"/>
          <w:sz w:val="28"/>
          <w:szCs w:val="28"/>
          <w:lang w:val="en-US" w:bidi="ar-SA"/>
        </w:rPr>
        <w:t>C</w:t>
      </w:r>
      <w:r w:rsidRPr="00A6651D">
        <w:rPr>
          <w:rFonts w:ascii="Times New Roman" w:hAnsi="Times New Roman" w:cs="Times New Roman"/>
          <w:i/>
          <w:iCs/>
          <w:color w:val="000000" w:themeColor="text1"/>
          <w:sz w:val="28"/>
          <w:szCs w:val="28"/>
          <w:lang w:bidi="ar-SA"/>
        </w:rPr>
        <w:t>&gt;</w:t>
      </w:r>
      <w:r w:rsidRPr="00A6651D">
        <w:rPr>
          <w:rFonts w:ascii="Times New Roman" w:hAnsi="Times New Roman" w:cs="Times New Roman"/>
          <w:i/>
          <w:iCs/>
          <w:sz w:val="28"/>
          <w:szCs w:val="28"/>
          <w:lang w:val="en-US" w:bidi="ar-SA"/>
        </w:rPr>
        <w:t>T</w:t>
      </w:r>
      <w:r w:rsidRPr="00A6651D">
        <w:rPr>
          <w:rFonts w:ascii="Times New Roman" w:hAnsi="Times New Roman" w:cs="Times New Roman"/>
          <w:i/>
          <w:iCs/>
          <w:sz w:val="28"/>
          <w:szCs w:val="28"/>
          <w:lang w:bidi="ar-SA"/>
        </w:rPr>
        <w:t>):</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bidi="ar-SA"/>
        </w:rPr>
        <w:t>различий в концентрациях дабигатрана между носителями генотипов СС,</w:t>
      </w:r>
      <w:r w:rsidR="007847CD" w:rsidRPr="007847CD">
        <w:rPr>
          <w:rFonts w:ascii="Times New Roman" w:hAnsi="Times New Roman" w:cs="Times New Roman"/>
          <w:sz w:val="28"/>
          <w:szCs w:val="28"/>
          <w:lang w:bidi="ar-SA"/>
        </w:rPr>
        <w:t xml:space="preserve"> </w:t>
      </w:r>
      <w:r>
        <w:rPr>
          <w:rFonts w:ascii="Times New Roman" w:hAnsi="Times New Roman" w:cs="Times New Roman"/>
          <w:sz w:val="28"/>
          <w:szCs w:val="28"/>
          <w:lang w:bidi="ar-SA"/>
        </w:rPr>
        <w:t>СТ и ТТ не выявлено (</w:t>
      </w:r>
      <w:r>
        <w:rPr>
          <w:rFonts w:ascii="Times New Roman" w:hAnsi="Times New Roman" w:cs="Times New Roman"/>
          <w:sz w:val="28"/>
          <w:szCs w:val="28"/>
          <w:lang w:val="en-US" w:bidi="ar-SA"/>
        </w:rPr>
        <w:t>C</w:t>
      </w:r>
      <w:r w:rsidRPr="007847CD">
        <w:rPr>
          <w:rFonts w:ascii="Times New Roman" w:hAnsi="Times New Roman" w:cs="Times New Roman"/>
          <w:sz w:val="28"/>
          <w:szCs w:val="28"/>
          <w:vertAlign w:val="subscript"/>
          <w:lang w:val="en-US" w:bidi="ar-SA"/>
        </w:rPr>
        <w:t>max</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77750B">
        <w:rPr>
          <w:rFonts w:ascii="Times New Roman" w:hAnsi="Times New Roman" w:cs="Times New Roman"/>
          <w:sz w:val="28"/>
          <w:szCs w:val="28"/>
          <w:lang w:bidi="ar-SA"/>
        </w:rPr>
        <w:t xml:space="preserve">=0,85; </w:t>
      </w:r>
      <w:r>
        <w:rPr>
          <w:rFonts w:ascii="Times New Roman" w:hAnsi="Times New Roman" w:cs="Times New Roman"/>
          <w:sz w:val="28"/>
          <w:szCs w:val="28"/>
          <w:lang w:val="en-US" w:bidi="ar-SA"/>
        </w:rPr>
        <w:t>C</w:t>
      </w:r>
      <w:r w:rsidRPr="007847CD">
        <w:rPr>
          <w:rFonts w:ascii="Times New Roman" w:hAnsi="Times New Roman" w:cs="Times New Roman"/>
          <w:sz w:val="28"/>
          <w:szCs w:val="28"/>
          <w:vertAlign w:val="subscript"/>
          <w:lang w:val="en-US" w:bidi="ar-SA"/>
        </w:rPr>
        <w:t>trough</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77750B">
        <w:rPr>
          <w:rFonts w:ascii="Times New Roman" w:hAnsi="Times New Roman" w:cs="Times New Roman"/>
          <w:sz w:val="28"/>
          <w:szCs w:val="28"/>
          <w:lang w:bidi="ar-SA"/>
        </w:rPr>
        <w:t>=0,47</w:t>
      </w:r>
      <w:r>
        <w:rPr>
          <w:rFonts w:ascii="Times New Roman" w:hAnsi="Times New Roman" w:cs="Times New Roman"/>
          <w:sz w:val="28"/>
          <w:szCs w:val="28"/>
          <w:lang w:bidi="ar-SA"/>
        </w:rPr>
        <w:t>)</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rs</w:t>
      </w:r>
      <w:r w:rsidRPr="0077750B">
        <w:rPr>
          <w:rFonts w:ascii="Times New Roman" w:hAnsi="Times New Roman" w:cs="Times New Roman"/>
          <w:sz w:val="28"/>
          <w:szCs w:val="28"/>
          <w:lang w:bidi="ar-SA"/>
        </w:rPr>
        <w:t>1045642 (</w:t>
      </w:r>
      <w:r>
        <w:rPr>
          <w:rFonts w:ascii="Times New Roman" w:hAnsi="Times New Roman" w:cs="Times New Roman"/>
          <w:sz w:val="28"/>
          <w:szCs w:val="28"/>
          <w:lang w:val="en-US" w:bidi="ar-SA"/>
        </w:rPr>
        <w:t>A</w:t>
      </w:r>
      <w:r w:rsidRPr="0077750B">
        <w:rPr>
          <w:rFonts w:ascii="Times New Roman" w:hAnsi="Times New Roman" w:cs="Times New Roman"/>
          <w:sz w:val="28"/>
          <w:szCs w:val="28"/>
          <w:lang w:bidi="ar-SA"/>
        </w:rPr>
        <w:t>&gt;</w:t>
      </w:r>
      <w:r>
        <w:rPr>
          <w:rFonts w:ascii="Times New Roman" w:hAnsi="Times New Roman" w:cs="Times New Roman"/>
          <w:sz w:val="28"/>
          <w:szCs w:val="28"/>
          <w:lang w:val="en-US" w:bidi="ar-SA"/>
        </w:rPr>
        <w:t>G</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bidi="ar-SA"/>
        </w:rPr>
        <w:t>средние концентрации препарата не зависели от генотипа (</w:t>
      </w:r>
      <w:r>
        <w:rPr>
          <w:rFonts w:ascii="Times New Roman" w:hAnsi="Times New Roman" w:cs="Times New Roman"/>
          <w:sz w:val="28"/>
          <w:szCs w:val="28"/>
          <w:lang w:val="en-US" w:bidi="ar-SA"/>
        </w:rPr>
        <w:t>C</w:t>
      </w:r>
      <w:r w:rsidRPr="007847CD">
        <w:rPr>
          <w:rFonts w:ascii="Times New Roman" w:hAnsi="Times New Roman" w:cs="Times New Roman"/>
          <w:sz w:val="28"/>
          <w:szCs w:val="28"/>
          <w:vertAlign w:val="subscript"/>
          <w:lang w:val="en-US" w:bidi="ar-SA"/>
        </w:rPr>
        <w:t>max</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77750B">
        <w:rPr>
          <w:rFonts w:ascii="Times New Roman" w:hAnsi="Times New Roman" w:cs="Times New Roman"/>
          <w:sz w:val="28"/>
          <w:szCs w:val="28"/>
          <w:lang w:bidi="ar-SA"/>
        </w:rPr>
        <w:t>=0,8</w:t>
      </w:r>
      <w:r>
        <w:rPr>
          <w:rFonts w:ascii="Times New Roman" w:hAnsi="Times New Roman" w:cs="Times New Roman"/>
          <w:sz w:val="28"/>
          <w:szCs w:val="28"/>
          <w:lang w:bidi="ar-SA"/>
        </w:rPr>
        <w:t>1</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w:t>
      </w:r>
      <w:r w:rsidRPr="007847CD">
        <w:rPr>
          <w:rFonts w:ascii="Times New Roman" w:hAnsi="Times New Roman" w:cs="Times New Roman"/>
          <w:sz w:val="28"/>
          <w:szCs w:val="28"/>
          <w:vertAlign w:val="subscript"/>
          <w:lang w:val="en-US" w:bidi="ar-SA"/>
        </w:rPr>
        <w:t>trough</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77750B">
        <w:rPr>
          <w:rFonts w:ascii="Times New Roman" w:hAnsi="Times New Roman" w:cs="Times New Roman"/>
          <w:sz w:val="28"/>
          <w:szCs w:val="28"/>
          <w:lang w:bidi="ar-SA"/>
        </w:rPr>
        <w:t>=0,4</w:t>
      </w:r>
      <w:r>
        <w:rPr>
          <w:rFonts w:ascii="Times New Roman" w:hAnsi="Times New Roman" w:cs="Times New Roman"/>
          <w:sz w:val="28"/>
          <w:szCs w:val="28"/>
          <w:lang w:bidi="ar-SA"/>
        </w:rPr>
        <w:t>4)</w:t>
      </w:r>
      <w:r w:rsidRPr="0077750B">
        <w:rPr>
          <w:rFonts w:ascii="Times New Roman" w:hAnsi="Times New Roman" w:cs="Times New Roman"/>
          <w:sz w:val="28"/>
          <w:szCs w:val="28"/>
          <w:lang w:bidi="ar-SA"/>
        </w:rPr>
        <w:t xml:space="preserve">. </w:t>
      </w:r>
      <w:r w:rsidR="007847CD" w:rsidRPr="00A6651D">
        <w:rPr>
          <w:rFonts w:ascii="Times New Roman" w:hAnsi="Times New Roman" w:cs="Times New Roman"/>
          <w:i/>
          <w:iCs/>
          <w:sz w:val="28"/>
          <w:szCs w:val="28"/>
          <w:lang w:val="en-US" w:bidi="ar-SA"/>
        </w:rPr>
        <w:t>r</w:t>
      </w:r>
      <w:r w:rsidRPr="00A6651D">
        <w:rPr>
          <w:rFonts w:ascii="Times New Roman" w:hAnsi="Times New Roman" w:cs="Times New Roman"/>
          <w:i/>
          <w:iCs/>
          <w:sz w:val="28"/>
          <w:szCs w:val="28"/>
          <w:lang w:val="en-US" w:bidi="ar-SA"/>
        </w:rPr>
        <w:t>s</w:t>
      </w:r>
      <w:r w:rsidRPr="00A6651D">
        <w:rPr>
          <w:rFonts w:ascii="Times New Roman" w:hAnsi="Times New Roman" w:cs="Times New Roman"/>
          <w:i/>
          <w:iCs/>
          <w:sz w:val="28"/>
          <w:szCs w:val="28"/>
          <w:lang w:bidi="ar-SA"/>
        </w:rPr>
        <w:t>2032582 (</w:t>
      </w:r>
      <w:r w:rsidRPr="00A6651D">
        <w:rPr>
          <w:rFonts w:ascii="Times New Roman" w:hAnsi="Times New Roman" w:cs="Times New Roman"/>
          <w:i/>
          <w:iCs/>
          <w:sz w:val="28"/>
          <w:szCs w:val="28"/>
          <w:lang w:val="en-US" w:bidi="ar-SA"/>
        </w:rPr>
        <w:t>C</w:t>
      </w:r>
      <w:r w:rsidRPr="00A6651D">
        <w:rPr>
          <w:rFonts w:ascii="Times New Roman" w:hAnsi="Times New Roman" w:cs="Times New Roman"/>
          <w:i/>
          <w:iCs/>
          <w:sz w:val="28"/>
          <w:szCs w:val="28"/>
          <w:lang w:bidi="ar-SA"/>
        </w:rPr>
        <w:t>&gt;</w:t>
      </w:r>
      <w:r w:rsidRPr="00A6651D">
        <w:rPr>
          <w:rFonts w:ascii="Times New Roman" w:hAnsi="Times New Roman" w:cs="Times New Roman"/>
          <w:i/>
          <w:iCs/>
          <w:sz w:val="28"/>
          <w:szCs w:val="28"/>
          <w:lang w:val="en-US" w:bidi="ar-SA"/>
        </w:rPr>
        <w:t>A</w:t>
      </w:r>
      <w:r w:rsidRPr="00A6651D">
        <w:rPr>
          <w:rFonts w:ascii="Times New Roman" w:hAnsi="Times New Roman" w:cs="Times New Roman"/>
          <w:i/>
          <w:iCs/>
          <w:sz w:val="28"/>
          <w:szCs w:val="28"/>
          <w:lang w:bidi="ar-SA"/>
        </w:rPr>
        <w:t>):</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также не показал значимых различий. </w:t>
      </w:r>
      <w:r w:rsidR="007847CD" w:rsidRPr="00A6651D">
        <w:rPr>
          <w:rFonts w:ascii="Times New Roman" w:hAnsi="Times New Roman" w:cs="Times New Roman"/>
          <w:i/>
          <w:iCs/>
          <w:sz w:val="28"/>
          <w:szCs w:val="28"/>
          <w:lang w:val="en-US" w:bidi="ar-SA"/>
        </w:rPr>
        <w:t>r</w:t>
      </w:r>
      <w:r w:rsidRPr="00A6651D">
        <w:rPr>
          <w:rFonts w:ascii="Times New Roman" w:hAnsi="Times New Roman" w:cs="Times New Roman"/>
          <w:i/>
          <w:iCs/>
          <w:sz w:val="28"/>
          <w:szCs w:val="28"/>
          <w:lang w:val="en-US" w:bidi="ar-SA"/>
        </w:rPr>
        <w:t>s</w:t>
      </w:r>
      <w:r w:rsidRPr="00A6651D">
        <w:rPr>
          <w:rFonts w:ascii="Times New Roman" w:hAnsi="Times New Roman" w:cs="Times New Roman"/>
          <w:i/>
          <w:iCs/>
          <w:sz w:val="28"/>
          <w:szCs w:val="28"/>
          <w:lang w:bidi="ar-SA"/>
        </w:rPr>
        <w:t>1128503 (</w:t>
      </w:r>
      <w:r w:rsidRPr="00A6651D">
        <w:rPr>
          <w:rFonts w:ascii="Times New Roman" w:hAnsi="Times New Roman" w:cs="Times New Roman"/>
          <w:i/>
          <w:iCs/>
          <w:sz w:val="28"/>
          <w:szCs w:val="28"/>
          <w:lang w:val="en-US" w:bidi="ar-SA"/>
        </w:rPr>
        <w:t>A</w:t>
      </w:r>
      <w:r w:rsidRPr="00A6651D">
        <w:rPr>
          <w:rFonts w:ascii="Times New Roman" w:hAnsi="Times New Roman" w:cs="Times New Roman"/>
          <w:i/>
          <w:iCs/>
          <w:sz w:val="28"/>
          <w:szCs w:val="28"/>
          <w:lang w:bidi="ar-SA"/>
        </w:rPr>
        <w:t>&gt;</w:t>
      </w:r>
      <w:r w:rsidRPr="00A6651D">
        <w:rPr>
          <w:rFonts w:ascii="Times New Roman" w:hAnsi="Times New Roman" w:cs="Times New Roman"/>
          <w:i/>
          <w:iCs/>
          <w:sz w:val="28"/>
          <w:szCs w:val="28"/>
          <w:lang w:val="en-US" w:bidi="ar-SA"/>
        </w:rPr>
        <w:t>G</w:t>
      </w:r>
      <w:r w:rsidRPr="00A6651D">
        <w:rPr>
          <w:rFonts w:ascii="Times New Roman" w:hAnsi="Times New Roman" w:cs="Times New Roman"/>
          <w:i/>
          <w:iCs/>
          <w:sz w:val="28"/>
          <w:szCs w:val="28"/>
          <w:lang w:bidi="ar-SA"/>
        </w:rPr>
        <w:t>):</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наблюдалась тенденция к снижению концентрации дабигатрана у носителей </w:t>
      </w:r>
      <w:r>
        <w:rPr>
          <w:rFonts w:ascii="Times New Roman" w:hAnsi="Times New Roman" w:cs="Times New Roman"/>
          <w:sz w:val="28"/>
          <w:szCs w:val="28"/>
          <w:lang w:val="en-US" w:bidi="ar-SA"/>
        </w:rPr>
        <w:t>GG</w:t>
      </w:r>
      <w:r w:rsidRPr="0077750B">
        <w:rPr>
          <w:rFonts w:ascii="Times New Roman" w:hAnsi="Times New Roman" w:cs="Times New Roman"/>
          <w:sz w:val="28"/>
          <w:szCs w:val="28"/>
          <w:lang w:bidi="ar-SA"/>
        </w:rPr>
        <w:t>-</w:t>
      </w:r>
      <w:r>
        <w:rPr>
          <w:rFonts w:ascii="Times New Roman" w:hAnsi="Times New Roman" w:cs="Times New Roman"/>
          <w:sz w:val="28"/>
          <w:szCs w:val="28"/>
          <w:lang w:bidi="ar-SA"/>
        </w:rPr>
        <w:t>генотипа по сравнению с гетерозиготами АА, однако статистическая значимость не достигнута (</w:t>
      </w:r>
      <w:r>
        <w:rPr>
          <w:rFonts w:ascii="Times New Roman" w:hAnsi="Times New Roman" w:cs="Times New Roman"/>
          <w:sz w:val="28"/>
          <w:szCs w:val="28"/>
          <w:lang w:val="en-US" w:bidi="ar-SA"/>
        </w:rPr>
        <w:t>C</w:t>
      </w:r>
      <w:r w:rsidRPr="007847CD">
        <w:rPr>
          <w:rFonts w:ascii="Times New Roman" w:hAnsi="Times New Roman" w:cs="Times New Roman"/>
          <w:sz w:val="28"/>
          <w:szCs w:val="28"/>
          <w:vertAlign w:val="subscript"/>
          <w:lang w:val="en-US" w:bidi="ar-SA"/>
        </w:rPr>
        <w:t>max</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77750B">
        <w:rPr>
          <w:rFonts w:ascii="Times New Roman" w:hAnsi="Times New Roman" w:cs="Times New Roman"/>
          <w:sz w:val="28"/>
          <w:szCs w:val="28"/>
          <w:lang w:bidi="ar-SA"/>
        </w:rPr>
        <w:t>=0,</w:t>
      </w:r>
      <w:r>
        <w:rPr>
          <w:rFonts w:ascii="Times New Roman" w:hAnsi="Times New Roman" w:cs="Times New Roman"/>
          <w:sz w:val="28"/>
          <w:szCs w:val="28"/>
          <w:lang w:bidi="ar-SA"/>
        </w:rPr>
        <w:t>20</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w:t>
      </w:r>
      <w:r w:rsidRPr="007847CD">
        <w:rPr>
          <w:rFonts w:ascii="Times New Roman" w:hAnsi="Times New Roman" w:cs="Times New Roman"/>
          <w:sz w:val="28"/>
          <w:szCs w:val="28"/>
          <w:vertAlign w:val="subscript"/>
          <w:lang w:val="en-US" w:bidi="ar-SA"/>
        </w:rPr>
        <w:t>trough</w:t>
      </w:r>
      <w:r w:rsidRPr="0077750B">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w:t>
      </w:r>
      <w:r w:rsidRPr="0077750B">
        <w:rPr>
          <w:rFonts w:ascii="Times New Roman" w:hAnsi="Times New Roman" w:cs="Times New Roman"/>
          <w:sz w:val="28"/>
          <w:szCs w:val="28"/>
          <w:lang w:bidi="ar-SA"/>
        </w:rPr>
        <w:t>=0,</w:t>
      </w:r>
      <w:r>
        <w:rPr>
          <w:rFonts w:ascii="Times New Roman" w:hAnsi="Times New Roman" w:cs="Times New Roman"/>
          <w:sz w:val="28"/>
          <w:szCs w:val="28"/>
          <w:lang w:bidi="ar-SA"/>
        </w:rPr>
        <w:t xml:space="preserve">19). </w:t>
      </w:r>
      <w:r w:rsidR="00A6651D" w:rsidRPr="00A6651D">
        <w:rPr>
          <w:rFonts w:ascii="Times New Roman" w:hAnsi="Times New Roman" w:cs="Times New Roman"/>
          <w:b/>
          <w:bCs/>
          <w:sz w:val="28"/>
          <w:szCs w:val="28"/>
          <w:lang w:val="en-US" w:bidi="ar-SA"/>
        </w:rPr>
        <w:t>CES</w:t>
      </w:r>
      <w:r w:rsidR="00A6651D" w:rsidRPr="00A6651D">
        <w:rPr>
          <w:rFonts w:ascii="Times New Roman" w:hAnsi="Times New Roman" w:cs="Times New Roman"/>
          <w:b/>
          <w:bCs/>
          <w:sz w:val="28"/>
          <w:szCs w:val="28"/>
          <w:lang w:bidi="ar-SA"/>
        </w:rPr>
        <w:t>1</w:t>
      </w:r>
      <w:r w:rsidR="00A6651D" w:rsidRPr="00A6651D">
        <w:rPr>
          <w:rFonts w:ascii="Times New Roman" w:hAnsi="Times New Roman" w:cs="Times New Roman"/>
          <w:sz w:val="28"/>
          <w:szCs w:val="28"/>
          <w:lang w:bidi="ar-SA"/>
        </w:rPr>
        <w:t xml:space="preserve"> </w:t>
      </w:r>
      <w:r w:rsidR="007847CD" w:rsidRPr="00A6651D">
        <w:rPr>
          <w:rFonts w:ascii="Times New Roman" w:hAnsi="Times New Roman" w:cs="Times New Roman"/>
          <w:i/>
          <w:iCs/>
          <w:sz w:val="28"/>
          <w:szCs w:val="28"/>
          <w:lang w:val="en-US" w:bidi="ar-SA"/>
        </w:rPr>
        <w:t>rs</w:t>
      </w:r>
      <w:r w:rsidR="007847CD" w:rsidRPr="00A6651D">
        <w:rPr>
          <w:rFonts w:ascii="Times New Roman" w:hAnsi="Times New Roman" w:cs="Times New Roman"/>
          <w:i/>
          <w:iCs/>
          <w:sz w:val="28"/>
          <w:szCs w:val="28"/>
          <w:lang w:bidi="ar-SA"/>
        </w:rPr>
        <w:t>8192935 (</w:t>
      </w:r>
      <w:r w:rsidR="007847CD" w:rsidRPr="00A6651D">
        <w:rPr>
          <w:rFonts w:ascii="Times New Roman" w:hAnsi="Times New Roman" w:cs="Times New Roman"/>
          <w:i/>
          <w:iCs/>
          <w:sz w:val="28"/>
          <w:szCs w:val="28"/>
          <w:lang w:val="en-US" w:bidi="ar-SA"/>
        </w:rPr>
        <w:t>A</w:t>
      </w:r>
      <w:r w:rsidR="007847CD" w:rsidRPr="00A6651D">
        <w:rPr>
          <w:rFonts w:ascii="Times New Roman" w:hAnsi="Times New Roman" w:cs="Times New Roman"/>
          <w:i/>
          <w:iCs/>
          <w:sz w:val="28"/>
          <w:szCs w:val="28"/>
          <w:lang w:bidi="ar-SA"/>
        </w:rPr>
        <w:t>&gt;</w:t>
      </w:r>
      <w:r w:rsidR="007847CD" w:rsidRPr="00A6651D">
        <w:rPr>
          <w:rFonts w:ascii="Times New Roman" w:hAnsi="Times New Roman" w:cs="Times New Roman"/>
          <w:i/>
          <w:iCs/>
          <w:sz w:val="28"/>
          <w:szCs w:val="28"/>
          <w:lang w:val="en-US" w:bidi="ar-SA"/>
        </w:rPr>
        <w:t>G</w:t>
      </w:r>
      <w:r w:rsidR="007847CD" w:rsidRPr="00A6651D">
        <w:rPr>
          <w:rFonts w:ascii="Times New Roman" w:hAnsi="Times New Roman" w:cs="Times New Roman"/>
          <w:i/>
          <w:iCs/>
          <w:sz w:val="28"/>
          <w:szCs w:val="28"/>
          <w:lang w:bidi="ar-SA"/>
        </w:rPr>
        <w:t>):</w:t>
      </w:r>
      <w:r w:rsidR="007847CD" w:rsidRPr="007847CD">
        <w:rPr>
          <w:rFonts w:ascii="Times New Roman" w:hAnsi="Times New Roman" w:cs="Times New Roman"/>
          <w:sz w:val="28"/>
          <w:szCs w:val="28"/>
          <w:lang w:bidi="ar-SA"/>
        </w:rPr>
        <w:t xml:space="preserve"> </w:t>
      </w:r>
      <w:r w:rsidR="007847CD">
        <w:rPr>
          <w:rFonts w:ascii="Times New Roman" w:hAnsi="Times New Roman" w:cs="Times New Roman"/>
          <w:sz w:val="28"/>
          <w:szCs w:val="28"/>
          <w:lang w:bidi="ar-SA"/>
        </w:rPr>
        <w:t xml:space="preserve">у носителей </w:t>
      </w:r>
      <w:r w:rsidR="007847CD">
        <w:rPr>
          <w:rFonts w:ascii="Times New Roman" w:hAnsi="Times New Roman" w:cs="Times New Roman"/>
          <w:sz w:val="28"/>
          <w:szCs w:val="28"/>
          <w:lang w:val="en-US" w:bidi="ar-SA"/>
        </w:rPr>
        <w:t>GG</w:t>
      </w:r>
      <w:r w:rsidR="007847CD" w:rsidRPr="007847CD">
        <w:rPr>
          <w:rFonts w:ascii="Times New Roman" w:hAnsi="Times New Roman" w:cs="Times New Roman"/>
          <w:sz w:val="28"/>
          <w:szCs w:val="28"/>
          <w:lang w:bidi="ar-SA"/>
        </w:rPr>
        <w:t>-</w:t>
      </w:r>
      <w:r w:rsidR="007847CD">
        <w:rPr>
          <w:rFonts w:ascii="Times New Roman" w:hAnsi="Times New Roman" w:cs="Times New Roman"/>
          <w:sz w:val="28"/>
          <w:szCs w:val="28"/>
          <w:lang w:bidi="ar-SA"/>
        </w:rPr>
        <w:t xml:space="preserve">генотипа наблюдались более высокие средние значения </w:t>
      </w:r>
      <w:r w:rsidR="007847CD">
        <w:rPr>
          <w:rFonts w:ascii="Times New Roman" w:hAnsi="Times New Roman" w:cs="Times New Roman"/>
          <w:sz w:val="28"/>
          <w:szCs w:val="28"/>
          <w:lang w:val="en-US" w:bidi="ar-SA"/>
        </w:rPr>
        <w:t>C</w:t>
      </w:r>
      <w:r w:rsidR="007847CD" w:rsidRPr="007847CD">
        <w:rPr>
          <w:rFonts w:ascii="Times New Roman" w:hAnsi="Times New Roman" w:cs="Times New Roman"/>
          <w:sz w:val="28"/>
          <w:szCs w:val="28"/>
          <w:vertAlign w:val="subscript"/>
          <w:lang w:val="en-US" w:bidi="ar-SA"/>
        </w:rPr>
        <w:t>max</w:t>
      </w:r>
      <w:r w:rsidR="007847CD" w:rsidRPr="007847CD">
        <w:rPr>
          <w:rFonts w:ascii="Times New Roman" w:hAnsi="Times New Roman" w:cs="Times New Roman"/>
          <w:sz w:val="28"/>
          <w:szCs w:val="28"/>
          <w:lang w:bidi="ar-SA"/>
        </w:rPr>
        <w:t xml:space="preserve"> </w:t>
      </w:r>
      <w:r w:rsidR="007847CD">
        <w:rPr>
          <w:rFonts w:ascii="Times New Roman" w:hAnsi="Times New Roman" w:cs="Times New Roman"/>
          <w:sz w:val="28"/>
          <w:szCs w:val="28"/>
          <w:lang w:bidi="ar-SA"/>
        </w:rPr>
        <w:t xml:space="preserve">и </w:t>
      </w:r>
      <w:r w:rsidR="007847CD">
        <w:rPr>
          <w:rFonts w:ascii="Times New Roman" w:hAnsi="Times New Roman" w:cs="Times New Roman"/>
          <w:sz w:val="28"/>
          <w:szCs w:val="28"/>
          <w:lang w:val="en-US" w:bidi="ar-SA"/>
        </w:rPr>
        <w:t>C</w:t>
      </w:r>
      <w:r w:rsidR="007847CD" w:rsidRPr="007847CD">
        <w:rPr>
          <w:rFonts w:ascii="Times New Roman" w:hAnsi="Times New Roman" w:cs="Times New Roman"/>
          <w:sz w:val="28"/>
          <w:szCs w:val="28"/>
          <w:vertAlign w:val="subscript"/>
          <w:lang w:val="en-US" w:bidi="ar-SA"/>
        </w:rPr>
        <w:t>trough</w:t>
      </w:r>
      <w:r w:rsidR="007847CD" w:rsidRPr="007847CD">
        <w:rPr>
          <w:rFonts w:ascii="Times New Roman" w:hAnsi="Times New Roman" w:cs="Times New Roman"/>
          <w:sz w:val="28"/>
          <w:szCs w:val="28"/>
          <w:vertAlign w:val="subscript"/>
          <w:lang w:bidi="ar-SA"/>
        </w:rPr>
        <w:t xml:space="preserve"> </w:t>
      </w:r>
      <w:r w:rsidR="007847CD" w:rsidRPr="007847CD">
        <w:rPr>
          <w:rFonts w:ascii="Times New Roman" w:hAnsi="Times New Roman" w:cs="Times New Roman"/>
          <w:sz w:val="28"/>
          <w:szCs w:val="28"/>
          <w:lang w:bidi="ar-SA"/>
        </w:rPr>
        <w:t>(138,8</w:t>
      </w:r>
      <w:r w:rsidR="007847CD">
        <w:rPr>
          <w:rFonts w:ascii="Times New Roman" w:hAnsi="Times New Roman" w:cs="Times New Roman"/>
          <w:sz w:val="28"/>
          <w:szCs w:val="28"/>
          <w:lang w:bidi="ar-SA"/>
        </w:rPr>
        <w:sym w:font="Symbol" w:char="F0B1"/>
      </w:r>
      <w:r w:rsidR="007847CD" w:rsidRPr="007847CD">
        <w:rPr>
          <w:rFonts w:ascii="Times New Roman" w:hAnsi="Times New Roman" w:cs="Times New Roman"/>
          <w:sz w:val="28"/>
          <w:szCs w:val="28"/>
          <w:lang w:bidi="ar-SA"/>
        </w:rPr>
        <w:t xml:space="preserve">100,1 </w:t>
      </w:r>
      <w:r w:rsidR="007847CD">
        <w:rPr>
          <w:rFonts w:ascii="Times New Roman" w:hAnsi="Times New Roman" w:cs="Times New Roman"/>
          <w:sz w:val="28"/>
          <w:szCs w:val="28"/>
          <w:lang w:bidi="ar-SA"/>
        </w:rPr>
        <w:t xml:space="preserve">нг/мл и </w:t>
      </w:r>
      <w:r w:rsidR="007847CD" w:rsidRPr="007847CD">
        <w:rPr>
          <w:rFonts w:ascii="Times New Roman" w:hAnsi="Times New Roman" w:cs="Times New Roman"/>
          <w:sz w:val="28"/>
          <w:szCs w:val="28"/>
          <w:lang w:bidi="ar-SA"/>
        </w:rPr>
        <w:t>78,8</w:t>
      </w:r>
      <w:r w:rsidR="007847CD">
        <w:rPr>
          <w:rFonts w:ascii="Times New Roman" w:hAnsi="Times New Roman" w:cs="Times New Roman"/>
          <w:sz w:val="28"/>
          <w:szCs w:val="28"/>
          <w:lang w:val="en-US" w:bidi="ar-SA"/>
        </w:rPr>
        <w:sym w:font="Symbol" w:char="F0B1"/>
      </w:r>
      <w:r w:rsidR="007847CD" w:rsidRPr="007847CD">
        <w:rPr>
          <w:rFonts w:ascii="Times New Roman" w:hAnsi="Times New Roman" w:cs="Times New Roman"/>
          <w:sz w:val="28"/>
          <w:szCs w:val="28"/>
          <w:lang w:bidi="ar-SA"/>
        </w:rPr>
        <w:t>57,5</w:t>
      </w:r>
      <w:r w:rsidR="007847CD">
        <w:rPr>
          <w:rFonts w:ascii="Times New Roman" w:hAnsi="Times New Roman" w:cs="Times New Roman"/>
          <w:sz w:val="28"/>
          <w:szCs w:val="28"/>
          <w:lang w:bidi="ar-SA"/>
        </w:rPr>
        <w:t>нг/мл соответственно</w:t>
      </w:r>
      <w:r w:rsidR="007847CD" w:rsidRPr="007847CD">
        <w:rPr>
          <w:rFonts w:ascii="Times New Roman" w:hAnsi="Times New Roman" w:cs="Times New Roman"/>
          <w:sz w:val="28"/>
          <w:szCs w:val="28"/>
          <w:lang w:bidi="ar-SA"/>
        </w:rPr>
        <w:t>)</w:t>
      </w:r>
      <w:r w:rsidR="007847CD">
        <w:rPr>
          <w:rFonts w:ascii="Times New Roman" w:hAnsi="Times New Roman" w:cs="Times New Roman"/>
          <w:sz w:val="28"/>
          <w:szCs w:val="28"/>
          <w:lang w:bidi="ar-SA"/>
        </w:rPr>
        <w:t>, однако различия статистически незначимы (</w:t>
      </w:r>
      <w:r w:rsidR="007847CD">
        <w:rPr>
          <w:rFonts w:ascii="Times New Roman" w:hAnsi="Times New Roman" w:cs="Times New Roman"/>
          <w:sz w:val="28"/>
          <w:szCs w:val="28"/>
          <w:lang w:val="en-US" w:bidi="ar-SA"/>
        </w:rPr>
        <w:t>C</w:t>
      </w:r>
      <w:r w:rsidR="007847CD" w:rsidRPr="007847CD">
        <w:rPr>
          <w:rFonts w:ascii="Times New Roman" w:hAnsi="Times New Roman" w:cs="Times New Roman"/>
          <w:sz w:val="28"/>
          <w:szCs w:val="28"/>
          <w:vertAlign w:val="subscript"/>
          <w:lang w:val="en-US" w:bidi="ar-SA"/>
        </w:rPr>
        <w:t>max</w:t>
      </w:r>
      <w:r w:rsidR="007847CD" w:rsidRPr="0077750B">
        <w:rPr>
          <w:rFonts w:ascii="Times New Roman" w:hAnsi="Times New Roman" w:cs="Times New Roman"/>
          <w:sz w:val="28"/>
          <w:szCs w:val="28"/>
          <w:lang w:bidi="ar-SA"/>
        </w:rPr>
        <w:t xml:space="preserve"> </w:t>
      </w:r>
      <w:r w:rsidR="007847CD">
        <w:rPr>
          <w:rFonts w:ascii="Times New Roman" w:hAnsi="Times New Roman" w:cs="Times New Roman"/>
          <w:sz w:val="28"/>
          <w:szCs w:val="28"/>
          <w:lang w:val="en-US" w:bidi="ar-SA"/>
        </w:rPr>
        <w:t>p</w:t>
      </w:r>
      <w:r w:rsidR="007847CD" w:rsidRPr="0077750B">
        <w:rPr>
          <w:rFonts w:ascii="Times New Roman" w:hAnsi="Times New Roman" w:cs="Times New Roman"/>
          <w:sz w:val="28"/>
          <w:szCs w:val="28"/>
          <w:lang w:bidi="ar-SA"/>
        </w:rPr>
        <w:t>=0,</w:t>
      </w:r>
      <w:r w:rsidR="007847CD">
        <w:rPr>
          <w:rFonts w:ascii="Times New Roman" w:hAnsi="Times New Roman" w:cs="Times New Roman"/>
          <w:sz w:val="28"/>
          <w:szCs w:val="28"/>
          <w:lang w:bidi="ar-SA"/>
        </w:rPr>
        <w:t>25</w:t>
      </w:r>
      <w:r w:rsidR="007847CD" w:rsidRPr="0077750B">
        <w:rPr>
          <w:rFonts w:ascii="Times New Roman" w:hAnsi="Times New Roman" w:cs="Times New Roman"/>
          <w:sz w:val="28"/>
          <w:szCs w:val="28"/>
          <w:lang w:bidi="ar-SA"/>
        </w:rPr>
        <w:t xml:space="preserve">; </w:t>
      </w:r>
      <w:r w:rsidR="007847CD">
        <w:rPr>
          <w:rFonts w:ascii="Times New Roman" w:hAnsi="Times New Roman" w:cs="Times New Roman"/>
          <w:sz w:val="28"/>
          <w:szCs w:val="28"/>
          <w:lang w:val="en-US" w:bidi="ar-SA"/>
        </w:rPr>
        <w:t>C</w:t>
      </w:r>
      <w:r w:rsidR="007847CD" w:rsidRPr="007847CD">
        <w:rPr>
          <w:rFonts w:ascii="Times New Roman" w:hAnsi="Times New Roman" w:cs="Times New Roman"/>
          <w:sz w:val="28"/>
          <w:szCs w:val="28"/>
          <w:vertAlign w:val="subscript"/>
          <w:lang w:val="en-US" w:bidi="ar-SA"/>
        </w:rPr>
        <w:t>trough</w:t>
      </w:r>
      <w:r w:rsidR="007847CD" w:rsidRPr="0077750B">
        <w:rPr>
          <w:rFonts w:ascii="Times New Roman" w:hAnsi="Times New Roman" w:cs="Times New Roman"/>
          <w:sz w:val="28"/>
          <w:szCs w:val="28"/>
          <w:lang w:bidi="ar-SA"/>
        </w:rPr>
        <w:t xml:space="preserve"> </w:t>
      </w:r>
      <w:r w:rsidR="007847CD">
        <w:rPr>
          <w:rFonts w:ascii="Times New Roman" w:hAnsi="Times New Roman" w:cs="Times New Roman"/>
          <w:sz w:val="28"/>
          <w:szCs w:val="28"/>
          <w:lang w:val="en-US" w:bidi="ar-SA"/>
        </w:rPr>
        <w:t>p</w:t>
      </w:r>
      <w:r w:rsidR="007847CD" w:rsidRPr="0077750B">
        <w:rPr>
          <w:rFonts w:ascii="Times New Roman" w:hAnsi="Times New Roman" w:cs="Times New Roman"/>
          <w:sz w:val="28"/>
          <w:szCs w:val="28"/>
          <w:lang w:bidi="ar-SA"/>
        </w:rPr>
        <w:t>=0,</w:t>
      </w:r>
      <w:r w:rsidR="007847CD">
        <w:rPr>
          <w:rFonts w:ascii="Times New Roman" w:hAnsi="Times New Roman" w:cs="Times New Roman"/>
          <w:sz w:val="28"/>
          <w:szCs w:val="28"/>
          <w:lang w:bidi="ar-SA"/>
        </w:rPr>
        <w:t xml:space="preserve">73). В исследовании </w:t>
      </w:r>
      <w:r w:rsidR="007847CD">
        <w:rPr>
          <w:rFonts w:ascii="Times New Roman" w:hAnsi="Times New Roman" w:cs="Times New Roman"/>
          <w:sz w:val="28"/>
          <w:szCs w:val="28"/>
          <w:lang w:val="en-US" w:bidi="ar-SA"/>
        </w:rPr>
        <w:t>Pare</w:t>
      </w:r>
      <w:r w:rsidR="007847CD" w:rsidRPr="007847CD">
        <w:rPr>
          <w:rFonts w:ascii="Times New Roman" w:hAnsi="Times New Roman" w:cs="Times New Roman"/>
          <w:sz w:val="28"/>
          <w:szCs w:val="28"/>
          <w:lang w:bidi="ar-SA"/>
        </w:rPr>
        <w:t xml:space="preserve"> </w:t>
      </w:r>
      <w:r w:rsidR="007847CD">
        <w:rPr>
          <w:rFonts w:ascii="Times New Roman" w:hAnsi="Times New Roman" w:cs="Times New Roman"/>
          <w:sz w:val="28"/>
          <w:szCs w:val="28"/>
          <w:lang w:val="en-US" w:bidi="ar-SA"/>
        </w:rPr>
        <w:t>et</w:t>
      </w:r>
      <w:r w:rsidR="007847CD" w:rsidRPr="007847CD">
        <w:rPr>
          <w:rFonts w:ascii="Times New Roman" w:hAnsi="Times New Roman" w:cs="Times New Roman"/>
          <w:sz w:val="28"/>
          <w:szCs w:val="28"/>
          <w:lang w:bidi="ar-SA"/>
        </w:rPr>
        <w:t xml:space="preserve"> </w:t>
      </w:r>
      <w:r w:rsidR="007847CD">
        <w:rPr>
          <w:rFonts w:ascii="Times New Roman" w:hAnsi="Times New Roman" w:cs="Times New Roman"/>
          <w:sz w:val="28"/>
          <w:szCs w:val="28"/>
          <w:lang w:val="en-US" w:bidi="ar-SA"/>
        </w:rPr>
        <w:t>al</w:t>
      </w:r>
      <w:r w:rsidR="007847CD" w:rsidRPr="007847CD">
        <w:rPr>
          <w:rFonts w:ascii="Times New Roman" w:hAnsi="Times New Roman" w:cs="Times New Roman"/>
          <w:sz w:val="28"/>
          <w:szCs w:val="28"/>
          <w:lang w:bidi="ar-SA"/>
        </w:rPr>
        <w:t>.,</w:t>
      </w:r>
      <w:r w:rsidR="007847CD">
        <w:rPr>
          <w:rFonts w:ascii="Times New Roman" w:hAnsi="Times New Roman" w:cs="Times New Roman"/>
          <w:sz w:val="28"/>
          <w:szCs w:val="28"/>
          <w:lang w:bidi="ar-SA"/>
        </w:rPr>
        <w:t xml:space="preserve"> 2013 показано, что полиморфизм </w:t>
      </w:r>
      <w:r w:rsidR="007847CD" w:rsidRPr="00A6651D">
        <w:rPr>
          <w:rFonts w:ascii="Times New Roman" w:hAnsi="Times New Roman" w:cs="Times New Roman"/>
          <w:i/>
          <w:iCs/>
          <w:sz w:val="28"/>
          <w:szCs w:val="28"/>
          <w:lang w:val="en-US" w:bidi="ar-SA"/>
        </w:rPr>
        <w:t>CES</w:t>
      </w:r>
      <w:r w:rsidR="007847CD" w:rsidRPr="00A6651D">
        <w:rPr>
          <w:rFonts w:ascii="Times New Roman" w:hAnsi="Times New Roman" w:cs="Times New Roman"/>
          <w:i/>
          <w:iCs/>
          <w:sz w:val="28"/>
          <w:szCs w:val="28"/>
          <w:lang w:bidi="ar-SA"/>
        </w:rPr>
        <w:t xml:space="preserve"> </w:t>
      </w:r>
      <w:r w:rsidR="007847CD" w:rsidRPr="00A6651D">
        <w:rPr>
          <w:rFonts w:ascii="Times New Roman" w:hAnsi="Times New Roman" w:cs="Times New Roman"/>
          <w:i/>
          <w:iCs/>
          <w:sz w:val="28"/>
          <w:szCs w:val="28"/>
          <w:lang w:val="en-US" w:bidi="ar-SA"/>
        </w:rPr>
        <w:t>rs</w:t>
      </w:r>
      <w:r w:rsidR="007847CD" w:rsidRPr="00A6651D">
        <w:rPr>
          <w:rFonts w:ascii="Times New Roman" w:hAnsi="Times New Roman" w:cs="Times New Roman"/>
          <w:i/>
          <w:iCs/>
          <w:sz w:val="28"/>
          <w:szCs w:val="28"/>
          <w:lang w:bidi="ar-SA"/>
        </w:rPr>
        <w:t>2244613</w:t>
      </w:r>
      <w:r w:rsidR="007847CD" w:rsidRPr="007847CD">
        <w:rPr>
          <w:rFonts w:ascii="Times New Roman" w:hAnsi="Times New Roman" w:cs="Times New Roman"/>
          <w:sz w:val="28"/>
          <w:szCs w:val="28"/>
          <w:lang w:bidi="ar-SA"/>
        </w:rPr>
        <w:t xml:space="preserve"> </w:t>
      </w:r>
      <w:r w:rsidR="007847CD">
        <w:rPr>
          <w:rFonts w:ascii="Times New Roman" w:hAnsi="Times New Roman" w:cs="Times New Roman"/>
          <w:sz w:val="28"/>
          <w:szCs w:val="28"/>
          <w:lang w:bidi="ar-SA"/>
        </w:rPr>
        <w:t>может ассоциироваться с пониженной экспозицией дабигатрана, особенно у носителей аллеля Т</w:t>
      </w:r>
      <w:r w:rsidR="007847CD">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AJWknxLd","properties":{"unsorted":false,"formattedCitation":"[19]","plainCitation":"[19]","noteIndex":0},"citationItems":[{"id":682,"uris":["http://zotero.org/users/14784094/items/L3TI6FF7"],"itemData":{"id":682,"type":"article-journal","abstract":"Background—Fixed-dose unmonitored treatment with dabigatran etexilate is effective and has a favorable safety profile in the prevention of stroke in atrial fibrillation patients compared with warfarin. We hypothesized that genetic variants could contribute to interindividual variability in blood concentrations of the active metabolite of dabigatran etexilate and influence the safety and efficacy of dabigatran.\nMethods and Results—We successfully conducted a genome-wide association study in 2944 Randomized Evaluation of Long-term Anticoagulation Therapy (RE-LY) participants. The CES1 single-nucleotide polymorphism rs2244613 was associated with trough concentrations, and the ABCB1 single-nucleotide polymorphism rs4148738 and the CES1 singlenucleotide polymorphism rs8192935 were associated with peak concentrations at genome-wide significance (P&lt;9×10−8) with a gene-dose effect. Each minor allele of the CES1 single-nucleotide polymorphism rs2244613 was associated with lower trough concentrations (15% decrease per allele; 95% confidence interval, 10–19; P=1.2×10−8) and a lower risk of any bleeding (odds ratio, 0.67; 95% confidence interval, 0.55–0.82; P=7×10−5) in dabigatran-treated participants, with a consistent but nonsignificant lower risk of major bleeding (odds ratio, 0.66; 95% confidence interval, 0.43–1.01). The interaction between treatment (warfarin versus all dabigatran) and carrier status was statistically significant (P=0.002), with carriers having less bleeding with dabigatran than warfarin (hazard ratio, 0.59; 95% confidence interval, 0.46–0.76; P=5.2×10−5) in contrast to no difference in noncarriers (hazard ratio, 0.96; 95% confidence interval, 0.81–1.14; P=0.65). There was no association with ischemic events, and neither rs4148738 nor rs8192935 was associated with bleeding or ischemic events.\nConclusions—Genome-wide association analysis identified that carriage of the CES1 rs2244613 minor allele occurred in 32.8% of patients in RE-LY and was associated with lower exposure to active dabigatran metabolite. The presence of the polymorphism was associated with a lower risk of bleeding.","container-title":"Circulation","DOI":"10.1161/CIRCULATIONAHA.112.001233","ISSN":"0009-7322, 1524-4539","issue":"13","journalAbbreviation":"Circulation","language":"en","page":"1404-1412","source":"DOI.org (Crossref)","title":"Genetic Determinants of Dabigatran Plasma Levels and Their Relation to Bleeding","volume":"127","author":[{"family":"Paré","given":"Guillaume"},{"family":"Eriksson","given":"Niclas"},{"family":"Lehr","given":"Thorsten"},{"family":"Connolly","given":"Stuart"},{"family":"Eikelboom","given":"John"},{"family":"Ezekowitz","given":"Michael D."},{"family":"Axelsson","given":"Tomas"},{"family":"Haertter","given":"Sebastian"},{"family":"Oldgren","given":"Jonas"},{"family":"Reilly","given":"Paul"},{"family":"Siegbahn","given":"Agneta"},{"family":"Syvanen","given":"Ann-Christine"},{"family":"Wadelius","given":"Claes"},{"family":"Wadelius","given":"Mia"},{"family":"Zimdahl-Gelling","given":"Heike"},{"family":"Yusuf","given":"Salim"},{"family":"Wallentin","given":"Lars"}],"issued":{"date-parts":[["2013",4,2]]}}}],"schema":"https://github.com/citation-style-language/schema/raw/master/csl-citation.json"} </w:instrText>
      </w:r>
      <w:r w:rsidR="007847CD">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[19]</w:t>
      </w:r>
      <w:r w:rsidR="007847CD">
        <w:rPr>
          <w:rFonts w:ascii="Times New Roman" w:hAnsi="Times New Roman" w:cs="Times New Roman"/>
          <w:sz w:val="28"/>
          <w:szCs w:val="28"/>
          <w:lang w:bidi="ar-SA"/>
        </w:rPr>
        <w:fldChar w:fldCharType="end"/>
      </w:r>
      <w:r w:rsidR="007847CD" w:rsidRPr="007847CD">
        <w:rPr>
          <w:rFonts w:ascii="Times New Roman" w:hAnsi="Times New Roman" w:cs="Times New Roman"/>
          <w:sz w:val="28"/>
          <w:szCs w:val="28"/>
          <w:lang w:bidi="ar-SA"/>
        </w:rPr>
        <w:t>.</w:t>
      </w:r>
      <w:r w:rsidR="007847CD">
        <w:rPr>
          <w:rFonts w:ascii="Times New Roman" w:hAnsi="Times New Roman" w:cs="Times New Roman"/>
          <w:sz w:val="28"/>
          <w:szCs w:val="28"/>
          <w:lang w:bidi="ar-SA"/>
        </w:rPr>
        <w:t xml:space="preserve"> В нашем исследовании концентрации у таких пациентов действительно были ниже, однако без статистической значимости. </w:t>
      </w:r>
      <w:r w:rsidR="007847CD" w:rsidRPr="00A6651D">
        <w:rPr>
          <w:rFonts w:ascii="Times New Roman" w:hAnsi="Times New Roman" w:cs="Times New Roman"/>
          <w:i/>
          <w:iCs/>
          <w:sz w:val="28"/>
          <w:szCs w:val="28"/>
          <w:lang w:val="en-US" w:bidi="ar-SA"/>
        </w:rPr>
        <w:t>rs</w:t>
      </w:r>
      <w:r w:rsidR="007847CD" w:rsidRPr="00A6651D">
        <w:rPr>
          <w:rFonts w:ascii="Times New Roman" w:hAnsi="Times New Roman" w:cs="Times New Roman"/>
          <w:i/>
          <w:iCs/>
          <w:sz w:val="28"/>
          <w:szCs w:val="28"/>
          <w:lang w:bidi="ar-SA"/>
        </w:rPr>
        <w:t>71647871 (</w:t>
      </w:r>
      <w:r w:rsidR="007847CD" w:rsidRPr="00A6651D">
        <w:rPr>
          <w:rFonts w:ascii="Times New Roman" w:hAnsi="Times New Roman" w:cs="Times New Roman"/>
          <w:i/>
          <w:iCs/>
          <w:sz w:val="28"/>
          <w:szCs w:val="28"/>
          <w:lang w:val="en-US" w:bidi="ar-SA"/>
        </w:rPr>
        <w:t>G</w:t>
      </w:r>
      <w:r w:rsidR="007847CD" w:rsidRPr="00A6651D">
        <w:rPr>
          <w:rFonts w:ascii="Times New Roman" w:hAnsi="Times New Roman" w:cs="Times New Roman"/>
          <w:i/>
          <w:iCs/>
          <w:sz w:val="28"/>
          <w:szCs w:val="28"/>
          <w:lang w:bidi="ar-SA"/>
        </w:rPr>
        <w:t>&gt;</w:t>
      </w:r>
      <w:r w:rsidR="007847CD" w:rsidRPr="00A6651D">
        <w:rPr>
          <w:rFonts w:ascii="Times New Roman" w:hAnsi="Times New Roman" w:cs="Times New Roman"/>
          <w:i/>
          <w:iCs/>
          <w:sz w:val="28"/>
          <w:szCs w:val="28"/>
          <w:lang w:val="en-US" w:bidi="ar-SA"/>
        </w:rPr>
        <w:t>A</w:t>
      </w:r>
      <w:r w:rsidR="007847CD" w:rsidRPr="00A6651D">
        <w:rPr>
          <w:rFonts w:ascii="Times New Roman" w:hAnsi="Times New Roman" w:cs="Times New Roman"/>
          <w:i/>
          <w:iCs/>
          <w:sz w:val="28"/>
          <w:szCs w:val="28"/>
          <w:lang w:bidi="ar-SA"/>
        </w:rPr>
        <w:t>):</w:t>
      </w:r>
      <w:r w:rsidR="007847CD" w:rsidRPr="007847CD">
        <w:rPr>
          <w:rFonts w:ascii="Times New Roman" w:hAnsi="Times New Roman" w:cs="Times New Roman"/>
          <w:sz w:val="28"/>
          <w:szCs w:val="28"/>
          <w:lang w:bidi="ar-SA"/>
        </w:rPr>
        <w:t xml:space="preserve"> </w:t>
      </w:r>
      <w:r w:rsidR="007847CD">
        <w:rPr>
          <w:rFonts w:ascii="Times New Roman" w:hAnsi="Times New Roman" w:cs="Times New Roman"/>
          <w:sz w:val="28"/>
          <w:szCs w:val="28"/>
          <w:lang w:bidi="ar-SA"/>
        </w:rPr>
        <w:t xml:space="preserve">носители </w:t>
      </w:r>
      <w:r w:rsidR="007847CD">
        <w:rPr>
          <w:rFonts w:ascii="Times New Roman" w:hAnsi="Times New Roman" w:cs="Times New Roman"/>
          <w:sz w:val="28"/>
          <w:szCs w:val="28"/>
          <w:lang w:val="en-US" w:bidi="ar-SA"/>
        </w:rPr>
        <w:t>AG</w:t>
      </w:r>
      <w:r w:rsidR="007847CD">
        <w:rPr>
          <w:rFonts w:ascii="Times New Roman" w:hAnsi="Times New Roman" w:cs="Times New Roman"/>
          <w:sz w:val="28"/>
          <w:szCs w:val="28"/>
          <w:lang w:bidi="ar-SA"/>
        </w:rPr>
        <w:t>-генотипа (</w:t>
      </w:r>
      <w:r w:rsidR="007847CD">
        <w:rPr>
          <w:rFonts w:ascii="Times New Roman" w:hAnsi="Times New Roman" w:cs="Times New Roman"/>
          <w:sz w:val="28"/>
          <w:szCs w:val="28"/>
          <w:lang w:val="en-US" w:bidi="ar-SA"/>
        </w:rPr>
        <w:t>n</w:t>
      </w:r>
      <w:r w:rsidR="007847CD" w:rsidRPr="007847CD">
        <w:rPr>
          <w:rFonts w:ascii="Times New Roman" w:hAnsi="Times New Roman" w:cs="Times New Roman"/>
          <w:sz w:val="28"/>
          <w:szCs w:val="28"/>
          <w:lang w:bidi="ar-SA"/>
        </w:rPr>
        <w:t>=2</w:t>
      </w:r>
      <w:r w:rsidR="007847CD">
        <w:rPr>
          <w:rFonts w:ascii="Times New Roman" w:hAnsi="Times New Roman" w:cs="Times New Roman"/>
          <w:sz w:val="28"/>
          <w:szCs w:val="28"/>
          <w:lang w:bidi="ar-SA"/>
        </w:rPr>
        <w:t xml:space="preserve">) имели немного более низкие средние значения </w:t>
      </w:r>
      <w:r w:rsidR="007847CD">
        <w:rPr>
          <w:rFonts w:ascii="Times New Roman" w:hAnsi="Times New Roman" w:cs="Times New Roman"/>
          <w:sz w:val="28"/>
          <w:szCs w:val="28"/>
          <w:lang w:val="en-US" w:bidi="ar-SA"/>
        </w:rPr>
        <w:t>Ctrough</w:t>
      </w:r>
      <w:r w:rsidR="007847CD">
        <w:rPr>
          <w:rFonts w:ascii="Times New Roman" w:hAnsi="Times New Roman" w:cs="Times New Roman"/>
          <w:sz w:val="28"/>
          <w:szCs w:val="28"/>
          <w:lang w:bidi="ar-SA"/>
        </w:rPr>
        <w:t xml:space="preserve">, однако различия не достигли статистической </w:t>
      </w:r>
      <w:r w:rsidR="007847CD">
        <w:rPr>
          <w:rFonts w:ascii="Times New Roman" w:hAnsi="Times New Roman" w:cs="Times New Roman"/>
          <w:color w:val="000000" w:themeColor="text1"/>
          <w:sz w:val="28"/>
          <w:szCs w:val="28"/>
          <w:lang w:bidi="ar-SA"/>
        </w:rPr>
        <w:t xml:space="preserve">значимости </w:t>
      </w:r>
      <w:r w:rsidR="007847CD">
        <w:rPr>
          <w:rFonts w:ascii="Times New Roman" w:hAnsi="Times New Roman" w:cs="Times New Roman"/>
          <w:sz w:val="28"/>
          <w:szCs w:val="28"/>
          <w:lang w:bidi="ar-SA"/>
        </w:rPr>
        <w:t>(р</w:t>
      </w:r>
      <w:r w:rsidR="007847CD" w:rsidRPr="007847CD">
        <w:rPr>
          <w:rFonts w:ascii="Times New Roman" w:hAnsi="Times New Roman" w:cs="Times New Roman"/>
          <w:sz w:val="28"/>
          <w:szCs w:val="28"/>
          <w:lang w:bidi="ar-SA"/>
        </w:rPr>
        <w:t>&gt;0,8</w:t>
      </w:r>
      <w:r w:rsidR="007847CD">
        <w:rPr>
          <w:rFonts w:ascii="Times New Roman" w:hAnsi="Times New Roman" w:cs="Times New Roman"/>
          <w:sz w:val="28"/>
          <w:szCs w:val="28"/>
          <w:lang w:bidi="ar-SA"/>
        </w:rPr>
        <w:t>).</w:t>
      </w:r>
      <w:r w:rsidR="007847CD" w:rsidRPr="007847CD">
        <w:rPr>
          <w:rFonts w:ascii="Times New Roman" w:hAnsi="Times New Roman" w:cs="Times New Roman"/>
          <w:sz w:val="28"/>
          <w:szCs w:val="28"/>
          <w:lang w:bidi="ar-SA"/>
        </w:rPr>
        <w:t xml:space="preserve"> </w:t>
      </w:r>
    </w:p>
    <w:p w14:paraId="26C0519C" w14:textId="6F78C322" w:rsidR="007847CD" w:rsidRPr="00EE4DC9" w:rsidRDefault="007847CD" w:rsidP="007847C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Наш сравнительный анализ пиковых и минимальных концентраций дабигатрана в плазме между полиморфизмами генотипов не показал существенных различий (критерий </w:t>
      </w:r>
      <w:proofErr w:type="spellStart"/>
      <w:r>
        <w:rPr>
          <w:rFonts w:ascii="Times New Roman" w:hAnsi="Times New Roman" w:cs="Times New Roman"/>
          <w:sz w:val="28"/>
          <w:szCs w:val="28"/>
          <w:lang w:bidi="ar-SA"/>
        </w:rPr>
        <w:t>Крускала-Уоллиса</w:t>
      </w:r>
      <w:proofErr w:type="spellEnd"/>
      <w:r>
        <w:rPr>
          <w:rFonts w:ascii="Times New Roman" w:hAnsi="Times New Roman" w:cs="Times New Roman"/>
          <w:sz w:val="28"/>
          <w:szCs w:val="28"/>
          <w:lang w:bidi="ar-SA"/>
        </w:rPr>
        <w:t>, р</w:t>
      </w:r>
      <w:r w:rsidRPr="007847CD">
        <w:rPr>
          <w:rFonts w:ascii="Times New Roman" w:hAnsi="Times New Roman" w:cs="Times New Roman"/>
          <w:sz w:val="28"/>
          <w:szCs w:val="28"/>
          <w:lang w:bidi="ar-SA"/>
        </w:rPr>
        <w:t>&gt;0,05</w:t>
      </w:r>
      <w:r>
        <w:rPr>
          <w:rFonts w:ascii="Times New Roman" w:hAnsi="Times New Roman" w:cs="Times New Roman"/>
          <w:sz w:val="28"/>
          <w:szCs w:val="28"/>
          <w:lang w:bidi="ar-SA"/>
        </w:rPr>
        <w:t>)</w:t>
      </w:r>
      <w:r w:rsidRPr="007847CD">
        <w:rPr>
          <w:rFonts w:ascii="Times New Roman" w:hAnsi="Times New Roman" w:cs="Times New Roman"/>
          <w:sz w:val="28"/>
          <w:szCs w:val="28"/>
          <w:lang w:bidi="ar-SA"/>
        </w:rPr>
        <w:t xml:space="preserve">. </w:t>
      </w:r>
    </w:p>
    <w:p w14:paraId="69FC2A37" w14:textId="77777777" w:rsidR="00A6651D" w:rsidRPr="00EE4DC9" w:rsidRDefault="00A6651D" w:rsidP="007847CD">
      <w:pPr>
        <w:pStyle w:val="LO-normal"/>
        <w:spacing w:after="0" w:line="240" w:lineRule="auto"/>
        <w:ind w:firstLine="567"/>
        <w:jc w:val="both"/>
        <w:rPr>
          <w:rFonts w:ascii="Times New Roman" w:hAnsi="Times New Roman" w:cs="Times New Roman"/>
          <w:sz w:val="28"/>
          <w:szCs w:val="28"/>
          <w:lang w:bidi="ar-SA"/>
        </w:rPr>
      </w:pPr>
    </w:p>
    <w:p w14:paraId="46C00954" w14:textId="72E3BC0F" w:rsidR="007847CD" w:rsidRPr="00926EC0" w:rsidRDefault="007847CD" w:rsidP="007847CD">
      <w:pPr>
        <w:pStyle w:val="LO-normal"/>
        <w:spacing w:after="0" w:line="240" w:lineRule="auto"/>
        <w:ind w:firstLine="567"/>
        <w:jc w:val="both"/>
        <w:rPr>
          <w:rFonts w:ascii="Times New Roman" w:hAnsi="Times New Roman" w:cs="Times New Roman"/>
          <w:sz w:val="28"/>
          <w:szCs w:val="28"/>
          <w:lang w:bidi="ar-SA"/>
        </w:rPr>
      </w:pPr>
      <w:r w:rsidRPr="00A6651D">
        <w:rPr>
          <w:rFonts w:ascii="Times New Roman" w:hAnsi="Times New Roman" w:cs="Times New Roman"/>
          <w:color w:val="000000" w:themeColor="text1"/>
          <w:sz w:val="28"/>
          <w:szCs w:val="28"/>
          <w:lang w:bidi="ar-SA"/>
        </w:rPr>
        <w:t>Таблица</w:t>
      </w:r>
      <w:r w:rsidRPr="007847CD">
        <w:rPr>
          <w:rFonts w:ascii="Times New Roman" w:hAnsi="Times New Roman" w:cs="Times New Roman"/>
          <w:color w:val="C00000"/>
          <w:sz w:val="28"/>
          <w:szCs w:val="28"/>
          <w:lang w:bidi="ar-SA"/>
        </w:rPr>
        <w:t xml:space="preserve"> </w:t>
      </w:r>
      <w:r w:rsidR="00A6651D">
        <w:rPr>
          <w:rFonts w:ascii="Times New Roman" w:hAnsi="Times New Roman" w:cs="Times New Roman"/>
          <w:sz w:val="28"/>
          <w:szCs w:val="28"/>
          <w:lang w:bidi="ar-SA"/>
        </w:rPr>
        <w:t>6</w:t>
      </w:r>
      <w:r>
        <w:rPr>
          <w:rFonts w:ascii="Times New Roman" w:hAnsi="Times New Roman" w:cs="Times New Roman"/>
          <w:sz w:val="28"/>
          <w:szCs w:val="28"/>
          <w:lang w:bidi="ar-SA"/>
        </w:rPr>
        <w:t xml:space="preserve">. Сравнительный анализ концентраций дабигатрана между генотипами </w:t>
      </w:r>
      <w:r>
        <w:rPr>
          <w:rFonts w:ascii="Times New Roman" w:hAnsi="Times New Roman" w:cs="Times New Roman"/>
          <w:sz w:val="28"/>
          <w:szCs w:val="28"/>
          <w:lang w:val="en-US" w:bidi="ar-SA"/>
        </w:rPr>
        <w:t>SNP</w:t>
      </w:r>
    </w:p>
    <w:tbl>
      <w:tblPr>
        <w:tblW w:w="9238" w:type="dxa"/>
        <w:tblLayout w:type="fixed"/>
        <w:tblLook w:val="0000" w:firstRow="0" w:lastRow="0" w:firstColumn="0" w:lastColumn="0" w:noHBand="0" w:noVBand="0"/>
      </w:tblPr>
      <w:tblGrid>
        <w:gridCol w:w="1295"/>
        <w:gridCol w:w="1214"/>
        <w:gridCol w:w="1235"/>
        <w:gridCol w:w="1699"/>
        <w:gridCol w:w="1079"/>
        <w:gridCol w:w="1468"/>
        <w:gridCol w:w="1248"/>
      </w:tblGrid>
      <w:tr w:rsidR="00A6651D" w14:paraId="2B363771" w14:textId="77777777" w:rsidTr="00B57F2E">
        <w:tc>
          <w:tcPr>
            <w:tcW w:w="1295" w:type="dxa"/>
            <w:tcBorders>
              <w:top w:val="single" w:sz="4" w:space="0" w:color="A8D08D"/>
              <w:left w:val="single" w:sz="4" w:space="0" w:color="A8D08D"/>
              <w:bottom w:val="single" w:sz="12" w:space="0" w:color="A8D08D"/>
              <w:right w:val="single" w:sz="4" w:space="0" w:color="A8D08D"/>
            </w:tcBorders>
          </w:tcPr>
          <w:p w14:paraId="25B28F40"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Ген</w:t>
            </w:r>
          </w:p>
        </w:tc>
        <w:tc>
          <w:tcPr>
            <w:tcW w:w="1214" w:type="dxa"/>
            <w:tcBorders>
              <w:top w:val="single" w:sz="4" w:space="0" w:color="A8D08D"/>
              <w:left w:val="single" w:sz="4" w:space="0" w:color="A8D08D"/>
              <w:bottom w:val="single" w:sz="12" w:space="0" w:color="A8D08D"/>
              <w:right w:val="single" w:sz="4" w:space="0" w:color="A8D08D"/>
            </w:tcBorders>
          </w:tcPr>
          <w:p w14:paraId="4E2E513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SNP rs</w:t>
            </w:r>
          </w:p>
        </w:tc>
        <w:tc>
          <w:tcPr>
            <w:tcW w:w="1235" w:type="dxa"/>
            <w:tcBorders>
              <w:top w:val="single" w:sz="4" w:space="0" w:color="A8D08D"/>
              <w:left w:val="single" w:sz="4" w:space="0" w:color="A8D08D"/>
              <w:bottom w:val="single" w:sz="12" w:space="0" w:color="A8D08D"/>
              <w:right w:val="single" w:sz="4" w:space="0" w:color="A8D08D"/>
            </w:tcBorders>
          </w:tcPr>
          <w:p w14:paraId="61EE389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Характеристики</w:t>
            </w:r>
          </w:p>
        </w:tc>
        <w:tc>
          <w:tcPr>
            <w:tcW w:w="1699" w:type="dxa"/>
            <w:tcBorders>
              <w:top w:val="single" w:sz="4" w:space="0" w:color="A8D08D"/>
              <w:left w:val="single" w:sz="4" w:space="0" w:color="A8D08D"/>
              <w:bottom w:val="single" w:sz="12" w:space="0" w:color="A8D08D"/>
              <w:right w:val="single" w:sz="4" w:space="0" w:color="A8D08D"/>
            </w:tcBorders>
          </w:tcPr>
          <w:p w14:paraId="0AFEE17D" w14:textId="57D4DD7D"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Дабигатран макс. (нг/мл)</w:t>
            </w:r>
          </w:p>
        </w:tc>
        <w:tc>
          <w:tcPr>
            <w:tcW w:w="1079" w:type="dxa"/>
            <w:tcBorders>
              <w:top w:val="single" w:sz="4" w:space="0" w:color="A8D08D"/>
              <w:left w:val="single" w:sz="4" w:space="0" w:color="A8D08D"/>
              <w:bottom w:val="single" w:sz="12" w:space="0" w:color="A8D08D"/>
              <w:right w:val="single" w:sz="4" w:space="0" w:color="A8D08D"/>
            </w:tcBorders>
          </w:tcPr>
          <w:p w14:paraId="6F1D34F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color w:val="000000"/>
                <w:sz w:val="20"/>
                <w:szCs w:val="20"/>
              </w:rPr>
            </w:pPr>
            <w:proofErr w:type="gramStart"/>
            <w:r>
              <w:rPr>
                <w:rFonts w:ascii="Times New Roman" w:eastAsia="Times New Roman" w:hAnsi="Times New Roman" w:cs="Times New Roman"/>
                <w:b/>
                <w:bCs/>
                <w:color w:val="000000"/>
                <w:sz w:val="20"/>
                <w:szCs w:val="20"/>
              </w:rPr>
              <w:t>Значение  р</w:t>
            </w:r>
            <w:proofErr w:type="gramEnd"/>
            <w:r>
              <w:rPr>
                <w:rFonts w:ascii="Times New Roman" w:eastAsia="Times New Roman" w:hAnsi="Times New Roman" w:cs="Times New Roman"/>
                <w:b/>
                <w:bCs/>
                <w:color w:val="000000"/>
                <w:sz w:val="20"/>
                <w:szCs w:val="20"/>
              </w:rPr>
              <w:t xml:space="preserve"> (</w:t>
            </w:r>
            <w:proofErr w:type="spellStart"/>
            <w:r>
              <w:rPr>
                <w:rFonts w:ascii="Times New Roman" w:eastAsia="Times New Roman" w:hAnsi="Times New Roman" w:cs="Times New Roman"/>
                <w:b/>
                <w:bCs/>
                <w:color w:val="000000"/>
                <w:sz w:val="20"/>
                <w:szCs w:val="20"/>
              </w:rPr>
              <w:t>value</w:t>
            </w:r>
            <w:proofErr w:type="spellEnd"/>
            <w:r>
              <w:rPr>
                <w:rFonts w:ascii="Times New Roman" w:eastAsia="Times New Roman" w:hAnsi="Times New Roman" w:cs="Times New Roman"/>
                <w:b/>
                <w:bCs/>
                <w:color w:val="000000"/>
                <w:sz w:val="20"/>
                <w:szCs w:val="20"/>
              </w:rPr>
              <w:t>)</w:t>
            </w:r>
          </w:p>
        </w:tc>
        <w:tc>
          <w:tcPr>
            <w:tcW w:w="1468" w:type="dxa"/>
            <w:tcBorders>
              <w:top w:val="single" w:sz="4" w:space="0" w:color="A8D08D"/>
              <w:left w:val="single" w:sz="4" w:space="0" w:color="A8D08D"/>
              <w:bottom w:val="single" w:sz="12" w:space="0" w:color="A8D08D"/>
              <w:right w:val="single" w:sz="4" w:space="0" w:color="A8D08D"/>
            </w:tcBorders>
          </w:tcPr>
          <w:p w14:paraId="4E85457D" w14:textId="584D88B2"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Дабигатран мин. (нг/мл)</w:t>
            </w:r>
          </w:p>
        </w:tc>
        <w:tc>
          <w:tcPr>
            <w:tcW w:w="1248" w:type="dxa"/>
            <w:tcBorders>
              <w:top w:val="single" w:sz="4" w:space="0" w:color="A8D08D"/>
              <w:left w:val="single" w:sz="4" w:space="0" w:color="A8D08D"/>
              <w:bottom w:val="single" w:sz="12" w:space="0" w:color="A8D08D"/>
              <w:right w:val="single" w:sz="4" w:space="0" w:color="A8D08D"/>
            </w:tcBorders>
          </w:tcPr>
          <w:p w14:paraId="69C7A5F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Значение (р </w:t>
            </w:r>
            <w:proofErr w:type="spellStart"/>
            <w:r>
              <w:rPr>
                <w:rFonts w:ascii="Times New Roman" w:eastAsia="Times New Roman" w:hAnsi="Times New Roman" w:cs="Times New Roman"/>
                <w:b/>
                <w:bCs/>
                <w:color w:val="000000"/>
                <w:sz w:val="20"/>
                <w:szCs w:val="20"/>
              </w:rPr>
              <w:t>value</w:t>
            </w:r>
            <w:proofErr w:type="spellEnd"/>
            <w:r>
              <w:rPr>
                <w:rFonts w:ascii="Times New Roman" w:eastAsia="Times New Roman" w:hAnsi="Times New Roman" w:cs="Times New Roman"/>
                <w:b/>
                <w:bCs/>
                <w:color w:val="000000"/>
                <w:sz w:val="20"/>
                <w:szCs w:val="20"/>
              </w:rPr>
              <w:t>)</w:t>
            </w:r>
          </w:p>
        </w:tc>
      </w:tr>
      <w:tr w:rsidR="00A6651D" w14:paraId="64A15006"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59F9AD8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5A843A0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1DB36B79"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072ED2A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2A5343E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575FDCF6"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13ACBB7C"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r>
      <w:tr w:rsidR="00A6651D" w14:paraId="22F84406"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1B87D71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ABCB1</w:t>
            </w:r>
          </w:p>
        </w:tc>
        <w:tc>
          <w:tcPr>
            <w:tcW w:w="1214" w:type="dxa"/>
            <w:tcBorders>
              <w:top w:val="single" w:sz="4" w:space="0" w:color="A8D08D"/>
              <w:left w:val="single" w:sz="4" w:space="0" w:color="A8D08D"/>
              <w:bottom w:val="single" w:sz="4" w:space="0" w:color="A8D08D"/>
              <w:right w:val="single" w:sz="4" w:space="0" w:color="A8D08D"/>
            </w:tcBorders>
          </w:tcPr>
          <w:p w14:paraId="4552555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rs4148738</w:t>
            </w:r>
          </w:p>
        </w:tc>
        <w:tc>
          <w:tcPr>
            <w:tcW w:w="1235" w:type="dxa"/>
            <w:tcBorders>
              <w:top w:val="single" w:sz="4" w:space="0" w:color="A8D08D"/>
              <w:left w:val="single" w:sz="4" w:space="0" w:color="A8D08D"/>
              <w:bottom w:val="single" w:sz="4" w:space="0" w:color="A8D08D"/>
              <w:right w:val="single" w:sz="4" w:space="0" w:color="A8D08D"/>
            </w:tcBorders>
          </w:tcPr>
          <w:p w14:paraId="02A0738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CC</w:t>
            </w:r>
          </w:p>
        </w:tc>
        <w:tc>
          <w:tcPr>
            <w:tcW w:w="1699" w:type="dxa"/>
            <w:tcBorders>
              <w:top w:val="single" w:sz="4" w:space="0" w:color="A8D08D"/>
              <w:left w:val="single" w:sz="4" w:space="0" w:color="A8D08D"/>
              <w:bottom w:val="single" w:sz="4" w:space="0" w:color="A8D08D"/>
              <w:right w:val="single" w:sz="4" w:space="0" w:color="A8D08D"/>
            </w:tcBorders>
          </w:tcPr>
          <w:p w14:paraId="607CA6C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109,2 ± 74,9</w:t>
            </w:r>
          </w:p>
        </w:tc>
        <w:tc>
          <w:tcPr>
            <w:tcW w:w="1079" w:type="dxa"/>
            <w:tcBorders>
              <w:top w:val="single" w:sz="4" w:space="0" w:color="A8D08D"/>
              <w:left w:val="single" w:sz="4" w:space="0" w:color="A8D08D"/>
              <w:bottom w:val="single" w:sz="4" w:space="0" w:color="A8D08D"/>
              <w:right w:val="single" w:sz="4" w:space="0" w:color="A8D08D"/>
            </w:tcBorders>
          </w:tcPr>
          <w:p w14:paraId="29163A78"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0,85</w:t>
            </w:r>
          </w:p>
        </w:tc>
        <w:tc>
          <w:tcPr>
            <w:tcW w:w="1468" w:type="dxa"/>
            <w:tcBorders>
              <w:top w:val="single" w:sz="4" w:space="0" w:color="A8D08D"/>
              <w:left w:val="single" w:sz="4" w:space="0" w:color="A8D08D"/>
              <w:bottom w:val="single" w:sz="4" w:space="0" w:color="A8D08D"/>
              <w:right w:val="single" w:sz="4" w:space="0" w:color="A8D08D"/>
            </w:tcBorders>
          </w:tcPr>
          <w:p w14:paraId="54CDDDD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60,5 ± 37,8</w:t>
            </w:r>
          </w:p>
        </w:tc>
        <w:tc>
          <w:tcPr>
            <w:tcW w:w="1248" w:type="dxa"/>
            <w:tcBorders>
              <w:top w:val="single" w:sz="4" w:space="0" w:color="A8D08D"/>
              <w:left w:val="single" w:sz="4" w:space="0" w:color="A8D08D"/>
              <w:bottom w:val="single" w:sz="4" w:space="0" w:color="A8D08D"/>
              <w:right w:val="single" w:sz="4" w:space="0" w:color="A8D08D"/>
            </w:tcBorders>
          </w:tcPr>
          <w:p w14:paraId="78C46F8C"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w:t>
            </w:r>
          </w:p>
        </w:tc>
      </w:tr>
      <w:tr w:rsidR="00A6651D" w14:paraId="12B197DF"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29565EE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718319F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4D87B0A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CT</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69900E9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99,5 ± 68,4</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568CAB98"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6D9FBFE8"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53,7 ± 33,7</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2492116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5B8E35F0"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421C137D"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tcPr>
          <w:p w14:paraId="4A24753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tcPr>
          <w:p w14:paraId="73B1411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w:t>
            </w:r>
          </w:p>
        </w:tc>
        <w:tc>
          <w:tcPr>
            <w:tcW w:w="1699" w:type="dxa"/>
            <w:tcBorders>
              <w:top w:val="single" w:sz="4" w:space="0" w:color="A8D08D"/>
              <w:left w:val="single" w:sz="4" w:space="0" w:color="A8D08D"/>
              <w:bottom w:val="single" w:sz="4" w:space="0" w:color="A8D08D"/>
              <w:right w:val="single" w:sz="4" w:space="0" w:color="A8D08D"/>
            </w:tcBorders>
          </w:tcPr>
          <w:p w14:paraId="721A7966"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108,1 ± 77,7</w:t>
            </w:r>
          </w:p>
        </w:tc>
        <w:tc>
          <w:tcPr>
            <w:tcW w:w="1079" w:type="dxa"/>
            <w:tcBorders>
              <w:top w:val="single" w:sz="4" w:space="0" w:color="A8D08D"/>
              <w:left w:val="single" w:sz="4" w:space="0" w:color="A8D08D"/>
              <w:bottom w:val="single" w:sz="4" w:space="0" w:color="A8D08D"/>
              <w:right w:val="single" w:sz="4" w:space="0" w:color="A8D08D"/>
            </w:tcBorders>
          </w:tcPr>
          <w:p w14:paraId="7CB035DD"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tcPr>
          <w:p w14:paraId="0F0F4A36"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54,9 ± 43,1</w:t>
            </w:r>
          </w:p>
        </w:tc>
        <w:tc>
          <w:tcPr>
            <w:tcW w:w="1248" w:type="dxa"/>
            <w:tcBorders>
              <w:top w:val="single" w:sz="4" w:space="0" w:color="A8D08D"/>
              <w:left w:val="single" w:sz="4" w:space="0" w:color="A8D08D"/>
              <w:bottom w:val="single" w:sz="4" w:space="0" w:color="A8D08D"/>
              <w:right w:val="single" w:sz="4" w:space="0" w:color="A8D08D"/>
            </w:tcBorders>
          </w:tcPr>
          <w:p w14:paraId="589EB4E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55B22AE9"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79B83158"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ABCB1</w:t>
            </w: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2A49F229"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rs1045642</w:t>
            </w: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71DBC5A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173B027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101,0 ± 73,7</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4DDB7FA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0,81</w:t>
            </w: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78BD0860"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54,7 ± 39,2</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06F73B7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r>
      <w:tr w:rsidR="00A6651D" w14:paraId="5C17804C"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2F251A3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tcPr>
          <w:p w14:paraId="3D6A92B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tcPr>
          <w:p w14:paraId="3C8AF97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w:t>
            </w:r>
          </w:p>
        </w:tc>
        <w:tc>
          <w:tcPr>
            <w:tcW w:w="1699" w:type="dxa"/>
            <w:tcBorders>
              <w:top w:val="single" w:sz="4" w:space="0" w:color="A8D08D"/>
              <w:left w:val="single" w:sz="4" w:space="0" w:color="A8D08D"/>
              <w:bottom w:val="single" w:sz="4" w:space="0" w:color="A8D08D"/>
              <w:right w:val="single" w:sz="4" w:space="0" w:color="A8D08D"/>
            </w:tcBorders>
          </w:tcPr>
          <w:p w14:paraId="3A91A15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107,3 ± 77,2</w:t>
            </w:r>
          </w:p>
        </w:tc>
        <w:tc>
          <w:tcPr>
            <w:tcW w:w="1079" w:type="dxa"/>
            <w:tcBorders>
              <w:top w:val="single" w:sz="4" w:space="0" w:color="A8D08D"/>
              <w:left w:val="single" w:sz="4" w:space="0" w:color="A8D08D"/>
              <w:bottom w:val="single" w:sz="4" w:space="0" w:color="A8D08D"/>
              <w:right w:val="single" w:sz="4" w:space="0" w:color="A8D08D"/>
            </w:tcBorders>
          </w:tcPr>
          <w:p w14:paraId="7FE7BFF9"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tcPr>
          <w:p w14:paraId="78BCC23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56,9 ± 34,2</w:t>
            </w:r>
          </w:p>
        </w:tc>
        <w:tc>
          <w:tcPr>
            <w:tcW w:w="1248" w:type="dxa"/>
            <w:tcBorders>
              <w:top w:val="single" w:sz="4" w:space="0" w:color="A8D08D"/>
              <w:left w:val="single" w:sz="4" w:space="0" w:color="A8D08D"/>
              <w:bottom w:val="single" w:sz="4" w:space="0" w:color="A8D08D"/>
              <w:right w:val="single" w:sz="4" w:space="0" w:color="A8D08D"/>
            </w:tcBorders>
          </w:tcPr>
          <w:p w14:paraId="7C72D30C"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381C388B"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0CA1D71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37C4CA38"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138EA9C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6313EC3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103,1 ± 66,4</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0E58F6C9"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06002E7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54,2 ± 43,2</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5003AD4D"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72BD58C2"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2DB1F09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ABCB1</w:t>
            </w:r>
          </w:p>
        </w:tc>
        <w:tc>
          <w:tcPr>
            <w:tcW w:w="1214" w:type="dxa"/>
            <w:tcBorders>
              <w:top w:val="single" w:sz="4" w:space="0" w:color="A8D08D"/>
              <w:left w:val="single" w:sz="4" w:space="0" w:color="A8D08D"/>
              <w:bottom w:val="single" w:sz="4" w:space="0" w:color="A8D08D"/>
              <w:right w:val="single" w:sz="4" w:space="0" w:color="A8D08D"/>
            </w:tcBorders>
          </w:tcPr>
          <w:p w14:paraId="1E68486C"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rs2032582</w:t>
            </w:r>
          </w:p>
        </w:tc>
        <w:tc>
          <w:tcPr>
            <w:tcW w:w="1235" w:type="dxa"/>
            <w:tcBorders>
              <w:top w:val="single" w:sz="4" w:space="0" w:color="A8D08D"/>
              <w:left w:val="single" w:sz="4" w:space="0" w:color="A8D08D"/>
              <w:bottom w:val="single" w:sz="4" w:space="0" w:color="A8D08D"/>
              <w:right w:val="single" w:sz="4" w:space="0" w:color="A8D08D"/>
            </w:tcBorders>
          </w:tcPr>
          <w:p w14:paraId="21AF101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CC</w:t>
            </w:r>
          </w:p>
        </w:tc>
        <w:tc>
          <w:tcPr>
            <w:tcW w:w="1699" w:type="dxa"/>
            <w:tcBorders>
              <w:top w:val="single" w:sz="4" w:space="0" w:color="A8D08D"/>
              <w:left w:val="single" w:sz="4" w:space="0" w:color="A8D08D"/>
              <w:bottom w:val="single" w:sz="4" w:space="0" w:color="A8D08D"/>
              <w:right w:val="single" w:sz="4" w:space="0" w:color="A8D08D"/>
            </w:tcBorders>
          </w:tcPr>
          <w:p w14:paraId="5409B07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107,3 ± 78,3</w:t>
            </w:r>
          </w:p>
        </w:tc>
        <w:tc>
          <w:tcPr>
            <w:tcW w:w="1079" w:type="dxa"/>
            <w:tcBorders>
              <w:top w:val="single" w:sz="4" w:space="0" w:color="A8D08D"/>
              <w:left w:val="single" w:sz="4" w:space="0" w:color="A8D08D"/>
              <w:bottom w:val="single" w:sz="4" w:space="0" w:color="A8D08D"/>
              <w:right w:val="single" w:sz="4" w:space="0" w:color="A8D08D"/>
            </w:tcBorders>
          </w:tcPr>
          <w:p w14:paraId="12C41BE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0,99</w:t>
            </w:r>
          </w:p>
        </w:tc>
        <w:tc>
          <w:tcPr>
            <w:tcW w:w="1468" w:type="dxa"/>
            <w:tcBorders>
              <w:top w:val="single" w:sz="4" w:space="0" w:color="A8D08D"/>
              <w:left w:val="single" w:sz="4" w:space="0" w:color="A8D08D"/>
              <w:bottom w:val="single" w:sz="4" w:space="0" w:color="A8D08D"/>
              <w:right w:val="single" w:sz="4" w:space="0" w:color="A8D08D"/>
            </w:tcBorders>
          </w:tcPr>
          <w:p w14:paraId="086F2FC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54,8 ± 43,2</w:t>
            </w:r>
          </w:p>
        </w:tc>
        <w:tc>
          <w:tcPr>
            <w:tcW w:w="1248" w:type="dxa"/>
            <w:tcBorders>
              <w:top w:val="single" w:sz="4" w:space="0" w:color="A8D08D"/>
              <w:left w:val="single" w:sz="4" w:space="0" w:color="A8D08D"/>
              <w:bottom w:val="single" w:sz="4" w:space="0" w:color="A8D08D"/>
              <w:right w:val="single" w:sz="4" w:space="0" w:color="A8D08D"/>
            </w:tcBorders>
          </w:tcPr>
          <w:p w14:paraId="2C87D9D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w:t>
            </w:r>
          </w:p>
        </w:tc>
      </w:tr>
      <w:tr w:rsidR="00A6651D" w14:paraId="1F6EC9E2"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6502FF2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3F02DAE0"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6B93923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175C8BA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102,9 ± 66,2</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5466CA3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066817B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53,7 ± 32,4</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6263883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1887E4D3"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7843934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tcPr>
          <w:p w14:paraId="53760320"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tcPr>
          <w:p w14:paraId="7162D7E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w:t>
            </w:r>
          </w:p>
        </w:tc>
        <w:tc>
          <w:tcPr>
            <w:tcW w:w="1699" w:type="dxa"/>
            <w:tcBorders>
              <w:top w:val="single" w:sz="4" w:space="0" w:color="A8D08D"/>
              <w:left w:val="single" w:sz="4" w:space="0" w:color="A8D08D"/>
              <w:bottom w:val="single" w:sz="4" w:space="0" w:color="A8D08D"/>
              <w:right w:val="single" w:sz="4" w:space="0" w:color="A8D08D"/>
            </w:tcBorders>
          </w:tcPr>
          <w:p w14:paraId="7801039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103,4 ± 74,9</w:t>
            </w:r>
          </w:p>
        </w:tc>
        <w:tc>
          <w:tcPr>
            <w:tcW w:w="1079" w:type="dxa"/>
            <w:tcBorders>
              <w:top w:val="single" w:sz="4" w:space="0" w:color="A8D08D"/>
              <w:left w:val="single" w:sz="4" w:space="0" w:color="A8D08D"/>
              <w:bottom w:val="single" w:sz="4" w:space="0" w:color="A8D08D"/>
              <w:right w:val="single" w:sz="4" w:space="0" w:color="A8D08D"/>
            </w:tcBorders>
          </w:tcPr>
          <w:p w14:paraId="59F2C54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tcPr>
          <w:p w14:paraId="51878C36"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58,6 ± 38,0</w:t>
            </w:r>
          </w:p>
        </w:tc>
        <w:tc>
          <w:tcPr>
            <w:tcW w:w="1248" w:type="dxa"/>
            <w:tcBorders>
              <w:top w:val="single" w:sz="4" w:space="0" w:color="A8D08D"/>
              <w:left w:val="single" w:sz="4" w:space="0" w:color="A8D08D"/>
              <w:bottom w:val="single" w:sz="4" w:space="0" w:color="A8D08D"/>
              <w:right w:val="single" w:sz="4" w:space="0" w:color="A8D08D"/>
            </w:tcBorders>
          </w:tcPr>
          <w:p w14:paraId="581AD5C6"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2246C794"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3062289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ABCB1</w:t>
            </w: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40BC6D6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rs1128503</w:t>
            </w: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17BD802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5BEB18E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104,3 ± 81,8</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652879D0"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5CD61D7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57,8 ± 42,2</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1D35569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r>
      <w:tr w:rsidR="00A6651D" w14:paraId="05205AE8"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1063368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tcPr>
          <w:p w14:paraId="492EE67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tcPr>
          <w:p w14:paraId="274CBA9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w:t>
            </w:r>
          </w:p>
        </w:tc>
        <w:tc>
          <w:tcPr>
            <w:tcW w:w="1699" w:type="dxa"/>
            <w:tcBorders>
              <w:top w:val="single" w:sz="4" w:space="0" w:color="A8D08D"/>
              <w:left w:val="single" w:sz="4" w:space="0" w:color="A8D08D"/>
              <w:bottom w:val="single" w:sz="4" w:space="0" w:color="A8D08D"/>
              <w:right w:val="single" w:sz="4" w:space="0" w:color="A8D08D"/>
            </w:tcBorders>
          </w:tcPr>
          <w:p w14:paraId="459E749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114,9 ± 74,9</w:t>
            </w:r>
          </w:p>
        </w:tc>
        <w:tc>
          <w:tcPr>
            <w:tcW w:w="1079" w:type="dxa"/>
            <w:tcBorders>
              <w:top w:val="single" w:sz="4" w:space="0" w:color="A8D08D"/>
              <w:left w:val="single" w:sz="4" w:space="0" w:color="A8D08D"/>
              <w:bottom w:val="single" w:sz="4" w:space="0" w:color="A8D08D"/>
              <w:right w:val="single" w:sz="4" w:space="0" w:color="A8D08D"/>
            </w:tcBorders>
          </w:tcPr>
          <w:p w14:paraId="6AEBA0DD"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tcPr>
          <w:p w14:paraId="6C87409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59,2 ± 37,5</w:t>
            </w:r>
          </w:p>
        </w:tc>
        <w:tc>
          <w:tcPr>
            <w:tcW w:w="1248" w:type="dxa"/>
            <w:tcBorders>
              <w:top w:val="single" w:sz="4" w:space="0" w:color="A8D08D"/>
              <w:left w:val="single" w:sz="4" w:space="0" w:color="A8D08D"/>
              <w:bottom w:val="single" w:sz="4" w:space="0" w:color="A8D08D"/>
              <w:right w:val="single" w:sz="4" w:space="0" w:color="A8D08D"/>
            </w:tcBorders>
          </w:tcPr>
          <w:p w14:paraId="1BC58F8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3D862A04"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454C2B7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162CE62D"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538713A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000AD10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87,6 ± 50,2</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3A02CD9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1895187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46,1 ± 30,9</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2AD80D6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29864366"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5F06A4E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CES1</w:t>
            </w:r>
          </w:p>
        </w:tc>
        <w:tc>
          <w:tcPr>
            <w:tcW w:w="1214" w:type="dxa"/>
            <w:tcBorders>
              <w:top w:val="single" w:sz="4" w:space="0" w:color="A8D08D"/>
              <w:left w:val="single" w:sz="4" w:space="0" w:color="A8D08D"/>
              <w:bottom w:val="single" w:sz="4" w:space="0" w:color="A8D08D"/>
              <w:right w:val="single" w:sz="4" w:space="0" w:color="A8D08D"/>
            </w:tcBorders>
          </w:tcPr>
          <w:p w14:paraId="1CF04C3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rs8192935</w:t>
            </w:r>
          </w:p>
        </w:tc>
        <w:tc>
          <w:tcPr>
            <w:tcW w:w="1235" w:type="dxa"/>
            <w:tcBorders>
              <w:top w:val="single" w:sz="4" w:space="0" w:color="A8D08D"/>
              <w:left w:val="single" w:sz="4" w:space="0" w:color="A8D08D"/>
              <w:bottom w:val="single" w:sz="4" w:space="0" w:color="A8D08D"/>
              <w:right w:val="single" w:sz="4" w:space="0" w:color="A8D08D"/>
            </w:tcBorders>
          </w:tcPr>
          <w:p w14:paraId="49A9ADB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AA</w:t>
            </w:r>
          </w:p>
        </w:tc>
        <w:tc>
          <w:tcPr>
            <w:tcW w:w="1699" w:type="dxa"/>
            <w:tcBorders>
              <w:top w:val="single" w:sz="4" w:space="0" w:color="A8D08D"/>
              <w:left w:val="single" w:sz="4" w:space="0" w:color="A8D08D"/>
              <w:bottom w:val="single" w:sz="4" w:space="0" w:color="A8D08D"/>
              <w:right w:val="single" w:sz="4" w:space="0" w:color="A8D08D"/>
            </w:tcBorders>
          </w:tcPr>
          <w:p w14:paraId="0D79C1A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100,9 ± 59,6</w:t>
            </w:r>
          </w:p>
        </w:tc>
        <w:tc>
          <w:tcPr>
            <w:tcW w:w="1079" w:type="dxa"/>
            <w:tcBorders>
              <w:top w:val="single" w:sz="4" w:space="0" w:color="A8D08D"/>
              <w:left w:val="single" w:sz="4" w:space="0" w:color="A8D08D"/>
              <w:bottom w:val="single" w:sz="4" w:space="0" w:color="A8D08D"/>
              <w:right w:val="single" w:sz="4" w:space="0" w:color="A8D08D"/>
            </w:tcBorders>
          </w:tcPr>
          <w:p w14:paraId="1307401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1468" w:type="dxa"/>
            <w:tcBorders>
              <w:top w:val="single" w:sz="4" w:space="0" w:color="A8D08D"/>
              <w:left w:val="single" w:sz="4" w:space="0" w:color="A8D08D"/>
              <w:bottom w:val="single" w:sz="4" w:space="0" w:color="A8D08D"/>
              <w:right w:val="single" w:sz="4" w:space="0" w:color="A8D08D"/>
            </w:tcBorders>
          </w:tcPr>
          <w:p w14:paraId="1833A2E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52,7 ± 30,5</w:t>
            </w:r>
          </w:p>
        </w:tc>
        <w:tc>
          <w:tcPr>
            <w:tcW w:w="1248" w:type="dxa"/>
            <w:tcBorders>
              <w:top w:val="single" w:sz="4" w:space="0" w:color="A8D08D"/>
              <w:left w:val="single" w:sz="4" w:space="0" w:color="A8D08D"/>
              <w:bottom w:val="single" w:sz="4" w:space="0" w:color="A8D08D"/>
              <w:right w:val="single" w:sz="4" w:space="0" w:color="A8D08D"/>
            </w:tcBorders>
          </w:tcPr>
          <w:p w14:paraId="0FFE4AB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w:t>
            </w:r>
          </w:p>
        </w:tc>
      </w:tr>
      <w:tr w:rsidR="00A6651D" w14:paraId="6593F064"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1ED47AD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587A762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6D14B340"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4E2D97B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98,7 ± 72,3</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4621E587"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1D6F3FA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51,6 ± 35,1</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4FEA2B8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536D08E9"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777A282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tcPr>
          <w:p w14:paraId="2464769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tcPr>
          <w:p w14:paraId="3D25EDF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w:t>
            </w:r>
          </w:p>
        </w:tc>
        <w:tc>
          <w:tcPr>
            <w:tcW w:w="1699" w:type="dxa"/>
            <w:tcBorders>
              <w:top w:val="single" w:sz="4" w:space="0" w:color="A8D08D"/>
              <w:left w:val="single" w:sz="4" w:space="0" w:color="A8D08D"/>
              <w:bottom w:val="single" w:sz="4" w:space="0" w:color="A8D08D"/>
              <w:right w:val="single" w:sz="4" w:space="0" w:color="A8D08D"/>
            </w:tcBorders>
          </w:tcPr>
          <w:p w14:paraId="73282E7E"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138,8 ± 100,1</w:t>
            </w:r>
          </w:p>
        </w:tc>
        <w:tc>
          <w:tcPr>
            <w:tcW w:w="1079" w:type="dxa"/>
            <w:tcBorders>
              <w:top w:val="single" w:sz="4" w:space="0" w:color="A8D08D"/>
              <w:left w:val="single" w:sz="4" w:space="0" w:color="A8D08D"/>
              <w:bottom w:val="single" w:sz="4" w:space="0" w:color="A8D08D"/>
              <w:right w:val="single" w:sz="4" w:space="0" w:color="A8D08D"/>
            </w:tcBorders>
          </w:tcPr>
          <w:p w14:paraId="678C965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tcPr>
          <w:p w14:paraId="176FE66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79,8 ± 57,5</w:t>
            </w:r>
          </w:p>
        </w:tc>
        <w:tc>
          <w:tcPr>
            <w:tcW w:w="1248" w:type="dxa"/>
            <w:tcBorders>
              <w:top w:val="single" w:sz="4" w:space="0" w:color="A8D08D"/>
              <w:left w:val="single" w:sz="4" w:space="0" w:color="A8D08D"/>
              <w:bottom w:val="single" w:sz="4" w:space="0" w:color="A8D08D"/>
              <w:right w:val="single" w:sz="4" w:space="0" w:color="A8D08D"/>
            </w:tcBorders>
          </w:tcPr>
          <w:p w14:paraId="3AE7387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10947462"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18FBC5E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CES1</w:t>
            </w: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0DE356E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rs2244613</w:t>
            </w: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6588BF2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4A1AAEC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110,9 ± 61,3</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7CAF360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68B84D1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55,3 ± 34,2</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017214CC"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0,73</w:t>
            </w:r>
          </w:p>
        </w:tc>
      </w:tr>
      <w:tr w:rsidR="00A6651D" w14:paraId="4E9732C9"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2A4195C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tcPr>
          <w:p w14:paraId="311B4E18"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tcPr>
          <w:p w14:paraId="7F8FAE4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GT</w:t>
            </w:r>
          </w:p>
        </w:tc>
        <w:tc>
          <w:tcPr>
            <w:tcW w:w="1699" w:type="dxa"/>
            <w:tcBorders>
              <w:top w:val="single" w:sz="4" w:space="0" w:color="A8D08D"/>
              <w:left w:val="single" w:sz="4" w:space="0" w:color="A8D08D"/>
              <w:bottom w:val="single" w:sz="4" w:space="0" w:color="A8D08D"/>
              <w:right w:val="single" w:sz="4" w:space="0" w:color="A8D08D"/>
            </w:tcBorders>
          </w:tcPr>
          <w:p w14:paraId="461E64F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94,6 ± 68,3</w:t>
            </w:r>
          </w:p>
        </w:tc>
        <w:tc>
          <w:tcPr>
            <w:tcW w:w="1079" w:type="dxa"/>
            <w:tcBorders>
              <w:top w:val="single" w:sz="4" w:space="0" w:color="A8D08D"/>
              <w:left w:val="single" w:sz="4" w:space="0" w:color="A8D08D"/>
              <w:bottom w:val="single" w:sz="4" w:space="0" w:color="A8D08D"/>
              <w:right w:val="single" w:sz="4" w:space="0" w:color="A8D08D"/>
            </w:tcBorders>
          </w:tcPr>
          <w:p w14:paraId="17139D8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tcPr>
          <w:p w14:paraId="668E7F42"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50,8 ± 27,4</w:t>
            </w:r>
          </w:p>
        </w:tc>
        <w:tc>
          <w:tcPr>
            <w:tcW w:w="1248" w:type="dxa"/>
            <w:tcBorders>
              <w:top w:val="single" w:sz="4" w:space="0" w:color="A8D08D"/>
              <w:left w:val="single" w:sz="4" w:space="0" w:color="A8D08D"/>
              <w:bottom w:val="single" w:sz="4" w:space="0" w:color="A8D08D"/>
              <w:right w:val="single" w:sz="4" w:space="0" w:color="A8D08D"/>
            </w:tcBorders>
          </w:tcPr>
          <w:p w14:paraId="03B4EA8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6DE5DFE5"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198423C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7D5CA20A"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65C14E4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TT</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43E58C68"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115,0 ± 86,9</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5848409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66E3577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63,3 ± 52,3</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3A9E81C9"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r w:rsidR="00A6651D" w14:paraId="3624383C" w14:textId="77777777" w:rsidTr="00B57F2E">
        <w:tc>
          <w:tcPr>
            <w:tcW w:w="1295" w:type="dxa"/>
            <w:tcBorders>
              <w:top w:val="single" w:sz="4" w:space="0" w:color="A8D08D"/>
              <w:left w:val="single" w:sz="4" w:space="0" w:color="A8D08D"/>
              <w:bottom w:val="single" w:sz="4" w:space="0" w:color="A8D08D"/>
              <w:right w:val="single" w:sz="4" w:space="0" w:color="A8D08D"/>
            </w:tcBorders>
          </w:tcPr>
          <w:p w14:paraId="26CB594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CES1</w:t>
            </w:r>
          </w:p>
        </w:tc>
        <w:tc>
          <w:tcPr>
            <w:tcW w:w="1214" w:type="dxa"/>
            <w:tcBorders>
              <w:top w:val="single" w:sz="4" w:space="0" w:color="A8D08D"/>
              <w:left w:val="single" w:sz="4" w:space="0" w:color="A8D08D"/>
              <w:bottom w:val="single" w:sz="4" w:space="0" w:color="A8D08D"/>
              <w:right w:val="single" w:sz="4" w:space="0" w:color="A8D08D"/>
            </w:tcBorders>
          </w:tcPr>
          <w:p w14:paraId="622C4FF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rs71647871</w:t>
            </w:r>
          </w:p>
        </w:tc>
        <w:tc>
          <w:tcPr>
            <w:tcW w:w="1235" w:type="dxa"/>
            <w:tcBorders>
              <w:top w:val="single" w:sz="4" w:space="0" w:color="A8D08D"/>
              <w:left w:val="single" w:sz="4" w:space="0" w:color="A8D08D"/>
              <w:bottom w:val="single" w:sz="4" w:space="0" w:color="A8D08D"/>
              <w:right w:val="single" w:sz="4" w:space="0" w:color="A8D08D"/>
            </w:tcBorders>
          </w:tcPr>
          <w:p w14:paraId="5904441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GG</w:t>
            </w:r>
          </w:p>
        </w:tc>
        <w:tc>
          <w:tcPr>
            <w:tcW w:w="1699" w:type="dxa"/>
            <w:tcBorders>
              <w:top w:val="single" w:sz="4" w:space="0" w:color="A8D08D"/>
              <w:left w:val="single" w:sz="4" w:space="0" w:color="A8D08D"/>
              <w:bottom w:val="single" w:sz="4" w:space="0" w:color="A8D08D"/>
              <w:right w:val="single" w:sz="4" w:space="0" w:color="A8D08D"/>
            </w:tcBorders>
          </w:tcPr>
          <w:p w14:paraId="13B426C1"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104,7 ± 73,1</w:t>
            </w:r>
          </w:p>
        </w:tc>
        <w:tc>
          <w:tcPr>
            <w:tcW w:w="1079" w:type="dxa"/>
            <w:tcBorders>
              <w:top w:val="single" w:sz="4" w:space="0" w:color="A8D08D"/>
              <w:left w:val="single" w:sz="4" w:space="0" w:color="A8D08D"/>
              <w:bottom w:val="single" w:sz="4" w:space="0" w:color="A8D08D"/>
              <w:right w:val="single" w:sz="4" w:space="0" w:color="A8D08D"/>
            </w:tcBorders>
          </w:tcPr>
          <w:p w14:paraId="013F872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0,86</w:t>
            </w:r>
          </w:p>
        </w:tc>
        <w:tc>
          <w:tcPr>
            <w:tcW w:w="1468" w:type="dxa"/>
            <w:tcBorders>
              <w:top w:val="single" w:sz="4" w:space="0" w:color="A8D08D"/>
              <w:left w:val="single" w:sz="4" w:space="0" w:color="A8D08D"/>
              <w:bottom w:val="single" w:sz="4" w:space="0" w:color="A8D08D"/>
              <w:right w:val="single" w:sz="4" w:space="0" w:color="A8D08D"/>
            </w:tcBorders>
          </w:tcPr>
          <w:p w14:paraId="7D303F6C"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55,7 ± 38,2</w:t>
            </w:r>
          </w:p>
        </w:tc>
        <w:tc>
          <w:tcPr>
            <w:tcW w:w="1248" w:type="dxa"/>
            <w:tcBorders>
              <w:top w:val="single" w:sz="4" w:space="0" w:color="A8D08D"/>
              <w:left w:val="single" w:sz="4" w:space="0" w:color="A8D08D"/>
              <w:bottom w:val="single" w:sz="4" w:space="0" w:color="A8D08D"/>
              <w:right w:val="single" w:sz="4" w:space="0" w:color="A8D08D"/>
            </w:tcBorders>
          </w:tcPr>
          <w:p w14:paraId="3EFE2026"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0,89</w:t>
            </w:r>
          </w:p>
        </w:tc>
      </w:tr>
      <w:tr w:rsidR="00A6651D" w14:paraId="23F13D3B" w14:textId="77777777" w:rsidTr="00B57F2E">
        <w:tc>
          <w:tcPr>
            <w:tcW w:w="1295" w:type="dxa"/>
            <w:tcBorders>
              <w:top w:val="single" w:sz="4" w:space="0" w:color="A8D08D"/>
              <w:left w:val="single" w:sz="4" w:space="0" w:color="A8D08D"/>
              <w:bottom w:val="single" w:sz="4" w:space="0" w:color="A8D08D"/>
              <w:right w:val="single" w:sz="4" w:space="0" w:color="A8D08D"/>
            </w:tcBorders>
            <w:shd w:val="clear" w:color="auto" w:fill="E2EFD9"/>
          </w:tcPr>
          <w:p w14:paraId="268E14E3"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b/>
                <w:bCs/>
                <w:i/>
                <w:color w:val="000000"/>
                <w:sz w:val="20"/>
                <w:szCs w:val="20"/>
              </w:rPr>
            </w:pPr>
          </w:p>
        </w:tc>
        <w:tc>
          <w:tcPr>
            <w:tcW w:w="1214" w:type="dxa"/>
            <w:tcBorders>
              <w:top w:val="single" w:sz="4" w:space="0" w:color="A8D08D"/>
              <w:left w:val="single" w:sz="4" w:space="0" w:color="A8D08D"/>
              <w:bottom w:val="single" w:sz="4" w:space="0" w:color="A8D08D"/>
              <w:right w:val="single" w:sz="4" w:space="0" w:color="A8D08D"/>
            </w:tcBorders>
            <w:shd w:val="clear" w:color="auto" w:fill="E2EFD9"/>
          </w:tcPr>
          <w:p w14:paraId="33C4200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235" w:type="dxa"/>
            <w:tcBorders>
              <w:top w:val="single" w:sz="4" w:space="0" w:color="A8D08D"/>
              <w:left w:val="single" w:sz="4" w:space="0" w:color="A8D08D"/>
              <w:bottom w:val="single" w:sz="4" w:space="0" w:color="A8D08D"/>
              <w:right w:val="single" w:sz="4" w:space="0" w:color="A8D08D"/>
            </w:tcBorders>
            <w:shd w:val="clear" w:color="auto" w:fill="E2EFD9"/>
          </w:tcPr>
          <w:p w14:paraId="060E9FE4"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w:t>
            </w:r>
          </w:p>
        </w:tc>
        <w:tc>
          <w:tcPr>
            <w:tcW w:w="1699" w:type="dxa"/>
            <w:tcBorders>
              <w:top w:val="single" w:sz="4" w:space="0" w:color="A8D08D"/>
              <w:left w:val="single" w:sz="4" w:space="0" w:color="A8D08D"/>
              <w:bottom w:val="single" w:sz="4" w:space="0" w:color="A8D08D"/>
              <w:right w:val="single" w:sz="4" w:space="0" w:color="A8D08D"/>
            </w:tcBorders>
            <w:shd w:val="clear" w:color="auto" w:fill="E2EFD9"/>
          </w:tcPr>
          <w:p w14:paraId="7A18A96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100,9 ± 62,4</w:t>
            </w:r>
          </w:p>
        </w:tc>
        <w:tc>
          <w:tcPr>
            <w:tcW w:w="1079" w:type="dxa"/>
            <w:tcBorders>
              <w:top w:val="single" w:sz="4" w:space="0" w:color="A8D08D"/>
              <w:left w:val="single" w:sz="4" w:space="0" w:color="A8D08D"/>
              <w:bottom w:val="single" w:sz="4" w:space="0" w:color="A8D08D"/>
              <w:right w:val="single" w:sz="4" w:space="0" w:color="A8D08D"/>
            </w:tcBorders>
            <w:shd w:val="clear" w:color="auto" w:fill="E2EFD9"/>
          </w:tcPr>
          <w:p w14:paraId="1F27710B"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c>
          <w:tcPr>
            <w:tcW w:w="1468" w:type="dxa"/>
            <w:tcBorders>
              <w:top w:val="single" w:sz="4" w:space="0" w:color="A8D08D"/>
              <w:left w:val="single" w:sz="4" w:space="0" w:color="A8D08D"/>
              <w:bottom w:val="single" w:sz="4" w:space="0" w:color="A8D08D"/>
              <w:right w:val="single" w:sz="4" w:space="0" w:color="A8D08D"/>
            </w:tcBorders>
            <w:shd w:val="clear" w:color="auto" w:fill="E2EFD9"/>
          </w:tcPr>
          <w:p w14:paraId="4728754F"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50,6 ± 15,2</w:t>
            </w:r>
          </w:p>
        </w:tc>
        <w:tc>
          <w:tcPr>
            <w:tcW w:w="1248" w:type="dxa"/>
            <w:tcBorders>
              <w:top w:val="single" w:sz="4" w:space="0" w:color="A8D08D"/>
              <w:left w:val="single" w:sz="4" w:space="0" w:color="A8D08D"/>
              <w:bottom w:val="single" w:sz="4" w:space="0" w:color="A8D08D"/>
              <w:right w:val="single" w:sz="4" w:space="0" w:color="A8D08D"/>
            </w:tcBorders>
            <w:shd w:val="clear" w:color="auto" w:fill="E2EFD9"/>
          </w:tcPr>
          <w:p w14:paraId="76292805" w14:textId="77777777" w:rsidR="00A6651D" w:rsidRDefault="00A6651D" w:rsidP="00B57F2E">
            <w:pPr>
              <w:pStyle w:val="LO-normal"/>
              <w:widowControl w:val="0"/>
              <w:spacing w:after="0" w:line="360" w:lineRule="auto"/>
              <w:jc w:val="both"/>
              <w:textAlignment w:val="baseline"/>
              <w:rPr>
                <w:rFonts w:ascii="Times New Roman" w:eastAsia="Times New Roman" w:hAnsi="Times New Roman" w:cs="Times New Roman"/>
                <w:color w:val="000000"/>
                <w:sz w:val="20"/>
                <w:szCs w:val="20"/>
              </w:rPr>
            </w:pPr>
          </w:p>
        </w:tc>
      </w:tr>
    </w:tbl>
    <w:p w14:paraId="56047E4F" w14:textId="77777777" w:rsidR="007847CD" w:rsidRPr="00926EC0" w:rsidRDefault="007847CD" w:rsidP="007847CD">
      <w:pPr>
        <w:pStyle w:val="LO-normal"/>
        <w:spacing w:after="0" w:line="240" w:lineRule="auto"/>
        <w:ind w:firstLine="567"/>
        <w:jc w:val="both"/>
        <w:rPr>
          <w:rFonts w:ascii="Times New Roman" w:hAnsi="Times New Roman" w:cs="Times New Roman"/>
          <w:sz w:val="28"/>
          <w:szCs w:val="28"/>
          <w:lang w:bidi="ar-SA"/>
        </w:rPr>
      </w:pPr>
    </w:p>
    <w:p w14:paraId="7DD12F3E" w14:textId="77777777" w:rsidR="007847CD" w:rsidRDefault="007847CD" w:rsidP="007847CD">
      <w:pPr>
        <w:pStyle w:val="LO-normal"/>
        <w:spacing w:after="0" w:line="240" w:lineRule="auto"/>
        <w:ind w:firstLine="567"/>
        <w:jc w:val="both"/>
        <w:rPr>
          <w:rFonts w:ascii="Times New Roman" w:hAnsi="Times New Roman" w:cs="Times New Roman"/>
          <w:sz w:val="28"/>
          <w:szCs w:val="28"/>
          <w:lang w:val="en-US" w:bidi="ar-SA"/>
        </w:rPr>
      </w:pPr>
    </w:p>
    <w:p w14:paraId="37F6761B" w14:textId="77777777" w:rsidR="00A6651D" w:rsidRPr="00A6651D" w:rsidRDefault="00A6651D" w:rsidP="007847CD">
      <w:pPr>
        <w:pStyle w:val="LO-normal"/>
        <w:spacing w:after="0" w:line="240" w:lineRule="auto"/>
        <w:ind w:firstLine="567"/>
        <w:jc w:val="both"/>
        <w:rPr>
          <w:rFonts w:ascii="Times New Roman" w:hAnsi="Times New Roman" w:cs="Times New Roman"/>
          <w:sz w:val="28"/>
          <w:szCs w:val="28"/>
          <w:lang w:val="en-US" w:bidi="ar-SA"/>
        </w:rPr>
      </w:pPr>
    </w:p>
    <w:p w14:paraId="0D00255F" w14:textId="56568298" w:rsidR="007847CD" w:rsidRPr="00A6651D" w:rsidRDefault="007847CD" w:rsidP="007847CD">
      <w:pPr>
        <w:pStyle w:val="LO-normal"/>
        <w:spacing w:after="0" w:line="240" w:lineRule="auto"/>
        <w:ind w:firstLine="567"/>
        <w:jc w:val="both"/>
        <w:rPr>
          <w:rFonts w:ascii="Times New Roman" w:hAnsi="Times New Roman" w:cs="Times New Roman"/>
          <w:b/>
          <w:bCs/>
          <w:sz w:val="28"/>
          <w:szCs w:val="28"/>
          <w:lang w:bidi="ar-SA"/>
        </w:rPr>
      </w:pPr>
      <w:r w:rsidRPr="00A6651D">
        <w:rPr>
          <w:rFonts w:ascii="Times New Roman" w:hAnsi="Times New Roman" w:cs="Times New Roman"/>
          <w:b/>
          <w:bCs/>
          <w:sz w:val="28"/>
          <w:szCs w:val="28"/>
          <w:lang w:bidi="ar-SA"/>
        </w:rPr>
        <w:t>3.3.3. Анализ влияния полиморфизма генов на параметры свертывания крови</w:t>
      </w:r>
    </w:p>
    <w:p w14:paraId="6722DC3D" w14:textId="4F4F3025" w:rsidR="007847CD" w:rsidRDefault="007847CD" w:rsidP="007847C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 нашем исследовании сравнивали параметры коагуляции, включая АЧТВ и ПВ с минимальным уровнем концентраций дабигатрана между различными генотипами (</w:t>
      </w:r>
      <w:r w:rsidRPr="00A6651D">
        <w:rPr>
          <w:rFonts w:ascii="Times New Roman" w:hAnsi="Times New Roman" w:cs="Times New Roman"/>
          <w:color w:val="000000" w:themeColor="text1"/>
          <w:sz w:val="28"/>
          <w:szCs w:val="28"/>
          <w:lang w:bidi="ar-SA"/>
        </w:rPr>
        <w:t>таблица</w:t>
      </w:r>
      <w:r w:rsidRPr="007847CD">
        <w:rPr>
          <w:rFonts w:ascii="Times New Roman" w:hAnsi="Times New Roman" w:cs="Times New Roman"/>
          <w:color w:val="C00000"/>
          <w:sz w:val="28"/>
          <w:szCs w:val="28"/>
          <w:lang w:bidi="ar-SA"/>
        </w:rPr>
        <w:t xml:space="preserve"> </w:t>
      </w:r>
      <w:r w:rsidR="00A6651D" w:rsidRPr="00A6651D">
        <w:rPr>
          <w:rFonts w:ascii="Times New Roman" w:hAnsi="Times New Roman" w:cs="Times New Roman"/>
          <w:sz w:val="28"/>
          <w:szCs w:val="28"/>
          <w:lang w:bidi="ar-SA"/>
        </w:rPr>
        <w:t>7</w:t>
      </w:r>
      <w:r>
        <w:rPr>
          <w:rFonts w:ascii="Times New Roman" w:hAnsi="Times New Roman" w:cs="Times New Roman"/>
          <w:sz w:val="28"/>
          <w:szCs w:val="28"/>
          <w:lang w:bidi="ar-SA"/>
        </w:rPr>
        <w:t xml:space="preserve">). </w:t>
      </w:r>
    </w:p>
    <w:p w14:paraId="5E77F08C" w14:textId="77777777" w:rsidR="00A6651D" w:rsidRPr="00EE4DC9" w:rsidRDefault="00A6651D" w:rsidP="007847CD">
      <w:pPr>
        <w:pStyle w:val="LO-normal"/>
        <w:spacing w:after="0" w:line="240" w:lineRule="auto"/>
        <w:ind w:firstLine="567"/>
        <w:jc w:val="both"/>
        <w:rPr>
          <w:rFonts w:ascii="Times New Roman" w:hAnsi="Times New Roman" w:cs="Times New Roman"/>
          <w:sz w:val="28"/>
          <w:szCs w:val="28"/>
          <w:lang w:bidi="ar-SA"/>
        </w:rPr>
      </w:pPr>
    </w:p>
    <w:p w14:paraId="52558358" w14:textId="4935DFCC" w:rsidR="007847CD" w:rsidRDefault="007847CD" w:rsidP="007847CD">
      <w:pPr>
        <w:pStyle w:val="LO-normal"/>
        <w:spacing w:after="0" w:line="240" w:lineRule="auto"/>
        <w:ind w:firstLine="567"/>
        <w:jc w:val="both"/>
        <w:rPr>
          <w:rFonts w:ascii="Times New Roman" w:hAnsi="Times New Roman" w:cs="Times New Roman"/>
          <w:sz w:val="28"/>
          <w:szCs w:val="28"/>
          <w:lang w:bidi="ar-SA"/>
        </w:rPr>
      </w:pPr>
      <w:r w:rsidRPr="00A6651D">
        <w:rPr>
          <w:rFonts w:ascii="Times New Roman" w:hAnsi="Times New Roman" w:cs="Times New Roman"/>
          <w:color w:val="000000" w:themeColor="text1"/>
          <w:sz w:val="28"/>
          <w:szCs w:val="28"/>
          <w:lang w:bidi="ar-SA"/>
        </w:rPr>
        <w:t xml:space="preserve">Таблица </w:t>
      </w:r>
      <w:r w:rsidR="00A6651D" w:rsidRPr="00EE4DC9">
        <w:rPr>
          <w:rFonts w:ascii="Times New Roman" w:hAnsi="Times New Roman" w:cs="Times New Roman"/>
          <w:color w:val="000000" w:themeColor="text1"/>
          <w:sz w:val="28"/>
          <w:szCs w:val="28"/>
          <w:lang w:bidi="ar-SA"/>
        </w:rPr>
        <w:t>7</w:t>
      </w:r>
      <w:r>
        <w:rPr>
          <w:rFonts w:ascii="Times New Roman" w:hAnsi="Times New Roman" w:cs="Times New Roman"/>
          <w:sz w:val="28"/>
          <w:szCs w:val="28"/>
          <w:lang w:bidi="ar-SA"/>
        </w:rPr>
        <w:t>. Сравнение параметров свертывания крови в зависимости от разных генотипов</w:t>
      </w:r>
    </w:p>
    <w:tbl>
      <w:tblPr>
        <w:tblpPr w:leftFromText="180" w:rightFromText="180" w:vertAnchor="text" w:horzAnchor="margin" w:tblpY="169"/>
        <w:tblW w:w="9322" w:type="dxa"/>
        <w:tblLayout w:type="fixed"/>
        <w:tblLook w:val="0000" w:firstRow="0" w:lastRow="0" w:firstColumn="0" w:lastColumn="0" w:noHBand="0" w:noVBand="0"/>
      </w:tblPr>
      <w:tblGrid>
        <w:gridCol w:w="1594"/>
        <w:gridCol w:w="1595"/>
        <w:gridCol w:w="1595"/>
        <w:gridCol w:w="2128"/>
        <w:gridCol w:w="2410"/>
      </w:tblGrid>
      <w:tr w:rsidR="00A6651D" w14:paraId="2E453A5C" w14:textId="77777777" w:rsidTr="00A6651D">
        <w:tc>
          <w:tcPr>
            <w:tcW w:w="1594" w:type="dxa"/>
            <w:tcBorders>
              <w:top w:val="single" w:sz="4" w:space="0" w:color="A8D08D"/>
              <w:left w:val="single" w:sz="4" w:space="0" w:color="A8D08D"/>
              <w:bottom w:val="single" w:sz="12" w:space="0" w:color="A8D08D"/>
              <w:right w:val="single" w:sz="4" w:space="0" w:color="A8D08D"/>
            </w:tcBorders>
          </w:tcPr>
          <w:p w14:paraId="6B467727"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Ген</w:t>
            </w:r>
          </w:p>
        </w:tc>
        <w:tc>
          <w:tcPr>
            <w:tcW w:w="1595" w:type="dxa"/>
            <w:tcBorders>
              <w:top w:val="single" w:sz="4" w:space="0" w:color="A8D08D"/>
              <w:left w:val="single" w:sz="4" w:space="0" w:color="A8D08D"/>
              <w:bottom w:val="single" w:sz="12" w:space="0" w:color="A8D08D"/>
              <w:right w:val="single" w:sz="4" w:space="0" w:color="A8D08D"/>
            </w:tcBorders>
          </w:tcPr>
          <w:p w14:paraId="09560164"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SNP</w:t>
            </w:r>
          </w:p>
        </w:tc>
        <w:tc>
          <w:tcPr>
            <w:tcW w:w="1595" w:type="dxa"/>
            <w:tcBorders>
              <w:top w:val="single" w:sz="4" w:space="0" w:color="A8D08D"/>
              <w:left w:val="single" w:sz="4" w:space="0" w:color="A8D08D"/>
              <w:bottom w:val="single" w:sz="12" w:space="0" w:color="A8D08D"/>
              <w:right w:val="single" w:sz="4" w:space="0" w:color="A8D08D"/>
            </w:tcBorders>
          </w:tcPr>
          <w:p w14:paraId="4380144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Генотип</w:t>
            </w:r>
          </w:p>
        </w:tc>
        <w:tc>
          <w:tcPr>
            <w:tcW w:w="2128" w:type="dxa"/>
            <w:tcBorders>
              <w:top w:val="single" w:sz="4" w:space="0" w:color="A8D08D"/>
              <w:left w:val="single" w:sz="4" w:space="0" w:color="A8D08D"/>
              <w:bottom w:val="single" w:sz="12" w:space="0" w:color="A8D08D"/>
              <w:right w:val="single" w:sz="4" w:space="0" w:color="A8D08D"/>
            </w:tcBorders>
          </w:tcPr>
          <w:p w14:paraId="23977F94" w14:textId="77777777" w:rsidR="00A6651D" w:rsidRDefault="00A6651D" w:rsidP="00A6651D">
            <w:pPr>
              <w:pStyle w:val="Textbody"/>
              <w:widowControl w:val="0"/>
              <w:spacing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АЧТВ</w:t>
            </w:r>
          </w:p>
          <w:p w14:paraId="06060DB0"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на мин. уровне, </w:t>
            </w:r>
            <w:proofErr w:type="spellStart"/>
            <w:r>
              <w:rPr>
                <w:rFonts w:ascii="Times New Roman" w:eastAsia="Times New Roman" w:hAnsi="Times New Roman" w:cs="Times New Roman"/>
                <w:b/>
                <w:bCs/>
                <w:color w:val="000000"/>
                <w:sz w:val="24"/>
                <w:szCs w:val="24"/>
              </w:rPr>
              <w:t>mean</w:t>
            </w:r>
            <w:proofErr w:type="spellEnd"/>
            <w:r>
              <w:rPr>
                <w:rFonts w:ascii="Times New Roman" w:eastAsia="Times New Roman" w:hAnsi="Times New Roman" w:cs="Times New Roman"/>
                <w:b/>
                <w:bCs/>
                <w:color w:val="000000"/>
                <w:sz w:val="24"/>
                <w:szCs w:val="24"/>
              </w:rPr>
              <w:t xml:space="preserve"> (SD)</w:t>
            </w:r>
          </w:p>
        </w:tc>
        <w:tc>
          <w:tcPr>
            <w:tcW w:w="2410" w:type="dxa"/>
            <w:tcBorders>
              <w:top w:val="single" w:sz="4" w:space="0" w:color="A8D08D"/>
              <w:left w:val="single" w:sz="4" w:space="0" w:color="A8D08D"/>
              <w:bottom w:val="single" w:sz="12" w:space="0" w:color="A8D08D"/>
              <w:right w:val="single" w:sz="4" w:space="0" w:color="A8D08D"/>
            </w:tcBorders>
          </w:tcPr>
          <w:p w14:paraId="3147BFE7"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ПВ</w:t>
            </w:r>
          </w:p>
          <w:p w14:paraId="2899C5C7"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на мин. уровне, </w:t>
            </w:r>
            <w:proofErr w:type="spellStart"/>
            <w:r>
              <w:rPr>
                <w:rFonts w:ascii="Times New Roman" w:eastAsia="Times New Roman" w:hAnsi="Times New Roman" w:cs="Times New Roman"/>
                <w:b/>
                <w:bCs/>
                <w:color w:val="000000"/>
                <w:sz w:val="24"/>
                <w:szCs w:val="24"/>
              </w:rPr>
              <w:t>mean</w:t>
            </w:r>
            <w:proofErr w:type="spellEnd"/>
            <w:r>
              <w:rPr>
                <w:rFonts w:ascii="Times New Roman" w:eastAsia="Times New Roman" w:hAnsi="Times New Roman" w:cs="Times New Roman"/>
                <w:b/>
                <w:bCs/>
                <w:color w:val="000000"/>
                <w:sz w:val="24"/>
                <w:szCs w:val="24"/>
              </w:rPr>
              <w:t xml:space="preserve"> (SD)</w:t>
            </w:r>
          </w:p>
        </w:tc>
      </w:tr>
      <w:tr w:rsidR="00A6651D" w14:paraId="02EBDADB" w14:textId="77777777" w:rsidTr="00A6651D">
        <w:tc>
          <w:tcPr>
            <w:tcW w:w="1594" w:type="dxa"/>
            <w:tcBorders>
              <w:top w:val="single" w:sz="4" w:space="0" w:color="A8D08D"/>
              <w:left w:val="single" w:sz="4" w:space="0" w:color="A8D08D"/>
              <w:bottom w:val="single" w:sz="4" w:space="0" w:color="A8D08D"/>
              <w:right w:val="single" w:sz="4" w:space="0" w:color="A8D08D"/>
            </w:tcBorders>
            <w:shd w:val="clear" w:color="auto" w:fill="E2EFD9"/>
          </w:tcPr>
          <w:p w14:paraId="30DCB7CF"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595" w:type="dxa"/>
            <w:tcBorders>
              <w:top w:val="single" w:sz="4" w:space="0" w:color="A8D08D"/>
              <w:left w:val="single" w:sz="4" w:space="0" w:color="A8D08D"/>
              <w:bottom w:val="single" w:sz="4" w:space="0" w:color="A8D08D"/>
              <w:right w:val="single" w:sz="4" w:space="0" w:color="A8D08D"/>
            </w:tcBorders>
            <w:shd w:val="clear" w:color="auto" w:fill="E2EFD9"/>
          </w:tcPr>
          <w:p w14:paraId="1E84589E"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95" w:type="dxa"/>
            <w:tcBorders>
              <w:top w:val="single" w:sz="4" w:space="0" w:color="A8D08D"/>
              <w:left w:val="single" w:sz="4" w:space="0" w:color="A8D08D"/>
              <w:bottom w:val="single" w:sz="4" w:space="0" w:color="A8D08D"/>
              <w:right w:val="single" w:sz="4" w:space="0" w:color="A8D08D"/>
            </w:tcBorders>
            <w:shd w:val="clear" w:color="auto" w:fill="E2EFD9"/>
          </w:tcPr>
          <w:p w14:paraId="564865C3"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128" w:type="dxa"/>
            <w:tcBorders>
              <w:top w:val="single" w:sz="4" w:space="0" w:color="A8D08D"/>
              <w:left w:val="single" w:sz="4" w:space="0" w:color="A8D08D"/>
              <w:bottom w:val="single" w:sz="4" w:space="0" w:color="A8D08D"/>
              <w:right w:val="single" w:sz="4" w:space="0" w:color="A8D08D"/>
            </w:tcBorders>
            <w:shd w:val="clear" w:color="auto" w:fill="E2EFD9"/>
          </w:tcPr>
          <w:p w14:paraId="3274C4CE"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10" w:type="dxa"/>
            <w:tcBorders>
              <w:top w:val="single" w:sz="4" w:space="0" w:color="A8D08D"/>
              <w:left w:val="single" w:sz="4" w:space="0" w:color="A8D08D"/>
              <w:bottom w:val="single" w:sz="4" w:space="0" w:color="A8D08D"/>
              <w:right w:val="single" w:sz="4" w:space="0" w:color="A8D08D"/>
            </w:tcBorders>
            <w:shd w:val="clear" w:color="auto" w:fill="E2EFD9"/>
          </w:tcPr>
          <w:p w14:paraId="44AED9F1"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A6651D" w14:paraId="2F077581" w14:textId="77777777" w:rsidTr="00A6651D">
        <w:tc>
          <w:tcPr>
            <w:tcW w:w="1594" w:type="dxa"/>
            <w:tcBorders>
              <w:top w:val="single" w:sz="4" w:space="0" w:color="A8D08D"/>
              <w:left w:val="single" w:sz="4" w:space="0" w:color="A8D08D"/>
              <w:bottom w:val="single" w:sz="4" w:space="0" w:color="A8D08D"/>
              <w:right w:val="single" w:sz="4" w:space="0" w:color="A8D08D"/>
            </w:tcBorders>
          </w:tcPr>
          <w:p w14:paraId="2D37B10B"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Cs/>
                <w:i/>
                <w:color w:val="000000"/>
                <w:sz w:val="24"/>
                <w:szCs w:val="24"/>
                <w:lang w:val="en-US"/>
              </w:rPr>
            </w:pPr>
            <w:r>
              <w:rPr>
                <w:rFonts w:ascii="Times New Roman" w:eastAsia="Times New Roman" w:hAnsi="Times New Roman" w:cs="Times New Roman"/>
                <w:bCs/>
                <w:i/>
                <w:color w:val="000000"/>
                <w:sz w:val="24"/>
                <w:szCs w:val="24"/>
                <w:lang w:val="en-US"/>
              </w:rPr>
              <w:t>ABCB1</w:t>
            </w:r>
          </w:p>
          <w:p w14:paraId="4C8FB04A"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color w:val="000000"/>
                <w:sz w:val="24"/>
                <w:szCs w:val="24"/>
                <w:lang w:val="en-US"/>
              </w:rPr>
            </w:pPr>
          </w:p>
          <w:p w14:paraId="3F6AE7B1"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color w:val="000000"/>
                <w:sz w:val="24"/>
                <w:szCs w:val="24"/>
                <w:lang w:val="en-US"/>
              </w:rPr>
            </w:pPr>
          </w:p>
          <w:p w14:paraId="03473EDB"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color w:val="000000"/>
                <w:sz w:val="24"/>
                <w:szCs w:val="24"/>
                <w:lang w:val="en-US"/>
              </w:rPr>
            </w:pPr>
          </w:p>
          <w:p w14:paraId="5F430AF5"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color w:val="000000"/>
                <w:sz w:val="24"/>
                <w:szCs w:val="24"/>
                <w:lang w:val="en-US"/>
              </w:rPr>
            </w:pPr>
          </w:p>
          <w:p w14:paraId="2A084A13"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Kruskal-Wallis</w:t>
            </w:r>
          </w:p>
          <w:p w14:paraId="1B0E890E" w14:textId="77777777" w:rsidR="00A6651D" w:rsidRPr="005F3C43" w:rsidRDefault="00A6651D" w:rsidP="00A6651D">
            <w:pPr>
              <w:pStyle w:val="LO-normal"/>
              <w:widowControl w:val="0"/>
              <w:spacing w:after="0" w:line="240" w:lineRule="auto"/>
              <w:jc w:val="center"/>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i/>
                <w:color w:val="000000"/>
                <w:sz w:val="24"/>
                <w:szCs w:val="24"/>
                <w:lang w:val="en-US"/>
              </w:rPr>
              <w:t xml:space="preserve"> </w:t>
            </w:r>
            <w:r>
              <w:rPr>
                <w:rFonts w:ascii="Times New Roman" w:eastAsia="Times New Roman" w:hAnsi="Times New Roman" w:cs="Times New Roman"/>
                <w:b/>
                <w:bCs/>
                <w:color w:val="000000"/>
                <w:sz w:val="24"/>
                <w:szCs w:val="24"/>
                <w:lang w:val="en-US"/>
              </w:rPr>
              <w:t>value:</w:t>
            </w:r>
          </w:p>
        </w:tc>
        <w:tc>
          <w:tcPr>
            <w:tcW w:w="1595" w:type="dxa"/>
            <w:tcBorders>
              <w:top w:val="single" w:sz="4" w:space="0" w:color="A8D08D"/>
              <w:left w:val="single" w:sz="4" w:space="0" w:color="A8D08D"/>
              <w:bottom w:val="single" w:sz="4" w:space="0" w:color="A8D08D"/>
              <w:right w:val="single" w:sz="4" w:space="0" w:color="A8D08D"/>
            </w:tcBorders>
          </w:tcPr>
          <w:p w14:paraId="17ACA2DF"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rs4148738</w:t>
            </w:r>
          </w:p>
        </w:tc>
        <w:tc>
          <w:tcPr>
            <w:tcW w:w="1595" w:type="dxa"/>
            <w:tcBorders>
              <w:top w:val="single" w:sz="4" w:space="0" w:color="A8D08D"/>
              <w:left w:val="single" w:sz="4" w:space="0" w:color="A8D08D"/>
              <w:bottom w:val="single" w:sz="4" w:space="0" w:color="A8D08D"/>
              <w:right w:val="single" w:sz="4" w:space="0" w:color="A8D08D"/>
            </w:tcBorders>
          </w:tcPr>
          <w:p w14:paraId="54F1151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CC</w:t>
            </w:r>
          </w:p>
          <w:p w14:paraId="3FC3B3AE"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CT</w:t>
            </w:r>
          </w:p>
          <w:p w14:paraId="51D0F240"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TT</w:t>
            </w:r>
          </w:p>
        </w:tc>
        <w:tc>
          <w:tcPr>
            <w:tcW w:w="2128" w:type="dxa"/>
            <w:tcBorders>
              <w:top w:val="single" w:sz="4" w:space="0" w:color="A8D08D"/>
              <w:left w:val="single" w:sz="4" w:space="0" w:color="A8D08D"/>
              <w:bottom w:val="single" w:sz="4" w:space="0" w:color="A8D08D"/>
              <w:right w:val="single" w:sz="4" w:space="0" w:color="A8D08D"/>
            </w:tcBorders>
          </w:tcPr>
          <w:p w14:paraId="57EA6B7F"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35.1(6.7)</w:t>
            </w:r>
          </w:p>
          <w:p w14:paraId="572AD6B4"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37.6(6.4)</w:t>
            </w:r>
          </w:p>
          <w:p w14:paraId="217BA2FD"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38.3(9.4)</w:t>
            </w:r>
          </w:p>
          <w:p w14:paraId="1F289775"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proofErr w:type="spellStart"/>
            <w:r>
              <w:rPr>
                <w:rFonts w:ascii="Times New Roman" w:eastAsia="Times New Roman" w:hAnsi="Times New Roman" w:cs="Times New Roman"/>
                <w:b/>
                <w:bCs/>
                <w:color w:val="000000"/>
                <w:sz w:val="24"/>
                <w:szCs w:val="24"/>
              </w:rPr>
              <w:t>value</w:t>
            </w:r>
            <w:proofErr w:type="spellEnd"/>
            <w:r>
              <w:rPr>
                <w:rFonts w:ascii="Times New Roman" w:eastAsia="Times New Roman" w:hAnsi="Times New Roman" w:cs="Times New Roman"/>
                <w:b/>
                <w:bCs/>
                <w:color w:val="000000"/>
                <w:sz w:val="24"/>
                <w:szCs w:val="24"/>
              </w:rPr>
              <w:t xml:space="preserve"> = 0.035</w:t>
            </w:r>
          </w:p>
        </w:tc>
        <w:tc>
          <w:tcPr>
            <w:tcW w:w="2410" w:type="dxa"/>
            <w:tcBorders>
              <w:top w:val="single" w:sz="4" w:space="0" w:color="A8D08D"/>
              <w:left w:val="single" w:sz="4" w:space="0" w:color="A8D08D"/>
              <w:bottom w:val="single" w:sz="4" w:space="0" w:color="A8D08D"/>
              <w:right w:val="single" w:sz="4" w:space="0" w:color="A8D08D"/>
            </w:tcBorders>
          </w:tcPr>
          <w:p w14:paraId="73472B48"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12.9(2.8)</w:t>
            </w:r>
          </w:p>
          <w:p w14:paraId="0C5469D0"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12.4(3.3)</w:t>
            </w:r>
          </w:p>
          <w:p w14:paraId="1D6BFF65"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12.6(3.1)</w:t>
            </w:r>
          </w:p>
          <w:p w14:paraId="53318D52"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0.281</w:t>
            </w:r>
          </w:p>
        </w:tc>
      </w:tr>
      <w:tr w:rsidR="00A6651D" w14:paraId="028EFC56" w14:textId="77777777" w:rsidTr="00A6651D">
        <w:tc>
          <w:tcPr>
            <w:tcW w:w="1594" w:type="dxa"/>
            <w:tcBorders>
              <w:top w:val="single" w:sz="4" w:space="0" w:color="A8D08D"/>
              <w:left w:val="single" w:sz="4" w:space="0" w:color="A8D08D"/>
              <w:bottom w:val="single" w:sz="4" w:space="0" w:color="A8D08D"/>
              <w:right w:val="single" w:sz="4" w:space="0" w:color="A8D08D"/>
            </w:tcBorders>
            <w:shd w:val="clear" w:color="auto" w:fill="E2EFD9"/>
          </w:tcPr>
          <w:p w14:paraId="4C33B339"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Cs/>
                <w:i/>
                <w:color w:val="000000"/>
                <w:sz w:val="24"/>
                <w:szCs w:val="24"/>
                <w:lang w:val="en-US"/>
              </w:rPr>
            </w:pPr>
            <w:r>
              <w:rPr>
                <w:rFonts w:ascii="Times New Roman" w:eastAsia="Times New Roman" w:hAnsi="Times New Roman" w:cs="Times New Roman"/>
                <w:bCs/>
                <w:i/>
                <w:color w:val="000000"/>
                <w:sz w:val="24"/>
                <w:szCs w:val="24"/>
                <w:lang w:val="en-US"/>
              </w:rPr>
              <w:t>ABCB1</w:t>
            </w:r>
          </w:p>
          <w:p w14:paraId="766F77FB"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lang w:val="en-US"/>
              </w:rPr>
            </w:pPr>
          </w:p>
          <w:p w14:paraId="2D5AD611"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lang w:val="en-US"/>
              </w:rPr>
            </w:pPr>
          </w:p>
          <w:p w14:paraId="10D303A6"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Kruskal-Wallis</w:t>
            </w:r>
          </w:p>
          <w:p w14:paraId="0A3FB6FF" w14:textId="77777777" w:rsidR="00A6651D" w:rsidRPr="005F3C43" w:rsidRDefault="00A6651D" w:rsidP="00A6651D">
            <w:pPr>
              <w:pStyle w:val="LO-normal"/>
              <w:widowControl w:val="0"/>
              <w:spacing w:after="0" w:line="240" w:lineRule="auto"/>
              <w:jc w:val="center"/>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i/>
                <w:color w:val="000000"/>
                <w:sz w:val="24"/>
                <w:szCs w:val="24"/>
                <w:lang w:val="en-US"/>
              </w:rPr>
              <w:t xml:space="preserve"> </w:t>
            </w:r>
            <w:r>
              <w:rPr>
                <w:rFonts w:ascii="Times New Roman" w:eastAsia="Times New Roman" w:hAnsi="Times New Roman" w:cs="Times New Roman"/>
                <w:b/>
                <w:bCs/>
                <w:color w:val="000000"/>
                <w:sz w:val="24"/>
                <w:szCs w:val="24"/>
                <w:lang w:val="en-US"/>
              </w:rPr>
              <w:t>value:</w:t>
            </w:r>
          </w:p>
        </w:tc>
        <w:tc>
          <w:tcPr>
            <w:tcW w:w="1595" w:type="dxa"/>
            <w:tcBorders>
              <w:top w:val="single" w:sz="4" w:space="0" w:color="A8D08D"/>
              <w:left w:val="single" w:sz="4" w:space="0" w:color="A8D08D"/>
              <w:bottom w:val="single" w:sz="4" w:space="0" w:color="A8D08D"/>
              <w:right w:val="single" w:sz="4" w:space="0" w:color="A8D08D"/>
            </w:tcBorders>
            <w:shd w:val="clear" w:color="auto" w:fill="E2EFD9"/>
          </w:tcPr>
          <w:p w14:paraId="495C173F"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rs1045642</w:t>
            </w:r>
          </w:p>
        </w:tc>
        <w:tc>
          <w:tcPr>
            <w:tcW w:w="1595" w:type="dxa"/>
            <w:tcBorders>
              <w:top w:val="single" w:sz="4" w:space="0" w:color="A8D08D"/>
              <w:left w:val="single" w:sz="4" w:space="0" w:color="A8D08D"/>
              <w:bottom w:val="single" w:sz="4" w:space="0" w:color="A8D08D"/>
              <w:right w:val="single" w:sz="4" w:space="0" w:color="A8D08D"/>
            </w:tcBorders>
            <w:shd w:val="clear" w:color="auto" w:fill="E2EFD9"/>
          </w:tcPr>
          <w:p w14:paraId="6CF4B815"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AA</w:t>
            </w:r>
          </w:p>
          <w:p w14:paraId="0346E290"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w:t>
            </w:r>
          </w:p>
          <w:p w14:paraId="516E5533"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GG</w:t>
            </w:r>
          </w:p>
        </w:tc>
        <w:tc>
          <w:tcPr>
            <w:tcW w:w="2128" w:type="dxa"/>
            <w:tcBorders>
              <w:top w:val="single" w:sz="4" w:space="0" w:color="A8D08D"/>
              <w:left w:val="single" w:sz="4" w:space="0" w:color="A8D08D"/>
              <w:bottom w:val="single" w:sz="4" w:space="0" w:color="A8D08D"/>
              <w:right w:val="single" w:sz="4" w:space="0" w:color="A8D08D"/>
            </w:tcBorders>
            <w:shd w:val="clear" w:color="auto" w:fill="E2EFD9"/>
          </w:tcPr>
          <w:p w14:paraId="10C769C9"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34.9(6.2)</w:t>
            </w:r>
          </w:p>
          <w:p w14:paraId="4D320FD9"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38.3(6.8)</w:t>
            </w:r>
          </w:p>
          <w:p w14:paraId="1496CAC8"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37.5(9.5)</w:t>
            </w:r>
          </w:p>
          <w:p w14:paraId="77EE110D"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proofErr w:type="spellStart"/>
            <w:r>
              <w:rPr>
                <w:rFonts w:ascii="Times New Roman" w:eastAsia="Times New Roman" w:hAnsi="Times New Roman" w:cs="Times New Roman"/>
                <w:b/>
                <w:bCs/>
                <w:color w:val="000000"/>
                <w:sz w:val="24"/>
                <w:szCs w:val="24"/>
              </w:rPr>
              <w:t>value</w:t>
            </w:r>
            <w:proofErr w:type="spellEnd"/>
            <w:r>
              <w:rPr>
                <w:rFonts w:ascii="Times New Roman" w:eastAsia="Times New Roman" w:hAnsi="Times New Roman" w:cs="Times New Roman"/>
                <w:b/>
                <w:bCs/>
                <w:color w:val="000000"/>
                <w:sz w:val="24"/>
                <w:szCs w:val="24"/>
              </w:rPr>
              <w:t xml:space="preserve"> = 0.024</w:t>
            </w:r>
          </w:p>
        </w:tc>
        <w:tc>
          <w:tcPr>
            <w:tcW w:w="2410" w:type="dxa"/>
            <w:tcBorders>
              <w:top w:val="single" w:sz="4" w:space="0" w:color="A8D08D"/>
              <w:left w:val="single" w:sz="4" w:space="0" w:color="A8D08D"/>
              <w:bottom w:val="single" w:sz="4" w:space="0" w:color="A8D08D"/>
              <w:right w:val="single" w:sz="4" w:space="0" w:color="A8D08D"/>
            </w:tcBorders>
            <w:shd w:val="clear" w:color="auto" w:fill="E2EFD9"/>
          </w:tcPr>
          <w:p w14:paraId="03111AF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12.8(2.8)</w:t>
            </w:r>
          </w:p>
          <w:p w14:paraId="4244E161"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12.2(2.5)</w:t>
            </w:r>
          </w:p>
          <w:p w14:paraId="67872A0B"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13.1(3.9)</w:t>
            </w:r>
          </w:p>
          <w:p w14:paraId="4764D6BD"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0.395</w:t>
            </w:r>
          </w:p>
        </w:tc>
      </w:tr>
      <w:tr w:rsidR="00A6651D" w14:paraId="197A0ACC" w14:textId="77777777" w:rsidTr="00A6651D">
        <w:tc>
          <w:tcPr>
            <w:tcW w:w="1594" w:type="dxa"/>
            <w:tcBorders>
              <w:top w:val="single" w:sz="4" w:space="0" w:color="A8D08D"/>
              <w:left w:val="single" w:sz="4" w:space="0" w:color="A8D08D"/>
              <w:bottom w:val="single" w:sz="4" w:space="0" w:color="A8D08D"/>
              <w:right w:val="single" w:sz="4" w:space="0" w:color="A8D08D"/>
            </w:tcBorders>
          </w:tcPr>
          <w:p w14:paraId="42732364"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Cs/>
                <w:i/>
                <w:color w:val="000000"/>
                <w:sz w:val="24"/>
                <w:szCs w:val="24"/>
                <w:lang w:val="en-US"/>
              </w:rPr>
            </w:pPr>
            <w:r>
              <w:rPr>
                <w:rFonts w:ascii="Times New Roman" w:eastAsia="Times New Roman" w:hAnsi="Times New Roman" w:cs="Times New Roman"/>
                <w:bCs/>
                <w:i/>
                <w:color w:val="000000"/>
                <w:sz w:val="24"/>
                <w:szCs w:val="24"/>
                <w:lang w:val="en-US"/>
              </w:rPr>
              <w:t>ABCB1</w:t>
            </w:r>
          </w:p>
          <w:p w14:paraId="56219D5A"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i/>
                <w:color w:val="000000"/>
                <w:sz w:val="24"/>
                <w:szCs w:val="24"/>
                <w:lang w:val="en-US"/>
              </w:rPr>
            </w:pPr>
          </w:p>
          <w:p w14:paraId="629E775C"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i/>
                <w:color w:val="000000"/>
                <w:sz w:val="24"/>
                <w:szCs w:val="24"/>
                <w:lang w:val="en-US"/>
              </w:rPr>
            </w:pPr>
          </w:p>
          <w:p w14:paraId="7455F350"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i/>
                <w:color w:val="000000"/>
                <w:sz w:val="24"/>
                <w:szCs w:val="24"/>
                <w:lang w:val="en-US"/>
              </w:rPr>
            </w:pPr>
          </w:p>
          <w:p w14:paraId="20643DAC"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
                <w:bCs/>
                <w:i/>
                <w:color w:val="000000"/>
                <w:sz w:val="24"/>
                <w:szCs w:val="24"/>
                <w:lang w:val="en-US"/>
              </w:rPr>
            </w:pPr>
          </w:p>
          <w:p w14:paraId="409EC1D5" w14:textId="77777777" w:rsidR="00A6651D" w:rsidRDefault="00A6651D" w:rsidP="00A6651D">
            <w:pPr>
              <w:pStyle w:val="LO-normal"/>
              <w:widowControl w:val="0"/>
              <w:spacing w:after="0" w:line="240" w:lineRule="auto"/>
              <w:jc w:val="center"/>
              <w:textAlignment w:val="baseline"/>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Kruskal-Wallis</w:t>
            </w:r>
          </w:p>
          <w:p w14:paraId="257ED3C2" w14:textId="77777777" w:rsidR="00A6651D" w:rsidRPr="005F3C43" w:rsidRDefault="00A6651D" w:rsidP="00A6651D">
            <w:pPr>
              <w:pStyle w:val="LO-normal"/>
              <w:widowControl w:val="0"/>
              <w:spacing w:after="0" w:line="240" w:lineRule="auto"/>
              <w:jc w:val="center"/>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i/>
                <w:color w:val="000000"/>
                <w:sz w:val="24"/>
                <w:szCs w:val="24"/>
                <w:lang w:val="en-US"/>
              </w:rPr>
              <w:t xml:space="preserve"> </w:t>
            </w:r>
            <w:r>
              <w:rPr>
                <w:rFonts w:ascii="Times New Roman" w:eastAsia="Times New Roman" w:hAnsi="Times New Roman" w:cs="Times New Roman"/>
                <w:b/>
                <w:bCs/>
                <w:color w:val="000000"/>
                <w:sz w:val="24"/>
                <w:szCs w:val="24"/>
                <w:lang w:val="en-US"/>
              </w:rPr>
              <w:t>value:</w:t>
            </w:r>
          </w:p>
        </w:tc>
        <w:tc>
          <w:tcPr>
            <w:tcW w:w="1595" w:type="dxa"/>
            <w:tcBorders>
              <w:top w:val="single" w:sz="4" w:space="0" w:color="A8D08D"/>
              <w:left w:val="single" w:sz="4" w:space="0" w:color="A8D08D"/>
              <w:bottom w:val="single" w:sz="4" w:space="0" w:color="A8D08D"/>
              <w:right w:val="single" w:sz="4" w:space="0" w:color="A8D08D"/>
            </w:tcBorders>
          </w:tcPr>
          <w:p w14:paraId="0D8E88FB"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rs1128503</w:t>
            </w:r>
          </w:p>
        </w:tc>
        <w:tc>
          <w:tcPr>
            <w:tcW w:w="1595" w:type="dxa"/>
            <w:tcBorders>
              <w:top w:val="single" w:sz="4" w:space="0" w:color="A8D08D"/>
              <w:left w:val="single" w:sz="4" w:space="0" w:color="A8D08D"/>
              <w:bottom w:val="single" w:sz="4" w:space="0" w:color="A8D08D"/>
              <w:right w:val="single" w:sz="4" w:space="0" w:color="A8D08D"/>
            </w:tcBorders>
          </w:tcPr>
          <w:p w14:paraId="3029ADF2"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AA</w:t>
            </w:r>
          </w:p>
          <w:p w14:paraId="4A02EF8F"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w:t>
            </w:r>
          </w:p>
          <w:p w14:paraId="6DAD2833"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GG</w:t>
            </w:r>
          </w:p>
        </w:tc>
        <w:tc>
          <w:tcPr>
            <w:tcW w:w="2128" w:type="dxa"/>
            <w:tcBorders>
              <w:top w:val="single" w:sz="4" w:space="0" w:color="A8D08D"/>
              <w:left w:val="single" w:sz="4" w:space="0" w:color="A8D08D"/>
              <w:bottom w:val="single" w:sz="4" w:space="0" w:color="A8D08D"/>
              <w:right w:val="single" w:sz="4" w:space="0" w:color="A8D08D"/>
            </w:tcBorders>
          </w:tcPr>
          <w:p w14:paraId="26EC11E8"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36.3(7.2)</w:t>
            </w:r>
          </w:p>
          <w:p w14:paraId="4977C1FB"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37.9(6.2)</w:t>
            </w:r>
          </w:p>
          <w:p w14:paraId="125985B7"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37.9(10.4)</w:t>
            </w:r>
          </w:p>
          <w:p w14:paraId="0F6B748E"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0.173</w:t>
            </w:r>
          </w:p>
        </w:tc>
        <w:tc>
          <w:tcPr>
            <w:tcW w:w="2410" w:type="dxa"/>
            <w:tcBorders>
              <w:top w:val="single" w:sz="4" w:space="0" w:color="A8D08D"/>
              <w:left w:val="single" w:sz="4" w:space="0" w:color="A8D08D"/>
              <w:bottom w:val="single" w:sz="4" w:space="0" w:color="A8D08D"/>
              <w:right w:val="single" w:sz="4" w:space="0" w:color="A8D08D"/>
            </w:tcBorders>
          </w:tcPr>
          <w:p w14:paraId="28633278"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12.6(2.3)</w:t>
            </w:r>
          </w:p>
          <w:p w14:paraId="0093F8FE"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12.7(3.8)</w:t>
            </w:r>
          </w:p>
          <w:p w14:paraId="47C3E21E"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12.5(2.7)</w:t>
            </w:r>
          </w:p>
          <w:p w14:paraId="40C67B6E"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0.408</w:t>
            </w:r>
          </w:p>
        </w:tc>
      </w:tr>
      <w:tr w:rsidR="00A6651D" w14:paraId="1A0306AB" w14:textId="77777777" w:rsidTr="00A6651D">
        <w:tc>
          <w:tcPr>
            <w:tcW w:w="1594" w:type="dxa"/>
            <w:tcBorders>
              <w:top w:val="single" w:sz="4" w:space="0" w:color="A8D08D"/>
              <w:left w:val="single" w:sz="4" w:space="0" w:color="A8D08D"/>
              <w:bottom w:val="single" w:sz="4" w:space="0" w:color="A8D08D"/>
              <w:right w:val="single" w:sz="4" w:space="0" w:color="A8D08D"/>
            </w:tcBorders>
            <w:shd w:val="clear" w:color="auto" w:fill="E2EFD9"/>
          </w:tcPr>
          <w:p w14:paraId="79FCF3C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CES1</w:t>
            </w:r>
          </w:p>
          <w:p w14:paraId="7821C215"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lang w:val="en-US"/>
              </w:rPr>
            </w:pPr>
          </w:p>
          <w:p w14:paraId="421F8BE7"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lang w:val="en-US"/>
              </w:rPr>
            </w:pPr>
          </w:p>
          <w:p w14:paraId="4F46E287" w14:textId="77777777" w:rsidR="00A6651D" w:rsidRPr="005F3C43" w:rsidRDefault="00A6651D" w:rsidP="00A6651D">
            <w:pPr>
              <w:pStyle w:val="LO-normal"/>
              <w:widowControl w:val="0"/>
              <w:spacing w:line="240" w:lineRule="auto"/>
              <w:jc w:val="center"/>
              <w:textAlignment w:val="baseline"/>
              <w:rPr>
                <w:rFonts w:ascii="Times New Roman" w:hAnsi="Times New Roman"/>
                <w:color w:val="000000"/>
                <w:lang w:val="en-US"/>
              </w:rPr>
            </w:pPr>
            <w:r>
              <w:rPr>
                <w:rFonts w:ascii="Times New Roman" w:eastAsia="Times New Roman" w:hAnsi="Times New Roman" w:cs="Times New Roman"/>
                <w:b/>
                <w:bCs/>
                <w:color w:val="000000"/>
                <w:sz w:val="24"/>
                <w:szCs w:val="24"/>
                <w:lang w:val="en-US"/>
              </w:rPr>
              <w:t xml:space="preserve">Kruskal-Wallis           </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i/>
                <w:color w:val="000000"/>
                <w:sz w:val="24"/>
                <w:szCs w:val="24"/>
                <w:lang w:val="en-US"/>
              </w:rPr>
              <w:t xml:space="preserve"> </w:t>
            </w:r>
            <w:r>
              <w:rPr>
                <w:rFonts w:ascii="Times New Roman" w:eastAsia="Times New Roman" w:hAnsi="Times New Roman" w:cs="Times New Roman"/>
                <w:b/>
                <w:bCs/>
                <w:color w:val="000000"/>
                <w:sz w:val="24"/>
                <w:szCs w:val="24"/>
                <w:lang w:val="en-US"/>
              </w:rPr>
              <w:t>value:</w:t>
            </w:r>
          </w:p>
        </w:tc>
        <w:tc>
          <w:tcPr>
            <w:tcW w:w="1595" w:type="dxa"/>
            <w:tcBorders>
              <w:top w:val="single" w:sz="4" w:space="0" w:color="A8D08D"/>
              <w:left w:val="single" w:sz="4" w:space="0" w:color="A8D08D"/>
              <w:bottom w:val="single" w:sz="4" w:space="0" w:color="A8D08D"/>
              <w:right w:val="single" w:sz="4" w:space="0" w:color="A8D08D"/>
            </w:tcBorders>
            <w:shd w:val="clear" w:color="auto" w:fill="E2EFD9"/>
          </w:tcPr>
          <w:p w14:paraId="6D6D2510"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rs8192935</w:t>
            </w:r>
          </w:p>
        </w:tc>
        <w:tc>
          <w:tcPr>
            <w:tcW w:w="1595" w:type="dxa"/>
            <w:tcBorders>
              <w:top w:val="single" w:sz="4" w:space="0" w:color="A8D08D"/>
              <w:left w:val="single" w:sz="4" w:space="0" w:color="A8D08D"/>
              <w:bottom w:val="single" w:sz="4" w:space="0" w:color="A8D08D"/>
              <w:right w:val="single" w:sz="4" w:space="0" w:color="A8D08D"/>
            </w:tcBorders>
            <w:shd w:val="clear" w:color="auto" w:fill="E2EFD9"/>
          </w:tcPr>
          <w:p w14:paraId="0F33D6B8"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AA</w:t>
            </w:r>
          </w:p>
          <w:p w14:paraId="52C106B7"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w:t>
            </w:r>
          </w:p>
          <w:p w14:paraId="522B8B52"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GG</w:t>
            </w:r>
          </w:p>
        </w:tc>
        <w:tc>
          <w:tcPr>
            <w:tcW w:w="2128" w:type="dxa"/>
            <w:tcBorders>
              <w:top w:val="single" w:sz="4" w:space="0" w:color="A8D08D"/>
              <w:left w:val="single" w:sz="4" w:space="0" w:color="A8D08D"/>
              <w:bottom w:val="single" w:sz="4" w:space="0" w:color="A8D08D"/>
              <w:right w:val="single" w:sz="4" w:space="0" w:color="A8D08D"/>
            </w:tcBorders>
            <w:shd w:val="clear" w:color="auto" w:fill="E2EFD9"/>
          </w:tcPr>
          <w:p w14:paraId="6B8CB7C1"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38.3(3.4)</w:t>
            </w:r>
          </w:p>
          <w:p w14:paraId="107267B2"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36.7(7.6)</w:t>
            </w:r>
          </w:p>
          <w:p w14:paraId="1000BF74"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36.7(5.8)</w:t>
            </w:r>
          </w:p>
          <w:p w14:paraId="07BD89EE"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0.750</w:t>
            </w:r>
          </w:p>
        </w:tc>
        <w:tc>
          <w:tcPr>
            <w:tcW w:w="2410" w:type="dxa"/>
            <w:tcBorders>
              <w:top w:val="single" w:sz="4" w:space="0" w:color="A8D08D"/>
              <w:left w:val="single" w:sz="4" w:space="0" w:color="A8D08D"/>
              <w:bottom w:val="single" w:sz="4" w:space="0" w:color="A8D08D"/>
              <w:right w:val="single" w:sz="4" w:space="0" w:color="A8D08D"/>
            </w:tcBorders>
            <w:shd w:val="clear" w:color="auto" w:fill="E2EFD9"/>
          </w:tcPr>
          <w:p w14:paraId="0D611933"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12.3(2.3)</w:t>
            </w:r>
          </w:p>
          <w:p w14:paraId="611073A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12.9(3.8)</w:t>
            </w:r>
          </w:p>
          <w:p w14:paraId="4F326586"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12.1(1.2)</w:t>
            </w:r>
          </w:p>
          <w:p w14:paraId="5B6DAFED"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0.829</w:t>
            </w:r>
          </w:p>
        </w:tc>
      </w:tr>
      <w:tr w:rsidR="00A6651D" w14:paraId="7064F448" w14:textId="77777777" w:rsidTr="00A6651D">
        <w:tc>
          <w:tcPr>
            <w:tcW w:w="1594" w:type="dxa"/>
            <w:tcBorders>
              <w:top w:val="single" w:sz="4" w:space="0" w:color="A8D08D"/>
              <w:left w:val="single" w:sz="4" w:space="0" w:color="A8D08D"/>
              <w:bottom w:val="single" w:sz="4" w:space="0" w:color="A8D08D"/>
              <w:right w:val="single" w:sz="4" w:space="0" w:color="A8D08D"/>
            </w:tcBorders>
          </w:tcPr>
          <w:p w14:paraId="0123935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CES1</w:t>
            </w:r>
          </w:p>
          <w:p w14:paraId="4CD8DD9A"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b/>
                <w:bCs/>
                <w:color w:val="000000"/>
                <w:sz w:val="24"/>
                <w:szCs w:val="24"/>
                <w:lang w:val="en-US"/>
              </w:rPr>
            </w:pPr>
          </w:p>
          <w:p w14:paraId="36BA4B18" w14:textId="77777777" w:rsidR="00A6651D" w:rsidRPr="005F3C43" w:rsidRDefault="00A6651D" w:rsidP="00A6651D">
            <w:pPr>
              <w:pStyle w:val="LO-normal"/>
              <w:widowControl w:val="0"/>
              <w:spacing w:line="240" w:lineRule="auto"/>
              <w:jc w:val="center"/>
              <w:textAlignment w:val="baseline"/>
              <w:rPr>
                <w:rFonts w:ascii="Times New Roman" w:hAnsi="Times New Roman"/>
                <w:color w:val="000000"/>
                <w:lang w:val="en-US"/>
              </w:rPr>
            </w:pPr>
            <w:r>
              <w:rPr>
                <w:rFonts w:ascii="Times New Roman" w:eastAsia="Times New Roman" w:hAnsi="Times New Roman" w:cs="Times New Roman"/>
                <w:b/>
                <w:bCs/>
                <w:color w:val="000000"/>
                <w:sz w:val="24"/>
                <w:szCs w:val="24"/>
                <w:lang w:val="en-US"/>
              </w:rPr>
              <w:t xml:space="preserve">Kruskal-Wallis           </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i/>
                <w:color w:val="000000"/>
                <w:sz w:val="24"/>
                <w:szCs w:val="24"/>
                <w:lang w:val="en-US"/>
              </w:rPr>
              <w:t xml:space="preserve"> </w:t>
            </w:r>
            <w:r>
              <w:rPr>
                <w:rFonts w:ascii="Times New Roman" w:eastAsia="Times New Roman" w:hAnsi="Times New Roman" w:cs="Times New Roman"/>
                <w:b/>
                <w:bCs/>
                <w:color w:val="000000"/>
                <w:sz w:val="24"/>
                <w:szCs w:val="24"/>
                <w:lang w:val="en-US"/>
              </w:rPr>
              <w:t>value:</w:t>
            </w:r>
          </w:p>
        </w:tc>
        <w:tc>
          <w:tcPr>
            <w:tcW w:w="1595" w:type="dxa"/>
            <w:tcBorders>
              <w:top w:val="single" w:sz="4" w:space="0" w:color="A8D08D"/>
              <w:left w:val="single" w:sz="4" w:space="0" w:color="A8D08D"/>
              <w:bottom w:val="single" w:sz="4" w:space="0" w:color="A8D08D"/>
              <w:right w:val="single" w:sz="4" w:space="0" w:color="A8D08D"/>
            </w:tcBorders>
          </w:tcPr>
          <w:p w14:paraId="23DF971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rs2244613</w:t>
            </w:r>
          </w:p>
        </w:tc>
        <w:tc>
          <w:tcPr>
            <w:tcW w:w="1595" w:type="dxa"/>
            <w:tcBorders>
              <w:top w:val="single" w:sz="4" w:space="0" w:color="A8D08D"/>
              <w:left w:val="single" w:sz="4" w:space="0" w:color="A8D08D"/>
              <w:bottom w:val="single" w:sz="4" w:space="0" w:color="A8D08D"/>
              <w:right w:val="single" w:sz="4" w:space="0" w:color="A8D08D"/>
            </w:tcBorders>
          </w:tcPr>
          <w:p w14:paraId="53B4DA46"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GG</w:t>
            </w:r>
          </w:p>
          <w:p w14:paraId="5C2685BF"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GT</w:t>
            </w:r>
          </w:p>
          <w:p w14:paraId="4CE5D3D1"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TT</w:t>
            </w:r>
          </w:p>
        </w:tc>
        <w:tc>
          <w:tcPr>
            <w:tcW w:w="2128" w:type="dxa"/>
            <w:tcBorders>
              <w:top w:val="single" w:sz="4" w:space="0" w:color="A8D08D"/>
              <w:left w:val="single" w:sz="4" w:space="0" w:color="A8D08D"/>
              <w:bottom w:val="single" w:sz="4" w:space="0" w:color="A8D08D"/>
              <w:right w:val="single" w:sz="4" w:space="0" w:color="A8D08D"/>
            </w:tcBorders>
          </w:tcPr>
          <w:p w14:paraId="27FBD431"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36.9(10.2)</w:t>
            </w:r>
          </w:p>
          <w:p w14:paraId="0308186C"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38.1(7.4)</w:t>
            </w:r>
          </w:p>
          <w:p w14:paraId="689D98AF"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36.4(5.5)</w:t>
            </w:r>
          </w:p>
          <w:p w14:paraId="00F76D4A"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0.559</w:t>
            </w:r>
          </w:p>
        </w:tc>
        <w:tc>
          <w:tcPr>
            <w:tcW w:w="2410" w:type="dxa"/>
            <w:tcBorders>
              <w:top w:val="single" w:sz="4" w:space="0" w:color="A8D08D"/>
              <w:left w:val="single" w:sz="4" w:space="0" w:color="A8D08D"/>
              <w:bottom w:val="single" w:sz="4" w:space="0" w:color="A8D08D"/>
              <w:right w:val="single" w:sz="4" w:space="0" w:color="A8D08D"/>
            </w:tcBorders>
          </w:tcPr>
          <w:p w14:paraId="2F284FBB"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12.3(2.0)</w:t>
            </w:r>
          </w:p>
          <w:p w14:paraId="388773FB"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12.7(3.8)</w:t>
            </w:r>
          </w:p>
          <w:p w14:paraId="3F792842"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12.7(2.6)</w:t>
            </w:r>
          </w:p>
          <w:p w14:paraId="260A3376" w14:textId="77777777" w:rsidR="00A6651D" w:rsidRDefault="00A6651D" w:rsidP="00A6651D">
            <w:pPr>
              <w:pStyle w:val="LO-normal"/>
              <w:widowControl w:val="0"/>
              <w:spacing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roofErr w:type="spellStart"/>
            <w:r>
              <w:rPr>
                <w:rFonts w:ascii="Times New Roman" w:eastAsia="Times New Roman" w:hAnsi="Times New Roman" w:cs="Times New Roman"/>
                <w:color w:val="000000"/>
                <w:sz w:val="24"/>
                <w:szCs w:val="24"/>
              </w:rPr>
              <w:t>value</w:t>
            </w:r>
            <w:proofErr w:type="spellEnd"/>
            <w:r>
              <w:rPr>
                <w:rFonts w:ascii="Times New Roman" w:eastAsia="Times New Roman" w:hAnsi="Times New Roman" w:cs="Times New Roman"/>
                <w:color w:val="000000"/>
                <w:sz w:val="24"/>
                <w:szCs w:val="24"/>
              </w:rPr>
              <w:t xml:space="preserve"> = 0.693</w:t>
            </w:r>
          </w:p>
        </w:tc>
      </w:tr>
    </w:tbl>
    <w:p w14:paraId="678854F8" w14:textId="77777777" w:rsidR="007847CD" w:rsidRDefault="007847CD" w:rsidP="007847CD">
      <w:pPr>
        <w:pStyle w:val="LO-normal"/>
        <w:spacing w:after="0" w:line="240" w:lineRule="auto"/>
        <w:ind w:firstLine="567"/>
        <w:jc w:val="both"/>
        <w:rPr>
          <w:rFonts w:ascii="Times New Roman" w:hAnsi="Times New Roman" w:cs="Times New Roman"/>
          <w:sz w:val="28"/>
          <w:szCs w:val="28"/>
          <w:lang w:bidi="ar-SA"/>
        </w:rPr>
      </w:pPr>
    </w:p>
    <w:p w14:paraId="1BF7C72B" w14:textId="308D2DB5" w:rsidR="007847CD" w:rsidRDefault="007847CD" w:rsidP="00A6651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Для полиморфизма </w:t>
      </w:r>
      <w:r>
        <w:rPr>
          <w:rFonts w:ascii="Times New Roman" w:hAnsi="Times New Roman" w:cs="Times New Roman"/>
          <w:sz w:val="28"/>
          <w:szCs w:val="28"/>
          <w:lang w:val="en-US" w:bidi="ar-SA"/>
        </w:rPr>
        <w:t>rs</w:t>
      </w:r>
      <w:r w:rsidRPr="007847CD">
        <w:rPr>
          <w:rFonts w:ascii="Times New Roman" w:hAnsi="Times New Roman" w:cs="Times New Roman"/>
          <w:sz w:val="28"/>
          <w:szCs w:val="28"/>
          <w:lang w:bidi="ar-SA"/>
        </w:rPr>
        <w:t>4148738 (</w:t>
      </w:r>
      <w:r>
        <w:rPr>
          <w:rFonts w:ascii="Times New Roman" w:hAnsi="Times New Roman" w:cs="Times New Roman"/>
          <w:sz w:val="28"/>
          <w:szCs w:val="28"/>
          <w:lang w:val="en-US" w:bidi="ar-SA"/>
        </w:rPr>
        <w:t>ABCB</w:t>
      </w:r>
      <w:r w:rsidRPr="007847CD">
        <w:rPr>
          <w:rFonts w:ascii="Times New Roman" w:hAnsi="Times New Roman" w:cs="Times New Roman"/>
          <w:sz w:val="28"/>
          <w:szCs w:val="28"/>
          <w:lang w:bidi="ar-SA"/>
        </w:rPr>
        <w:t xml:space="preserve">1) </w:t>
      </w:r>
      <w:r>
        <w:rPr>
          <w:rFonts w:ascii="Times New Roman" w:hAnsi="Times New Roman" w:cs="Times New Roman"/>
          <w:sz w:val="28"/>
          <w:szCs w:val="28"/>
          <w:lang w:bidi="ar-SA"/>
        </w:rPr>
        <w:t>выявлены достоверные различия в АЧТВ между носителями генотипов СС, СТ и ТТ (р=0,035). Наименьшие значения АЧТВ наблюдались у гомозигот СС (35,1</w:t>
      </w:r>
      <w:r>
        <w:rPr>
          <w:rFonts w:ascii="Times New Roman" w:hAnsi="Times New Roman" w:cs="Times New Roman"/>
          <w:sz w:val="28"/>
          <w:szCs w:val="28"/>
          <w:lang w:bidi="ar-SA"/>
        </w:rPr>
        <w:sym w:font="Symbol" w:char="F0B1"/>
      </w:r>
      <w:r>
        <w:rPr>
          <w:rFonts w:ascii="Times New Roman" w:hAnsi="Times New Roman" w:cs="Times New Roman"/>
          <w:sz w:val="28"/>
          <w:szCs w:val="28"/>
          <w:lang w:bidi="ar-SA"/>
        </w:rPr>
        <w:t>6,7 сек), тогда как гетерозиготы С</w:t>
      </w:r>
      <w:r w:rsidR="00A6651D">
        <w:rPr>
          <w:rFonts w:ascii="Times New Roman" w:hAnsi="Times New Roman" w:cs="Times New Roman"/>
          <w:sz w:val="28"/>
          <w:szCs w:val="28"/>
          <w:lang w:val="en-US" w:bidi="ar-SA"/>
        </w:rPr>
        <w:t>T</w:t>
      </w:r>
      <w:r>
        <w:rPr>
          <w:rFonts w:ascii="Times New Roman" w:hAnsi="Times New Roman" w:cs="Times New Roman"/>
          <w:sz w:val="28"/>
          <w:szCs w:val="28"/>
          <w:lang w:bidi="ar-SA"/>
        </w:rPr>
        <w:t xml:space="preserve"> и гомозиготы ТТ демонстрировали увеличение показателя (37,6</w:t>
      </w:r>
      <w:r>
        <w:rPr>
          <w:rFonts w:ascii="Times New Roman" w:hAnsi="Times New Roman" w:cs="Times New Roman"/>
          <w:sz w:val="28"/>
          <w:szCs w:val="28"/>
          <w:lang w:bidi="ar-SA"/>
        </w:rPr>
        <w:sym w:font="Symbol" w:char="F0B1"/>
      </w:r>
      <w:r>
        <w:rPr>
          <w:rFonts w:ascii="Times New Roman" w:hAnsi="Times New Roman" w:cs="Times New Roman"/>
          <w:sz w:val="28"/>
          <w:szCs w:val="28"/>
          <w:lang w:bidi="ar-SA"/>
        </w:rPr>
        <w:t>6,4 и 38,3</w:t>
      </w:r>
      <w:r>
        <w:rPr>
          <w:rFonts w:ascii="Times New Roman" w:hAnsi="Times New Roman" w:cs="Times New Roman"/>
          <w:sz w:val="28"/>
          <w:szCs w:val="28"/>
          <w:lang w:bidi="ar-SA"/>
        </w:rPr>
        <w:sym w:font="Symbol" w:char="F0B1"/>
      </w:r>
      <w:r>
        <w:rPr>
          <w:rFonts w:ascii="Times New Roman" w:hAnsi="Times New Roman" w:cs="Times New Roman"/>
          <w:sz w:val="28"/>
          <w:szCs w:val="28"/>
          <w:lang w:bidi="ar-SA"/>
        </w:rPr>
        <w:t xml:space="preserve">9,4сек соответственно). Для </w:t>
      </w:r>
      <w:r>
        <w:rPr>
          <w:rFonts w:ascii="Times New Roman" w:hAnsi="Times New Roman" w:cs="Times New Roman"/>
          <w:sz w:val="28"/>
          <w:szCs w:val="28"/>
          <w:lang w:val="en-US" w:bidi="ar-SA"/>
        </w:rPr>
        <w:t>rs</w:t>
      </w:r>
      <w:r w:rsidRPr="007847CD">
        <w:rPr>
          <w:rFonts w:ascii="Times New Roman" w:hAnsi="Times New Roman" w:cs="Times New Roman"/>
          <w:sz w:val="28"/>
          <w:szCs w:val="28"/>
          <w:lang w:bidi="ar-SA"/>
        </w:rPr>
        <w:t>1045642 (</w:t>
      </w:r>
      <w:r>
        <w:rPr>
          <w:rFonts w:ascii="Times New Roman" w:hAnsi="Times New Roman" w:cs="Times New Roman"/>
          <w:sz w:val="28"/>
          <w:szCs w:val="28"/>
          <w:lang w:val="en-US" w:bidi="ar-SA"/>
        </w:rPr>
        <w:t>ABCB</w:t>
      </w:r>
      <w:r w:rsidRPr="007847CD">
        <w:rPr>
          <w:rFonts w:ascii="Times New Roman" w:hAnsi="Times New Roman" w:cs="Times New Roman"/>
          <w:sz w:val="28"/>
          <w:szCs w:val="28"/>
          <w:lang w:bidi="ar-SA"/>
        </w:rPr>
        <w:t xml:space="preserve">1) </w:t>
      </w:r>
      <w:r>
        <w:rPr>
          <w:rFonts w:ascii="Times New Roman" w:hAnsi="Times New Roman" w:cs="Times New Roman"/>
          <w:sz w:val="28"/>
          <w:szCs w:val="28"/>
          <w:lang w:bidi="ar-SA"/>
        </w:rPr>
        <w:t>также зафиксированы значимые различия в АЧТВ (р=0,024). Гомозиготы АА имели минимальный показатель (34,9</w:t>
      </w:r>
      <w:r>
        <w:rPr>
          <w:rFonts w:ascii="Times New Roman" w:hAnsi="Times New Roman" w:cs="Times New Roman"/>
          <w:sz w:val="28"/>
          <w:szCs w:val="28"/>
          <w:lang w:bidi="ar-SA"/>
        </w:rPr>
        <w:sym w:font="Symbol" w:char="F0B1"/>
      </w:r>
      <w:r>
        <w:rPr>
          <w:rFonts w:ascii="Times New Roman" w:hAnsi="Times New Roman" w:cs="Times New Roman"/>
          <w:sz w:val="28"/>
          <w:szCs w:val="28"/>
          <w:lang w:bidi="ar-SA"/>
        </w:rPr>
        <w:t xml:space="preserve">6,2сек), тогда как носители аллеля </w:t>
      </w:r>
      <w:r>
        <w:rPr>
          <w:rFonts w:ascii="Times New Roman" w:hAnsi="Times New Roman" w:cs="Times New Roman"/>
          <w:sz w:val="28"/>
          <w:szCs w:val="28"/>
          <w:lang w:val="en-US" w:bidi="ar-SA"/>
        </w:rPr>
        <w:t>G</w:t>
      </w:r>
      <w:r w:rsidRPr="007847CD">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Pr>
          <w:rFonts w:ascii="Times New Roman" w:hAnsi="Times New Roman" w:cs="Times New Roman"/>
          <w:sz w:val="28"/>
          <w:szCs w:val="28"/>
          <w:lang w:val="en-US" w:bidi="ar-SA"/>
        </w:rPr>
        <w:t>AG</w:t>
      </w:r>
      <w:r w:rsidRPr="007847CD">
        <w:rPr>
          <w:rFonts w:ascii="Times New Roman" w:hAnsi="Times New Roman" w:cs="Times New Roman"/>
          <w:sz w:val="28"/>
          <w:szCs w:val="28"/>
          <w:lang w:bidi="ar-SA"/>
        </w:rPr>
        <w:t xml:space="preserve"> </w:t>
      </w:r>
      <w:r>
        <w:rPr>
          <w:rFonts w:ascii="Times New Roman" w:hAnsi="Times New Roman" w:cs="Times New Roman"/>
          <w:sz w:val="28"/>
          <w:szCs w:val="28"/>
          <w:lang w:bidi="ar-SA"/>
        </w:rPr>
        <w:t>и</w:t>
      </w:r>
      <w:r w:rsidRPr="007847CD">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GG</w:t>
      </w:r>
      <w:r>
        <w:rPr>
          <w:rFonts w:ascii="Times New Roman" w:hAnsi="Times New Roman" w:cs="Times New Roman"/>
          <w:sz w:val="28"/>
          <w:szCs w:val="28"/>
          <w:lang w:bidi="ar-SA"/>
        </w:rPr>
        <w:t>)</w:t>
      </w:r>
      <w:r w:rsidRPr="007847CD">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демонстрировали увеличение АЧТВ до </w:t>
      </w:r>
      <w:r w:rsidRPr="007847CD">
        <w:rPr>
          <w:rFonts w:ascii="Times New Roman" w:hAnsi="Times New Roman" w:cs="Times New Roman"/>
          <w:sz w:val="28"/>
          <w:szCs w:val="28"/>
          <w:lang w:bidi="ar-SA"/>
        </w:rPr>
        <w:t>38,3</w:t>
      </w:r>
      <w:r>
        <w:rPr>
          <w:rFonts w:ascii="Times New Roman" w:hAnsi="Times New Roman" w:cs="Times New Roman"/>
          <w:sz w:val="28"/>
          <w:szCs w:val="28"/>
          <w:lang w:bidi="ar-SA"/>
        </w:rPr>
        <w:sym w:font="Symbol" w:char="F0B1"/>
      </w:r>
      <w:r w:rsidRPr="007847CD">
        <w:rPr>
          <w:rFonts w:ascii="Times New Roman" w:hAnsi="Times New Roman" w:cs="Times New Roman"/>
          <w:sz w:val="28"/>
          <w:szCs w:val="28"/>
          <w:lang w:bidi="ar-SA"/>
        </w:rPr>
        <w:t xml:space="preserve">6,8 </w:t>
      </w:r>
      <w:r>
        <w:rPr>
          <w:rFonts w:ascii="Times New Roman" w:hAnsi="Times New Roman" w:cs="Times New Roman"/>
          <w:sz w:val="28"/>
          <w:szCs w:val="28"/>
          <w:lang w:bidi="ar-SA"/>
        </w:rPr>
        <w:t xml:space="preserve">и </w:t>
      </w:r>
      <w:r w:rsidRPr="007847CD">
        <w:rPr>
          <w:rFonts w:ascii="Times New Roman" w:hAnsi="Times New Roman" w:cs="Times New Roman"/>
          <w:sz w:val="28"/>
          <w:szCs w:val="28"/>
          <w:lang w:bidi="ar-SA"/>
        </w:rPr>
        <w:t>37,5</w:t>
      </w:r>
      <w:r>
        <w:rPr>
          <w:rFonts w:ascii="Times New Roman" w:hAnsi="Times New Roman" w:cs="Times New Roman"/>
          <w:sz w:val="28"/>
          <w:szCs w:val="28"/>
          <w:lang w:bidi="ar-SA"/>
        </w:rPr>
        <w:sym w:font="Symbol" w:char="F0B1"/>
      </w:r>
      <w:r w:rsidRPr="007847CD">
        <w:rPr>
          <w:rFonts w:ascii="Times New Roman" w:hAnsi="Times New Roman" w:cs="Times New Roman"/>
          <w:sz w:val="28"/>
          <w:szCs w:val="28"/>
          <w:lang w:bidi="ar-SA"/>
        </w:rPr>
        <w:t>9,5</w:t>
      </w:r>
      <w:r>
        <w:rPr>
          <w:rFonts w:ascii="Times New Roman" w:hAnsi="Times New Roman" w:cs="Times New Roman"/>
          <w:sz w:val="28"/>
          <w:szCs w:val="28"/>
          <w:lang w:bidi="ar-SA"/>
        </w:rPr>
        <w:t xml:space="preserve"> сек.</w:t>
      </w:r>
    </w:p>
    <w:p w14:paraId="5B0DF141" w14:textId="77777777" w:rsidR="004E5901" w:rsidRPr="00926EC0" w:rsidRDefault="007847CD" w:rsidP="007847CD">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Протромбиновое время (ПВ) не показало значимых различий для всех </w:t>
      </w:r>
      <w:r>
        <w:rPr>
          <w:rFonts w:ascii="Times New Roman" w:hAnsi="Times New Roman" w:cs="Times New Roman"/>
          <w:sz w:val="28"/>
          <w:szCs w:val="28"/>
          <w:lang w:val="en-US" w:bidi="ar-SA"/>
        </w:rPr>
        <w:t>SNP</w:t>
      </w:r>
      <w:r>
        <w:rPr>
          <w:rFonts w:ascii="Times New Roman" w:hAnsi="Times New Roman" w:cs="Times New Roman"/>
          <w:sz w:val="28"/>
          <w:szCs w:val="28"/>
          <w:lang w:bidi="ar-SA"/>
        </w:rPr>
        <w:t xml:space="preserve"> АВСВ1 (р</w:t>
      </w:r>
      <w:r w:rsidRPr="007847CD">
        <w:rPr>
          <w:rFonts w:ascii="Times New Roman" w:hAnsi="Times New Roman" w:cs="Times New Roman"/>
          <w:sz w:val="28"/>
          <w:szCs w:val="28"/>
          <w:lang w:bidi="ar-SA"/>
        </w:rPr>
        <w:t>&gt;0,05</w:t>
      </w:r>
      <w:r>
        <w:rPr>
          <w:rFonts w:ascii="Times New Roman" w:hAnsi="Times New Roman" w:cs="Times New Roman"/>
          <w:sz w:val="28"/>
          <w:szCs w:val="28"/>
          <w:lang w:bidi="ar-SA"/>
        </w:rPr>
        <w:t xml:space="preserve">), что может свидетельствовать о специфичности влияния гена на внутренний путь коагуляции. Для полиморфизмов </w:t>
      </w:r>
      <w:r>
        <w:rPr>
          <w:rFonts w:ascii="Times New Roman" w:hAnsi="Times New Roman" w:cs="Times New Roman"/>
          <w:sz w:val="28"/>
          <w:szCs w:val="28"/>
          <w:lang w:val="en-US" w:bidi="ar-SA"/>
        </w:rPr>
        <w:t>rs</w:t>
      </w:r>
      <w:r w:rsidRPr="007847CD">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rs</w:t>
      </w:r>
      <w:r w:rsidRPr="007847CD">
        <w:rPr>
          <w:rFonts w:ascii="Times New Roman" w:hAnsi="Times New Roman" w:cs="Times New Roman"/>
          <w:sz w:val="28"/>
          <w:szCs w:val="28"/>
          <w:lang w:bidi="ar-SA"/>
        </w:rPr>
        <w:t>2244613 (</w:t>
      </w:r>
      <w:r>
        <w:rPr>
          <w:rFonts w:ascii="Times New Roman" w:hAnsi="Times New Roman" w:cs="Times New Roman"/>
          <w:sz w:val="28"/>
          <w:szCs w:val="28"/>
          <w:lang w:val="en-US" w:bidi="ar-SA"/>
        </w:rPr>
        <w:t>CES</w:t>
      </w:r>
      <w:r w:rsidRPr="007847CD">
        <w:rPr>
          <w:rFonts w:ascii="Times New Roman" w:hAnsi="Times New Roman" w:cs="Times New Roman"/>
          <w:sz w:val="28"/>
          <w:szCs w:val="28"/>
          <w:lang w:bidi="ar-SA"/>
        </w:rPr>
        <w:t>1)</w:t>
      </w:r>
      <w:r>
        <w:rPr>
          <w:rFonts w:ascii="Times New Roman" w:hAnsi="Times New Roman" w:cs="Times New Roman"/>
          <w:sz w:val="28"/>
          <w:szCs w:val="28"/>
          <w:lang w:bidi="ar-SA"/>
        </w:rPr>
        <w:t xml:space="preserve"> не выявлено статистически значимых различий ни по АЧТВ, ни по ПВ (р</w:t>
      </w:r>
      <w:r w:rsidRPr="007847CD">
        <w:rPr>
          <w:rFonts w:ascii="Times New Roman" w:hAnsi="Times New Roman" w:cs="Times New Roman"/>
          <w:sz w:val="28"/>
          <w:szCs w:val="28"/>
          <w:lang w:bidi="ar-SA"/>
        </w:rPr>
        <w:t>&gt;0,05</w:t>
      </w:r>
      <w:r>
        <w:rPr>
          <w:rFonts w:ascii="Times New Roman" w:hAnsi="Times New Roman" w:cs="Times New Roman"/>
          <w:sz w:val="28"/>
          <w:szCs w:val="28"/>
          <w:lang w:bidi="ar-SA"/>
        </w:rPr>
        <w:t>)</w:t>
      </w:r>
      <w:r w:rsidRPr="007847CD">
        <w:rPr>
          <w:rFonts w:ascii="Times New Roman" w:hAnsi="Times New Roman" w:cs="Times New Roman"/>
          <w:sz w:val="28"/>
          <w:szCs w:val="28"/>
          <w:lang w:bidi="ar-SA"/>
        </w:rPr>
        <w:t xml:space="preserve">. </w:t>
      </w:r>
    </w:p>
    <w:p w14:paraId="68A15983" w14:textId="77777777" w:rsidR="004E5901" w:rsidRPr="00EE4DC9" w:rsidRDefault="004E5901" w:rsidP="007847CD">
      <w:pPr>
        <w:pStyle w:val="LO-normal"/>
        <w:spacing w:after="0" w:line="240" w:lineRule="auto"/>
        <w:ind w:firstLine="567"/>
        <w:jc w:val="both"/>
        <w:rPr>
          <w:rFonts w:ascii="Times New Roman" w:hAnsi="Times New Roman" w:cs="Times New Roman"/>
          <w:sz w:val="28"/>
          <w:szCs w:val="28"/>
          <w:lang w:bidi="ar-SA"/>
        </w:rPr>
      </w:pPr>
    </w:p>
    <w:p w14:paraId="4FCAEFC4" w14:textId="77777777" w:rsidR="00A6651D" w:rsidRPr="00EE4DC9" w:rsidRDefault="00A6651D" w:rsidP="007847CD">
      <w:pPr>
        <w:pStyle w:val="LO-normal"/>
        <w:spacing w:after="0" w:line="240" w:lineRule="auto"/>
        <w:ind w:firstLine="567"/>
        <w:jc w:val="both"/>
        <w:rPr>
          <w:rFonts w:ascii="Times New Roman" w:hAnsi="Times New Roman" w:cs="Times New Roman"/>
          <w:sz w:val="28"/>
          <w:szCs w:val="28"/>
          <w:lang w:bidi="ar-SA"/>
        </w:rPr>
      </w:pPr>
    </w:p>
    <w:p w14:paraId="6A3696CB" w14:textId="77777777" w:rsidR="004E5901" w:rsidRPr="00A6651D" w:rsidRDefault="004E5901" w:rsidP="004E5901">
      <w:pPr>
        <w:pStyle w:val="LO-normal"/>
        <w:spacing w:after="0" w:line="240" w:lineRule="auto"/>
        <w:ind w:firstLine="567"/>
        <w:jc w:val="both"/>
        <w:rPr>
          <w:rFonts w:ascii="Times New Roman" w:hAnsi="Times New Roman" w:cs="Times New Roman"/>
          <w:b/>
          <w:bCs/>
          <w:sz w:val="28"/>
          <w:szCs w:val="28"/>
          <w:lang w:val="kk-KZ" w:bidi="ar-SA"/>
        </w:rPr>
      </w:pPr>
      <w:r w:rsidRPr="00A6651D">
        <w:rPr>
          <w:rFonts w:ascii="Times New Roman" w:hAnsi="Times New Roman" w:cs="Times New Roman"/>
          <w:b/>
          <w:bCs/>
          <w:sz w:val="28"/>
          <w:szCs w:val="28"/>
          <w:lang w:bidi="ar-SA"/>
        </w:rPr>
        <w:t>3.3.4. Результаты множественного регрессионного анализа влияния факторов на пиковую и минимальную концентрацию дабигатрана.</w:t>
      </w:r>
    </w:p>
    <w:p w14:paraId="44F5D26B" w14:textId="1B5A7A2D" w:rsidR="004E5901" w:rsidRDefault="004E5901"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val="kk-KZ" w:bidi="ar-SA"/>
        </w:rPr>
        <w:t xml:space="preserve">В </w:t>
      </w:r>
      <w:r>
        <w:rPr>
          <w:rFonts w:ascii="Times New Roman" w:hAnsi="Times New Roman" w:cs="Times New Roman"/>
          <w:sz w:val="28"/>
          <w:szCs w:val="28"/>
          <w:lang w:bidi="ar-SA"/>
        </w:rPr>
        <w:t xml:space="preserve">модели </w:t>
      </w:r>
      <w:r w:rsidR="00A6651D">
        <w:rPr>
          <w:rFonts w:ascii="Times New Roman" w:hAnsi="Times New Roman" w:cs="Times New Roman"/>
          <w:sz w:val="28"/>
          <w:szCs w:val="28"/>
          <w:lang w:bidi="ar-SA"/>
        </w:rPr>
        <w:t>л</w:t>
      </w:r>
      <w:r w:rsidRPr="004E5901">
        <w:rPr>
          <w:rFonts w:ascii="Times New Roman" w:hAnsi="Times New Roman" w:cs="Times New Roman"/>
          <w:sz w:val="28"/>
          <w:szCs w:val="28"/>
          <w:lang w:bidi="ar-SA"/>
        </w:rPr>
        <w:t>инейной регрессии мы включили пол</w:t>
      </w:r>
      <w:r>
        <w:rPr>
          <w:rFonts w:ascii="Times New Roman" w:hAnsi="Times New Roman" w:cs="Times New Roman"/>
          <w:sz w:val="28"/>
          <w:szCs w:val="28"/>
          <w:lang w:bidi="ar-SA"/>
        </w:rPr>
        <w:t xml:space="preserve">, </w:t>
      </w:r>
      <w:r w:rsidRPr="004E5901">
        <w:rPr>
          <w:rFonts w:ascii="Times New Roman" w:hAnsi="Times New Roman" w:cs="Times New Roman"/>
          <w:sz w:val="28"/>
          <w:szCs w:val="28"/>
          <w:lang w:bidi="ar-SA"/>
        </w:rPr>
        <w:t>возраст</w:t>
      </w:r>
      <w:r>
        <w:rPr>
          <w:rFonts w:ascii="Times New Roman" w:hAnsi="Times New Roman" w:cs="Times New Roman"/>
          <w:sz w:val="28"/>
          <w:szCs w:val="28"/>
          <w:lang w:bidi="ar-SA"/>
        </w:rPr>
        <w:t xml:space="preserve">, ИМТ, </w:t>
      </w:r>
      <w:r w:rsidRPr="004E5901">
        <w:rPr>
          <w:rFonts w:ascii="Times New Roman" w:hAnsi="Times New Roman" w:cs="Times New Roman"/>
          <w:sz w:val="28"/>
          <w:szCs w:val="28"/>
          <w:lang w:bidi="ar-SA"/>
        </w:rPr>
        <w:t>все</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SNP</w:t>
      </w:r>
      <w:r w:rsidRPr="004E5901">
        <w:rPr>
          <w:rFonts w:ascii="Times New Roman" w:hAnsi="Times New Roman" w:cs="Times New Roman"/>
          <w:sz w:val="28"/>
          <w:szCs w:val="28"/>
          <w:lang w:bidi="ar-SA"/>
        </w:rPr>
        <w:t xml:space="preserve"> в качестве факторов</w:t>
      </w:r>
      <w:r>
        <w:rPr>
          <w:rFonts w:ascii="Times New Roman" w:hAnsi="Times New Roman" w:cs="Times New Roman"/>
          <w:sz w:val="28"/>
          <w:szCs w:val="28"/>
          <w:lang w:bidi="ar-SA"/>
        </w:rPr>
        <w:t xml:space="preserve">, </w:t>
      </w:r>
      <w:r w:rsidRPr="004E5901">
        <w:rPr>
          <w:rFonts w:ascii="Times New Roman" w:hAnsi="Times New Roman" w:cs="Times New Roman"/>
          <w:sz w:val="28"/>
          <w:szCs w:val="28"/>
          <w:lang w:bidi="ar-SA"/>
        </w:rPr>
        <w:t>влияющих на фармакокинетику</w:t>
      </w:r>
      <w:r>
        <w:rPr>
          <w:rFonts w:ascii="Times New Roman" w:hAnsi="Times New Roman" w:cs="Times New Roman"/>
          <w:sz w:val="28"/>
          <w:szCs w:val="28"/>
          <w:lang w:bidi="ar-SA"/>
        </w:rPr>
        <w:t xml:space="preserve"> дабигатрана (</w:t>
      </w:r>
      <w:r w:rsidRPr="00A6651D">
        <w:rPr>
          <w:rFonts w:ascii="Times New Roman" w:hAnsi="Times New Roman" w:cs="Times New Roman"/>
          <w:color w:val="000000" w:themeColor="text1"/>
          <w:sz w:val="28"/>
          <w:szCs w:val="28"/>
          <w:lang w:bidi="ar-SA"/>
        </w:rPr>
        <w:t xml:space="preserve">таблица </w:t>
      </w:r>
      <w:r w:rsidR="00A6651D" w:rsidRPr="00A6651D">
        <w:rPr>
          <w:rFonts w:ascii="Times New Roman" w:hAnsi="Times New Roman" w:cs="Times New Roman"/>
          <w:color w:val="000000" w:themeColor="text1"/>
          <w:sz w:val="28"/>
          <w:szCs w:val="28"/>
          <w:lang w:bidi="ar-SA"/>
        </w:rPr>
        <w:t>8</w:t>
      </w:r>
      <w:r>
        <w:rPr>
          <w:rFonts w:ascii="Times New Roman" w:hAnsi="Times New Roman" w:cs="Times New Roman"/>
          <w:sz w:val="28"/>
          <w:szCs w:val="28"/>
          <w:lang w:bidi="ar-SA"/>
        </w:rPr>
        <w:t xml:space="preserve">). </w:t>
      </w:r>
    </w:p>
    <w:p w14:paraId="53F445D4" w14:textId="7F21C7C7" w:rsidR="004E5901" w:rsidRPr="00926EC0" w:rsidRDefault="004E5901" w:rsidP="00A6651D">
      <w:pPr>
        <w:pStyle w:val="LO-normal"/>
        <w:spacing w:after="0" w:line="240" w:lineRule="auto"/>
        <w:ind w:firstLine="567"/>
        <w:jc w:val="both"/>
        <w:rPr>
          <w:rFonts w:ascii="Times New Roman" w:hAnsi="Times New Roman" w:cs="Times New Roman"/>
          <w:sz w:val="28"/>
          <w:szCs w:val="28"/>
          <w:lang w:bidi="ar-SA"/>
        </w:rPr>
      </w:pPr>
      <w:r w:rsidRPr="004E5901">
        <w:rPr>
          <w:rFonts w:ascii="Times New Roman" w:hAnsi="Times New Roman" w:cs="Times New Roman"/>
          <w:sz w:val="28"/>
          <w:szCs w:val="28"/>
          <w:lang w:bidi="ar-SA"/>
        </w:rPr>
        <w:t>Результаты множественного линейного регрессионного анализа выявили значимые ассоциации между генетическими полиморфизмами</w:t>
      </w:r>
      <w:r>
        <w:rPr>
          <w:rFonts w:ascii="Times New Roman" w:hAnsi="Times New Roman" w:cs="Times New Roman"/>
          <w:sz w:val="28"/>
          <w:szCs w:val="28"/>
          <w:lang w:bidi="ar-SA"/>
        </w:rPr>
        <w:t xml:space="preserve">, </w:t>
      </w:r>
      <w:r w:rsidRPr="004E5901">
        <w:rPr>
          <w:rFonts w:ascii="Times New Roman" w:hAnsi="Times New Roman" w:cs="Times New Roman"/>
          <w:sz w:val="28"/>
          <w:szCs w:val="28"/>
          <w:lang w:bidi="ar-SA"/>
        </w:rPr>
        <w:t>клиник</w:t>
      </w:r>
      <w:r>
        <w:rPr>
          <w:rFonts w:ascii="Times New Roman" w:hAnsi="Times New Roman" w:cs="Times New Roman"/>
          <w:sz w:val="28"/>
          <w:szCs w:val="28"/>
          <w:lang w:bidi="ar-SA"/>
        </w:rPr>
        <w:t>о-</w:t>
      </w:r>
      <w:r w:rsidRPr="004E5901">
        <w:rPr>
          <w:rFonts w:ascii="Times New Roman" w:hAnsi="Times New Roman" w:cs="Times New Roman"/>
          <w:sz w:val="28"/>
          <w:szCs w:val="28"/>
          <w:lang w:bidi="ar-SA"/>
        </w:rPr>
        <w:t>лабораторными параметрами и пиков</w:t>
      </w:r>
      <w:r>
        <w:rPr>
          <w:rFonts w:ascii="Times New Roman" w:hAnsi="Times New Roman" w:cs="Times New Roman"/>
          <w:sz w:val="28"/>
          <w:szCs w:val="28"/>
          <w:lang w:bidi="ar-SA"/>
        </w:rPr>
        <w:t>о</w:t>
      </w:r>
      <w:r w:rsidRPr="004E5901">
        <w:rPr>
          <w:rFonts w:ascii="Times New Roman" w:hAnsi="Times New Roman" w:cs="Times New Roman"/>
          <w:sz w:val="28"/>
          <w:szCs w:val="28"/>
          <w:lang w:bidi="ar-SA"/>
        </w:rPr>
        <w:t>й концентрацией</w:t>
      </w:r>
      <w:r w:rsidR="007847CD">
        <w:rPr>
          <w:rFonts w:ascii="Times New Roman" w:hAnsi="Times New Roman" w:cs="Times New Roman"/>
          <w:sz w:val="28"/>
          <w:szCs w:val="28"/>
          <w:lang w:bidi="ar-SA"/>
        </w:rPr>
        <w:tab/>
      </w:r>
      <w:r w:rsidR="00A6651D">
        <w:rPr>
          <w:rFonts w:ascii="Times New Roman" w:hAnsi="Times New Roman" w:cs="Times New Roman"/>
          <w:sz w:val="28"/>
          <w:szCs w:val="28"/>
          <w:lang w:bidi="ar-SA"/>
        </w:rPr>
        <w:t xml:space="preserve"> </w:t>
      </w:r>
      <w:r>
        <w:rPr>
          <w:rFonts w:ascii="Times New Roman" w:hAnsi="Times New Roman" w:cs="Times New Roman"/>
          <w:sz w:val="28"/>
          <w:szCs w:val="28"/>
          <w:lang w:bidi="ar-SA"/>
        </w:rPr>
        <w:t>дабигатрана.</w:t>
      </w:r>
      <w:r w:rsidR="00A6651D">
        <w:rPr>
          <w:rFonts w:ascii="Times New Roman" w:hAnsi="Times New Roman" w:cs="Times New Roman"/>
          <w:sz w:val="28"/>
          <w:szCs w:val="28"/>
          <w:lang w:bidi="ar-SA"/>
        </w:rPr>
        <w:t xml:space="preserve"> </w:t>
      </w:r>
      <w:r w:rsidRPr="004E5901">
        <w:rPr>
          <w:rFonts w:ascii="Times New Roman" w:hAnsi="Times New Roman" w:cs="Times New Roman"/>
          <w:sz w:val="28"/>
          <w:szCs w:val="28"/>
          <w:lang w:bidi="ar-SA"/>
        </w:rPr>
        <w:t>Полиморфизм</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4E5901">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8192935 (</w:t>
      </w:r>
      <w:r>
        <w:rPr>
          <w:rFonts w:ascii="Times New Roman" w:hAnsi="Times New Roman" w:cs="Times New Roman"/>
          <w:sz w:val="28"/>
          <w:szCs w:val="28"/>
          <w:lang w:val="en-US" w:bidi="ar-SA"/>
        </w:rPr>
        <w:t>A</w:t>
      </w:r>
      <w:r w:rsidRPr="004E5901">
        <w:rPr>
          <w:rFonts w:ascii="Times New Roman" w:hAnsi="Times New Roman" w:cs="Times New Roman"/>
          <w:sz w:val="28"/>
          <w:szCs w:val="28"/>
          <w:lang w:bidi="ar-SA"/>
        </w:rPr>
        <w:t>&gt;</w:t>
      </w:r>
      <w:r>
        <w:rPr>
          <w:rFonts w:ascii="Times New Roman" w:hAnsi="Times New Roman" w:cs="Times New Roman"/>
          <w:sz w:val="28"/>
          <w:szCs w:val="28"/>
          <w:lang w:val="en-US" w:bidi="ar-SA"/>
        </w:rPr>
        <w:t>G</w:t>
      </w:r>
      <w:r w:rsidRPr="004E5901">
        <w:rPr>
          <w:rFonts w:ascii="Times New Roman" w:hAnsi="Times New Roman" w:cs="Times New Roman"/>
          <w:sz w:val="28"/>
          <w:szCs w:val="28"/>
          <w:lang w:bidi="ar-SA"/>
        </w:rPr>
        <w:t>): наличие</w:t>
      </w:r>
      <w:r>
        <w:rPr>
          <w:rFonts w:ascii="Times New Roman" w:hAnsi="Times New Roman" w:cs="Times New Roman"/>
          <w:sz w:val="28"/>
          <w:szCs w:val="28"/>
          <w:lang w:bidi="ar-SA"/>
        </w:rPr>
        <w:t xml:space="preserve"> </w:t>
      </w:r>
      <w:r w:rsidRPr="004E5901">
        <w:rPr>
          <w:rFonts w:ascii="Times New Roman" w:hAnsi="Times New Roman" w:cs="Times New Roman"/>
          <w:sz w:val="28"/>
          <w:szCs w:val="28"/>
          <w:lang w:bidi="ar-SA"/>
        </w:rPr>
        <w:t>аллел</w:t>
      </w:r>
      <w:r>
        <w:rPr>
          <w:rFonts w:ascii="Times New Roman" w:hAnsi="Times New Roman" w:cs="Times New Roman"/>
          <w:sz w:val="28"/>
          <w:szCs w:val="28"/>
          <w:lang w:bidi="ar-SA"/>
        </w:rPr>
        <w:t xml:space="preserve">я </w:t>
      </w:r>
      <w:r>
        <w:rPr>
          <w:rFonts w:ascii="Times New Roman" w:hAnsi="Times New Roman" w:cs="Times New Roman"/>
          <w:sz w:val="28"/>
          <w:szCs w:val="28"/>
          <w:lang w:val="en-US" w:bidi="ar-SA"/>
        </w:rPr>
        <w:t>G</w:t>
      </w:r>
      <w:r>
        <w:rPr>
          <w:rFonts w:ascii="Times New Roman" w:hAnsi="Times New Roman" w:cs="Times New Roman"/>
          <w:sz w:val="28"/>
          <w:szCs w:val="28"/>
          <w:lang w:bidi="ar-SA"/>
        </w:rPr>
        <w:t xml:space="preserve"> </w:t>
      </w:r>
      <w:r w:rsidRPr="004E5901">
        <w:rPr>
          <w:rFonts w:ascii="Times New Roman" w:hAnsi="Times New Roman" w:cs="Times New Roman"/>
          <w:sz w:val="28"/>
          <w:szCs w:val="28"/>
          <w:lang w:bidi="ar-SA"/>
        </w:rPr>
        <w:t xml:space="preserve">ассоциировано с увеличением концентрации </w:t>
      </w:r>
      <w:r>
        <w:rPr>
          <w:rFonts w:ascii="Times New Roman" w:hAnsi="Times New Roman" w:cs="Times New Roman"/>
          <w:sz w:val="28"/>
          <w:szCs w:val="28"/>
          <w:lang w:bidi="ar-SA"/>
        </w:rPr>
        <w:t>дабигатрана (</w:t>
      </w:r>
      <w:r>
        <w:rPr>
          <w:rFonts w:ascii="Times New Roman" w:hAnsi="Times New Roman" w:cs="Times New Roman"/>
          <w:sz w:val="28"/>
          <w:szCs w:val="28"/>
          <w:lang w:bidi="ar-SA"/>
        </w:rPr>
        <w:sym w:font="Symbol" w:char="F062"/>
      </w:r>
      <w:r>
        <w:rPr>
          <w:rFonts w:ascii="Times New Roman" w:hAnsi="Times New Roman" w:cs="Times New Roman"/>
          <w:sz w:val="28"/>
          <w:szCs w:val="28"/>
          <w:lang w:bidi="ar-SA"/>
        </w:rPr>
        <w:t xml:space="preserve">=23,994, р=0,048). Исследование </w:t>
      </w:r>
      <w:r>
        <w:rPr>
          <w:rFonts w:ascii="Times New Roman" w:hAnsi="Times New Roman" w:cs="Times New Roman"/>
          <w:sz w:val="28"/>
          <w:szCs w:val="28"/>
          <w:lang w:val="en-US" w:bidi="ar-SA"/>
        </w:rPr>
        <w:t>Shi</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al</w:t>
      </w:r>
      <w:r w:rsidRPr="004E5901">
        <w:rPr>
          <w:rFonts w:ascii="Times New Roman" w:hAnsi="Times New Roman" w:cs="Times New Roman"/>
          <w:sz w:val="28"/>
          <w:szCs w:val="28"/>
          <w:lang w:bidi="ar-SA"/>
        </w:rPr>
        <w:t>. (2016)</w:t>
      </w:r>
      <w:r>
        <w:rPr>
          <w:rFonts w:ascii="Times New Roman" w:hAnsi="Times New Roman" w:cs="Times New Roman"/>
          <w:sz w:val="28"/>
          <w:szCs w:val="28"/>
          <w:lang w:bidi="ar-SA"/>
        </w:rPr>
        <w:t xml:space="preserve"> подтверждает, что полиморфизмы гена </w:t>
      </w:r>
      <w:r>
        <w:rPr>
          <w:rFonts w:ascii="Times New Roman" w:hAnsi="Times New Roman" w:cs="Times New Roman"/>
          <w:sz w:val="28"/>
          <w:szCs w:val="28"/>
          <w:lang w:val="en-US" w:bidi="ar-SA"/>
        </w:rPr>
        <w:t>CES</w:t>
      </w:r>
      <w:r w:rsidRPr="004E5901">
        <w:rPr>
          <w:rFonts w:ascii="Times New Roman" w:hAnsi="Times New Roman" w:cs="Times New Roman"/>
          <w:sz w:val="28"/>
          <w:szCs w:val="28"/>
          <w:lang w:bidi="ar-SA"/>
        </w:rPr>
        <w:t xml:space="preserve">1 </w:t>
      </w:r>
      <w:r>
        <w:rPr>
          <w:rFonts w:ascii="Times New Roman" w:hAnsi="Times New Roman" w:cs="Times New Roman"/>
          <w:sz w:val="28"/>
          <w:szCs w:val="28"/>
          <w:lang w:bidi="ar-SA"/>
        </w:rPr>
        <w:t>влияют на активность карбоксилэстеразы, участвующей в метаболизме дабигатрана</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{"citationID":"XX1liSgJ","properties":{"unsorted":false,"formattedCitation":"[209]","plainCitation":"[209]","noteIndex":0},"citationItems":[{"id":568,"uris":["http://zotero.org/users/14784094/items/V3FY7AAI"],"itemData":{"id":568,"type":"article-journal","abstract":"The oral anticoagulant prodrug dabigatran etexilate (DABE) is sequentially metabolized by intestinal carboxylesterase 2 (CES2) and hepatic carboxylesterase 1 (CES1) to form its active metabolite dabigatran (DAB). A recent genome-wide association study reported that the CES1 single nucleotide polymorphisms (SNPs) rs2244613 and rs8192935 were associated with lower DAB plasma concentrations in the Randomized Evaluation of Long-term Anticoagulation Therapy (RE-LY) study participants. In addition, gender differences in exposure to DAB were observed in clinical studies. The aim of this study was to examine the effect of CES1 genetic polymorphisms and gender on DABE activation using several in vitro approaches. The genotypes of the CES1 SNPs rs2244613, rs8192935, and the known loss-of-function CES1 variant rs71647871 (G143E), and the activation of DABE and its intermediate metabolites M1 and M2 were determined in 104 normal human liver samples. DABE, M1, and M2 activations were found to be impaired in human livers carrying the G143E variant. However, neither rs2244613 nor rs8192935 was associated with the activation in human livers. The incubation study of DABE with supernatant fractions (S9) prepared from the G143E-transfected cells showed that the G143E is a loss-of-function variant for DABE metabolism. Moreover, hepatic CES1 activity on M2 activation was significantly higher in female liver samples than male. Our data suggest that CES1 genetic variants and gender are important contributing factors to variability in DABE activation in humans. A personalized DABE treatment approach based on patient-specific CES1 genotypes and sex may have the potential to improve the efficacy and safety of DABE pharmacotherapy.,","container-title":"Biochemical pharmacology","DOI":"10.1016/j.bcp.2016.09.003","ISSN":"0006-2952","journalAbbreviation":"Biochem Pharmacol","page":"76-84","PMID":"27614009","PMCID":"PMC5061634","source":"PubMed Central","title":"Dabigatran Etexilate Activation is Affected by the CES1 Genetic Polymorphism G143E (rs71647871) and Gender","volume":"119","author":[{"family":"Shi","given":"Jian"},{"family":"Wang","given":"Xinwen"},{"family":"Nguyen","given":"Jenny"},{"family":"Bleske","given":"Barry E."},{"family":"Liang","given":"Yan"},{"family":"Liu","given":"Li"},{"family":"Zhu","given":"Hao-Jie"}],"issued":{"date-parts":[["2016",11,1]]}}}],"schema":"https://github.com/citation-style-language/schema/raw/master/csl-citation.json"}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[209]</w:t>
      </w:r>
      <w:r>
        <w:rPr>
          <w:rFonts w:ascii="Times New Roman" w:hAnsi="Times New Roman" w:cs="Times New Roman"/>
          <w:sz w:val="28"/>
          <w:szCs w:val="28"/>
          <w:lang w:bidi="ar-SA"/>
        </w:rPr>
        <w:fldChar w:fldCharType="end"/>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Увеличение АЧТВ связано с ростом концентрации дабигатрана (</w:t>
      </w:r>
      <w:r>
        <w:rPr>
          <w:rFonts w:ascii="Times New Roman" w:hAnsi="Times New Roman" w:cs="Times New Roman"/>
          <w:sz w:val="28"/>
          <w:szCs w:val="28"/>
          <w:lang w:bidi="ar-SA"/>
        </w:rPr>
        <w:sym w:font="Symbol" w:char="F062"/>
      </w:r>
      <w:r>
        <w:rPr>
          <w:rFonts w:ascii="Times New Roman" w:hAnsi="Times New Roman" w:cs="Times New Roman"/>
          <w:sz w:val="28"/>
          <w:szCs w:val="28"/>
          <w:lang w:bidi="ar-SA"/>
        </w:rPr>
        <w:t xml:space="preserve">=2,553, р=0,009). По данным </w:t>
      </w:r>
      <w:r>
        <w:rPr>
          <w:rFonts w:ascii="Times New Roman" w:hAnsi="Times New Roman" w:cs="Times New Roman"/>
          <w:sz w:val="28"/>
          <w:szCs w:val="28"/>
          <w:lang w:val="en-US" w:bidi="ar-SA"/>
        </w:rPr>
        <w:t>Reilly</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al</w:t>
      </w:r>
      <w:r w:rsidRPr="004E5901">
        <w:rPr>
          <w:rFonts w:ascii="Times New Roman" w:hAnsi="Times New Roman" w:cs="Times New Roman"/>
          <w:sz w:val="28"/>
          <w:szCs w:val="28"/>
          <w:lang w:bidi="ar-SA"/>
        </w:rPr>
        <w:t>.</w:t>
      </w:r>
      <w:r>
        <w:rPr>
          <w:rFonts w:ascii="Times New Roman" w:hAnsi="Times New Roman" w:cs="Times New Roman"/>
          <w:sz w:val="28"/>
          <w:szCs w:val="28"/>
          <w:lang w:bidi="ar-SA"/>
        </w:rPr>
        <w:t>, АЧТВ является маркером антикоагулянтного эффекта дабигатрана, что согласуется с выявленной зависимостью</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{"citationID":"w8mYfho6","properties":{"unsorted":false,"formattedCitation":"[250]","plainCitation":"[250]","noteIndex":0},"citationItems":[{"id":44,"uris":["http://zotero.org/users/14784094/items/EXBR7VMP"],"itemData":{"id":44,"type":"article-journal","abstract":"OBJECTIVES: The goal of this study was to analyze the impact of dabigatran plasma concentrations, patient demographics, and aspirin (ASA) use on frequencies of ischemic strokes/systemic emboli and major bleeds in atrial fibrillation patients.\nBACKGROUND: The efficacy and safety of dabigatran etexilate were demonstrated in the RE-LY (Randomized Evaluation of Long-Term Anticoagulation Therapy) trial, but a therapeutic concentration range has not been defined.\nMETHODS: In a pre-specified analysis of RE-LY, plasma concentrations of dabigatran were determined in patients treated with dabigatran etexilate 110 mg twice daily (bid) or 150 mg bid and correlated with the clinical outcomes of ischemic stroke/systemic embolism and major bleeding using univariate and multivariate logistic regression and Cox regression models. Patient demographics and ASA use were assessed descriptively and as covariates.\nRESULTS: Plasma concentrations were obtained from 9,183 patients, with 112 ischemic strokes/systemic emboli (1.3%) and 323 major bleeds (3.8%) recorded. Dabigatran levels were dependent on renal function, age, weight, and female sex, but not ethnicity, geographic region, ASA use, or clopidogrel use. A multiple logistic regression model (c-statistic 0.657, 95% confidence interval [CI]: 0.61 to 0.71) showed that the risk of ischemic events was inversely related to trough dabigatran concentrations (p = 0.045), with age and previous stroke (both p &lt; 0.0001) as significant covariates. Multiple logistic regression (c-statistic 0.715, 95% CI: 0.69 to 0.74) showed major bleeding risk increased with dabigatran exposure (p &lt; 0.0001), age (p &lt; 0.0001), ASA use (p &lt; 0.0003), and diabetes (p = 0.018) as significant covariates.\nCONCLUSIONS: Ischemic stroke and bleeding outcomes were correlated with dabigatran plasma concentrations. Age was the most important covariate. Individual benefit-risk might be improved by tailoring dabigatran dose after considering selected patient characteristics. (Randomized Evaluation of Long Term Anticoagulant Therapy [RE-LY] With Dabigatran Etexilate; NCT00262600).","container-title":"Journal of the American College of Cardiology","DOI":"10.1016/j.jacc.2013.07.104","ISSN":"1558-3597","issue":"4","journalAbbreviation":"J Am Coll Cardiol","language":"eng","page":"321-328","PMID":"24076487","source":"PubMed","title":"The effect of dabigatran plasma concentrations and patient characteristics on the frequency of ischemic stroke and major bleeding in atrial fibrillation patients: the RE-LY Trial (Randomized Evaluation of Long-Term Anticoagulation Therapy)","title-short":"The effect of dabigatran plasma concentrations and patient characteristics on the frequency of ischemic stroke and major bleeding in atrial fibrillation patients","volume":"63","author":[{"family":"Reilly","given":"Paul A."},{"family":"Lehr","given":"Thorsten"},{"family":"Haertter","given":"Sebastian"},{"family":"Connolly","given":"Stuart J."},{"family":"Yusuf","given":"Salim"},{"family":"Eikelboom","given":"John W."},{"family":"Ezekowitz","given":"Michael D."},{"family":"Nehmiz","given":"Gerhard"},{"family":"Wang","given":"Susan"},{"family":"Wallentin","given":"Lars"},{"literal":"RE-LY Investigators"}],"issued":{"date-parts":[["2014",2,4]]}}}],"schema":"https://github.com/citation-style-language/schema/raw/master/csl-citation.json"}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[250]</w:t>
      </w:r>
      <w:r>
        <w:rPr>
          <w:rFonts w:ascii="Times New Roman" w:hAnsi="Times New Roman" w:cs="Times New Roman"/>
          <w:sz w:val="28"/>
          <w:szCs w:val="28"/>
          <w:lang w:bidi="ar-SA"/>
        </w:rPr>
        <w:fldChar w:fldCharType="end"/>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Полиморфизмы </w:t>
      </w:r>
      <w:r>
        <w:rPr>
          <w:rFonts w:ascii="Times New Roman" w:hAnsi="Times New Roman" w:cs="Times New Roman"/>
          <w:sz w:val="28"/>
          <w:szCs w:val="28"/>
          <w:lang w:val="en-US" w:bidi="ar-SA"/>
        </w:rPr>
        <w:t>ABCB</w:t>
      </w:r>
      <w:r w:rsidRPr="004E5901">
        <w:rPr>
          <w:rFonts w:ascii="Times New Roman" w:hAnsi="Times New Roman" w:cs="Times New Roman"/>
          <w:sz w:val="28"/>
          <w:szCs w:val="28"/>
          <w:lang w:bidi="ar-SA"/>
        </w:rPr>
        <w:t>1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1128503,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2032582) </w:t>
      </w:r>
      <w:r>
        <w:rPr>
          <w:rFonts w:ascii="Times New Roman" w:hAnsi="Times New Roman" w:cs="Times New Roman"/>
          <w:sz w:val="28"/>
          <w:szCs w:val="28"/>
          <w:lang w:bidi="ar-SA"/>
        </w:rPr>
        <w:t>не показали значимого влияния (р</w:t>
      </w:r>
      <w:r w:rsidRPr="004E5901">
        <w:rPr>
          <w:rFonts w:ascii="Times New Roman" w:hAnsi="Times New Roman" w:cs="Times New Roman"/>
          <w:sz w:val="28"/>
          <w:szCs w:val="28"/>
          <w:lang w:bidi="ar-SA"/>
        </w:rPr>
        <w:t>&lt;0,05</w:t>
      </w:r>
      <w:r>
        <w:rPr>
          <w:rFonts w:ascii="Times New Roman" w:hAnsi="Times New Roman" w:cs="Times New Roman"/>
          <w:sz w:val="28"/>
          <w:szCs w:val="28"/>
          <w:lang w:bidi="ar-SA"/>
        </w:rPr>
        <w: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ИМТ имеет пограничную значимость (</w:t>
      </w:r>
      <w:r>
        <w:rPr>
          <w:rFonts w:ascii="Times New Roman" w:hAnsi="Times New Roman" w:cs="Times New Roman"/>
          <w:sz w:val="28"/>
          <w:szCs w:val="28"/>
          <w:lang w:bidi="ar-SA"/>
        </w:rPr>
        <w:sym w:font="Symbol" w:char="F062"/>
      </w:r>
      <w:r>
        <w:rPr>
          <w:rFonts w:ascii="Times New Roman" w:hAnsi="Times New Roman" w:cs="Times New Roman"/>
          <w:sz w:val="28"/>
          <w:szCs w:val="28"/>
          <w:lang w:bidi="ar-SA"/>
        </w:rPr>
        <w:t xml:space="preserve">=-3,234, р=0,06), наблюдается тенденция к снижению концентрации при увеличении ИМТ. В мета-анализе </w:t>
      </w:r>
      <w:r>
        <w:rPr>
          <w:rFonts w:ascii="Times New Roman" w:hAnsi="Times New Roman" w:cs="Times New Roman"/>
          <w:sz w:val="28"/>
          <w:szCs w:val="28"/>
          <w:lang w:val="en-US" w:bidi="ar-SA"/>
        </w:rPr>
        <w:t>Boonyawat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al</w:t>
      </w:r>
      <w:r w:rsidRPr="004E5901">
        <w:rPr>
          <w:rFonts w:ascii="Times New Roman" w:hAnsi="Times New Roman" w:cs="Times New Roman"/>
          <w:sz w:val="28"/>
          <w:szCs w:val="28"/>
          <w:lang w:bidi="ar-SA"/>
        </w:rPr>
        <w:t>.</w:t>
      </w:r>
      <w:r>
        <w:rPr>
          <w:rFonts w:ascii="Times New Roman" w:hAnsi="Times New Roman" w:cs="Times New Roman"/>
          <w:sz w:val="28"/>
          <w:szCs w:val="28"/>
          <w:lang w:bidi="ar-SA"/>
        </w:rPr>
        <w:t xml:space="preserve"> ожирение ассоциировано с изменением объема распределения дабигатрана</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{"citationID":"7zxQXyTL","properties":{"unsorted":false,"formattedCitation":"[251]","plainCitation":"[251]","noteIndex":0},"citationItems":[{"id":17,"uris":["http://zotero.org/users/14784094/items/A9C6BP7T"],"itemData":{"id":17,"type":"article-journal","abstract":"Essentials The association of body weight and patient-important outcomes remains unknown. Phase III randomized controlled trials of direct oral anticoagulants (DOACs) were searched. Risk of outcomes varying among body weight subgroups is not attributable to anticoagulant type. Dose adjustment of DOACs, outside that recommended, is unlikely to improve the outcomes. Click to hear Dr Braunwald's perspective on antithrombotic therapy in cardiovascular disease SUMMARY: Background Concerns have arisen in direct oral anticoagulant (DOAC)-treated patients about safety and efficacy in extremes of body weight. The aims of this systematic review were to investigate the association of body weight and patient-important outcomes in patients treated with DOACs or warfarin, and to demonstrate the fixed-dose effect of DOACs. Methods MEDLINE and EMBASE were searched until November 2016. Phase III randomized controlled trials (RCTs) using DOACs in atrial fibrillation (AF) and acute venous thromboembolism (VTE) were included. Relative risk and 95% confidence interval were calculated. The pooled estimates were performed using a Mantel-Haenszel random effects model. Results A total of 11 phase III RCTs were included. Low body weight was associated with increased risk of thromboembolism compared with non-low body weight (relative risk [RR], 1.57; 95% confidence interval [CI], 1.34-1.85). High body weight was not associated with risk of thromboembolism compared with non-high body weight (RR, 0.88; 95% CI, 0.63-1.23). The subgroup of AF patients with high body weight had a lower risk of thromboembolism compared with non-high body weight (RR, 0.43; 95% CI, 0.28-0.67). Bleeding outcomes were comparable for all body weight comparisons. There were no clear interactions between types of anticoagulant in all outcomes. Conclusion The pooled effect of both the DOAC and comparison arms was likely to be attributable to differences in baseline thrombotic risk in each body weight category, rather than an effect of the type or dose of DOAC used for each indication. Dose adjustment of DOACs, outside that recommended in the package insert, is unlikely to improve safety or efficacy.","container-title":"Journal of thrombosis and haemostasis: JTH","DOI":"10.1111/jth.13701","ISSN":"1538-7836","issue":"7","journalAbbreviation":"J Thromb Haemost","language":"eng","page":"1322-1333","PMID":"28407368","source":"PubMed","title":"Association of body weight with efficacy and safety outcomes in phase III randomized controlled trials of direct oral anticoagulants: a systematic review and meta-analysis","title-short":"Association of body weight with efficacy and safety outcomes in phase III randomized controlled trials of direct oral anticoagulants","volume":"15","author":[{"family":"Boonyawat","given":"K."},{"family":"Caron","given":"F."},{"family":"Li","given":"A."},{"family":"Chai-Adisaksopha","given":"C."},{"family":"Lim","given":"W."},{"family":"Iorio","given":"A."},{"family":"Lopes","given":"R. D."},{"family":"Garcia","given":"D."},{"family":"Crowther","given":"M. A."}],"issued":{"date-parts":[["2017",7]]}}}],"schema":"https://github.com/citation-style-language/schema/raw/master/csl-citation.json"}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[251]</w:t>
      </w:r>
      <w:r>
        <w:rPr>
          <w:rFonts w:ascii="Times New Roman" w:hAnsi="Times New Roman" w:cs="Times New Roman"/>
          <w:sz w:val="28"/>
          <w:szCs w:val="28"/>
          <w:lang w:bidi="ar-SA"/>
        </w:rPr>
        <w:fldChar w:fldCharType="end"/>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Исследование </w:t>
      </w:r>
      <w:r>
        <w:rPr>
          <w:rFonts w:ascii="Times New Roman" w:hAnsi="Times New Roman" w:cs="Times New Roman"/>
          <w:sz w:val="28"/>
          <w:szCs w:val="28"/>
          <w:lang w:val="en-US" w:bidi="ar-SA"/>
        </w:rPr>
        <w:t>RE</w:t>
      </w:r>
      <w:r w:rsidRPr="004E5901">
        <w:rPr>
          <w:rFonts w:ascii="Times New Roman" w:hAnsi="Times New Roman" w:cs="Times New Roman"/>
          <w:sz w:val="28"/>
          <w:szCs w:val="28"/>
          <w:lang w:bidi="ar-SA"/>
        </w:rPr>
        <w:t>-</w:t>
      </w:r>
      <w:r>
        <w:rPr>
          <w:rFonts w:ascii="Times New Roman" w:hAnsi="Times New Roman" w:cs="Times New Roman"/>
          <w:sz w:val="28"/>
          <w:szCs w:val="28"/>
          <w:lang w:val="en-US" w:bidi="ar-SA"/>
        </w:rPr>
        <w:t>LY</w:t>
      </w:r>
      <w:r>
        <w:rPr>
          <w:rFonts w:ascii="Times New Roman" w:hAnsi="Times New Roman" w:cs="Times New Roman"/>
          <w:sz w:val="28"/>
          <w:szCs w:val="28"/>
          <w:lang w:bidi="ar-SA"/>
        </w:rPr>
        <w:t xml:space="preserve"> показало, что возраст, вес, клиренс креатинина и пол пациента являются значимыми факторами, влияющими на уровень концентрации дабигатрана в плазме</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{"citationID":"sLlCIxMj","properties":{"unsorted":false,"formattedCitation":"[59]","plainCitation":"[59]","noteIndex":0},"citationItems":[{"id":665,"uris":["http://zotero.org/users/14784094/items/GQWCRYSU"],"itemData":{"id":665,"type":"article-journal","abstract":"Background Warfarin reduces the risk of stroke in patients with atrial fibrillation but increases the risk of hemorrhage and is difficult to use. Dabigatran is a new oral direct thrombin inhibitor.\nMethods In this noninferiority trial, we randomly assigned 18,113 patients who had atrial fibrillation and a risk of stroke to receive, in a blinded fashion, fixed doses of dabigatran — 110 mg or 150 mg twice daily — or, in an unblinded fashion, adjusted-dose warfarin. The median duration of the follow-up period was 2.0 years. The primary outcome was stroke or systemic embolism.\nResults Rates of the primary outcome were 1.69% per year in the warfarin group, as compared with 1.53% per year in the group that received 110 mg of dabigatran (relative risk with dabigatran, 0.91; 95% confidence interval [CI], 0.74 to 1.11; P&lt;0.001 for noninferiority) and 1.11% per year in the group that received 150 mg of dabigatran (relative risk, 0.66; 95% CI, 0.53 to 0.82; P&lt;0.001 for superiority). The rate of major bleeding was 3.36% per year in the warfarin group, as compared with 2.71% per year in the group receiving 110 mg of dabigatran (P = 0.003) and 3.11% per year in the group receiving 150 mg of dabigatran (P = 0.31). The rate of hemorrhagic stroke was 0.38% per year in the warfarin group, as compared with 0.12% per year with 110 mg of dabigatran (P&lt;0.001) and 0.10% per year with 150 mg of dabigatran (P&lt;0.001). The mortality rate was 4.13% per year in the warfarin group, as compared with 3.75% per year with 110 mg of dabigatran (P = 0.13) and 3.64% per year with 150 mg of dabigatran (P = 0.051).\nConclusions In patients with atrial fibrillation, dabigatran given at a dose of 110 mg was associated with rates of stroke and systemic embolism that were similar to those associated with warfarin, as well as lower rates of major hemorrhage. Dabigatran administered at a dose of 150 mg, as compared with warfarin, was associated with lower rates of stroke and systemic embolism but similar rates of major hemorrhage. (ClinicalTrials.gov number, NCT00262600.)","container-title":"New England Journal of Medicine","DOI":"10.1056/NEJMoa0905561","ISSN":"0028-4793, 1533-4406","issue":"12","journalAbbreviation":"N Engl J Med","language":"en","page":"1139-1151","source":"DOI.org (Crossref)","title":"Dabigatran versus Warfarin in Patients with Atrial Fibrillation","volume":"361","author":[{"family":"Connolly","given":"Stuart J."},{"family":"Ezekowitz","given":"Michael D."},{"family":"Yusuf","given":"Salim"},{"family":"Eikelboom","given":"John"},{"family":"Oldgren","given":"Jonas"},{"family":"Parekh","given":"Amit"},{"family":"Pogue","given":"Janice"},{"family":"Reilly","given":"Paul A."},{"family":"Themeles","given":"Ellison"},{"family":"Varrone","given":"Jeanne"},{"family":"Wang","given":"Susan"},{"family":"Alings","given":"Marco"},{"family":"Xavier","given":"Denis"},{"family":"Zhu","given":"Jun"},{"family":"Diaz","given":"Rafael"},{"family":"Lewis","given":"Basil S."},{"family":"Darius","given":"Harald"},{"family":"Diener","given":"Hans-Christoph"},{"family":"Joyner","given":"Campbell D."},{"family":"Wallentin","given":"Lars"}],"issued":{"date-parts":[["2009",9,17]]}}}],"schema":"https://github.com/citation-style-language/schema/raw/master/csl-citation.json"}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[59]</w:t>
      </w:r>
      <w:r>
        <w:rPr>
          <w:rFonts w:ascii="Times New Roman" w:hAnsi="Times New Roman" w:cs="Times New Roman"/>
          <w:sz w:val="28"/>
          <w:szCs w:val="28"/>
          <w:lang w:bidi="ar-SA"/>
        </w:rPr>
        <w:fldChar w:fldCharType="end"/>
      </w:r>
      <w:r w:rsidRPr="00926EC0">
        <w:rPr>
          <w:rFonts w:ascii="Times New Roman" w:hAnsi="Times New Roman" w:cs="Times New Roman"/>
          <w:sz w:val="28"/>
          <w:szCs w:val="28"/>
          <w:lang w:bidi="ar-SA"/>
        </w:rPr>
        <w:t xml:space="preserve">. </w:t>
      </w:r>
      <w:r>
        <w:rPr>
          <w:rFonts w:ascii="Times New Roman" w:hAnsi="Times New Roman" w:cs="Times New Roman"/>
          <w:sz w:val="28"/>
          <w:szCs w:val="28"/>
          <w:lang w:bidi="ar-SA"/>
        </w:rPr>
        <w:t>Наше исследование также выявило значимость этих факторов (р</w:t>
      </w:r>
      <w:r w:rsidRPr="00926EC0">
        <w:rPr>
          <w:rFonts w:ascii="Times New Roman" w:hAnsi="Times New Roman" w:cs="Times New Roman"/>
          <w:sz w:val="28"/>
          <w:szCs w:val="28"/>
          <w:lang w:bidi="ar-SA"/>
        </w:rPr>
        <w:t>&lt;0,05</w:t>
      </w:r>
      <w:r>
        <w:rPr>
          <w:rFonts w:ascii="Times New Roman" w:hAnsi="Times New Roman" w:cs="Times New Roman"/>
          <w:sz w:val="28"/>
          <w:szCs w:val="28"/>
          <w:lang w:bidi="ar-SA"/>
        </w:rPr>
        <w:t>)</w:t>
      </w:r>
      <w:r w:rsidRPr="00926EC0">
        <w:rPr>
          <w:rFonts w:ascii="Times New Roman" w:hAnsi="Times New Roman" w:cs="Times New Roman"/>
          <w:sz w:val="28"/>
          <w:szCs w:val="28"/>
          <w:lang w:bidi="ar-SA"/>
        </w:rPr>
        <w:t>.</w:t>
      </w:r>
    </w:p>
    <w:p w14:paraId="6171836F" w14:textId="77777777" w:rsidR="00D25285" w:rsidRDefault="00D25285" w:rsidP="004E5901">
      <w:pPr>
        <w:pStyle w:val="LO-normal"/>
        <w:spacing w:after="0" w:line="240" w:lineRule="auto"/>
        <w:ind w:firstLine="567"/>
        <w:jc w:val="both"/>
        <w:rPr>
          <w:rFonts w:ascii="Times New Roman" w:hAnsi="Times New Roman" w:cs="Times New Roman"/>
          <w:color w:val="000000" w:themeColor="text1"/>
          <w:sz w:val="28"/>
          <w:szCs w:val="28"/>
          <w:lang w:bidi="ar-SA"/>
        </w:rPr>
      </w:pPr>
    </w:p>
    <w:p w14:paraId="57332EFD" w14:textId="58B6373A" w:rsidR="004E5901" w:rsidRDefault="004E5901" w:rsidP="004E5901">
      <w:pPr>
        <w:pStyle w:val="LO-normal"/>
        <w:spacing w:after="0" w:line="240" w:lineRule="auto"/>
        <w:ind w:firstLine="567"/>
        <w:jc w:val="both"/>
        <w:rPr>
          <w:rFonts w:ascii="Times New Roman" w:hAnsi="Times New Roman" w:cs="Times New Roman"/>
          <w:sz w:val="28"/>
          <w:szCs w:val="28"/>
          <w:lang w:bidi="ar-SA"/>
        </w:rPr>
      </w:pPr>
      <w:r w:rsidRPr="00D25285">
        <w:rPr>
          <w:rFonts w:ascii="Times New Roman" w:hAnsi="Times New Roman" w:cs="Times New Roman"/>
          <w:color w:val="000000" w:themeColor="text1"/>
          <w:sz w:val="28"/>
          <w:szCs w:val="28"/>
          <w:lang w:bidi="ar-SA"/>
        </w:rPr>
        <w:t xml:space="preserve">Таблица </w:t>
      </w:r>
      <w:r w:rsidR="00D25285" w:rsidRPr="00D25285">
        <w:rPr>
          <w:rFonts w:ascii="Times New Roman" w:hAnsi="Times New Roman" w:cs="Times New Roman"/>
          <w:color w:val="000000" w:themeColor="text1"/>
          <w:sz w:val="28"/>
          <w:szCs w:val="28"/>
          <w:lang w:bidi="ar-SA"/>
        </w:rPr>
        <w:t>8</w:t>
      </w:r>
      <w:r>
        <w:rPr>
          <w:rFonts w:ascii="Times New Roman" w:hAnsi="Times New Roman" w:cs="Times New Roman"/>
          <w:sz w:val="28"/>
          <w:szCs w:val="28"/>
          <w:lang w:bidi="ar-SA"/>
        </w:rPr>
        <w:t>. Множественный линейный регрессионный анализ для выявления влияния факторов на пиковую концентрацию дабигатрана</w:t>
      </w:r>
    </w:p>
    <w:p w14:paraId="1EB03969" w14:textId="77777777" w:rsidR="004E5901" w:rsidRDefault="004E5901" w:rsidP="004E5901">
      <w:pPr>
        <w:pStyle w:val="LO-normal"/>
        <w:spacing w:after="0" w:line="240" w:lineRule="auto"/>
        <w:ind w:firstLine="567"/>
        <w:jc w:val="both"/>
        <w:rPr>
          <w:rFonts w:ascii="Times New Roman" w:hAnsi="Times New Roman" w:cs="Times New Roman"/>
          <w:sz w:val="28"/>
          <w:szCs w:val="28"/>
          <w:lang w:bidi="ar-SA"/>
        </w:rPr>
      </w:pPr>
    </w:p>
    <w:p w14:paraId="534E9499" w14:textId="77777777" w:rsidR="000B2379" w:rsidRDefault="000B2379" w:rsidP="004E5901">
      <w:pPr>
        <w:pStyle w:val="LO-normal"/>
        <w:spacing w:after="0" w:line="240" w:lineRule="auto"/>
        <w:ind w:firstLine="567"/>
        <w:jc w:val="both"/>
        <w:rPr>
          <w:rFonts w:ascii="Times New Roman" w:hAnsi="Times New Roman" w:cs="Times New Roman"/>
          <w:sz w:val="28"/>
          <w:szCs w:val="28"/>
          <w:lang w:bidi="ar-SA"/>
        </w:rPr>
      </w:pPr>
    </w:p>
    <w:p w14:paraId="1E3224B2" w14:textId="77777777" w:rsidR="000B2379" w:rsidRDefault="000B2379" w:rsidP="004E5901">
      <w:pPr>
        <w:pStyle w:val="LO-normal"/>
        <w:spacing w:after="0" w:line="240" w:lineRule="auto"/>
        <w:ind w:firstLine="567"/>
        <w:jc w:val="both"/>
        <w:rPr>
          <w:rFonts w:ascii="Times New Roman" w:hAnsi="Times New Roman" w:cs="Times New Roman"/>
          <w:sz w:val="28"/>
          <w:szCs w:val="28"/>
          <w:lang w:bidi="ar-SA"/>
        </w:rPr>
      </w:pPr>
    </w:p>
    <w:p w14:paraId="665BBD35" w14:textId="77777777" w:rsidR="000B2379" w:rsidRDefault="000B2379" w:rsidP="004E5901">
      <w:pPr>
        <w:pStyle w:val="LO-normal"/>
        <w:spacing w:after="0" w:line="240" w:lineRule="auto"/>
        <w:ind w:firstLine="567"/>
        <w:jc w:val="both"/>
        <w:rPr>
          <w:rFonts w:ascii="Times New Roman" w:hAnsi="Times New Roman" w:cs="Times New Roman"/>
          <w:sz w:val="28"/>
          <w:szCs w:val="28"/>
          <w:lang w:bidi="ar-SA"/>
        </w:rPr>
      </w:pPr>
    </w:p>
    <w:tbl>
      <w:tblPr>
        <w:tblW w:w="9108" w:type="dxa"/>
        <w:shd w:val="clear" w:color="auto" w:fill="FFF2CC"/>
        <w:tblLayout w:type="fixed"/>
        <w:tblLook w:val="0000" w:firstRow="0" w:lastRow="0" w:firstColumn="0" w:lastColumn="0" w:noHBand="0" w:noVBand="0"/>
      </w:tblPr>
      <w:tblGrid>
        <w:gridCol w:w="1543"/>
        <w:gridCol w:w="23"/>
        <w:gridCol w:w="694"/>
        <w:gridCol w:w="709"/>
        <w:gridCol w:w="681"/>
        <w:gridCol w:w="611"/>
        <w:gridCol w:w="594"/>
        <w:gridCol w:w="611"/>
        <w:gridCol w:w="655"/>
        <w:gridCol w:w="551"/>
        <w:gridCol w:w="552"/>
        <w:gridCol w:w="595"/>
        <w:gridCol w:w="609"/>
        <w:gridCol w:w="23"/>
        <w:gridCol w:w="657"/>
      </w:tblGrid>
      <w:tr w:rsidR="000B2379" w14:paraId="6453A7FB" w14:textId="77777777" w:rsidTr="00B57F2E">
        <w:trPr>
          <w:trHeight w:val="1230"/>
        </w:trPr>
        <w:tc>
          <w:tcPr>
            <w:tcW w:w="1543" w:type="dxa"/>
            <w:vMerge w:val="restart"/>
            <w:tcBorders>
              <w:top w:val="single" w:sz="12" w:space="0" w:color="538135"/>
              <w:left w:val="single" w:sz="12" w:space="0" w:color="538135"/>
              <w:bottom w:val="single" w:sz="12" w:space="0" w:color="538135"/>
              <w:right w:val="single" w:sz="12" w:space="0" w:color="538135"/>
            </w:tcBorders>
            <w:shd w:val="clear" w:color="auto" w:fill="A8D08D"/>
          </w:tcPr>
          <w:p w14:paraId="6AB6BCFA"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7F7CB395"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lang w:val="kk-KZ"/>
              </w:rPr>
            </w:pPr>
            <w:r>
              <w:rPr>
                <w:rFonts w:ascii="Times New Roman" w:eastAsia="Times New Roman" w:hAnsi="Times New Roman" w:cs="Times New Roman"/>
                <w:b/>
                <w:sz w:val="18"/>
                <w:szCs w:val="18"/>
                <w:lang w:val="kk-KZ"/>
              </w:rPr>
              <w:t>Характеристи ки</w:t>
            </w:r>
          </w:p>
        </w:tc>
        <w:tc>
          <w:tcPr>
            <w:tcW w:w="1426" w:type="dxa"/>
            <w:gridSpan w:val="3"/>
            <w:tcBorders>
              <w:top w:val="single" w:sz="12" w:space="0" w:color="538135"/>
              <w:left w:val="single" w:sz="12" w:space="0" w:color="538135"/>
              <w:bottom w:val="single" w:sz="12" w:space="0" w:color="538135"/>
              <w:right w:val="single" w:sz="12" w:space="0" w:color="538135"/>
            </w:tcBorders>
            <w:shd w:val="clear" w:color="auto" w:fill="A8D08D"/>
          </w:tcPr>
          <w:p w14:paraId="6E02697D"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proofErr w:type="spellStart"/>
            <w:r>
              <w:rPr>
                <w:rFonts w:ascii="Times New Roman" w:eastAsia="Times New Roman" w:hAnsi="Times New Roman" w:cs="Times New Roman"/>
                <w:b/>
                <w:i/>
                <w:iCs/>
                <w:sz w:val="18"/>
                <w:szCs w:val="18"/>
              </w:rPr>
              <w:t>Нестандартизованные</w:t>
            </w:r>
            <w:proofErr w:type="spellEnd"/>
            <w:r>
              <w:rPr>
                <w:rFonts w:ascii="Times New Roman" w:eastAsia="Times New Roman" w:hAnsi="Times New Roman" w:cs="Times New Roman"/>
                <w:b/>
                <w:i/>
                <w:iCs/>
                <w:sz w:val="18"/>
                <w:szCs w:val="18"/>
              </w:rPr>
              <w:t xml:space="preserve"> коэффициенты</w:t>
            </w:r>
          </w:p>
        </w:tc>
        <w:tc>
          <w:tcPr>
            <w:tcW w:w="681" w:type="dxa"/>
            <w:tcBorders>
              <w:top w:val="single" w:sz="12" w:space="0" w:color="538135"/>
              <w:left w:val="single" w:sz="12" w:space="0" w:color="538135"/>
              <w:bottom w:val="single" w:sz="12" w:space="0" w:color="538135"/>
              <w:right w:val="single" w:sz="12" w:space="0" w:color="538135"/>
            </w:tcBorders>
            <w:shd w:val="clear" w:color="auto" w:fill="A8D08D"/>
          </w:tcPr>
          <w:p w14:paraId="6D95E51B"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Стандартизованные коэффициенты</w:t>
            </w:r>
          </w:p>
        </w:tc>
        <w:tc>
          <w:tcPr>
            <w:tcW w:w="611" w:type="dxa"/>
            <w:vMerge w:val="restart"/>
            <w:tcBorders>
              <w:top w:val="single" w:sz="12" w:space="0" w:color="538135"/>
              <w:left w:val="single" w:sz="12" w:space="0" w:color="538135"/>
              <w:bottom w:val="single" w:sz="12" w:space="0" w:color="538135"/>
              <w:right w:val="single" w:sz="12" w:space="0" w:color="538135"/>
            </w:tcBorders>
            <w:shd w:val="clear" w:color="auto" w:fill="A8D08D"/>
          </w:tcPr>
          <w:p w14:paraId="2A833106"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05FC8288"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43285C98"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t</w:t>
            </w:r>
          </w:p>
        </w:tc>
        <w:tc>
          <w:tcPr>
            <w:tcW w:w="594" w:type="dxa"/>
            <w:vMerge w:val="restart"/>
            <w:tcBorders>
              <w:top w:val="single" w:sz="12" w:space="0" w:color="538135"/>
              <w:left w:val="single" w:sz="12" w:space="0" w:color="538135"/>
              <w:bottom w:val="single" w:sz="12" w:space="0" w:color="538135"/>
              <w:right w:val="single" w:sz="12" w:space="0" w:color="538135"/>
            </w:tcBorders>
            <w:shd w:val="clear" w:color="auto" w:fill="A8D08D"/>
          </w:tcPr>
          <w:p w14:paraId="7E750E1A"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Значимость</w:t>
            </w:r>
          </w:p>
        </w:tc>
        <w:tc>
          <w:tcPr>
            <w:tcW w:w="12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6BAB084F"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95,0% Доверительный интервал для B</w:t>
            </w:r>
          </w:p>
        </w:tc>
        <w:tc>
          <w:tcPr>
            <w:tcW w:w="1103"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1B6AAB1F"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Корреляции</w:t>
            </w:r>
          </w:p>
        </w:tc>
        <w:tc>
          <w:tcPr>
            <w:tcW w:w="1884" w:type="dxa"/>
            <w:gridSpan w:val="4"/>
            <w:tcBorders>
              <w:top w:val="single" w:sz="12" w:space="0" w:color="538135"/>
              <w:left w:val="single" w:sz="12" w:space="0" w:color="538135"/>
              <w:bottom w:val="single" w:sz="12" w:space="0" w:color="538135"/>
              <w:right w:val="single" w:sz="12" w:space="0" w:color="538135"/>
            </w:tcBorders>
            <w:shd w:val="clear" w:color="auto" w:fill="A8D08D"/>
          </w:tcPr>
          <w:p w14:paraId="663397CE"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 xml:space="preserve">Статистика </w:t>
            </w:r>
            <w:proofErr w:type="spellStart"/>
            <w:r>
              <w:rPr>
                <w:rFonts w:ascii="Times New Roman" w:eastAsia="Times New Roman" w:hAnsi="Times New Roman" w:cs="Times New Roman"/>
                <w:b/>
                <w:i/>
                <w:iCs/>
                <w:sz w:val="18"/>
                <w:szCs w:val="18"/>
              </w:rPr>
              <w:t>коллинеарности</w:t>
            </w:r>
            <w:proofErr w:type="spellEnd"/>
          </w:p>
        </w:tc>
      </w:tr>
      <w:tr w:rsidR="000B2379" w14:paraId="64D48BA6" w14:textId="77777777" w:rsidTr="00B57F2E">
        <w:trPr>
          <w:trHeight w:val="750"/>
        </w:trPr>
        <w:tc>
          <w:tcPr>
            <w:tcW w:w="1543" w:type="dxa"/>
            <w:vMerge/>
            <w:tcBorders>
              <w:top w:val="single" w:sz="12" w:space="0" w:color="538135"/>
              <w:left w:val="single" w:sz="12" w:space="0" w:color="538135"/>
              <w:bottom w:val="single" w:sz="12" w:space="0" w:color="538135"/>
              <w:right w:val="single" w:sz="12" w:space="0" w:color="538135"/>
            </w:tcBorders>
            <w:shd w:val="clear" w:color="auto" w:fill="A8D08D"/>
          </w:tcPr>
          <w:p w14:paraId="78602278" w14:textId="77777777" w:rsidR="000B2379" w:rsidRDefault="000B2379" w:rsidP="00B57F2E"/>
        </w:tc>
        <w:tc>
          <w:tcPr>
            <w:tcW w:w="717"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1B175114"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688E2CED"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Стандартная ошибка</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315E76EF"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Бета</w:t>
            </w:r>
          </w:p>
        </w:tc>
        <w:tc>
          <w:tcPr>
            <w:tcW w:w="611" w:type="dxa"/>
            <w:vMerge/>
            <w:tcBorders>
              <w:top w:val="single" w:sz="12" w:space="0" w:color="538135"/>
              <w:left w:val="single" w:sz="12" w:space="0" w:color="538135"/>
              <w:bottom w:val="single" w:sz="12" w:space="0" w:color="538135"/>
              <w:right w:val="single" w:sz="12" w:space="0" w:color="538135"/>
            </w:tcBorders>
            <w:shd w:val="clear" w:color="auto" w:fill="A8D08D"/>
          </w:tcPr>
          <w:p w14:paraId="10058BD0" w14:textId="77777777" w:rsidR="000B2379" w:rsidRDefault="000B2379" w:rsidP="00B57F2E"/>
        </w:tc>
        <w:tc>
          <w:tcPr>
            <w:tcW w:w="594" w:type="dxa"/>
            <w:vMerge/>
            <w:tcBorders>
              <w:top w:val="single" w:sz="12" w:space="0" w:color="538135"/>
              <w:left w:val="single" w:sz="12" w:space="0" w:color="538135"/>
              <w:bottom w:val="single" w:sz="12" w:space="0" w:color="538135"/>
              <w:right w:val="single" w:sz="12" w:space="0" w:color="538135"/>
            </w:tcBorders>
            <w:shd w:val="clear" w:color="auto" w:fill="A8D08D"/>
          </w:tcPr>
          <w:p w14:paraId="3FD16E00" w14:textId="77777777" w:rsidR="000B2379" w:rsidRDefault="000B2379" w:rsidP="00B57F2E"/>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6075BBC2"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Нижняя граница</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1FB0DF70"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Верхняя граница</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5F789CFC"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Нулевого порядка</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312B4C76"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Частично</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65210755"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Компонент</w:t>
            </w:r>
          </w:p>
        </w:tc>
        <w:tc>
          <w:tcPr>
            <w:tcW w:w="609" w:type="dxa"/>
            <w:tcBorders>
              <w:top w:val="single" w:sz="12" w:space="0" w:color="538135"/>
              <w:left w:val="single" w:sz="12" w:space="0" w:color="538135"/>
              <w:bottom w:val="single" w:sz="12" w:space="0" w:color="538135"/>
              <w:right w:val="single" w:sz="12" w:space="0" w:color="538135"/>
            </w:tcBorders>
            <w:shd w:val="clear" w:color="auto" w:fill="FFF2CC"/>
          </w:tcPr>
          <w:p w14:paraId="3F23381F"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Допуск</w:t>
            </w:r>
          </w:p>
        </w:tc>
        <w:tc>
          <w:tcPr>
            <w:tcW w:w="680"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452CDAD9"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VIF</w:t>
            </w:r>
          </w:p>
        </w:tc>
      </w:tr>
      <w:tr w:rsidR="000B2379" w14:paraId="52327B95" w14:textId="77777777" w:rsidTr="00B57F2E">
        <w:trPr>
          <w:trHeight w:val="315"/>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8FE50D2" w14:textId="77777777" w:rsidR="000B2379" w:rsidRDefault="000B2379" w:rsidP="00B57F2E">
            <w:pPr>
              <w:pStyle w:val="LO-normal"/>
              <w:widowControl w:val="0"/>
              <w:tabs>
                <w:tab w:val="left" w:pos="-143"/>
              </w:tabs>
              <w:suppressAutoHyphens w:val="0"/>
              <w:spacing w:after="0" w:line="240" w:lineRule="auto"/>
              <w:ind w:left="-1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(Константа)</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5F6F693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56,027</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5025716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126,574</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477B416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5E88B18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,443</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3D0E9EB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,659</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74EADDA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-194,402</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7146BC2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306,456</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41AC94C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14D59A0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618397D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10644ED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7331A27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p>
        </w:tc>
      </w:tr>
      <w:tr w:rsidR="000B2379" w14:paraId="060A093E"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75BBE09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43A2E18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8192935  A</w:t>
            </w:r>
            <w:proofErr w:type="gramEnd"/>
            <w:r>
              <w:rPr>
                <w:rFonts w:ascii="Times New Roman" w:eastAsia="Times New Roman" w:hAnsi="Times New Roman" w:cs="Times New Roman"/>
                <w:b/>
                <w:bCs/>
                <w:sz w:val="20"/>
                <w:szCs w:val="20"/>
              </w:rPr>
              <w:t>_G</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5AB3FE5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23,994</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4631562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11,994</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6DC3DEE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,218</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0E4A321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2,001</w:t>
            </w:r>
          </w:p>
        </w:tc>
        <w:tc>
          <w:tcPr>
            <w:tcW w:w="594" w:type="dxa"/>
            <w:tcBorders>
              <w:top w:val="single" w:sz="12" w:space="0" w:color="538135"/>
              <w:left w:val="single" w:sz="12" w:space="0" w:color="538135"/>
              <w:bottom w:val="single" w:sz="12" w:space="0" w:color="538135"/>
              <w:right w:val="single" w:sz="12" w:space="0" w:color="538135"/>
            </w:tcBorders>
            <w:shd w:val="clear" w:color="auto" w:fill="92D050"/>
          </w:tcPr>
          <w:p w14:paraId="4F7123E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sz w:val="18"/>
                <w:szCs w:val="18"/>
                <w:shd w:val="clear" w:color="auto" w:fill="FFFF00"/>
              </w:rPr>
            </w:pPr>
            <w:r>
              <w:rPr>
                <w:rFonts w:ascii="Times New Roman" w:eastAsia="Times New Roman" w:hAnsi="Times New Roman" w:cs="Times New Roman"/>
                <w:b/>
                <w:sz w:val="18"/>
                <w:szCs w:val="18"/>
                <w:shd w:val="clear" w:color="auto" w:fill="FFFF00"/>
              </w:rPr>
              <w:t>,048</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27A420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,264</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674512B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47,723</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5FEAD09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,118</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4E5104D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,173</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1533EA6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,160</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03B5192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,537</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5593114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1,863</w:t>
            </w:r>
          </w:p>
        </w:tc>
      </w:tr>
      <w:tr w:rsidR="000B2379" w14:paraId="661597E0"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A11311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w:t>
            </w:r>
          </w:p>
          <w:p w14:paraId="1095279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1128503  A</w:t>
            </w:r>
            <w:proofErr w:type="gramEnd"/>
            <w:r>
              <w:rPr>
                <w:rFonts w:ascii="Times New Roman" w:eastAsia="Times New Roman" w:hAnsi="Times New Roman" w:cs="Times New Roman"/>
                <w:b/>
                <w:bCs/>
                <w:sz w:val="20"/>
                <w:szCs w:val="20"/>
              </w:rPr>
              <w:t>_G</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451C4C0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-17,968</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699CAA2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12,250</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3A37F08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-,189</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0F12855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-1,467</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54932E5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,145</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2D653BC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-42,204</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1FB35DB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6,269</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3F20260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-,072</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4F60AD5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-,128</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4AE7D78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-,117</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3B440A7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,386</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3C53634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2,589</w:t>
            </w:r>
          </w:p>
        </w:tc>
      </w:tr>
      <w:tr w:rsidR="000B2379" w14:paraId="11537A7C"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657065D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23FF871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2244613  G</w:t>
            </w:r>
            <w:proofErr w:type="gramEnd"/>
            <w:r>
              <w:rPr>
                <w:rFonts w:ascii="Times New Roman" w:eastAsia="Times New Roman" w:hAnsi="Times New Roman" w:cs="Times New Roman"/>
                <w:b/>
                <w:bCs/>
                <w:sz w:val="20"/>
                <w:szCs w:val="20"/>
              </w:rPr>
              <w:t>_T</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1CEDD6E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-7,977</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6B5AC83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10,810</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14C0C85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-,081</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2D1A48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-,738</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7FA134A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,462</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666E605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-29,365</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337373F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13,411</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6F350D6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,028</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614FB1C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-,065</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49643A9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-,059</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2529ADF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,535</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4B04C70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1,868</w:t>
            </w:r>
          </w:p>
        </w:tc>
      </w:tr>
      <w:tr w:rsidR="000B2379" w14:paraId="5B3A8DA0"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A8EA9F5" w14:textId="77777777" w:rsidR="000B2379" w:rsidRDefault="000B2379"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ABCB1</w:t>
            </w:r>
          </w:p>
          <w:p w14:paraId="5E1AFDB5" w14:textId="77777777" w:rsidR="000B2379" w:rsidRDefault="000B2379"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rs4148738    C_T</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4C84039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-1,893</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7F8979F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27,719</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5819AE1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-,019</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6C3941D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-,068</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6BA07F0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,946</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0735C47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-56,735</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34BE3D5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52,949</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0143994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195C29D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7FBEBA6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53030DA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,080</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373083B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12,494</w:t>
            </w:r>
          </w:p>
        </w:tc>
      </w:tr>
      <w:tr w:rsidR="000B2379" w14:paraId="5A319DB9"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7058142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7E0A24F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rs1045642 A_G</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6639CB4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4,699</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523987F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15,630</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0421E8A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,047</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23E6DA9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,301</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6A5C5B6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,764</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742B26A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-26,226</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3676C34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35,624</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052DBF1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47081EA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,026</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1D8CFC4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,024</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44B81E0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,265</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6665607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3,770</w:t>
            </w:r>
          </w:p>
        </w:tc>
      </w:tr>
      <w:tr w:rsidR="000B2379" w14:paraId="3B79BBFA"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3C7CB7C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17A2DA2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rs2032582 C_A</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5D98F9D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-5,167</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50B592D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18,975</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60CFCF0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-,057</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1F45EF8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-,272</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5901BE9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,786</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32F89BF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-42,710</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0683292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32,376</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70CF2E6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-,023</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5735540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-,024</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33E58C8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084DC84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,144</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2B0A0BF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6,962</w:t>
            </w:r>
          </w:p>
        </w:tc>
      </w:tr>
      <w:tr w:rsidR="000B2379" w14:paraId="48EE796D"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82D36F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09A2971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rs71647871 A_G</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3D8A524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15,405</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7E822A6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51,714</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62A0AFD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,024</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987AF6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,298</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75605DB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,766</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0CF79C1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-86,913</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122B957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117,722</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2D10D24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79602A3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,026</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7941395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,024</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56413D2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,956</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1FD4FCA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1,046</w:t>
            </w:r>
          </w:p>
        </w:tc>
      </w:tr>
      <w:tr w:rsidR="000B2379" w14:paraId="7D3F72D0"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7FB518B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возраст</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6183428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-,326</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039C51D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,635</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1EFD922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-,046</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00DCE09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34A02B4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,609</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7FA97F1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-1,584</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247D661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,931</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79C2629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-,039</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314CF35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-,045</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70209BE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-,041</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2E09254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,797</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2FE848D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1,255</w:t>
            </w:r>
          </w:p>
        </w:tc>
      </w:tr>
      <w:tr w:rsidR="000B2379" w14:paraId="07F0EE2C"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0624886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ИМТ</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4292A8F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-3,234</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0F69171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1,707</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4DA7EE3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-,162</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3E6B003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-1,894</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29F4DD7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,060</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31E18FC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-6,612</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3556765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,144</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5106399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-,163</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76DC8E8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-,165</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0655AD9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-,151</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1FF2133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,874</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24D7DAC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1,144</w:t>
            </w:r>
          </w:p>
        </w:tc>
      </w:tr>
      <w:tr w:rsidR="000B2379" w14:paraId="1B543444"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0EDB45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Пол</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7A2C942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28,822</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1B3D2DA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13,801</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150D5F6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,195</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3D12807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2,088</w:t>
            </w:r>
          </w:p>
        </w:tc>
        <w:tc>
          <w:tcPr>
            <w:tcW w:w="594" w:type="dxa"/>
            <w:tcBorders>
              <w:top w:val="single" w:sz="12" w:space="0" w:color="538135"/>
              <w:left w:val="single" w:sz="12" w:space="0" w:color="538135"/>
              <w:bottom w:val="single" w:sz="12" w:space="0" w:color="538135"/>
              <w:right w:val="single" w:sz="12" w:space="0" w:color="538135"/>
            </w:tcBorders>
            <w:shd w:val="clear" w:color="auto" w:fill="A8D08D"/>
          </w:tcPr>
          <w:p w14:paraId="09D6FAA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sz w:val="18"/>
                <w:szCs w:val="18"/>
                <w:shd w:val="clear" w:color="auto" w:fill="FFFF00"/>
              </w:rPr>
            </w:pPr>
            <w:r>
              <w:rPr>
                <w:rFonts w:ascii="Times New Roman" w:eastAsia="Times New Roman" w:hAnsi="Times New Roman" w:cs="Times New Roman"/>
                <w:b/>
                <w:sz w:val="18"/>
                <w:szCs w:val="18"/>
                <w:shd w:val="clear" w:color="auto" w:fill="FFFF00"/>
              </w:rPr>
              <w:t>,039</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175971B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1,516</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5D6D408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56,128</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4351E90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,205</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3865141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,181</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18C0CE2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,167</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37B1D4E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,736</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3C40C1B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1,359</w:t>
            </w:r>
          </w:p>
        </w:tc>
      </w:tr>
      <w:tr w:rsidR="000B2379" w14:paraId="4CE86CD8"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0865E3A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АЧТВ, с</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47DC4EE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2,553</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69CC7CD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,967</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64DF0EE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,252</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5C4BFEA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2,639</w:t>
            </w:r>
          </w:p>
        </w:tc>
        <w:tc>
          <w:tcPr>
            <w:tcW w:w="594" w:type="dxa"/>
            <w:tcBorders>
              <w:top w:val="single" w:sz="12" w:space="0" w:color="538135"/>
              <w:left w:val="single" w:sz="12" w:space="0" w:color="538135"/>
              <w:bottom w:val="single" w:sz="12" w:space="0" w:color="538135"/>
              <w:right w:val="single" w:sz="12" w:space="0" w:color="538135"/>
            </w:tcBorders>
            <w:shd w:val="clear" w:color="auto" w:fill="A8D08D"/>
          </w:tcPr>
          <w:p w14:paraId="6A75FA4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sz w:val="18"/>
                <w:szCs w:val="18"/>
                <w:shd w:val="clear" w:color="auto" w:fill="FFFF00"/>
              </w:rPr>
            </w:pPr>
            <w:r>
              <w:rPr>
                <w:rFonts w:ascii="Times New Roman" w:eastAsia="Times New Roman" w:hAnsi="Times New Roman" w:cs="Times New Roman"/>
                <w:b/>
                <w:sz w:val="18"/>
                <w:szCs w:val="18"/>
                <w:shd w:val="clear" w:color="auto" w:fill="FFFF00"/>
              </w:rPr>
              <w:t>,009</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B0E6D6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,639</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0388B1F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4,467</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2E1FE92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,217</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1940859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,226</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5B52A8F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,211</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0D289F7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,699</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6A795CC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1,430</w:t>
            </w:r>
          </w:p>
        </w:tc>
      </w:tr>
      <w:tr w:rsidR="000B2379" w14:paraId="5C7A1AB1"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0BA489A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ПВ, с</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4242078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-2,761</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7A2714B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2,228</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485382E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-,117</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6D2D06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-1,239</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2093025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,217</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2CDE9D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-7,170</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7091EC2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1,647</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291E3DD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0837EDB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64A7B30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-,099</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108B6E0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,713</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5007F62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1,403</w:t>
            </w:r>
          </w:p>
        </w:tc>
      </w:tr>
      <w:tr w:rsidR="000B2379" w14:paraId="335B03C2"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535ED5C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Фибриноген, г/л</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783D5A6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-,138</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64C263C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6,545</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107AD03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5293932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-,021</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0281BEC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,983</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67F955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-13,087</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27909F9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12,811</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7247602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3740EBD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50A4AD5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589A9D5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,879</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3E9348C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1,137</w:t>
            </w:r>
          </w:p>
        </w:tc>
      </w:tr>
      <w:tr w:rsidR="000B2379" w14:paraId="6FA6EE81"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5ABF5A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AЛT, Ед/л</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70FCE3A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,768</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30B5AC5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,806</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44A28F5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,102</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2B625D8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,953</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77AB5BE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,342</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03F1DF4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-,827</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710E596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2,362</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4E89161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,116</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7C206CD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,084</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02FCEFD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,076</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3C8AD71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,558</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356B479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1,791</w:t>
            </w:r>
          </w:p>
        </w:tc>
      </w:tr>
      <w:tr w:rsidR="000B2379" w14:paraId="3D424404" w14:textId="77777777" w:rsidTr="00B57F2E">
        <w:trPr>
          <w:trHeight w:val="300"/>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7218CBF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AСT, ЕД/л</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3C559B5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,058</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3B3660D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,872</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302E872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,007</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0402C11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78B6BA3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,947</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1511C90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-1,666</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665A330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1,783</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2D63E4A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,061</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6C47264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0094E65D"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6B562C7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,585</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63F4B14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1,709</w:t>
            </w:r>
          </w:p>
        </w:tc>
      </w:tr>
      <w:tr w:rsidR="000B2379" w14:paraId="383A66DD" w14:textId="77777777" w:rsidTr="00B57F2E">
        <w:trPr>
          <w:trHeight w:val="315"/>
        </w:trPr>
        <w:tc>
          <w:tcPr>
            <w:tcW w:w="156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3238290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Креатинин, мг/дл</w:t>
            </w:r>
          </w:p>
        </w:tc>
        <w:tc>
          <w:tcPr>
            <w:tcW w:w="694" w:type="dxa"/>
            <w:tcBorders>
              <w:top w:val="single" w:sz="12" w:space="0" w:color="538135"/>
              <w:left w:val="single" w:sz="12" w:space="0" w:color="538135"/>
              <w:bottom w:val="single" w:sz="12" w:space="0" w:color="538135"/>
              <w:right w:val="single" w:sz="12" w:space="0" w:color="538135"/>
            </w:tcBorders>
            <w:shd w:val="clear" w:color="auto" w:fill="FFF2CC"/>
          </w:tcPr>
          <w:p w14:paraId="2F8A56F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20,391</w:t>
            </w:r>
          </w:p>
        </w:tc>
        <w:tc>
          <w:tcPr>
            <w:tcW w:w="709" w:type="dxa"/>
            <w:tcBorders>
              <w:top w:val="single" w:sz="12" w:space="0" w:color="538135"/>
              <w:left w:val="single" w:sz="12" w:space="0" w:color="538135"/>
              <w:bottom w:val="single" w:sz="12" w:space="0" w:color="538135"/>
              <w:right w:val="single" w:sz="12" w:space="0" w:color="538135"/>
            </w:tcBorders>
            <w:shd w:val="clear" w:color="auto" w:fill="FFF2CC"/>
          </w:tcPr>
          <w:p w14:paraId="6936493E"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40,234</w:t>
            </w:r>
          </w:p>
        </w:tc>
        <w:tc>
          <w:tcPr>
            <w:tcW w:w="681" w:type="dxa"/>
            <w:tcBorders>
              <w:top w:val="single" w:sz="12" w:space="0" w:color="538135"/>
              <w:left w:val="single" w:sz="12" w:space="0" w:color="538135"/>
              <w:bottom w:val="single" w:sz="12" w:space="0" w:color="538135"/>
              <w:right w:val="single" w:sz="12" w:space="0" w:color="538135"/>
            </w:tcBorders>
            <w:shd w:val="clear" w:color="auto" w:fill="FFF2CC"/>
          </w:tcPr>
          <w:p w14:paraId="62A4CCB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,047</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674EE96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,507</w:t>
            </w:r>
          </w:p>
        </w:tc>
        <w:tc>
          <w:tcPr>
            <w:tcW w:w="594" w:type="dxa"/>
            <w:tcBorders>
              <w:top w:val="single" w:sz="12" w:space="0" w:color="538135"/>
              <w:left w:val="single" w:sz="12" w:space="0" w:color="538135"/>
              <w:bottom w:val="single" w:sz="12" w:space="0" w:color="538135"/>
              <w:right w:val="single" w:sz="12" w:space="0" w:color="538135"/>
            </w:tcBorders>
            <w:shd w:val="clear" w:color="auto" w:fill="FFF2CC"/>
          </w:tcPr>
          <w:p w14:paraId="595D6C4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,613</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7010121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-59,214</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339414C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99,995</w:t>
            </w:r>
          </w:p>
        </w:tc>
        <w:tc>
          <w:tcPr>
            <w:tcW w:w="551" w:type="dxa"/>
            <w:tcBorders>
              <w:top w:val="single" w:sz="12" w:space="0" w:color="538135"/>
              <w:left w:val="single" w:sz="12" w:space="0" w:color="538135"/>
              <w:bottom w:val="single" w:sz="12" w:space="0" w:color="538135"/>
              <w:right w:val="single" w:sz="12" w:space="0" w:color="538135"/>
            </w:tcBorders>
            <w:shd w:val="clear" w:color="auto" w:fill="FFF2CC"/>
          </w:tcPr>
          <w:p w14:paraId="52EE6804"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-,018</w:t>
            </w:r>
          </w:p>
        </w:tc>
        <w:tc>
          <w:tcPr>
            <w:tcW w:w="552" w:type="dxa"/>
            <w:tcBorders>
              <w:top w:val="single" w:sz="12" w:space="0" w:color="538135"/>
              <w:left w:val="single" w:sz="12" w:space="0" w:color="538135"/>
              <w:bottom w:val="single" w:sz="12" w:space="0" w:color="538135"/>
              <w:right w:val="single" w:sz="12" w:space="0" w:color="538135"/>
            </w:tcBorders>
            <w:shd w:val="clear" w:color="auto" w:fill="FFF2CC"/>
          </w:tcPr>
          <w:p w14:paraId="1F194B1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,045</w:t>
            </w:r>
          </w:p>
        </w:tc>
        <w:tc>
          <w:tcPr>
            <w:tcW w:w="595" w:type="dxa"/>
            <w:tcBorders>
              <w:top w:val="single" w:sz="12" w:space="0" w:color="538135"/>
              <w:left w:val="single" w:sz="12" w:space="0" w:color="538135"/>
              <w:bottom w:val="single" w:sz="12" w:space="0" w:color="538135"/>
              <w:right w:val="single" w:sz="12" w:space="0" w:color="538135"/>
            </w:tcBorders>
            <w:shd w:val="clear" w:color="auto" w:fill="FFF2CC"/>
          </w:tcPr>
          <w:p w14:paraId="286302A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632"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7968C0B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,736</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42B516D9"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1,359</w:t>
            </w:r>
          </w:p>
        </w:tc>
      </w:tr>
    </w:tbl>
    <w:p w14:paraId="7B1821E0" w14:textId="77777777" w:rsidR="000B2379" w:rsidRDefault="000B2379" w:rsidP="004E5901">
      <w:pPr>
        <w:pStyle w:val="LO-normal"/>
        <w:spacing w:after="0" w:line="240" w:lineRule="auto"/>
        <w:ind w:firstLine="567"/>
        <w:jc w:val="both"/>
        <w:rPr>
          <w:rFonts w:ascii="Times New Roman" w:hAnsi="Times New Roman" w:cs="Times New Roman"/>
          <w:sz w:val="28"/>
          <w:szCs w:val="28"/>
          <w:lang w:bidi="ar-SA"/>
        </w:rPr>
      </w:pPr>
    </w:p>
    <w:p w14:paraId="253A9A5D" w14:textId="5A068234" w:rsidR="004E5901" w:rsidRDefault="004E5901" w:rsidP="000B2379">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Среди факторов, влияющих на минимальную концентрацию дабигатрана в плазме, статистически значимыми и независимыми являются: полиморфизм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 xml:space="preserve">гена </w:t>
      </w:r>
      <w:r>
        <w:rPr>
          <w:rFonts w:ascii="Times New Roman" w:hAnsi="Times New Roman" w:cs="Times New Roman"/>
          <w:sz w:val="28"/>
          <w:szCs w:val="28"/>
          <w:lang w:val="en-US" w:bidi="ar-SA"/>
        </w:rPr>
        <w:t>CES</w:t>
      </w:r>
      <w:r w:rsidRPr="004E5901">
        <w:rPr>
          <w:rFonts w:ascii="Times New Roman" w:hAnsi="Times New Roman" w:cs="Times New Roman"/>
          <w:sz w:val="28"/>
          <w:szCs w:val="28"/>
          <w:lang w:bidi="ar-SA"/>
        </w:rPr>
        <w:t>1 (</w:t>
      </w:r>
      <w:r>
        <w:rPr>
          <w:rFonts w:ascii="Times New Roman" w:hAnsi="Times New Roman" w:cs="Times New Roman"/>
          <w:sz w:val="28"/>
          <w:szCs w:val="28"/>
          <w:lang w:bidi="ar-SA"/>
        </w:rPr>
        <w:sym w:font="Symbol" w:char="F062"/>
      </w:r>
      <w:r>
        <w:rPr>
          <w:rFonts w:ascii="Times New Roman" w:hAnsi="Times New Roman" w:cs="Times New Roman"/>
          <w:sz w:val="28"/>
          <w:szCs w:val="28"/>
          <w:lang w:bidi="ar-SA"/>
        </w:rPr>
        <w:t>=</w:t>
      </w:r>
      <w:r w:rsidRPr="004E5901">
        <w:rPr>
          <w:rFonts w:ascii="Times New Roman" w:hAnsi="Times New Roman" w:cs="Times New Roman"/>
          <w:sz w:val="28"/>
          <w:szCs w:val="28"/>
          <w:lang w:bidi="ar-SA"/>
        </w:rPr>
        <w:t>12,793</w:t>
      </w:r>
      <w:r>
        <w:rPr>
          <w:rFonts w:ascii="Times New Roman" w:hAnsi="Times New Roman" w:cs="Times New Roman"/>
          <w:sz w:val="28"/>
          <w:szCs w:val="28"/>
          <w:lang w:bidi="ar-SA"/>
        </w:rPr>
        <w:t>, р=0,0</w:t>
      </w:r>
      <w:r w:rsidRPr="004E5901">
        <w:rPr>
          <w:rFonts w:ascii="Times New Roman" w:hAnsi="Times New Roman" w:cs="Times New Roman"/>
          <w:sz w:val="28"/>
          <w:szCs w:val="28"/>
          <w:lang w:bidi="ar-SA"/>
        </w:rPr>
        <w:t xml:space="preserve">35), </w:t>
      </w:r>
      <w:r>
        <w:rPr>
          <w:rFonts w:ascii="Times New Roman" w:hAnsi="Times New Roman" w:cs="Times New Roman"/>
          <w:sz w:val="28"/>
          <w:szCs w:val="28"/>
          <w:lang w:bidi="ar-SA"/>
        </w:rPr>
        <w:t>индекс массы тела (</w:t>
      </w:r>
      <w:r>
        <w:rPr>
          <w:rFonts w:ascii="Times New Roman" w:hAnsi="Times New Roman" w:cs="Times New Roman"/>
          <w:sz w:val="28"/>
          <w:szCs w:val="28"/>
          <w:lang w:bidi="ar-SA"/>
        </w:rPr>
        <w:sym w:font="Symbol" w:char="F062"/>
      </w:r>
      <w:r>
        <w:rPr>
          <w:rFonts w:ascii="Times New Roman" w:hAnsi="Times New Roman" w:cs="Times New Roman"/>
          <w:sz w:val="28"/>
          <w:szCs w:val="28"/>
          <w:lang w:bidi="ar-SA"/>
        </w:rPr>
        <w:t>=-2,363, р</w:t>
      </w:r>
      <w:r w:rsidRPr="004E5901">
        <w:rPr>
          <w:rFonts w:ascii="Times New Roman" w:hAnsi="Times New Roman" w:cs="Times New Roman"/>
          <w:sz w:val="28"/>
          <w:szCs w:val="28"/>
          <w:lang w:bidi="ar-SA"/>
        </w:rPr>
        <w:t>&lt;</w:t>
      </w:r>
      <w:r>
        <w:rPr>
          <w:rFonts w:ascii="Times New Roman" w:hAnsi="Times New Roman" w:cs="Times New Roman"/>
          <w:sz w:val="28"/>
          <w:szCs w:val="28"/>
          <w:lang w:bidi="ar-SA"/>
        </w:rPr>
        <w:t>0,0</w:t>
      </w:r>
      <w:r w:rsidRPr="004E5901">
        <w:rPr>
          <w:rFonts w:ascii="Times New Roman" w:hAnsi="Times New Roman" w:cs="Times New Roman"/>
          <w:sz w:val="28"/>
          <w:szCs w:val="28"/>
          <w:lang w:bidi="ar-SA"/>
        </w:rPr>
        <w:t>01</w:t>
      </w:r>
      <w:r>
        <w:rPr>
          <w:rFonts w:ascii="Times New Roman" w:hAnsi="Times New Roman" w:cs="Times New Roman"/>
          <w:sz w:val="28"/>
          <w:szCs w:val="28"/>
          <w:lang w:bidi="ar-SA"/>
        </w:rPr>
        <w: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и. показатель АЧТВ (</w:t>
      </w:r>
      <w:r>
        <w:rPr>
          <w:rFonts w:ascii="Times New Roman" w:hAnsi="Times New Roman" w:cs="Times New Roman"/>
          <w:sz w:val="28"/>
          <w:szCs w:val="28"/>
          <w:lang w:bidi="ar-SA"/>
        </w:rPr>
        <w:sym w:font="Symbol" w:char="F062"/>
      </w:r>
      <w:r>
        <w:rPr>
          <w:rFonts w:ascii="Times New Roman" w:hAnsi="Times New Roman" w:cs="Times New Roman"/>
          <w:sz w:val="28"/>
          <w:szCs w:val="28"/>
          <w:lang w:bidi="ar-SA"/>
        </w:rPr>
        <w:t>=1,801, р</w:t>
      </w:r>
      <w:r w:rsidRPr="004E5901">
        <w:rPr>
          <w:rFonts w:ascii="Times New Roman" w:hAnsi="Times New Roman" w:cs="Times New Roman"/>
          <w:sz w:val="28"/>
          <w:szCs w:val="28"/>
          <w:lang w:bidi="ar-SA"/>
        </w:rPr>
        <w:t>&lt;</w:t>
      </w:r>
      <w:r>
        <w:rPr>
          <w:rFonts w:ascii="Times New Roman" w:hAnsi="Times New Roman" w:cs="Times New Roman"/>
          <w:sz w:val="28"/>
          <w:szCs w:val="28"/>
          <w:lang w:bidi="ar-SA"/>
        </w:rPr>
        <w:t>0,001)</w:t>
      </w:r>
      <w:r w:rsidRPr="004E5901">
        <w:rPr>
          <w:rFonts w:ascii="Times New Roman" w:hAnsi="Times New Roman" w:cs="Times New Roman"/>
          <w:sz w:val="28"/>
          <w:szCs w:val="28"/>
          <w:lang w:bidi="ar-SA"/>
        </w:rPr>
        <w:t xml:space="preserve"> (</w:t>
      </w:r>
      <w:r w:rsidRPr="000B2379">
        <w:rPr>
          <w:rFonts w:ascii="Times New Roman" w:hAnsi="Times New Roman" w:cs="Times New Roman"/>
          <w:color w:val="000000" w:themeColor="text1"/>
          <w:sz w:val="28"/>
          <w:szCs w:val="28"/>
          <w:lang w:bidi="ar-SA"/>
        </w:rPr>
        <w:t xml:space="preserve">таблица </w:t>
      </w:r>
      <w:r w:rsidR="000B2379" w:rsidRPr="000B2379">
        <w:rPr>
          <w:rFonts w:ascii="Times New Roman" w:hAnsi="Times New Roman" w:cs="Times New Roman"/>
          <w:color w:val="000000" w:themeColor="text1"/>
          <w:sz w:val="28"/>
          <w:szCs w:val="28"/>
          <w:lang w:bidi="ar-SA"/>
        </w:rPr>
        <w:t>9</w:t>
      </w:r>
      <w:r w:rsidRPr="004E5901">
        <w:rPr>
          <w:rFonts w:ascii="Times New Roman" w:hAnsi="Times New Roman" w:cs="Times New Roman"/>
          <w:sz w:val="28"/>
          <w:szCs w:val="28"/>
          <w:lang w:bidi="ar-SA"/>
        </w:rPr>
        <w:t>)</w:t>
      </w:r>
      <w:r>
        <w:rPr>
          <w:rFonts w:ascii="Times New Roman" w:hAnsi="Times New Roman" w:cs="Times New Roman"/>
          <w:sz w:val="28"/>
          <w:szCs w:val="28"/>
          <w:lang w:bidi="ar-SA"/>
        </w:rPr>
        <w:t xml:space="preserve">. Наличие аллеля </w:t>
      </w:r>
      <w:r>
        <w:rPr>
          <w:rFonts w:ascii="Times New Roman" w:hAnsi="Times New Roman" w:cs="Times New Roman"/>
          <w:sz w:val="28"/>
          <w:szCs w:val="28"/>
          <w:lang w:val="en-US" w:bidi="ar-SA"/>
        </w:rPr>
        <w:t>G</w:t>
      </w:r>
      <w:r>
        <w:rPr>
          <w:rFonts w:ascii="Times New Roman" w:hAnsi="Times New Roman" w:cs="Times New Roman"/>
          <w:sz w:val="28"/>
          <w:szCs w:val="28"/>
          <w:lang w:bidi="ar-SA"/>
        </w:rPr>
        <w:t xml:space="preserve"> полиморфизма </w:t>
      </w:r>
      <w:r>
        <w:rPr>
          <w:rFonts w:ascii="Times New Roman" w:hAnsi="Times New Roman" w:cs="Times New Roman"/>
          <w:sz w:val="28"/>
          <w:szCs w:val="28"/>
          <w:lang w:val="en-US" w:bidi="ar-SA"/>
        </w:rPr>
        <w:t>CES</w:t>
      </w:r>
      <w:r w:rsidRPr="004E5901">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8192935</w:t>
      </w:r>
      <w:r>
        <w:rPr>
          <w:rFonts w:ascii="Times New Roman" w:hAnsi="Times New Roman" w:cs="Times New Roman"/>
          <w:sz w:val="28"/>
          <w:szCs w:val="28"/>
          <w:lang w:bidi="ar-SA"/>
        </w:rPr>
        <w:t xml:space="preserve"> положительно ассоциирован с </w:t>
      </w:r>
      <w:r>
        <w:rPr>
          <w:rFonts w:ascii="Times New Roman" w:hAnsi="Times New Roman" w:cs="Times New Roman"/>
          <w:sz w:val="28"/>
          <w:szCs w:val="28"/>
          <w:lang w:val="en-US" w:bidi="ar-SA"/>
        </w:rPr>
        <w:t>C</w:t>
      </w:r>
      <w:r w:rsidRPr="004E5901">
        <w:rPr>
          <w:rFonts w:ascii="Times New Roman" w:hAnsi="Times New Roman" w:cs="Times New Roman"/>
          <w:sz w:val="28"/>
          <w:szCs w:val="28"/>
          <w:vertAlign w:val="subscript"/>
          <w:lang w:val="en-US" w:bidi="ar-SA"/>
        </w:rPr>
        <w:t>trough</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дабигатрана и связан с увеличением концентрации дабигатрана. Отрицательная связь между индексом массы тела и минимальной концентрацией дабигатрана подтверждается данными, согласно которым с увеличением ИМТ наблюдается снижение экспозиции препарата, что объясняется возрастанием объема распределения</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{"citationID":"wY3U9efu","properties":{"unsorted":false,"formattedCitation":"[251]","plainCitation":"[251]","noteIndex":0},"citationItems":[{"id":17,"uris":["http://zotero.org/users/14784094/items/A9C6BP7T"],"itemData":{"id":17,"type":"article-journal","abstract":"Essentials The association of body weight and patient-important outcomes remains unknown. Phase III randomized controlled trials of direct oral anticoagulants (DOACs) were searched. Risk of outcomes varying among body weight subgroups is not attributable to anticoagulant type. Dose adjustment of DOACs, outside that recommended, is unlikely to improve the outcomes. Click to hear Dr Braunwald's perspective on antithrombotic therapy in cardiovascular disease SUMMARY: Background Concerns have arisen in direct oral anticoagulant (DOAC)-treated patients about safety and efficacy in extremes of body weight. The aims of this systematic review were to investigate the association of body weight and patient-important outcomes in patients treated with DOACs or warfarin, and to demonstrate the fixed-dose effect of DOACs. Methods MEDLINE and EMBASE were searched until November 2016. Phase III randomized controlled trials (RCTs) using DOACs in atrial fibrillation (AF) and acute venous thromboembolism (VTE) were included. Relative risk and 95% confidence interval were calculated. The pooled estimates were performed using a Mantel-Haenszel random effects model. Results A total of 11 phase III RCTs were included. Low body weight was associated with increased risk of thromboembolism compared with non-low body weight (relative risk [RR], 1.57; 95% confidence interval [CI], 1.34-1.85). High body weight was not associated with risk of thromboembolism compared with non-high body weight (RR, 0.88; 95% CI, 0.63-1.23). The subgroup of AF patients with high body weight had a lower risk of thromboembolism compared with non-high body weight (RR, 0.43; 95% CI, 0.28-0.67). Bleeding outcomes were comparable for all body weight comparisons. There were no clear interactions between types of anticoagulant in all outcomes. Conclusion The pooled effect of both the DOAC and comparison arms was likely to be attributable to differences in baseline thrombotic risk in each body weight category, rather than an effect of the type or dose of DOAC used for each indication. Dose adjustment of DOACs, outside that recommended in the package insert, is unlikely to improve safety or efficacy.","container-title":"Journal of thrombosis and haemostasis: JTH","DOI":"10.1111/jth.13701","ISSN":"1538-7836","issue":"7","journalAbbreviation":"J Thromb Haemost","language":"eng","page":"1322-1333","PMID":"28407368","source":"PubMed","title":"Association of body weight with efficacy and safety outcomes in phase III randomized controlled trials of direct oral anticoagulants: a systematic review and meta-analysis","title-short":"Association of body weight with efficacy and safety outcomes in phase III randomized controlled trials of direct oral anticoagulants","volume":"15","author":[{"family":"Boonyawat","given":"K."},{"family":"Caron","given":"F."},{"family":"Li","given":"A."},{"family":"Chai-Adisaksopha","given":"C."},{"family":"Lim","given":"W."},{"family":"Iorio","given":"A."},{"family":"Lopes","given":"R. D."},{"family":"Garcia","given":"D."},{"family":"Crowther","given":"M. A."}],"issued":{"date-parts":[["2017",7]]}}}],"schema":"https://github.com/citation-style-language/schema/raw/master/csl-citation.json"}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[251]</w:t>
      </w:r>
      <w:r>
        <w:rPr>
          <w:rFonts w:ascii="Times New Roman" w:hAnsi="Times New Roman" w:cs="Times New Roman"/>
          <w:sz w:val="28"/>
          <w:szCs w:val="28"/>
          <w:lang w:bidi="ar-SA"/>
        </w:rPr>
        <w:fldChar w:fldCharType="end"/>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Dimatteo</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et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al</w:t>
      </w:r>
      <w:r w:rsidRPr="004E5901">
        <w:rPr>
          <w:rFonts w:ascii="Times New Roman" w:hAnsi="Times New Roman" w:cs="Times New Roman"/>
          <w:sz w:val="28"/>
          <w:szCs w:val="28"/>
          <w:lang w:bidi="ar-SA"/>
        </w:rPr>
        <w:t>.</w:t>
      </w:r>
      <w:r>
        <w:rPr>
          <w:rFonts w:ascii="Times New Roman" w:hAnsi="Times New Roman" w:cs="Times New Roman"/>
          <w:sz w:val="28"/>
          <w:szCs w:val="28"/>
          <w:lang w:bidi="ar-SA"/>
        </w:rPr>
        <w:t xml:space="preserve"> (2016) показали в своем исследовании, что полиморфизм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 xml:space="preserve">в гене </w:t>
      </w:r>
      <w:r>
        <w:rPr>
          <w:rFonts w:ascii="Times New Roman" w:hAnsi="Times New Roman" w:cs="Times New Roman"/>
          <w:sz w:val="28"/>
          <w:szCs w:val="28"/>
          <w:lang w:val="en-US" w:bidi="ar-SA"/>
        </w:rPr>
        <w:t>CES</w:t>
      </w:r>
      <w:r w:rsidRPr="004E5901">
        <w:rPr>
          <w:rFonts w:ascii="Times New Roman" w:hAnsi="Times New Roman" w:cs="Times New Roman"/>
          <w:sz w:val="28"/>
          <w:szCs w:val="28"/>
          <w:lang w:bidi="ar-SA"/>
        </w:rPr>
        <w:t xml:space="preserve">1 </w:t>
      </w:r>
      <w:r>
        <w:rPr>
          <w:rFonts w:ascii="Times New Roman" w:hAnsi="Times New Roman" w:cs="Times New Roman"/>
          <w:sz w:val="28"/>
          <w:szCs w:val="28"/>
          <w:lang w:bidi="ar-SA"/>
        </w:rPr>
        <w:t>значительно зависит от концентрации дабигатрана в плазме</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{"citationID":"Tp3YeMJ7","properties":{"unsorted":false,"formattedCitation":"[18]","plainCitation":"[18]","noteIndex":0},"citationItems":[{"id":740,"uris":["http://zotero.org/users/14784094/items/L23HNCYG"],"itemData":{"id":740,"type":"article-journal","abstract":"Introduction: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w:t>
      </w:r>
      <w:r>
        <w:rPr>
          <w:rFonts w:ascii="Times New Roman" w:hAnsi="Times New Roman" w:cs="Times New Roman"/>
          <w:sz w:val="28"/>
          <w:szCs w:val="28"/>
          <w:lang w:bidi="ar-SA"/>
        </w:rPr>
        <w:fldChar w:fldCharType="end"/>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Однако их исследование не выявило значимой связи полиморфизма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 xml:space="preserve">в гене </w:t>
      </w:r>
      <w:r>
        <w:rPr>
          <w:rFonts w:ascii="Times New Roman" w:hAnsi="Times New Roman" w:cs="Times New Roman"/>
          <w:sz w:val="28"/>
          <w:szCs w:val="28"/>
          <w:lang w:val="en-US" w:bidi="ar-SA"/>
        </w:rPr>
        <w:t>CES</w:t>
      </w:r>
      <w:r w:rsidRPr="004E5901">
        <w:rPr>
          <w:rFonts w:ascii="Times New Roman" w:hAnsi="Times New Roman" w:cs="Times New Roman"/>
          <w:sz w:val="28"/>
          <w:szCs w:val="28"/>
          <w:lang w:bidi="ar-SA"/>
        </w:rPr>
        <w:t xml:space="preserve">1 </w:t>
      </w:r>
      <w:r>
        <w:rPr>
          <w:rFonts w:ascii="Times New Roman" w:hAnsi="Times New Roman" w:cs="Times New Roman"/>
          <w:sz w:val="28"/>
          <w:szCs w:val="28"/>
          <w:lang w:bidi="ar-SA"/>
        </w:rPr>
        <w:t xml:space="preserve">с пиковыми концентрациями дабигатрана в плазме. В их исследовании у пациентов с генотипом </w:t>
      </w:r>
      <w:r>
        <w:rPr>
          <w:rFonts w:ascii="Times New Roman" w:hAnsi="Times New Roman" w:cs="Times New Roman"/>
          <w:sz w:val="28"/>
          <w:szCs w:val="28"/>
          <w:lang w:val="en-US" w:bidi="ar-SA"/>
        </w:rPr>
        <w:t>GG</w:t>
      </w:r>
      <w:r>
        <w:rPr>
          <w:rFonts w:ascii="Times New Roman" w:hAnsi="Times New Roman" w:cs="Times New Roman"/>
          <w:sz w:val="28"/>
          <w:szCs w:val="28"/>
          <w:lang w:bidi="ar-SA"/>
        </w:rPr>
        <w:t xml:space="preserve"> минимальная концентрация была значительно выше (85,4нг/дл), чем с генотипом АА (53,5нг/дл) (</w:t>
      </w:r>
      <w:r>
        <w:rPr>
          <w:rFonts w:ascii="Times New Roman" w:hAnsi="Times New Roman" w:cs="Times New Roman"/>
          <w:sz w:val="28"/>
          <w:szCs w:val="28"/>
          <w:lang w:val="en-US" w:bidi="ar-SA"/>
        </w:rPr>
        <w:t>p</w:t>
      </w:r>
      <w:r w:rsidRPr="004E5901">
        <w:rPr>
          <w:rFonts w:ascii="Times New Roman" w:hAnsi="Times New Roman" w:cs="Times New Roman"/>
          <w:sz w:val="28"/>
          <w:szCs w:val="28"/>
          <w:lang w:bidi="ar-SA"/>
        </w:rPr>
        <w:t>&lt;0,05</w:t>
      </w:r>
      <w:r>
        <w:rPr>
          <w:rFonts w:ascii="Times New Roman" w:hAnsi="Times New Roman" w:cs="Times New Roman"/>
          <w:sz w:val="28"/>
          <w:szCs w:val="28"/>
          <w:lang w:bidi="ar-SA"/>
        </w:rPr>
        <w:t>)</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{"citationID":"7wM2U1CR","properties":{"unsorted":false,"formattedCitation":"[18]","plainCitation":"[18]","noteIndex":0},"citationItems":[{"id":740,"uris":["http://zotero.org/users/14784094/items/L23HNCYG"],"itemData":{"id":740,"type":"article-journal","abstract":"Introduction: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schema":"https://github.com/citation-style-language/schema/raw/master/csl-citation.json"} </w:instrText>
      </w:r>
      <w:r>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[18]</w:t>
      </w:r>
      <w:r>
        <w:rPr>
          <w:rFonts w:ascii="Times New Roman" w:hAnsi="Times New Roman" w:cs="Times New Roman"/>
          <w:sz w:val="28"/>
          <w:szCs w:val="28"/>
          <w:lang w:bidi="ar-SA"/>
        </w:rPr>
        <w:fldChar w:fldCharType="end"/>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Напротив, в нашем исследовании полиморфизм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 xml:space="preserve">в гене </w:t>
      </w:r>
      <w:r>
        <w:rPr>
          <w:rFonts w:ascii="Times New Roman" w:hAnsi="Times New Roman" w:cs="Times New Roman"/>
          <w:sz w:val="28"/>
          <w:szCs w:val="28"/>
          <w:lang w:val="en-US" w:bidi="ar-SA"/>
        </w:rPr>
        <w:t>CES</w:t>
      </w:r>
      <w:r w:rsidRPr="004E5901">
        <w:rPr>
          <w:rFonts w:ascii="Times New Roman" w:hAnsi="Times New Roman" w:cs="Times New Roman"/>
          <w:sz w:val="28"/>
          <w:szCs w:val="28"/>
          <w:lang w:bidi="ar-SA"/>
        </w:rPr>
        <w:t xml:space="preserve">1 </w:t>
      </w:r>
      <w:r>
        <w:rPr>
          <w:rFonts w:ascii="Times New Roman" w:hAnsi="Times New Roman" w:cs="Times New Roman"/>
          <w:sz w:val="28"/>
          <w:szCs w:val="28"/>
          <w:lang w:bidi="ar-SA"/>
        </w:rPr>
        <w:t>связан с пиковыми и минимальными концентрациями дабигатрана в плазме согласно линейному регрессионному анализу.</w:t>
      </w:r>
    </w:p>
    <w:p w14:paraId="5E5B95DB" w14:textId="77777777" w:rsidR="00171CCC" w:rsidRDefault="00171CCC" w:rsidP="000B2379">
      <w:pPr>
        <w:pStyle w:val="LO-normal"/>
        <w:spacing w:after="0" w:line="240" w:lineRule="auto"/>
        <w:ind w:firstLine="567"/>
        <w:jc w:val="both"/>
        <w:rPr>
          <w:rFonts w:ascii="Times New Roman" w:hAnsi="Times New Roman" w:cs="Times New Roman"/>
          <w:sz w:val="28"/>
          <w:szCs w:val="28"/>
          <w:lang w:bidi="ar-SA"/>
        </w:rPr>
      </w:pPr>
    </w:p>
    <w:p w14:paraId="5225BDE6" w14:textId="575DB5C5" w:rsidR="004E5901" w:rsidRDefault="004E5901" w:rsidP="004E5901">
      <w:pPr>
        <w:pStyle w:val="LO-normal"/>
        <w:spacing w:after="0" w:line="240" w:lineRule="auto"/>
        <w:ind w:firstLine="567"/>
        <w:jc w:val="both"/>
        <w:rPr>
          <w:rFonts w:ascii="Times New Roman" w:hAnsi="Times New Roman" w:cs="Times New Roman"/>
          <w:sz w:val="28"/>
          <w:szCs w:val="28"/>
          <w:lang w:bidi="ar-SA"/>
        </w:rPr>
      </w:pPr>
      <w:r w:rsidRPr="000B2379">
        <w:rPr>
          <w:rFonts w:ascii="Times New Roman" w:hAnsi="Times New Roman" w:cs="Times New Roman"/>
          <w:color w:val="000000" w:themeColor="text1"/>
          <w:sz w:val="28"/>
          <w:szCs w:val="28"/>
          <w:lang w:bidi="ar-SA"/>
        </w:rPr>
        <w:t xml:space="preserve">Таблица </w:t>
      </w:r>
      <w:r w:rsidR="000B2379" w:rsidRPr="000B2379">
        <w:rPr>
          <w:rFonts w:ascii="Times New Roman" w:hAnsi="Times New Roman" w:cs="Times New Roman"/>
          <w:color w:val="000000" w:themeColor="text1"/>
          <w:sz w:val="28"/>
          <w:szCs w:val="28"/>
          <w:lang w:bidi="ar-SA"/>
        </w:rPr>
        <w:t>9</w:t>
      </w:r>
      <w:r>
        <w:rPr>
          <w:rFonts w:ascii="Times New Roman" w:hAnsi="Times New Roman" w:cs="Times New Roman"/>
          <w:sz w:val="28"/>
          <w:szCs w:val="28"/>
          <w:lang w:bidi="ar-SA"/>
        </w:rPr>
        <w:t>. Множественный линейный регрессионный анализ для выявления влияния факторов на минимальную концентрацию дабигатрана.</w:t>
      </w:r>
    </w:p>
    <w:tbl>
      <w:tblPr>
        <w:tblW w:w="9638" w:type="dxa"/>
        <w:shd w:val="clear" w:color="auto" w:fill="FFF2CC"/>
        <w:tblLayout w:type="fixed"/>
        <w:tblLook w:val="0000" w:firstRow="0" w:lastRow="0" w:firstColumn="0" w:lastColumn="0" w:noHBand="0" w:noVBand="0"/>
      </w:tblPr>
      <w:tblGrid>
        <w:gridCol w:w="1681"/>
        <w:gridCol w:w="572"/>
        <w:gridCol w:w="708"/>
        <w:gridCol w:w="872"/>
        <w:gridCol w:w="547"/>
        <w:gridCol w:w="652"/>
        <w:gridCol w:w="659"/>
        <w:gridCol w:w="657"/>
        <w:gridCol w:w="658"/>
        <w:gridCol w:w="661"/>
        <w:gridCol w:w="655"/>
        <w:gridCol w:w="657"/>
        <w:gridCol w:w="659"/>
      </w:tblGrid>
      <w:tr w:rsidR="000B2379" w14:paraId="70E00E99"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41133B88"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19DF98A4"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31EF82F4"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4C7F8708"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Характеристики</w:t>
            </w:r>
          </w:p>
        </w:tc>
        <w:tc>
          <w:tcPr>
            <w:tcW w:w="1280"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536C272E"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proofErr w:type="spellStart"/>
            <w:r>
              <w:rPr>
                <w:rFonts w:ascii="Times New Roman" w:eastAsia="Times New Roman" w:hAnsi="Times New Roman" w:cs="Times New Roman"/>
                <w:b/>
                <w:i/>
                <w:iCs/>
                <w:sz w:val="18"/>
                <w:szCs w:val="18"/>
              </w:rPr>
              <w:t>Нестандартизованные</w:t>
            </w:r>
            <w:proofErr w:type="spellEnd"/>
            <w:r>
              <w:rPr>
                <w:rFonts w:ascii="Times New Roman" w:eastAsia="Times New Roman" w:hAnsi="Times New Roman" w:cs="Times New Roman"/>
                <w:b/>
                <w:i/>
                <w:iCs/>
                <w:sz w:val="18"/>
                <w:szCs w:val="18"/>
              </w:rPr>
              <w:t xml:space="preserve"> коэффициенты</w:t>
            </w:r>
          </w:p>
        </w:tc>
        <w:tc>
          <w:tcPr>
            <w:tcW w:w="872" w:type="dxa"/>
            <w:tcBorders>
              <w:top w:val="single" w:sz="12" w:space="0" w:color="538135"/>
              <w:left w:val="single" w:sz="12" w:space="0" w:color="538135"/>
              <w:bottom w:val="single" w:sz="12" w:space="0" w:color="538135"/>
              <w:right w:val="single" w:sz="12" w:space="0" w:color="538135"/>
            </w:tcBorders>
            <w:shd w:val="clear" w:color="auto" w:fill="A8D08D"/>
          </w:tcPr>
          <w:p w14:paraId="7727F16A"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Стандартизованные коэффициенты</w:t>
            </w:r>
          </w:p>
        </w:tc>
        <w:tc>
          <w:tcPr>
            <w:tcW w:w="547" w:type="dxa"/>
            <w:tcBorders>
              <w:top w:val="single" w:sz="12" w:space="0" w:color="538135"/>
              <w:left w:val="single" w:sz="12" w:space="0" w:color="538135"/>
              <w:bottom w:val="single" w:sz="12" w:space="0" w:color="538135"/>
              <w:right w:val="single" w:sz="12" w:space="0" w:color="538135"/>
            </w:tcBorders>
            <w:shd w:val="clear" w:color="auto" w:fill="A8D08D"/>
          </w:tcPr>
          <w:p w14:paraId="52656A51"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t</w:t>
            </w:r>
          </w:p>
        </w:tc>
        <w:tc>
          <w:tcPr>
            <w:tcW w:w="652" w:type="dxa"/>
            <w:tcBorders>
              <w:top w:val="single" w:sz="12" w:space="0" w:color="538135"/>
              <w:left w:val="single" w:sz="12" w:space="0" w:color="538135"/>
              <w:bottom w:val="single" w:sz="12" w:space="0" w:color="538135"/>
              <w:right w:val="single" w:sz="12" w:space="0" w:color="538135"/>
            </w:tcBorders>
            <w:shd w:val="clear" w:color="auto" w:fill="A8D08D"/>
          </w:tcPr>
          <w:p w14:paraId="17AC742E"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Значимость</w:t>
            </w:r>
          </w:p>
        </w:tc>
        <w:tc>
          <w:tcPr>
            <w:tcW w:w="1316"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DF1B884"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95,0% Доверительный интервал для B</w:t>
            </w:r>
          </w:p>
        </w:tc>
        <w:tc>
          <w:tcPr>
            <w:tcW w:w="1319" w:type="dxa"/>
            <w:gridSpan w:val="2"/>
            <w:tcBorders>
              <w:top w:val="single" w:sz="12" w:space="0" w:color="538135"/>
              <w:left w:val="single" w:sz="12" w:space="0" w:color="538135"/>
              <w:bottom w:val="single" w:sz="12" w:space="0" w:color="538135"/>
              <w:right w:val="single" w:sz="12" w:space="0" w:color="538135"/>
            </w:tcBorders>
            <w:shd w:val="clear" w:color="auto" w:fill="A8D08D"/>
          </w:tcPr>
          <w:p w14:paraId="4D407572"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Корреляции</w:t>
            </w:r>
          </w:p>
        </w:tc>
        <w:tc>
          <w:tcPr>
            <w:tcW w:w="1971" w:type="dxa"/>
            <w:gridSpan w:val="3"/>
            <w:tcBorders>
              <w:top w:val="single" w:sz="12" w:space="0" w:color="538135"/>
              <w:left w:val="single" w:sz="12" w:space="0" w:color="538135"/>
              <w:bottom w:val="single" w:sz="12" w:space="0" w:color="538135"/>
              <w:right w:val="single" w:sz="12" w:space="0" w:color="538135"/>
            </w:tcBorders>
            <w:shd w:val="clear" w:color="auto" w:fill="A8D08D"/>
          </w:tcPr>
          <w:p w14:paraId="3CE679EB"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 xml:space="preserve">Статистика </w:t>
            </w:r>
            <w:proofErr w:type="spellStart"/>
            <w:r>
              <w:rPr>
                <w:rFonts w:ascii="Times New Roman" w:eastAsia="Times New Roman" w:hAnsi="Times New Roman" w:cs="Times New Roman"/>
                <w:b/>
                <w:i/>
                <w:iCs/>
                <w:sz w:val="18"/>
                <w:szCs w:val="18"/>
              </w:rPr>
              <w:t>коллинеарности</w:t>
            </w:r>
            <w:proofErr w:type="spellEnd"/>
          </w:p>
        </w:tc>
      </w:tr>
      <w:tr w:rsidR="000B2379" w14:paraId="6023647D"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5E9D08CE" w14:textId="77777777" w:rsidR="000B2379" w:rsidRDefault="000B2379" w:rsidP="00B57F2E">
            <w:pPr>
              <w:pStyle w:val="Standard"/>
              <w:widowControl w:val="0"/>
              <w:suppressAutoHyphens w:val="0"/>
              <w:jc w:val="center"/>
              <w:textAlignment w:val="auto"/>
              <w:rPr>
                <w:rFonts w:hint="eastAsia"/>
              </w:rPr>
            </w:pP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49679F07"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274CA15E"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Стандартная ошибка</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41D7541D"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Бета</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7CC2A284" w14:textId="77777777" w:rsidR="000B2379" w:rsidRDefault="000B2379" w:rsidP="00B57F2E">
            <w:pPr>
              <w:pStyle w:val="Standard"/>
              <w:widowControl w:val="0"/>
              <w:suppressAutoHyphens w:val="0"/>
              <w:jc w:val="center"/>
              <w:textAlignment w:val="auto"/>
              <w:rPr>
                <w:rFonts w:hint="eastAsia"/>
              </w:rPr>
            </w:pP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51E194D1" w14:textId="77777777" w:rsidR="000B2379" w:rsidRDefault="000B2379" w:rsidP="00B57F2E">
            <w:pPr>
              <w:pStyle w:val="Standard"/>
              <w:widowControl w:val="0"/>
              <w:suppressAutoHyphens w:val="0"/>
              <w:jc w:val="center"/>
              <w:textAlignment w:val="auto"/>
              <w:rPr>
                <w:rFonts w:hint="eastAsia"/>
              </w:rPr>
            </w:pP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5617014C"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Нижняя граница</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4B99A59D"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Верхняя граница</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60734C2E"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Нулевого порядка</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423E59E0"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Частично</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6D0AC60E"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Компонент</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515D0590"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Допуск</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78AB5687" w14:textId="77777777" w:rsidR="000B2379" w:rsidRDefault="000B2379"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VIF</w:t>
            </w:r>
          </w:p>
        </w:tc>
      </w:tr>
      <w:tr w:rsidR="000B2379" w14:paraId="52DBE3DB"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48D2FB62" w14:textId="77777777" w:rsidR="000B2379" w:rsidRDefault="000B2379" w:rsidP="00B57F2E">
            <w:pPr>
              <w:pStyle w:val="Standard"/>
              <w:widowControl w:val="0"/>
              <w:suppressAutoHyphens w:val="0"/>
              <w:jc w:val="center"/>
              <w:textAlignment w:val="auto"/>
              <w:rPr>
                <w:rFonts w:hint="eastAsia"/>
                <w:sz w:val="18"/>
                <w:szCs w:val="18"/>
              </w:rPr>
            </w:pPr>
            <w:r>
              <w:rPr>
                <w:sz w:val="18"/>
                <w:szCs w:val="18"/>
              </w:rPr>
              <w:t>(Константа)</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6102AEA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-14,007</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3EF209A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63,361</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66699AEB" w14:textId="77777777" w:rsidR="000B2379" w:rsidRDefault="000B2379" w:rsidP="00B57F2E">
            <w:pPr>
              <w:pStyle w:val="Standard"/>
              <w:widowControl w:val="0"/>
              <w:suppressAutoHyphens w:val="0"/>
              <w:jc w:val="center"/>
              <w:textAlignment w:val="auto"/>
              <w:rPr>
                <w:rFonts w:ascii="Times New Roman" w:hAnsi="Times New Roman"/>
                <w:sz w:val="18"/>
                <w:szCs w:val="18"/>
              </w:rPr>
            </w:pP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7C69133E"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-,221</w:t>
            </w:r>
          </w:p>
        </w:tc>
        <w:tc>
          <w:tcPr>
            <w:tcW w:w="652" w:type="dxa"/>
            <w:tcBorders>
              <w:top w:val="single" w:sz="12" w:space="0" w:color="538135"/>
              <w:left w:val="single" w:sz="12" w:space="0" w:color="538135"/>
              <w:bottom w:val="single" w:sz="12" w:space="0" w:color="538135"/>
              <w:right w:val="single" w:sz="12" w:space="0" w:color="538135"/>
            </w:tcBorders>
            <w:shd w:val="clear" w:color="auto" w:fill="FFFFFF"/>
          </w:tcPr>
          <w:p w14:paraId="6614249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,825</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2DCD74E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-139,368</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3E09870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111,355</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0E8EB0C1" w14:textId="77777777" w:rsidR="000B2379" w:rsidRDefault="000B2379" w:rsidP="00B57F2E">
            <w:pPr>
              <w:pStyle w:val="Standard"/>
              <w:widowControl w:val="0"/>
              <w:suppressAutoHyphens w:val="0"/>
              <w:jc w:val="center"/>
              <w:textAlignment w:val="auto"/>
              <w:rPr>
                <w:rFonts w:ascii="Times New Roman" w:hAnsi="Times New Roman"/>
                <w:sz w:val="18"/>
                <w:szCs w:val="18"/>
              </w:rPr>
            </w:pP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131F83FA" w14:textId="77777777" w:rsidR="000B2379" w:rsidRDefault="000B2379" w:rsidP="00B57F2E">
            <w:pPr>
              <w:pStyle w:val="Standard"/>
              <w:widowControl w:val="0"/>
              <w:suppressAutoHyphens w:val="0"/>
              <w:jc w:val="center"/>
              <w:textAlignment w:val="auto"/>
              <w:rPr>
                <w:rFonts w:ascii="Times New Roman" w:hAnsi="Times New Roman"/>
                <w:sz w:val="18"/>
                <w:szCs w:val="18"/>
              </w:rPr>
            </w:pP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3B16D993" w14:textId="77777777" w:rsidR="000B2379" w:rsidRDefault="000B2379" w:rsidP="00B57F2E">
            <w:pPr>
              <w:pStyle w:val="Standard"/>
              <w:widowControl w:val="0"/>
              <w:suppressAutoHyphens w:val="0"/>
              <w:jc w:val="center"/>
              <w:textAlignment w:val="auto"/>
              <w:rPr>
                <w:rFonts w:ascii="Times New Roman" w:hAnsi="Times New Roman"/>
                <w:sz w:val="18"/>
                <w:szCs w:val="18"/>
              </w:rPr>
            </w:pP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76A5A860" w14:textId="77777777" w:rsidR="000B2379" w:rsidRDefault="000B2379" w:rsidP="00B57F2E">
            <w:pPr>
              <w:pStyle w:val="Standard"/>
              <w:widowControl w:val="0"/>
              <w:suppressAutoHyphens w:val="0"/>
              <w:jc w:val="center"/>
              <w:textAlignment w:val="auto"/>
              <w:rPr>
                <w:rFonts w:ascii="Times New Roman" w:hAnsi="Times New Roman"/>
                <w:sz w:val="18"/>
                <w:szCs w:val="18"/>
              </w:rPr>
            </w:pP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4C39721F" w14:textId="77777777" w:rsidR="000B2379" w:rsidRDefault="000B2379" w:rsidP="00B57F2E">
            <w:pPr>
              <w:pStyle w:val="Standard"/>
              <w:widowControl w:val="0"/>
              <w:suppressAutoHyphens w:val="0"/>
              <w:jc w:val="center"/>
              <w:textAlignment w:val="auto"/>
              <w:rPr>
                <w:rFonts w:ascii="Times New Roman" w:hAnsi="Times New Roman"/>
                <w:sz w:val="18"/>
                <w:szCs w:val="18"/>
              </w:rPr>
            </w:pPr>
          </w:p>
        </w:tc>
      </w:tr>
      <w:tr w:rsidR="000B2379" w14:paraId="3CFCE13C"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58C1252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04BBCFF2"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8192935  A</w:t>
            </w:r>
            <w:proofErr w:type="gramEnd"/>
            <w:r>
              <w:rPr>
                <w:rFonts w:ascii="Times New Roman" w:eastAsia="Times New Roman" w:hAnsi="Times New Roman" w:cs="Times New Roman"/>
                <w:b/>
                <w:bCs/>
                <w:sz w:val="20"/>
                <w:szCs w:val="20"/>
              </w:rPr>
              <w:t>_G</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34252AE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12,793</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10EC2F1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6,004</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4FD78EA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,223</w:t>
            </w: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1B8760F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2,131</w:t>
            </w:r>
          </w:p>
        </w:tc>
        <w:tc>
          <w:tcPr>
            <w:tcW w:w="652" w:type="dxa"/>
            <w:tcBorders>
              <w:top w:val="single" w:sz="12" w:space="0" w:color="538135"/>
              <w:left w:val="single" w:sz="12" w:space="0" w:color="538135"/>
              <w:bottom w:val="single" w:sz="12" w:space="0" w:color="538135"/>
              <w:right w:val="single" w:sz="12" w:space="0" w:color="538135"/>
            </w:tcBorders>
            <w:shd w:val="clear" w:color="auto" w:fill="A8D08D"/>
          </w:tcPr>
          <w:p w14:paraId="33A009EC" w14:textId="77777777" w:rsidR="000B2379" w:rsidRDefault="000B2379" w:rsidP="00B57F2E">
            <w:pPr>
              <w:pStyle w:val="Standard"/>
              <w:widowControl w:val="0"/>
              <w:suppressAutoHyphens w:val="0"/>
              <w:jc w:val="right"/>
              <w:textAlignment w:val="auto"/>
              <w:rPr>
                <w:rFonts w:ascii="Times New Roman" w:hAnsi="Times New Roman"/>
                <w:sz w:val="18"/>
                <w:szCs w:val="18"/>
                <w:shd w:val="clear" w:color="auto" w:fill="FFFF00"/>
              </w:rPr>
            </w:pPr>
            <w:r>
              <w:rPr>
                <w:rFonts w:ascii="Times New Roman" w:hAnsi="Times New Roman"/>
                <w:sz w:val="18"/>
                <w:szCs w:val="18"/>
                <w:shd w:val="clear" w:color="auto" w:fill="FFFF00"/>
              </w:rPr>
              <w:t>,035</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1DA977EE"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,914</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096AAD1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24,671</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5C7F3E12"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,165</w:t>
            </w: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187D15E7"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,184</w:t>
            </w: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11BDFED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,163</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40E608E5"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,537</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53F0190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1,863</w:t>
            </w:r>
          </w:p>
        </w:tc>
      </w:tr>
      <w:tr w:rsidR="000B2379" w14:paraId="7FD9542F"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4C597D6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w:t>
            </w:r>
          </w:p>
          <w:p w14:paraId="202CEAF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1128503  A</w:t>
            </w:r>
            <w:proofErr w:type="gramEnd"/>
            <w:r>
              <w:rPr>
                <w:rFonts w:ascii="Times New Roman" w:eastAsia="Times New Roman" w:hAnsi="Times New Roman" w:cs="Times New Roman"/>
                <w:b/>
                <w:bCs/>
                <w:sz w:val="20"/>
                <w:szCs w:val="20"/>
              </w:rPr>
              <w:t>_G</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763F5DBF"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-,724</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77FC5BE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5,411</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275F7063"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-,014</w:t>
            </w: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13673EFD"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-,134</w:t>
            </w:r>
          </w:p>
        </w:tc>
        <w:tc>
          <w:tcPr>
            <w:tcW w:w="652" w:type="dxa"/>
            <w:tcBorders>
              <w:top w:val="single" w:sz="12" w:space="0" w:color="538135"/>
              <w:left w:val="single" w:sz="12" w:space="0" w:color="538135"/>
              <w:bottom w:val="single" w:sz="12" w:space="0" w:color="538135"/>
              <w:right w:val="single" w:sz="12" w:space="0" w:color="538135"/>
            </w:tcBorders>
            <w:shd w:val="clear" w:color="auto" w:fill="FFFFFF"/>
          </w:tcPr>
          <w:p w14:paraId="7AE82C2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,894</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37F2AF82"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-11,431</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7443D1E2"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9,982</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68D7CC2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,085</w:t>
            </w: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39BEDF9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-,012</w:t>
            </w: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6A944FE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-,010</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56CA965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,535</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34F6EC7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1,868</w:t>
            </w:r>
          </w:p>
        </w:tc>
      </w:tr>
      <w:tr w:rsidR="000B2379" w14:paraId="7AF737DD"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4F7F849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6A0D5AF5"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2244613  G</w:t>
            </w:r>
            <w:proofErr w:type="gramEnd"/>
            <w:r>
              <w:rPr>
                <w:rFonts w:ascii="Times New Roman" w:eastAsia="Times New Roman" w:hAnsi="Times New Roman" w:cs="Times New Roman"/>
                <w:b/>
                <w:bCs/>
                <w:sz w:val="20"/>
                <w:szCs w:val="20"/>
              </w:rPr>
              <w:t>_T</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1D675042"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-5,271</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1F7EB2FE"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13,876</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5AA58AE5"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-,103</w:t>
            </w: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1BCE5E1E"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-,380</w:t>
            </w:r>
          </w:p>
        </w:tc>
        <w:tc>
          <w:tcPr>
            <w:tcW w:w="652" w:type="dxa"/>
            <w:tcBorders>
              <w:top w:val="single" w:sz="12" w:space="0" w:color="538135"/>
              <w:left w:val="single" w:sz="12" w:space="0" w:color="538135"/>
              <w:bottom w:val="single" w:sz="12" w:space="0" w:color="538135"/>
              <w:right w:val="single" w:sz="12" w:space="0" w:color="538135"/>
            </w:tcBorders>
            <w:shd w:val="clear" w:color="auto" w:fill="FFFFFF"/>
          </w:tcPr>
          <w:p w14:paraId="56FD6017"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,705</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515C3F3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-32,725</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5AF26AF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22,182</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20FF3A5D"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-,047</w:t>
            </w: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7A6EBC13"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-,033</w:t>
            </w: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0532313F"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-,029</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7197F99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,080</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6E4F803B"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12,494</w:t>
            </w:r>
          </w:p>
        </w:tc>
      </w:tr>
      <w:tr w:rsidR="000B2379" w14:paraId="4AFC9301"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792710CB" w14:textId="77777777" w:rsidR="000B2379" w:rsidRDefault="000B2379"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ABCB1</w:t>
            </w:r>
          </w:p>
          <w:p w14:paraId="6ABC3128" w14:textId="77777777" w:rsidR="000B2379" w:rsidRDefault="000B2379"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rs4148738    C_T</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50B6BDA5"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8,617</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0D96554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7,824</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5B528C0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,164</w:t>
            </w: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08D33028"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1,101</w:t>
            </w:r>
          </w:p>
        </w:tc>
        <w:tc>
          <w:tcPr>
            <w:tcW w:w="652" w:type="dxa"/>
            <w:tcBorders>
              <w:top w:val="single" w:sz="12" w:space="0" w:color="538135"/>
              <w:left w:val="single" w:sz="12" w:space="0" w:color="538135"/>
              <w:bottom w:val="single" w:sz="12" w:space="0" w:color="538135"/>
              <w:right w:val="single" w:sz="12" w:space="0" w:color="538135"/>
            </w:tcBorders>
            <w:shd w:val="clear" w:color="auto" w:fill="FFFFFF"/>
          </w:tcPr>
          <w:p w14:paraId="28EB1DD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,273</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5EE37FA4"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-6,864</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58A49091"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24,097</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3C4AEA4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-,008</w:t>
            </w: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210AC3AB"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,097</w:t>
            </w: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3501461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,084</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0CEAF1CB"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,265</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2C4AC1E1"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3,770</w:t>
            </w:r>
          </w:p>
        </w:tc>
      </w:tr>
      <w:tr w:rsidR="000B2379" w14:paraId="42469EBB"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56A06507"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6250AB50"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rs1045642 A_G</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4BC8F9DF"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,942</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7826C9B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9,499</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03161674"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,020</w:t>
            </w: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01681BDD"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,099</w:t>
            </w:r>
          </w:p>
        </w:tc>
        <w:tc>
          <w:tcPr>
            <w:tcW w:w="652" w:type="dxa"/>
            <w:tcBorders>
              <w:top w:val="single" w:sz="12" w:space="0" w:color="538135"/>
              <w:left w:val="single" w:sz="12" w:space="0" w:color="538135"/>
              <w:bottom w:val="single" w:sz="12" w:space="0" w:color="538135"/>
              <w:right w:val="single" w:sz="12" w:space="0" w:color="538135"/>
            </w:tcBorders>
            <w:shd w:val="clear" w:color="auto" w:fill="FFFFFF"/>
          </w:tcPr>
          <w:p w14:paraId="120197D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,921</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622B30E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-17,851</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2DFFC2CD"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19,736</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47E0F6F5"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,039</w:t>
            </w: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1C6EEF98"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,009</w:t>
            </w: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66EA64D8"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,008</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492BAF6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,144</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2BF3C7D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6,962</w:t>
            </w:r>
          </w:p>
        </w:tc>
      </w:tr>
      <w:tr w:rsidR="000B2379" w14:paraId="2FE79933"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2A44500A"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19BF5CE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rs2032582 C_A</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5D5B2E5B"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-8,414</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0E0E344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6,132</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51F730E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-,169</w:t>
            </w: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131BC37F"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-1,372</w:t>
            </w:r>
          </w:p>
        </w:tc>
        <w:tc>
          <w:tcPr>
            <w:tcW w:w="652" w:type="dxa"/>
            <w:tcBorders>
              <w:top w:val="single" w:sz="12" w:space="0" w:color="538135"/>
              <w:left w:val="single" w:sz="12" w:space="0" w:color="538135"/>
              <w:bottom w:val="single" w:sz="12" w:space="0" w:color="538135"/>
              <w:right w:val="single" w:sz="12" w:space="0" w:color="538135"/>
            </w:tcBorders>
            <w:shd w:val="clear" w:color="auto" w:fill="FFFFFF"/>
          </w:tcPr>
          <w:p w14:paraId="2B278DBE"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,172</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27758B1D"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-20,546</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6366B04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3,719</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7584637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-,106</w:t>
            </w: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72E97CE3"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-,120</w:t>
            </w: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0268FF7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-,105</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111C1F9E"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,386</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7EF59F27"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2,589</w:t>
            </w:r>
          </w:p>
        </w:tc>
      </w:tr>
      <w:tr w:rsidR="000B2379" w14:paraId="79FE47A2"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62ED00E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3949AEA3"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rs71647871 A_G</w:t>
            </w:r>
          </w:p>
        </w:tc>
        <w:tc>
          <w:tcPr>
            <w:tcW w:w="572" w:type="dxa"/>
            <w:tcBorders>
              <w:top w:val="single" w:sz="12" w:space="0" w:color="538135"/>
              <w:left w:val="single" w:sz="12" w:space="0" w:color="538135"/>
              <w:bottom w:val="single" w:sz="12" w:space="0" w:color="538135"/>
              <w:right w:val="single" w:sz="12" w:space="0" w:color="538135"/>
            </w:tcBorders>
            <w:shd w:val="clear" w:color="auto" w:fill="FFFFFF"/>
          </w:tcPr>
          <w:p w14:paraId="5ABD6693"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10,105</w:t>
            </w:r>
          </w:p>
        </w:tc>
        <w:tc>
          <w:tcPr>
            <w:tcW w:w="708" w:type="dxa"/>
            <w:tcBorders>
              <w:top w:val="single" w:sz="12" w:space="0" w:color="538135"/>
              <w:left w:val="single" w:sz="12" w:space="0" w:color="538135"/>
              <w:bottom w:val="single" w:sz="12" w:space="0" w:color="538135"/>
              <w:right w:val="single" w:sz="12" w:space="0" w:color="538135"/>
            </w:tcBorders>
            <w:shd w:val="clear" w:color="auto" w:fill="FFFFFF"/>
          </w:tcPr>
          <w:p w14:paraId="2F14FA8F"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25,887</w:t>
            </w:r>
          </w:p>
        </w:tc>
        <w:tc>
          <w:tcPr>
            <w:tcW w:w="872" w:type="dxa"/>
            <w:tcBorders>
              <w:top w:val="single" w:sz="12" w:space="0" w:color="538135"/>
              <w:left w:val="single" w:sz="12" w:space="0" w:color="538135"/>
              <w:bottom w:val="single" w:sz="12" w:space="0" w:color="538135"/>
              <w:right w:val="single" w:sz="12" w:space="0" w:color="538135"/>
            </w:tcBorders>
            <w:shd w:val="clear" w:color="auto" w:fill="FFFFFF"/>
          </w:tcPr>
          <w:p w14:paraId="52DCFBAB"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,031</w:t>
            </w:r>
          </w:p>
        </w:tc>
        <w:tc>
          <w:tcPr>
            <w:tcW w:w="547" w:type="dxa"/>
            <w:tcBorders>
              <w:top w:val="single" w:sz="12" w:space="0" w:color="538135"/>
              <w:left w:val="single" w:sz="12" w:space="0" w:color="538135"/>
              <w:bottom w:val="single" w:sz="12" w:space="0" w:color="538135"/>
              <w:right w:val="single" w:sz="12" w:space="0" w:color="538135"/>
            </w:tcBorders>
            <w:shd w:val="clear" w:color="auto" w:fill="FFFFFF"/>
          </w:tcPr>
          <w:p w14:paraId="02AFA00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,390</w:t>
            </w:r>
          </w:p>
        </w:tc>
        <w:tc>
          <w:tcPr>
            <w:tcW w:w="652" w:type="dxa"/>
            <w:tcBorders>
              <w:top w:val="single" w:sz="12" w:space="0" w:color="538135"/>
              <w:left w:val="single" w:sz="12" w:space="0" w:color="538135"/>
              <w:bottom w:val="single" w:sz="12" w:space="0" w:color="538135"/>
              <w:right w:val="single" w:sz="12" w:space="0" w:color="538135"/>
            </w:tcBorders>
            <w:shd w:val="clear" w:color="auto" w:fill="FFFFFF"/>
          </w:tcPr>
          <w:p w14:paraId="269BA66E"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,697</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3C4C9B0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-41,114</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61E48747"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61,324</w:t>
            </w:r>
          </w:p>
        </w:tc>
        <w:tc>
          <w:tcPr>
            <w:tcW w:w="658" w:type="dxa"/>
            <w:tcBorders>
              <w:top w:val="single" w:sz="12" w:space="0" w:color="538135"/>
              <w:left w:val="single" w:sz="12" w:space="0" w:color="538135"/>
              <w:bottom w:val="single" w:sz="12" w:space="0" w:color="538135"/>
              <w:right w:val="single" w:sz="12" w:space="0" w:color="538135"/>
            </w:tcBorders>
            <w:shd w:val="clear" w:color="auto" w:fill="FFFFFF"/>
          </w:tcPr>
          <w:p w14:paraId="172694E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,015</w:t>
            </w:r>
          </w:p>
        </w:tc>
        <w:tc>
          <w:tcPr>
            <w:tcW w:w="661" w:type="dxa"/>
            <w:tcBorders>
              <w:top w:val="single" w:sz="12" w:space="0" w:color="538135"/>
              <w:left w:val="single" w:sz="12" w:space="0" w:color="538135"/>
              <w:bottom w:val="single" w:sz="12" w:space="0" w:color="538135"/>
              <w:right w:val="single" w:sz="12" w:space="0" w:color="538135"/>
            </w:tcBorders>
            <w:shd w:val="clear" w:color="auto" w:fill="FFFFFF"/>
          </w:tcPr>
          <w:p w14:paraId="3E2BEB50"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,034</w:t>
            </w:r>
          </w:p>
        </w:tc>
        <w:tc>
          <w:tcPr>
            <w:tcW w:w="655" w:type="dxa"/>
            <w:tcBorders>
              <w:top w:val="single" w:sz="12" w:space="0" w:color="538135"/>
              <w:left w:val="single" w:sz="12" w:space="0" w:color="538135"/>
              <w:bottom w:val="single" w:sz="12" w:space="0" w:color="538135"/>
              <w:right w:val="single" w:sz="12" w:space="0" w:color="538135"/>
            </w:tcBorders>
            <w:shd w:val="clear" w:color="auto" w:fill="FFFFFF"/>
          </w:tcPr>
          <w:p w14:paraId="35EF4424"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,030</w:t>
            </w:r>
          </w:p>
        </w:tc>
        <w:tc>
          <w:tcPr>
            <w:tcW w:w="657" w:type="dxa"/>
            <w:tcBorders>
              <w:top w:val="single" w:sz="12" w:space="0" w:color="538135"/>
              <w:left w:val="single" w:sz="12" w:space="0" w:color="538135"/>
              <w:bottom w:val="single" w:sz="12" w:space="0" w:color="538135"/>
              <w:right w:val="single" w:sz="12" w:space="0" w:color="538135"/>
            </w:tcBorders>
            <w:shd w:val="clear" w:color="auto" w:fill="FFFFFF"/>
          </w:tcPr>
          <w:p w14:paraId="3715D805"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,956</w:t>
            </w:r>
          </w:p>
        </w:tc>
        <w:tc>
          <w:tcPr>
            <w:tcW w:w="659" w:type="dxa"/>
            <w:tcBorders>
              <w:top w:val="single" w:sz="12" w:space="0" w:color="538135"/>
              <w:left w:val="single" w:sz="12" w:space="0" w:color="538135"/>
              <w:bottom w:val="single" w:sz="12" w:space="0" w:color="538135"/>
              <w:right w:val="single" w:sz="12" w:space="0" w:color="538135"/>
            </w:tcBorders>
            <w:shd w:val="clear" w:color="auto" w:fill="FFFFFF"/>
          </w:tcPr>
          <w:p w14:paraId="5C0D0178"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1,046</w:t>
            </w:r>
          </w:p>
        </w:tc>
      </w:tr>
      <w:tr w:rsidR="000B2379" w14:paraId="14B0B647"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2B0F196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возраст</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7D4E2828"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,320</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3A67790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,318</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2E9AA3A3"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,086</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7D84707D"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1,006</w:t>
            </w: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5CDC682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,316</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0E94FDB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-,309</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04D6CD0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,949</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3F84FE3B"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,091</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6C19F21A"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,088</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3A69B307"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,077</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0405D675"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,797</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6F0101D8"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1,255</w:t>
            </w:r>
          </w:p>
        </w:tc>
      </w:tr>
      <w:tr w:rsidR="000B2379" w14:paraId="79D27A11"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5A4D908B"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ИМТ</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6CAEFAA9"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-2,363</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0FD32141"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,855</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31AF77D5"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-,227</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3394E937"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-2,765</w:t>
            </w:r>
          </w:p>
        </w:tc>
        <w:tc>
          <w:tcPr>
            <w:tcW w:w="652" w:type="dxa"/>
            <w:tcBorders>
              <w:top w:val="single" w:sz="12" w:space="0" w:color="538135"/>
              <w:left w:val="single" w:sz="12" w:space="0" w:color="538135"/>
              <w:bottom w:val="single" w:sz="12" w:space="0" w:color="538135"/>
              <w:right w:val="single" w:sz="12" w:space="0" w:color="538135"/>
            </w:tcBorders>
            <w:shd w:val="clear" w:color="auto" w:fill="A8D08D"/>
          </w:tcPr>
          <w:p w14:paraId="72C3BDB7" w14:textId="77777777" w:rsidR="000B2379" w:rsidRDefault="000B2379" w:rsidP="00B57F2E">
            <w:pPr>
              <w:pStyle w:val="Standard"/>
              <w:widowControl w:val="0"/>
              <w:suppressAutoHyphens w:val="0"/>
              <w:jc w:val="right"/>
              <w:textAlignment w:val="auto"/>
              <w:rPr>
                <w:rFonts w:ascii="Times New Roman" w:hAnsi="Times New Roman"/>
                <w:sz w:val="18"/>
                <w:szCs w:val="18"/>
                <w:shd w:val="clear" w:color="auto" w:fill="FFFF00"/>
              </w:rPr>
            </w:pPr>
            <w:r>
              <w:rPr>
                <w:rFonts w:ascii="Times New Roman" w:hAnsi="Times New Roman"/>
                <w:sz w:val="18"/>
                <w:szCs w:val="18"/>
                <w:shd w:val="clear" w:color="auto" w:fill="FFFF00"/>
              </w:rPr>
              <w:t>,007</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5A521468"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-4,054</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19E5CE72"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-,672</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202DBE23"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-,186</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15E40C93"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-,237</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68C31E4B"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-,212</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206E1A9C"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,874</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3AFF93B6" w14:textId="77777777" w:rsidR="000B2379" w:rsidRDefault="000B2379"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1,144</w:t>
            </w:r>
          </w:p>
        </w:tc>
      </w:tr>
      <w:tr w:rsidR="000B2379" w14:paraId="0A71BA24"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1AA1CCEC"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Пол</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4C3F3F0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11,031</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31626383"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6,909</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26905C4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,143</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0B2FDDE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1,597</w:t>
            </w: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46612B9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,113</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18D2ABB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-2,638</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6512F747"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24,700</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23A55089"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,188</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180F6745"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,139</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21F9913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,122</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7E43D77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,736</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0BAD17A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1,359</w:t>
            </w:r>
          </w:p>
        </w:tc>
      </w:tr>
      <w:tr w:rsidR="000B2379" w14:paraId="5F6F4402"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47FEA15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АЧТВ, с</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0E804B2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1,801</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6AD06BD0"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,484</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58C4F76F"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,341</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17553452"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3,719</w:t>
            </w:r>
          </w:p>
        </w:tc>
        <w:tc>
          <w:tcPr>
            <w:tcW w:w="652" w:type="dxa"/>
            <w:tcBorders>
              <w:top w:val="single" w:sz="12" w:space="0" w:color="538135"/>
              <w:left w:val="single" w:sz="12" w:space="0" w:color="538135"/>
              <w:bottom w:val="single" w:sz="12" w:space="0" w:color="538135"/>
              <w:right w:val="single" w:sz="12" w:space="0" w:color="538135"/>
            </w:tcBorders>
            <w:shd w:val="clear" w:color="auto" w:fill="A8D08D"/>
          </w:tcPr>
          <w:p w14:paraId="3AC4DCD8" w14:textId="77777777" w:rsidR="000B2379" w:rsidRDefault="000B2379" w:rsidP="00B57F2E">
            <w:pPr>
              <w:pStyle w:val="Standard"/>
              <w:widowControl w:val="0"/>
              <w:suppressAutoHyphens w:val="0"/>
              <w:jc w:val="right"/>
              <w:textAlignment w:val="auto"/>
              <w:rPr>
                <w:rFonts w:hint="eastAsia"/>
                <w:sz w:val="18"/>
                <w:szCs w:val="18"/>
                <w:shd w:val="clear" w:color="auto" w:fill="FFFF00"/>
              </w:rPr>
            </w:pPr>
            <w:r>
              <w:rPr>
                <w:sz w:val="18"/>
                <w:szCs w:val="18"/>
                <w:shd w:val="clear" w:color="auto" w:fill="FFFF00"/>
              </w:rPr>
              <w:t>,000</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2D592702"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,843</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503A37B7"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2,759</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647845F7"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,279</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7520F07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,311</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0BB5057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,285</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3A9FFED9"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,699</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2700A965"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1,430</w:t>
            </w:r>
          </w:p>
        </w:tc>
      </w:tr>
      <w:tr w:rsidR="000B2379" w14:paraId="3A2B88FB"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4A90E308"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ПВ, с</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33628FB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-1,600</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6730F35D"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1,115</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5BF52F58"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-,130</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682626C5"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-1,434</w:t>
            </w: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1AAA51A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,154</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130C01DD"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-3,806</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4EB02E9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,607</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57F900C5"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,020</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069F6734"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-,125</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2C46DD0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-,110</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35994229"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,713</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538BEDB8"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1,403</w:t>
            </w:r>
          </w:p>
        </w:tc>
      </w:tr>
      <w:tr w:rsidR="000B2379" w14:paraId="2E7EE20D"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3332D68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Фибриноген, г/л</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405DE977"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1,770</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6DD258F0"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3,276</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39AADFCE"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,044</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6B58BBF9"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,540</w:t>
            </w: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46302D0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,590</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413B4845"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-4,712</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1A504EC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8,252</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15EB7F6A"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,076</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0683CBC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,048</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092DECC3"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,041</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41E0A94A"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,879</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62CB5B6A"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1,137</w:t>
            </w:r>
          </w:p>
        </w:tc>
      </w:tr>
      <w:tr w:rsidR="000B2379" w14:paraId="08FF4A3C"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54B2DFD1"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AЛT, Ед/л</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6D413F9F"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,329</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7B32A9C6"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,403</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61A80A3D"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,084</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069DA300"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,815</w:t>
            </w: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6882EC7F"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,417</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01B7B88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-,470</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002DE3B7"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1,127</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7B859575"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,072</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4EC3A042"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,072</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41E7F019"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,062</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79F2CD0A"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,558</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72B0F04A"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1,791</w:t>
            </w:r>
          </w:p>
        </w:tc>
      </w:tr>
      <w:tr w:rsidR="000B2379" w14:paraId="3BF03E78"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44CFA34F"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AСT, ЕД/л</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6CB8DA6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-,052</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0AA06171"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,436</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45C6D76F"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-,012</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78439DAE"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-,119</w:t>
            </w: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55050CAD"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,906</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3DC43B6A"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-,915</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2C2820EF"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,811</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1A8438F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,023</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5D8ACBF3"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-,010</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30BF1028"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-,009</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2CDB9112"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,585</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7E591E67"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1,709</w:t>
            </w:r>
          </w:p>
        </w:tc>
      </w:tr>
      <w:tr w:rsidR="000B2379" w14:paraId="2C20FE0D" w14:textId="77777777" w:rsidTr="00B57F2E">
        <w:trPr>
          <w:trHeight w:val="285"/>
        </w:trPr>
        <w:tc>
          <w:tcPr>
            <w:tcW w:w="1681" w:type="dxa"/>
            <w:tcBorders>
              <w:top w:val="single" w:sz="12" w:space="0" w:color="538135"/>
              <w:left w:val="single" w:sz="12" w:space="0" w:color="538135"/>
              <w:bottom w:val="single" w:sz="12" w:space="0" w:color="538135"/>
              <w:right w:val="single" w:sz="12" w:space="0" w:color="538135"/>
            </w:tcBorders>
            <w:shd w:val="clear" w:color="auto" w:fill="A8D08D"/>
          </w:tcPr>
          <w:p w14:paraId="0A994E66" w14:textId="77777777" w:rsidR="000B2379" w:rsidRDefault="000B2379"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Креатинин, мг/дл</w:t>
            </w:r>
          </w:p>
        </w:tc>
        <w:tc>
          <w:tcPr>
            <w:tcW w:w="572" w:type="dxa"/>
            <w:tcBorders>
              <w:top w:val="single" w:sz="12" w:space="0" w:color="538135"/>
              <w:left w:val="single" w:sz="12" w:space="0" w:color="538135"/>
              <w:bottom w:val="single" w:sz="12" w:space="0" w:color="538135"/>
              <w:right w:val="single" w:sz="12" w:space="0" w:color="538135"/>
            </w:tcBorders>
            <w:shd w:val="clear" w:color="auto" w:fill="FFF2CC"/>
          </w:tcPr>
          <w:p w14:paraId="36615980"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19,571</w:t>
            </w:r>
          </w:p>
        </w:tc>
        <w:tc>
          <w:tcPr>
            <w:tcW w:w="708" w:type="dxa"/>
            <w:tcBorders>
              <w:top w:val="single" w:sz="12" w:space="0" w:color="538135"/>
              <w:left w:val="single" w:sz="12" w:space="0" w:color="538135"/>
              <w:bottom w:val="single" w:sz="12" w:space="0" w:color="538135"/>
              <w:right w:val="single" w:sz="12" w:space="0" w:color="538135"/>
            </w:tcBorders>
            <w:shd w:val="clear" w:color="auto" w:fill="FFF2CC"/>
          </w:tcPr>
          <w:p w14:paraId="4FB3510D"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20,141</w:t>
            </w:r>
          </w:p>
        </w:tc>
        <w:tc>
          <w:tcPr>
            <w:tcW w:w="872" w:type="dxa"/>
            <w:tcBorders>
              <w:top w:val="single" w:sz="12" w:space="0" w:color="538135"/>
              <w:left w:val="single" w:sz="12" w:space="0" w:color="538135"/>
              <w:bottom w:val="single" w:sz="12" w:space="0" w:color="538135"/>
              <w:right w:val="single" w:sz="12" w:space="0" w:color="538135"/>
            </w:tcBorders>
            <w:shd w:val="clear" w:color="auto" w:fill="FFF2CC"/>
          </w:tcPr>
          <w:p w14:paraId="2D39397D"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,087</w:t>
            </w:r>
          </w:p>
        </w:tc>
        <w:tc>
          <w:tcPr>
            <w:tcW w:w="547" w:type="dxa"/>
            <w:tcBorders>
              <w:top w:val="single" w:sz="12" w:space="0" w:color="538135"/>
              <w:left w:val="single" w:sz="12" w:space="0" w:color="538135"/>
              <w:bottom w:val="single" w:sz="12" w:space="0" w:color="538135"/>
              <w:right w:val="single" w:sz="12" w:space="0" w:color="538135"/>
            </w:tcBorders>
            <w:shd w:val="clear" w:color="auto" w:fill="FFF2CC"/>
          </w:tcPr>
          <w:p w14:paraId="075F3B1E"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,972</w:t>
            </w:r>
          </w:p>
        </w:tc>
        <w:tc>
          <w:tcPr>
            <w:tcW w:w="652" w:type="dxa"/>
            <w:tcBorders>
              <w:top w:val="single" w:sz="12" w:space="0" w:color="538135"/>
              <w:left w:val="single" w:sz="12" w:space="0" w:color="538135"/>
              <w:bottom w:val="single" w:sz="12" w:space="0" w:color="538135"/>
              <w:right w:val="single" w:sz="12" w:space="0" w:color="538135"/>
            </w:tcBorders>
            <w:shd w:val="clear" w:color="auto" w:fill="FFF2CC"/>
          </w:tcPr>
          <w:p w14:paraId="6B6BA50B"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,333</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1BA78B36"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-20,278</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059465F8"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59,420</w:t>
            </w:r>
          </w:p>
        </w:tc>
        <w:tc>
          <w:tcPr>
            <w:tcW w:w="658" w:type="dxa"/>
            <w:tcBorders>
              <w:top w:val="single" w:sz="12" w:space="0" w:color="538135"/>
              <w:left w:val="single" w:sz="12" w:space="0" w:color="538135"/>
              <w:bottom w:val="single" w:sz="12" w:space="0" w:color="538135"/>
              <w:right w:val="single" w:sz="12" w:space="0" w:color="538135"/>
            </w:tcBorders>
            <w:shd w:val="clear" w:color="auto" w:fill="FFF2CC"/>
          </w:tcPr>
          <w:p w14:paraId="29189C48"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,043</w:t>
            </w:r>
          </w:p>
        </w:tc>
        <w:tc>
          <w:tcPr>
            <w:tcW w:w="661" w:type="dxa"/>
            <w:tcBorders>
              <w:top w:val="single" w:sz="12" w:space="0" w:color="538135"/>
              <w:left w:val="single" w:sz="12" w:space="0" w:color="538135"/>
              <w:bottom w:val="single" w:sz="12" w:space="0" w:color="538135"/>
              <w:right w:val="single" w:sz="12" w:space="0" w:color="538135"/>
            </w:tcBorders>
            <w:shd w:val="clear" w:color="auto" w:fill="FFF2CC"/>
          </w:tcPr>
          <w:p w14:paraId="3030510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,085</w:t>
            </w:r>
          </w:p>
        </w:tc>
        <w:tc>
          <w:tcPr>
            <w:tcW w:w="655" w:type="dxa"/>
            <w:tcBorders>
              <w:top w:val="single" w:sz="12" w:space="0" w:color="538135"/>
              <w:left w:val="single" w:sz="12" w:space="0" w:color="538135"/>
              <w:bottom w:val="single" w:sz="12" w:space="0" w:color="538135"/>
              <w:right w:val="single" w:sz="12" w:space="0" w:color="538135"/>
            </w:tcBorders>
            <w:shd w:val="clear" w:color="auto" w:fill="FFF2CC"/>
          </w:tcPr>
          <w:p w14:paraId="48A1F97F"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,075</w:t>
            </w:r>
          </w:p>
        </w:tc>
        <w:tc>
          <w:tcPr>
            <w:tcW w:w="657" w:type="dxa"/>
            <w:tcBorders>
              <w:top w:val="single" w:sz="12" w:space="0" w:color="538135"/>
              <w:left w:val="single" w:sz="12" w:space="0" w:color="538135"/>
              <w:bottom w:val="single" w:sz="12" w:space="0" w:color="538135"/>
              <w:right w:val="single" w:sz="12" w:space="0" w:color="538135"/>
            </w:tcBorders>
            <w:shd w:val="clear" w:color="auto" w:fill="FFF2CC"/>
          </w:tcPr>
          <w:p w14:paraId="08ED6990"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,736</w:t>
            </w:r>
          </w:p>
        </w:tc>
        <w:tc>
          <w:tcPr>
            <w:tcW w:w="659" w:type="dxa"/>
            <w:tcBorders>
              <w:top w:val="single" w:sz="12" w:space="0" w:color="538135"/>
              <w:left w:val="single" w:sz="12" w:space="0" w:color="538135"/>
              <w:bottom w:val="single" w:sz="12" w:space="0" w:color="538135"/>
              <w:right w:val="single" w:sz="12" w:space="0" w:color="538135"/>
            </w:tcBorders>
            <w:shd w:val="clear" w:color="auto" w:fill="FFF2CC"/>
          </w:tcPr>
          <w:p w14:paraId="16F7666C" w14:textId="77777777" w:rsidR="000B2379" w:rsidRDefault="000B2379" w:rsidP="00B57F2E">
            <w:pPr>
              <w:pStyle w:val="Standard"/>
              <w:widowControl w:val="0"/>
              <w:suppressAutoHyphens w:val="0"/>
              <w:jc w:val="right"/>
              <w:textAlignment w:val="auto"/>
              <w:rPr>
                <w:rFonts w:hint="eastAsia"/>
                <w:sz w:val="18"/>
                <w:szCs w:val="18"/>
              </w:rPr>
            </w:pPr>
            <w:r>
              <w:rPr>
                <w:sz w:val="18"/>
                <w:szCs w:val="18"/>
              </w:rPr>
              <w:t>1,359</w:t>
            </w:r>
          </w:p>
        </w:tc>
      </w:tr>
    </w:tbl>
    <w:p w14:paraId="67B210CA" w14:textId="77777777" w:rsidR="004E5901" w:rsidRDefault="004E5901" w:rsidP="004E5901">
      <w:pPr>
        <w:pStyle w:val="LO-normal"/>
        <w:spacing w:after="0" w:line="240" w:lineRule="auto"/>
        <w:ind w:firstLine="567"/>
        <w:jc w:val="both"/>
        <w:rPr>
          <w:rFonts w:ascii="Times New Roman" w:hAnsi="Times New Roman" w:cs="Times New Roman"/>
          <w:sz w:val="28"/>
          <w:szCs w:val="28"/>
          <w:lang w:bidi="ar-SA"/>
        </w:rPr>
      </w:pPr>
    </w:p>
    <w:p w14:paraId="31EC8463" w14:textId="6FC711BC" w:rsidR="004E5901" w:rsidRDefault="004E5901" w:rsidP="004E5901">
      <w:pPr>
        <w:pStyle w:val="LO-normal"/>
        <w:spacing w:after="0" w:line="240" w:lineRule="auto"/>
        <w:ind w:firstLine="567"/>
        <w:jc w:val="both"/>
        <w:rPr>
          <w:rFonts w:ascii="Times New Roman" w:hAnsi="Times New Roman" w:cs="Times New Roman"/>
          <w:sz w:val="28"/>
          <w:szCs w:val="28"/>
          <w:lang w:bidi="ar-SA"/>
        </w:rPr>
      </w:pPr>
    </w:p>
    <w:p w14:paraId="5B8A10F2" w14:textId="28CBA0B6" w:rsidR="004E5901" w:rsidRPr="004E5901" w:rsidRDefault="004E5901" w:rsidP="004E5901">
      <w:pPr>
        <w:pStyle w:val="LO-normal"/>
        <w:spacing w:after="0" w:line="240" w:lineRule="auto"/>
        <w:ind w:firstLine="567"/>
        <w:jc w:val="both"/>
        <w:rPr>
          <w:rFonts w:ascii="Times New Roman" w:hAnsi="Times New Roman" w:cs="Times New Roman"/>
          <w:b/>
          <w:bCs/>
          <w:sz w:val="28"/>
          <w:szCs w:val="28"/>
          <w:lang w:bidi="ar-SA"/>
        </w:rPr>
      </w:pPr>
      <w:r w:rsidRPr="004E5901">
        <w:rPr>
          <w:rFonts w:ascii="Times New Roman" w:hAnsi="Times New Roman" w:cs="Times New Roman"/>
          <w:b/>
          <w:bCs/>
          <w:sz w:val="28"/>
          <w:szCs w:val="28"/>
          <w:lang w:bidi="ar-SA"/>
        </w:rPr>
        <w:t>3.3.5 Оценка влияния полиморфизма гена АВСВ1 на фармакокинетические параметры апиксабана</w:t>
      </w:r>
    </w:p>
    <w:p w14:paraId="2690F785" w14:textId="3B416257" w:rsidR="004E5901" w:rsidRDefault="004E5901"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Исследуемую группу генотипировали по полиморфизмам гена АВСВ1. В дальнейшем проводился анализ ассоциации плазменных концентраций препарата с представленными генотипами. Результаты продемонстрированы в </w:t>
      </w:r>
      <w:r w:rsidRPr="000B2379">
        <w:rPr>
          <w:rFonts w:ascii="Times New Roman" w:hAnsi="Times New Roman" w:cs="Times New Roman"/>
          <w:color w:val="000000" w:themeColor="text1"/>
          <w:sz w:val="28"/>
          <w:szCs w:val="28"/>
          <w:lang w:bidi="ar-SA"/>
        </w:rPr>
        <w:t xml:space="preserve">таблице </w:t>
      </w:r>
      <w:r w:rsidR="000B2379" w:rsidRPr="000B2379">
        <w:rPr>
          <w:rFonts w:ascii="Times New Roman" w:hAnsi="Times New Roman" w:cs="Times New Roman"/>
          <w:color w:val="000000" w:themeColor="text1"/>
          <w:sz w:val="28"/>
          <w:szCs w:val="28"/>
          <w:lang w:bidi="ar-SA"/>
        </w:rPr>
        <w:t>10</w:t>
      </w:r>
      <w:r>
        <w:rPr>
          <w:rFonts w:ascii="Times New Roman" w:hAnsi="Times New Roman" w:cs="Times New Roman"/>
          <w:sz w:val="28"/>
          <w:szCs w:val="28"/>
          <w:lang w:bidi="ar-SA"/>
        </w:rPr>
        <w:t>.</w:t>
      </w:r>
    </w:p>
    <w:p w14:paraId="60BF6E4C" w14:textId="77777777" w:rsidR="000B2379" w:rsidRDefault="000B2379" w:rsidP="004E5901">
      <w:pPr>
        <w:pStyle w:val="LO-normal"/>
        <w:spacing w:after="0" w:line="240" w:lineRule="auto"/>
        <w:ind w:firstLine="567"/>
        <w:jc w:val="both"/>
        <w:rPr>
          <w:rFonts w:ascii="Times New Roman" w:hAnsi="Times New Roman" w:cs="Times New Roman"/>
          <w:sz w:val="28"/>
          <w:szCs w:val="28"/>
          <w:lang w:bidi="ar-SA"/>
        </w:rPr>
      </w:pPr>
    </w:p>
    <w:p w14:paraId="38A377DB" w14:textId="46969DE6" w:rsidR="004E5901" w:rsidRDefault="004E5901" w:rsidP="004E5901">
      <w:pPr>
        <w:pStyle w:val="LO-normal"/>
        <w:spacing w:after="0" w:line="240" w:lineRule="auto"/>
        <w:ind w:firstLine="567"/>
        <w:jc w:val="both"/>
        <w:rPr>
          <w:rFonts w:ascii="Times New Roman" w:hAnsi="Times New Roman" w:cs="Times New Roman"/>
          <w:sz w:val="28"/>
          <w:szCs w:val="28"/>
          <w:lang w:bidi="ar-SA"/>
        </w:rPr>
      </w:pPr>
      <w:r w:rsidRPr="000B2379">
        <w:rPr>
          <w:rFonts w:ascii="Times New Roman" w:hAnsi="Times New Roman" w:cs="Times New Roman"/>
          <w:color w:val="000000" w:themeColor="text1"/>
          <w:sz w:val="28"/>
          <w:szCs w:val="28"/>
          <w:lang w:bidi="ar-SA"/>
        </w:rPr>
        <w:t>Таблица 1</w:t>
      </w:r>
      <w:r w:rsidR="000B2379" w:rsidRPr="000B2379">
        <w:rPr>
          <w:rFonts w:ascii="Times New Roman" w:hAnsi="Times New Roman" w:cs="Times New Roman"/>
          <w:color w:val="000000" w:themeColor="text1"/>
          <w:sz w:val="28"/>
          <w:szCs w:val="28"/>
          <w:lang w:bidi="ar-SA"/>
        </w:rPr>
        <w:t>0</w:t>
      </w:r>
      <w:r>
        <w:rPr>
          <w:rFonts w:ascii="Times New Roman" w:hAnsi="Times New Roman" w:cs="Times New Roman"/>
          <w:sz w:val="28"/>
          <w:szCs w:val="28"/>
          <w:lang w:bidi="ar-SA"/>
        </w:rPr>
        <w:t>. Ассоциации плазменных концентраций препарата с представленными генотипами</w:t>
      </w:r>
      <w:r w:rsidR="005D528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kbLqtITH","properties":{"unsorted":false,"formattedCitation":"[252]","plainCitation":"[252]","noteIndex":0},"citationItems":[{"id":1820,"uris":["http://zotero.org/users/14784094/items/SWAZDWUE"],"itemData":{"id":1820,"type":"article-journal","abstract":"Введение. Фибрилляция предсердий представляет собой нарушение ритма сердца. Апиксабан - антикоагулянт прямого действия, механизм действия которого заключается в ингибировании активности фактора свертывания крови Xa. В литературе показано, что полиморфизмы генов ABCB1 являются наиболее распространенными генетическими вариантами, которые способствуют изменению пиковых и минимальных уровней лекарственных препаратов с доказанным клиническим эффектом. Цель исследования. Изучение влияния полиморфизма генов ABCB1 на концентрации апиксабана у пациентов с фибрилляцией предсердий в казахской популяции. Методы. Геномную ДНК из образцов периферической крови выделяли, используя коммерческий набор Thermo Scientific GeneJET Whole Blood Genomic DNA Purification Mini Kit (Thermo Fisher Scientific) согласно инструкции производителя. Концентрацию ДНК измеряли на спектрофотометре Nanodrop 1000. Генотипирование SNP проводили с использованием технологии TaqMan. Результаты. В данной работе не обнаружено статистически значимых различий в пиковых или минимальных концентрациях апиксабана в плазме крови с различными генотипами полиморфизмов гена ABCB1 (rs4148738, rs1045642, rs2032582, rs1128503) в казахской популяции. Выводы: Анализ влияния генетических факторов на активность ферментов, участвующих в метаболизме препарата поможет расширить возможности персонализированной медицины для индивидуализации лечения. Необходимо проведение более масштабных исследований для изучения влияния носительства полиморфизмов АВСВ1 на метаболизм апиксабана в различных этнических популяциях.\n            Introduction. Atrial fibrillation is a heart rhythm disorder. Apixaban is a direct-acting anticoagulant whose mechanism of action is to inhibit the activity of clotting factor Xa. The literature shows that polymorphisms of the ABCB1 gene are the most common genetic variants that contribute to the change in peak and trough levels of drugs with a proven clinical effect. Purpose of the study. Study of the effect of ABCB1 gene polymorphisms on apixaban concentrations in patients with atrial fibrillation in the Kazakh population. Methods. Genomic DNA was isolated from peripheral blood samples using a commercial Thermo Scientific GeneJET Whole Blood Genomic DNA Purification Mini Kit (Thermo Fisher Scientific) according to the manufacturer's instructions. DNA concentration was measured on a Nanodrop 1000 spectrophotometer. SNP genotyping was performed using TaqMan technology. Results. In this study, no statistically significant differences were found in peak or minimum concentrations of apixaban in blood plasma with different genotypes of ABCB1 gene polymorphisms (rs4148738, rs1045642, rs2032582, rs1128503) in the Kazakh population. Conclusions: Analysis of the influence of genetic factors on the activity of enzymes involved in the metabolism of the drug will help expand the possibilities of personalized medicine for individualizing treatment. It is necessary to conduct more extensive studies to study the effect of the carriage of ABCB1 polymorphisms on the metabolism of apixaban in various ethnic populations.\n            Кіріспе. Жүрекшелердің фибрилляциясы - жүрек ырғағының бұзылуы. Апиксабан тікелей әсер ететін антикоагулянт, оның әсер ету механизмі Ха ұю факторы белсенділігін тежеу болып табылады. Әдебиеттер ABCB1 гендерінің полиморфизмдері дәлелденген клиникалық әсері бар, дәрілік заттардың ең жоғары және ең төменгі деңгейлерінің өзгеруіне ықпал ететін ең көп таралған генетикалық нұсқалар болып табылатынын көрсетеді. Зерттеу мақсаты. ABCB1 гендік полиморфизмінің қазақстандық популяциядағы жүрекшелер фибрилляциясы бар науқастарда Апиксабан концентрациясына әсерін зерттеу Әдістері. Перифериялық қаннан геномдық ДНҚны бөлу өндірушінің нұсқауларына сәйкес коммерциялық Thermo Scientific GeneJET (Thermo Fisher Scientific) шағын жинағы арқылы жүзеге асты. ДНҚ концентрациясы Nanodrop 1000 спектрофотометрінде өлшенді. SNP генотипі TaqMan технологиясы арқылы орындалды. Нәтижелер. Берілген жұмыс бойынша қазақ популяциясында АВСВ1 генінің полиморфизмдері (rs4148738, rs1045642, rs2032582, rs1128503) мен қан плазмасындағы апиксабанның ең жоғары немесе ең төменгі концентрациясында статистикалық маңызды айырмашылықтар табылған жоқ. Қорытынды: Препараттың метаболизміне қатысатын ферменттердің белсенділігіне генетикалық факторлардың әсерін талдау, емдеуді жекелендіру үшін жекелендірілген медицинаның мүмкіндіктерін кеңейтуге көмектеседі. ABСВ1 полиморфизмдерін тасымалдаудың апиксабан метаболизміне әсерін зерттеу үшін әртүрлі этникалық популяцияларда ауқымды зерттеулер жүргізу қажет.","container-title":"Наука и здравоохранение","DOI":"10.34689/SH.2023.25.3.004","ISSN":"24104280","issue":"3(25)","language":"ru","page":"32-39","source":"DOI.org (Crossref)","title":"ОЦЕНКА ВЛИЯНИЯ ПОЛИМОРФИЗМА ГЕНА АВСВ1 НА ФАРМАКОКИНЕТИЧЕСКИЕ ПАРАМЕТРЫ АПИКСАБАНА В КАЗАХСКОЙ ПОПУЛЯЦИИ: EVALUATION OF THE ABСВ1 GENE POLYMORPHISMS EFFECTS ON THE АPIXABAN’S PHARMACOKINETIC PARAMETERS IN THE KAZAKH POPULATION","title-short":"ОЦЕНКА ВЛИЯНИЯ ПОЛИМОРФИЗМА ГЕНА АВСВ1 НА ФАРМАКОКИНЕТИЧЕСКИЕ ПАРАМЕТРЫ АПИКСАБАНА В КАЗАХСКОЙ ПОПУЛЯЦИИ","author":[{"family":"А.","given":"Абдрахманов"},{"family":"Е.","given":"Жолдыбаева"},{"family":"А.","given":"Шаймердинова"},{"family":"Е.","given":"Риб"},{"family":"С.","given":"Абильдинова"},{"family":"Г.","given":"Туякова"},{"family":"Ж.","given":"Сулеймен"},{"family":"М.","given":"Бекбосынова"}],"issued":{"date-parts":[["2023",6,30]]}}}],"schema":"https://github.com/citation-style-language/schema/raw/master/csl-citation.json"} </w:instrText>
      </w:r>
      <w:r w:rsidR="005D528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[252]</w:t>
      </w:r>
      <w:r w:rsidR="005D5289">
        <w:rPr>
          <w:rFonts w:ascii="Times New Roman" w:hAnsi="Times New Roman" w:cs="Times New Roman"/>
          <w:sz w:val="28"/>
          <w:szCs w:val="28"/>
          <w:lang w:bidi="ar-SA"/>
        </w:rPr>
        <w:fldChar w:fldCharType="end"/>
      </w:r>
      <w:r w:rsidR="004E59AF">
        <w:rPr>
          <w:rFonts w:ascii="Times New Roman" w:hAnsi="Times New Roman" w:cs="Times New Roman"/>
          <w:sz w:val="28"/>
          <w:szCs w:val="28"/>
          <w:lang w:bidi="ar-SA"/>
        </w:rPr>
        <w:t>.</w:t>
      </w:r>
    </w:p>
    <w:tbl>
      <w:tblPr>
        <w:tblW w:w="9015" w:type="dxa"/>
        <w:tblLayout w:type="fixed"/>
        <w:tblLook w:val="0000" w:firstRow="0" w:lastRow="0" w:firstColumn="0" w:lastColumn="0" w:noHBand="0" w:noVBand="0"/>
      </w:tblPr>
      <w:tblGrid>
        <w:gridCol w:w="2479"/>
        <w:gridCol w:w="1569"/>
        <w:gridCol w:w="1454"/>
        <w:gridCol w:w="1653"/>
        <w:gridCol w:w="1810"/>
        <w:gridCol w:w="50"/>
      </w:tblGrid>
      <w:tr w:rsidR="000B2379" w14:paraId="328D8580" w14:textId="77777777" w:rsidTr="00B57F2E">
        <w:trPr>
          <w:gridAfter w:val="1"/>
          <w:wAfter w:w="50" w:type="dxa"/>
          <w:trHeight w:val="170"/>
        </w:trPr>
        <w:tc>
          <w:tcPr>
            <w:tcW w:w="2479" w:type="dxa"/>
            <w:vMerge w:val="restart"/>
            <w:tcBorders>
              <w:top w:val="single" w:sz="4" w:space="0" w:color="A8D08D"/>
              <w:left w:val="single" w:sz="4" w:space="0" w:color="A8D08D"/>
              <w:bottom w:val="single" w:sz="4" w:space="0" w:color="A8D08D"/>
              <w:right w:val="single" w:sz="4" w:space="0" w:color="A8D08D"/>
            </w:tcBorders>
          </w:tcPr>
          <w:p w14:paraId="24EF105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p>
        </w:tc>
        <w:tc>
          <w:tcPr>
            <w:tcW w:w="3023" w:type="dxa"/>
            <w:gridSpan w:val="2"/>
            <w:tcBorders>
              <w:top w:val="single" w:sz="4" w:space="0" w:color="A8D08D"/>
              <w:left w:val="single" w:sz="4" w:space="0" w:color="A8D08D"/>
              <w:bottom w:val="single" w:sz="12" w:space="0" w:color="A8D08D"/>
              <w:right w:val="single" w:sz="4" w:space="0" w:color="A8D08D"/>
            </w:tcBorders>
          </w:tcPr>
          <w:p w14:paraId="0253D1D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Апиксабан макс. концентрация</w:t>
            </w:r>
          </w:p>
        </w:tc>
        <w:tc>
          <w:tcPr>
            <w:tcW w:w="3463" w:type="dxa"/>
            <w:gridSpan w:val="2"/>
            <w:tcBorders>
              <w:top w:val="single" w:sz="4" w:space="0" w:color="A8D08D"/>
              <w:left w:val="single" w:sz="4" w:space="0" w:color="A8D08D"/>
              <w:bottom w:val="single" w:sz="12" w:space="0" w:color="A8D08D"/>
              <w:right w:val="single" w:sz="4" w:space="0" w:color="A8D08D"/>
            </w:tcBorders>
          </w:tcPr>
          <w:p w14:paraId="64A53FC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Апиксабан мин. концентрация</w:t>
            </w:r>
          </w:p>
        </w:tc>
      </w:tr>
      <w:tr w:rsidR="000B2379" w14:paraId="4A6CA7ED" w14:textId="77777777" w:rsidTr="00B57F2E">
        <w:trPr>
          <w:gridAfter w:val="1"/>
          <w:wAfter w:w="50" w:type="dxa"/>
          <w:trHeight w:val="170"/>
        </w:trPr>
        <w:tc>
          <w:tcPr>
            <w:tcW w:w="2479" w:type="dxa"/>
            <w:vMerge/>
            <w:tcBorders>
              <w:top w:val="single" w:sz="4" w:space="0" w:color="A8D08D"/>
              <w:left w:val="single" w:sz="4" w:space="0" w:color="A8D08D"/>
              <w:bottom w:val="single" w:sz="4" w:space="0" w:color="A8D08D"/>
              <w:right w:val="single" w:sz="4" w:space="0" w:color="A8D08D"/>
            </w:tcBorders>
          </w:tcPr>
          <w:p w14:paraId="7A474ACD" w14:textId="77777777" w:rsidR="000B2379" w:rsidRDefault="000B2379" w:rsidP="00B57F2E"/>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1C0D895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Cр.зн</w:t>
            </w:r>
            <w:proofErr w:type="spellEnd"/>
            <w:r>
              <w:rPr>
                <w:rFonts w:ascii="Times New Roman" w:eastAsia="Times New Roman" w:hAnsi="Times New Roman" w:cs="Times New Roman"/>
                <w:color w:val="000000"/>
                <w:sz w:val="20"/>
                <w:szCs w:val="20"/>
              </w:rPr>
              <w:t xml:space="preserve"> ±</w:t>
            </w:r>
          </w:p>
          <w:p w14:paraId="4E5BAE6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ср.квд</w:t>
            </w:r>
            <w:proofErr w:type="spellEnd"/>
            <w:r>
              <w:rPr>
                <w:rFonts w:ascii="Times New Roman" w:eastAsia="Times New Roman" w:hAnsi="Times New Roman" w:cs="Times New Roman"/>
                <w:color w:val="000000"/>
                <w:sz w:val="20"/>
                <w:szCs w:val="20"/>
              </w:rPr>
              <w:t>. отклонение</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2E3E2AF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Занчение</w:t>
            </w:r>
            <w:proofErr w:type="spellEnd"/>
          </w:p>
          <w:p w14:paraId="22030A2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p(p-</w:t>
            </w:r>
            <w:proofErr w:type="spellStart"/>
            <w:r>
              <w:rPr>
                <w:rFonts w:ascii="Times New Roman" w:eastAsia="Times New Roman" w:hAnsi="Times New Roman" w:cs="Times New Roman"/>
                <w:color w:val="000000"/>
                <w:sz w:val="20"/>
                <w:szCs w:val="20"/>
              </w:rPr>
              <w:t>value</w:t>
            </w:r>
            <w:proofErr w:type="spellEnd"/>
            <w:r>
              <w:rPr>
                <w:rFonts w:ascii="Times New Roman" w:eastAsia="Times New Roman" w:hAnsi="Times New Roman" w:cs="Times New Roman"/>
                <w:color w:val="000000"/>
                <w:sz w:val="20"/>
                <w:szCs w:val="20"/>
              </w:rPr>
              <w:t>)</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69A8DAB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Cр.зн</w:t>
            </w:r>
            <w:proofErr w:type="spellEnd"/>
            <w:r>
              <w:rPr>
                <w:rFonts w:ascii="Times New Roman" w:eastAsia="Times New Roman" w:hAnsi="Times New Roman" w:cs="Times New Roman"/>
                <w:color w:val="000000"/>
                <w:sz w:val="20"/>
                <w:szCs w:val="20"/>
              </w:rPr>
              <w:t xml:space="preserve"> ±</w:t>
            </w:r>
          </w:p>
          <w:p w14:paraId="0DDAD3C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ср.квд</w:t>
            </w:r>
            <w:proofErr w:type="spellEnd"/>
            <w:r>
              <w:rPr>
                <w:rFonts w:ascii="Times New Roman" w:eastAsia="Times New Roman" w:hAnsi="Times New Roman" w:cs="Times New Roman"/>
                <w:color w:val="000000"/>
                <w:sz w:val="20"/>
                <w:szCs w:val="20"/>
              </w:rPr>
              <w:t>. отклонение</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1EFB4F7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Значение</w:t>
            </w:r>
          </w:p>
          <w:p w14:paraId="2A24375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 (p-</w:t>
            </w:r>
            <w:proofErr w:type="spellStart"/>
            <w:r>
              <w:rPr>
                <w:rFonts w:ascii="Times New Roman" w:eastAsia="Times New Roman" w:hAnsi="Times New Roman" w:cs="Times New Roman"/>
                <w:color w:val="000000"/>
                <w:sz w:val="20"/>
                <w:szCs w:val="20"/>
              </w:rPr>
              <w:t>value</w:t>
            </w:r>
            <w:proofErr w:type="spellEnd"/>
            <w:r>
              <w:rPr>
                <w:rFonts w:ascii="Times New Roman" w:eastAsia="Times New Roman" w:hAnsi="Times New Roman" w:cs="Times New Roman"/>
                <w:color w:val="000000"/>
                <w:sz w:val="20"/>
                <w:szCs w:val="20"/>
              </w:rPr>
              <w:t>)</w:t>
            </w:r>
          </w:p>
        </w:tc>
      </w:tr>
      <w:tr w:rsidR="000B2379" w14:paraId="5348C0B6"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4573115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1569" w:type="dxa"/>
            <w:tcBorders>
              <w:top w:val="single" w:sz="4" w:space="0" w:color="A8D08D"/>
              <w:left w:val="single" w:sz="4" w:space="0" w:color="A8D08D"/>
              <w:bottom w:val="single" w:sz="4" w:space="0" w:color="A8D08D"/>
              <w:right w:val="single" w:sz="4" w:space="0" w:color="A8D08D"/>
            </w:tcBorders>
          </w:tcPr>
          <w:p w14:paraId="6A6CA25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54" w:type="dxa"/>
            <w:tcBorders>
              <w:top w:val="single" w:sz="4" w:space="0" w:color="A8D08D"/>
              <w:left w:val="single" w:sz="4" w:space="0" w:color="A8D08D"/>
              <w:bottom w:val="single" w:sz="4" w:space="0" w:color="A8D08D"/>
              <w:right w:val="single" w:sz="4" w:space="0" w:color="A8D08D"/>
            </w:tcBorders>
          </w:tcPr>
          <w:p w14:paraId="649E151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653" w:type="dxa"/>
            <w:tcBorders>
              <w:top w:val="single" w:sz="4" w:space="0" w:color="A8D08D"/>
              <w:left w:val="single" w:sz="4" w:space="0" w:color="A8D08D"/>
              <w:bottom w:val="single" w:sz="4" w:space="0" w:color="A8D08D"/>
              <w:right w:val="single" w:sz="4" w:space="0" w:color="A8D08D"/>
            </w:tcBorders>
          </w:tcPr>
          <w:p w14:paraId="1F9AFF0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810" w:type="dxa"/>
            <w:tcBorders>
              <w:top w:val="single" w:sz="4" w:space="0" w:color="A8D08D"/>
              <w:left w:val="single" w:sz="4" w:space="0" w:color="A8D08D"/>
              <w:bottom w:val="single" w:sz="4" w:space="0" w:color="A8D08D"/>
              <w:right w:val="single" w:sz="4" w:space="0" w:color="A8D08D"/>
            </w:tcBorders>
          </w:tcPr>
          <w:p w14:paraId="183563F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0B2379" w14:paraId="5A058192"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2915F8F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rs4148738</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4AFDA07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7F026CB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1B11A71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0F44B5F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0B1A8BB"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2048AAC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Аддитивная модель</w:t>
            </w:r>
          </w:p>
        </w:tc>
        <w:tc>
          <w:tcPr>
            <w:tcW w:w="1569" w:type="dxa"/>
            <w:tcBorders>
              <w:top w:val="single" w:sz="4" w:space="0" w:color="A8D08D"/>
              <w:left w:val="single" w:sz="4" w:space="0" w:color="A8D08D"/>
              <w:bottom w:val="single" w:sz="4" w:space="0" w:color="A8D08D"/>
              <w:right w:val="single" w:sz="4" w:space="0" w:color="A8D08D"/>
            </w:tcBorders>
          </w:tcPr>
          <w:p w14:paraId="1ECBC3D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0A2425F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0.185</w:t>
            </w:r>
          </w:p>
        </w:tc>
        <w:tc>
          <w:tcPr>
            <w:tcW w:w="1653" w:type="dxa"/>
            <w:tcBorders>
              <w:top w:val="single" w:sz="4" w:space="0" w:color="A8D08D"/>
              <w:left w:val="single" w:sz="4" w:space="0" w:color="A8D08D"/>
              <w:bottom w:val="single" w:sz="4" w:space="0" w:color="A8D08D"/>
              <w:right w:val="single" w:sz="4" w:space="0" w:color="A8D08D"/>
            </w:tcBorders>
          </w:tcPr>
          <w:p w14:paraId="27D1EE1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tcPr>
          <w:p w14:paraId="3BA7D56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0.416</w:t>
            </w:r>
          </w:p>
        </w:tc>
      </w:tr>
      <w:tr w:rsidR="000B2379" w14:paraId="2E4D75D3"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2AA2D42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CC</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43B14A7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186.76±89.27</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038355F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60865D5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114.4±48.73</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1DB7C6A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12A6EBD9"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6CADE21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CT</w:t>
            </w:r>
          </w:p>
        </w:tc>
        <w:tc>
          <w:tcPr>
            <w:tcW w:w="1569" w:type="dxa"/>
            <w:tcBorders>
              <w:top w:val="single" w:sz="4" w:space="0" w:color="A8D08D"/>
              <w:left w:val="single" w:sz="4" w:space="0" w:color="A8D08D"/>
              <w:bottom w:val="single" w:sz="4" w:space="0" w:color="A8D08D"/>
              <w:right w:val="single" w:sz="4" w:space="0" w:color="A8D08D"/>
            </w:tcBorders>
          </w:tcPr>
          <w:p w14:paraId="65C850C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155.39±68.41</w:t>
            </w:r>
          </w:p>
        </w:tc>
        <w:tc>
          <w:tcPr>
            <w:tcW w:w="1454" w:type="dxa"/>
            <w:tcBorders>
              <w:top w:val="single" w:sz="4" w:space="0" w:color="A8D08D"/>
              <w:left w:val="single" w:sz="4" w:space="0" w:color="A8D08D"/>
              <w:bottom w:val="single" w:sz="4" w:space="0" w:color="A8D08D"/>
              <w:right w:val="single" w:sz="4" w:space="0" w:color="A8D08D"/>
            </w:tcBorders>
          </w:tcPr>
          <w:p w14:paraId="50D068E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6655CBC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94.62±40.92</w:t>
            </w:r>
          </w:p>
        </w:tc>
        <w:tc>
          <w:tcPr>
            <w:tcW w:w="1810" w:type="dxa"/>
            <w:tcBorders>
              <w:top w:val="single" w:sz="4" w:space="0" w:color="A8D08D"/>
              <w:left w:val="single" w:sz="4" w:space="0" w:color="A8D08D"/>
              <w:bottom w:val="single" w:sz="4" w:space="0" w:color="A8D08D"/>
              <w:right w:val="single" w:sz="4" w:space="0" w:color="A8D08D"/>
            </w:tcBorders>
          </w:tcPr>
          <w:p w14:paraId="0478357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E1F4193"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28B2955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TT</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6618C6B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163.51±81.04</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5F8CEBB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3C3CC2D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102.22±47.31</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020CBF9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2C6302AC"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50237AF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Доминантная модель</w:t>
            </w:r>
          </w:p>
        </w:tc>
        <w:tc>
          <w:tcPr>
            <w:tcW w:w="1569" w:type="dxa"/>
            <w:tcBorders>
              <w:top w:val="single" w:sz="4" w:space="0" w:color="A8D08D"/>
              <w:left w:val="single" w:sz="4" w:space="0" w:color="A8D08D"/>
              <w:bottom w:val="single" w:sz="4" w:space="0" w:color="A8D08D"/>
              <w:right w:val="single" w:sz="4" w:space="0" w:color="A8D08D"/>
            </w:tcBorders>
          </w:tcPr>
          <w:p w14:paraId="7C307EE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6B80B6A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0.180</w:t>
            </w:r>
          </w:p>
        </w:tc>
        <w:tc>
          <w:tcPr>
            <w:tcW w:w="1653" w:type="dxa"/>
            <w:tcBorders>
              <w:top w:val="single" w:sz="4" w:space="0" w:color="A8D08D"/>
              <w:left w:val="single" w:sz="4" w:space="0" w:color="A8D08D"/>
              <w:bottom w:val="single" w:sz="4" w:space="0" w:color="A8D08D"/>
              <w:right w:val="single" w:sz="4" w:space="0" w:color="A8D08D"/>
            </w:tcBorders>
          </w:tcPr>
          <w:p w14:paraId="43EC565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tcPr>
          <w:p w14:paraId="5CB87B6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0.456</w:t>
            </w:r>
          </w:p>
        </w:tc>
      </w:tr>
      <w:tr w:rsidR="000B2379" w14:paraId="51C13C29"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6D6A5BA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CC</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244BB18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186.76±89.27</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06E5311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21987AE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114.4±48.73</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71AE961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7633120E"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7D2DCD2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CT+TT</w:t>
            </w:r>
          </w:p>
        </w:tc>
        <w:tc>
          <w:tcPr>
            <w:tcW w:w="1569" w:type="dxa"/>
            <w:tcBorders>
              <w:top w:val="single" w:sz="4" w:space="0" w:color="A8D08D"/>
              <w:left w:val="single" w:sz="4" w:space="0" w:color="A8D08D"/>
              <w:bottom w:val="single" w:sz="4" w:space="0" w:color="A8D08D"/>
              <w:right w:val="single" w:sz="4" w:space="0" w:color="A8D08D"/>
            </w:tcBorders>
          </w:tcPr>
          <w:p w14:paraId="61235BD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159.04±74.13</w:t>
            </w:r>
          </w:p>
        </w:tc>
        <w:tc>
          <w:tcPr>
            <w:tcW w:w="1454" w:type="dxa"/>
            <w:tcBorders>
              <w:top w:val="single" w:sz="4" w:space="0" w:color="A8D08D"/>
              <w:left w:val="single" w:sz="4" w:space="0" w:color="A8D08D"/>
              <w:bottom w:val="single" w:sz="4" w:space="0" w:color="A8D08D"/>
              <w:right w:val="single" w:sz="4" w:space="0" w:color="A8D08D"/>
            </w:tcBorders>
          </w:tcPr>
          <w:p w14:paraId="2486C2F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60F317C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98.03±43.88</w:t>
            </w:r>
          </w:p>
        </w:tc>
        <w:tc>
          <w:tcPr>
            <w:tcW w:w="1810" w:type="dxa"/>
            <w:tcBorders>
              <w:top w:val="single" w:sz="4" w:space="0" w:color="A8D08D"/>
              <w:left w:val="single" w:sz="4" w:space="0" w:color="A8D08D"/>
              <w:bottom w:val="single" w:sz="4" w:space="0" w:color="A8D08D"/>
              <w:right w:val="single" w:sz="4" w:space="0" w:color="A8D08D"/>
            </w:tcBorders>
          </w:tcPr>
          <w:p w14:paraId="68E361F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2184560C"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2048998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Рецессивная модель</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1C37707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15E17E1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0.666</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06ADEB9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5933565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0.599</w:t>
            </w:r>
          </w:p>
        </w:tc>
      </w:tr>
      <w:tr w:rsidR="000B2379" w14:paraId="0B542917"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6CE5C94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CC+CT</w:t>
            </w:r>
          </w:p>
        </w:tc>
        <w:tc>
          <w:tcPr>
            <w:tcW w:w="1569" w:type="dxa"/>
            <w:tcBorders>
              <w:top w:val="single" w:sz="4" w:space="0" w:color="A8D08D"/>
              <w:left w:val="single" w:sz="4" w:space="0" w:color="A8D08D"/>
              <w:bottom w:val="single" w:sz="4" w:space="0" w:color="A8D08D"/>
              <w:right w:val="single" w:sz="4" w:space="0" w:color="A8D08D"/>
            </w:tcBorders>
          </w:tcPr>
          <w:p w14:paraId="466858A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165.74±76.9</w:t>
            </w:r>
          </w:p>
        </w:tc>
        <w:tc>
          <w:tcPr>
            <w:tcW w:w="1454" w:type="dxa"/>
            <w:tcBorders>
              <w:top w:val="single" w:sz="4" w:space="0" w:color="A8D08D"/>
              <w:left w:val="single" w:sz="4" w:space="0" w:color="A8D08D"/>
              <w:bottom w:val="single" w:sz="4" w:space="0" w:color="A8D08D"/>
              <w:right w:val="single" w:sz="4" w:space="0" w:color="A8D08D"/>
            </w:tcBorders>
          </w:tcPr>
          <w:p w14:paraId="2C1CE13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6AF9EFA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101.15±44.39</w:t>
            </w:r>
          </w:p>
        </w:tc>
        <w:tc>
          <w:tcPr>
            <w:tcW w:w="1810" w:type="dxa"/>
            <w:tcBorders>
              <w:top w:val="single" w:sz="4" w:space="0" w:color="A8D08D"/>
              <w:left w:val="single" w:sz="4" w:space="0" w:color="A8D08D"/>
              <w:bottom w:val="single" w:sz="4" w:space="0" w:color="A8D08D"/>
              <w:right w:val="single" w:sz="4" w:space="0" w:color="A8D08D"/>
            </w:tcBorders>
          </w:tcPr>
          <w:p w14:paraId="116C85C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50112B74"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36B9010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TT</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7268CFF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163.51±81.04</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3A001F7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31C2CF3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102.22±47.31</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1993A44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74128692"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3DBCD2D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Аллельный</w:t>
            </w:r>
          </w:p>
        </w:tc>
        <w:tc>
          <w:tcPr>
            <w:tcW w:w="1569" w:type="dxa"/>
            <w:tcBorders>
              <w:top w:val="single" w:sz="4" w:space="0" w:color="A8D08D"/>
              <w:left w:val="single" w:sz="4" w:space="0" w:color="A8D08D"/>
              <w:bottom w:val="single" w:sz="4" w:space="0" w:color="A8D08D"/>
              <w:right w:val="single" w:sz="4" w:space="0" w:color="A8D08D"/>
            </w:tcBorders>
          </w:tcPr>
          <w:p w14:paraId="0FF04EF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1111B4D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0.519</w:t>
            </w:r>
          </w:p>
        </w:tc>
        <w:tc>
          <w:tcPr>
            <w:tcW w:w="1653" w:type="dxa"/>
            <w:tcBorders>
              <w:top w:val="single" w:sz="4" w:space="0" w:color="A8D08D"/>
              <w:left w:val="single" w:sz="4" w:space="0" w:color="A8D08D"/>
              <w:bottom w:val="single" w:sz="4" w:space="0" w:color="A8D08D"/>
              <w:right w:val="single" w:sz="4" w:space="0" w:color="A8D08D"/>
            </w:tcBorders>
          </w:tcPr>
          <w:p w14:paraId="6F54746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tcPr>
          <w:p w14:paraId="16025F6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0.831</w:t>
            </w:r>
          </w:p>
        </w:tc>
      </w:tr>
      <w:tr w:rsidR="000B2379" w14:paraId="5C868B0B"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05C189E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6CD4F86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170.95±80.3</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41496C5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38CD396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104.43±45.67</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3420771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24CAF3CA"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30911A5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w:t>
            </w:r>
          </w:p>
        </w:tc>
        <w:tc>
          <w:tcPr>
            <w:tcW w:w="1569" w:type="dxa"/>
            <w:tcBorders>
              <w:top w:val="single" w:sz="4" w:space="0" w:color="A8D08D"/>
              <w:left w:val="single" w:sz="4" w:space="0" w:color="A8D08D"/>
              <w:bottom w:val="single" w:sz="4" w:space="0" w:color="A8D08D"/>
              <w:right w:val="single" w:sz="4" w:space="0" w:color="A8D08D"/>
            </w:tcBorders>
          </w:tcPr>
          <w:p w14:paraId="49AC19F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160.43±76.13</w:t>
            </w:r>
          </w:p>
        </w:tc>
        <w:tc>
          <w:tcPr>
            <w:tcW w:w="1454" w:type="dxa"/>
            <w:tcBorders>
              <w:top w:val="single" w:sz="4" w:space="0" w:color="A8D08D"/>
              <w:left w:val="single" w:sz="4" w:space="0" w:color="A8D08D"/>
              <w:bottom w:val="single" w:sz="4" w:space="0" w:color="A8D08D"/>
              <w:right w:val="single" w:sz="4" w:space="0" w:color="A8D08D"/>
            </w:tcBorders>
          </w:tcPr>
          <w:p w14:paraId="6A6C6EC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5CE2603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99.33±44.87</w:t>
            </w:r>
          </w:p>
        </w:tc>
        <w:tc>
          <w:tcPr>
            <w:tcW w:w="1810" w:type="dxa"/>
            <w:tcBorders>
              <w:top w:val="single" w:sz="4" w:space="0" w:color="A8D08D"/>
              <w:left w:val="single" w:sz="4" w:space="0" w:color="A8D08D"/>
              <w:bottom w:val="single" w:sz="4" w:space="0" w:color="A8D08D"/>
              <w:right w:val="single" w:sz="4" w:space="0" w:color="A8D08D"/>
            </w:tcBorders>
          </w:tcPr>
          <w:p w14:paraId="739135D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1641C0A1"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18F743E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rs1045642</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60F4E59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2E1972B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215245D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6C4E633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26AB4948"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73878D1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Аддитивная модель</w:t>
            </w:r>
          </w:p>
        </w:tc>
        <w:tc>
          <w:tcPr>
            <w:tcW w:w="1569" w:type="dxa"/>
            <w:tcBorders>
              <w:top w:val="single" w:sz="4" w:space="0" w:color="A8D08D"/>
              <w:left w:val="single" w:sz="4" w:space="0" w:color="A8D08D"/>
              <w:bottom w:val="single" w:sz="4" w:space="0" w:color="A8D08D"/>
              <w:right w:val="single" w:sz="4" w:space="0" w:color="A8D08D"/>
            </w:tcBorders>
          </w:tcPr>
          <w:p w14:paraId="323BC84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3A8006D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0.422</w:t>
            </w:r>
          </w:p>
        </w:tc>
        <w:tc>
          <w:tcPr>
            <w:tcW w:w="1653" w:type="dxa"/>
            <w:tcBorders>
              <w:top w:val="single" w:sz="4" w:space="0" w:color="A8D08D"/>
              <w:left w:val="single" w:sz="4" w:space="0" w:color="A8D08D"/>
              <w:bottom w:val="single" w:sz="4" w:space="0" w:color="A8D08D"/>
              <w:right w:val="single" w:sz="4" w:space="0" w:color="A8D08D"/>
            </w:tcBorders>
          </w:tcPr>
          <w:p w14:paraId="5C9444C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tcPr>
          <w:p w14:paraId="3F1F166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0.993</w:t>
            </w:r>
          </w:p>
        </w:tc>
      </w:tr>
      <w:tr w:rsidR="000B2379" w14:paraId="34ECE1DD"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14271D2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3B9664B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180.96±86.32</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13A3A55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080BC08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108.08±45.88</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45E6739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292D0D28"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7EA1A0B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AG</w:t>
            </w:r>
          </w:p>
        </w:tc>
        <w:tc>
          <w:tcPr>
            <w:tcW w:w="1569" w:type="dxa"/>
            <w:tcBorders>
              <w:top w:val="single" w:sz="4" w:space="0" w:color="A8D08D"/>
              <w:left w:val="single" w:sz="4" w:space="0" w:color="A8D08D"/>
              <w:bottom w:val="single" w:sz="4" w:space="0" w:color="A8D08D"/>
              <w:right w:val="single" w:sz="4" w:space="0" w:color="A8D08D"/>
            </w:tcBorders>
          </w:tcPr>
          <w:p w14:paraId="19A0817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158.6±71.9</w:t>
            </w:r>
          </w:p>
        </w:tc>
        <w:tc>
          <w:tcPr>
            <w:tcW w:w="1454" w:type="dxa"/>
            <w:tcBorders>
              <w:top w:val="single" w:sz="4" w:space="0" w:color="A8D08D"/>
              <w:left w:val="single" w:sz="4" w:space="0" w:color="A8D08D"/>
              <w:bottom w:val="single" w:sz="4" w:space="0" w:color="A8D08D"/>
              <w:right w:val="single" w:sz="4" w:space="0" w:color="A8D08D"/>
            </w:tcBorders>
          </w:tcPr>
          <w:p w14:paraId="3D93E0B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6D218E1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96.4±45.26</w:t>
            </w:r>
          </w:p>
        </w:tc>
        <w:tc>
          <w:tcPr>
            <w:tcW w:w="1810" w:type="dxa"/>
            <w:tcBorders>
              <w:top w:val="single" w:sz="4" w:space="0" w:color="A8D08D"/>
              <w:left w:val="single" w:sz="4" w:space="0" w:color="A8D08D"/>
              <w:bottom w:val="single" w:sz="4" w:space="0" w:color="A8D08D"/>
              <w:right w:val="single" w:sz="4" w:space="0" w:color="A8D08D"/>
            </w:tcBorders>
          </w:tcPr>
          <w:p w14:paraId="3B54397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5563322"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405E6E3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GG</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01B797D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163.28±81.31</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7B48D4B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34165B5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104.74±45</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58BBBD3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8C918AD"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46F45E8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Доминантная модель</w:t>
            </w:r>
          </w:p>
        </w:tc>
        <w:tc>
          <w:tcPr>
            <w:tcW w:w="1569" w:type="dxa"/>
            <w:tcBorders>
              <w:top w:val="single" w:sz="4" w:space="0" w:color="A8D08D"/>
              <w:left w:val="single" w:sz="4" w:space="0" w:color="A8D08D"/>
              <w:bottom w:val="single" w:sz="4" w:space="0" w:color="A8D08D"/>
              <w:right w:val="single" w:sz="4" w:space="0" w:color="A8D08D"/>
            </w:tcBorders>
          </w:tcPr>
          <w:p w14:paraId="27DACC8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0FE4A04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0.330</w:t>
            </w:r>
          </w:p>
        </w:tc>
        <w:tc>
          <w:tcPr>
            <w:tcW w:w="1653" w:type="dxa"/>
            <w:tcBorders>
              <w:top w:val="single" w:sz="4" w:space="0" w:color="A8D08D"/>
              <w:left w:val="single" w:sz="4" w:space="0" w:color="A8D08D"/>
              <w:bottom w:val="single" w:sz="4" w:space="0" w:color="A8D08D"/>
              <w:right w:val="single" w:sz="4" w:space="0" w:color="A8D08D"/>
            </w:tcBorders>
          </w:tcPr>
          <w:p w14:paraId="50E5595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tcPr>
          <w:p w14:paraId="09A2775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0.909</w:t>
            </w:r>
          </w:p>
        </w:tc>
      </w:tr>
      <w:tr w:rsidR="000B2379" w14:paraId="442FD57C"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15C4770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2D17C4C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180.96±86.32</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03E5C43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20A5405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108.08±45.88</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7EA2BCB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28754C6E"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7A1DD7A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AG+GG</w:t>
            </w:r>
          </w:p>
        </w:tc>
        <w:tc>
          <w:tcPr>
            <w:tcW w:w="1569" w:type="dxa"/>
            <w:tcBorders>
              <w:top w:val="single" w:sz="4" w:space="0" w:color="A8D08D"/>
              <w:left w:val="single" w:sz="4" w:space="0" w:color="A8D08D"/>
              <w:bottom w:val="single" w:sz="4" w:space="0" w:color="A8D08D"/>
              <w:right w:val="single" w:sz="4" w:space="0" w:color="A8D08D"/>
            </w:tcBorders>
          </w:tcPr>
          <w:p w14:paraId="65E7FBA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160.44±75.43</w:t>
            </w:r>
          </w:p>
        </w:tc>
        <w:tc>
          <w:tcPr>
            <w:tcW w:w="1454" w:type="dxa"/>
            <w:tcBorders>
              <w:top w:val="single" w:sz="4" w:space="0" w:color="A8D08D"/>
              <w:left w:val="single" w:sz="4" w:space="0" w:color="A8D08D"/>
              <w:bottom w:val="single" w:sz="4" w:space="0" w:color="A8D08D"/>
              <w:right w:val="single" w:sz="4" w:space="0" w:color="A8D08D"/>
            </w:tcBorders>
          </w:tcPr>
          <w:p w14:paraId="0FAF61B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5645381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99.68±45.15</w:t>
            </w:r>
          </w:p>
        </w:tc>
        <w:tc>
          <w:tcPr>
            <w:tcW w:w="1810" w:type="dxa"/>
            <w:tcBorders>
              <w:top w:val="single" w:sz="4" w:space="0" w:color="A8D08D"/>
              <w:left w:val="single" w:sz="4" w:space="0" w:color="A8D08D"/>
              <w:bottom w:val="single" w:sz="4" w:space="0" w:color="A8D08D"/>
              <w:right w:val="single" w:sz="4" w:space="0" w:color="A8D08D"/>
            </w:tcBorders>
          </w:tcPr>
          <w:p w14:paraId="3886DA6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712913B"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3701D57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Рецессивная модель</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5C67880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0ADA652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0.670</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7767AFF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5FD6309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0.922</w:t>
            </w:r>
          </w:p>
        </w:tc>
      </w:tr>
      <w:tr w:rsidR="000B2379" w14:paraId="230E5B35"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5E5A5AC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AA+AG</w:t>
            </w:r>
          </w:p>
        </w:tc>
        <w:tc>
          <w:tcPr>
            <w:tcW w:w="1569" w:type="dxa"/>
            <w:tcBorders>
              <w:top w:val="single" w:sz="4" w:space="0" w:color="A8D08D"/>
              <w:left w:val="single" w:sz="4" w:space="0" w:color="A8D08D"/>
              <w:bottom w:val="single" w:sz="4" w:space="0" w:color="A8D08D"/>
              <w:right w:val="single" w:sz="4" w:space="0" w:color="A8D08D"/>
            </w:tcBorders>
          </w:tcPr>
          <w:p w14:paraId="4B585B2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165.69±77.06</w:t>
            </w:r>
          </w:p>
        </w:tc>
        <w:tc>
          <w:tcPr>
            <w:tcW w:w="1454" w:type="dxa"/>
            <w:tcBorders>
              <w:top w:val="single" w:sz="4" w:space="0" w:color="A8D08D"/>
              <w:left w:val="single" w:sz="4" w:space="0" w:color="A8D08D"/>
              <w:bottom w:val="single" w:sz="4" w:space="0" w:color="A8D08D"/>
              <w:right w:val="single" w:sz="4" w:space="0" w:color="A8D08D"/>
            </w:tcBorders>
          </w:tcPr>
          <w:p w14:paraId="17AECEF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2847097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100.1±45.56</w:t>
            </w:r>
          </w:p>
        </w:tc>
        <w:tc>
          <w:tcPr>
            <w:tcW w:w="1810" w:type="dxa"/>
            <w:tcBorders>
              <w:top w:val="single" w:sz="4" w:space="0" w:color="A8D08D"/>
              <w:left w:val="single" w:sz="4" w:space="0" w:color="A8D08D"/>
              <w:bottom w:val="single" w:sz="4" w:space="0" w:color="A8D08D"/>
              <w:right w:val="single" w:sz="4" w:space="0" w:color="A8D08D"/>
            </w:tcBorders>
          </w:tcPr>
          <w:p w14:paraId="4841E58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18EFE7C3"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78CDD5D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GG</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0B90C3C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163.28±81.31</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4BB2EE0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2A62426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104.74±45</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16997A2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0A00124A"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469AE32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Аллель</w:t>
            </w:r>
          </w:p>
        </w:tc>
        <w:tc>
          <w:tcPr>
            <w:tcW w:w="1569" w:type="dxa"/>
            <w:tcBorders>
              <w:top w:val="single" w:sz="4" w:space="0" w:color="A8D08D"/>
              <w:left w:val="single" w:sz="4" w:space="0" w:color="A8D08D"/>
              <w:bottom w:val="single" w:sz="4" w:space="0" w:color="A8D08D"/>
              <w:right w:val="single" w:sz="4" w:space="0" w:color="A8D08D"/>
            </w:tcBorders>
          </w:tcPr>
          <w:p w14:paraId="3F093BA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6042C33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0.704</w:t>
            </w:r>
          </w:p>
        </w:tc>
        <w:tc>
          <w:tcPr>
            <w:tcW w:w="1653" w:type="dxa"/>
            <w:tcBorders>
              <w:top w:val="single" w:sz="4" w:space="0" w:color="A8D08D"/>
              <w:left w:val="single" w:sz="4" w:space="0" w:color="A8D08D"/>
              <w:bottom w:val="single" w:sz="4" w:space="0" w:color="A8D08D"/>
              <w:right w:val="single" w:sz="4" w:space="0" w:color="A8D08D"/>
            </w:tcBorders>
          </w:tcPr>
          <w:p w14:paraId="7C47383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10" w:type="dxa"/>
            <w:tcBorders>
              <w:top w:val="single" w:sz="4" w:space="0" w:color="A8D08D"/>
              <w:left w:val="single" w:sz="4" w:space="0" w:color="A8D08D"/>
              <w:bottom w:val="single" w:sz="4" w:space="0" w:color="A8D08D"/>
              <w:right w:val="single" w:sz="4" w:space="0" w:color="A8D08D"/>
            </w:tcBorders>
          </w:tcPr>
          <w:p w14:paraId="53449B2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0.878</w:t>
            </w:r>
          </w:p>
        </w:tc>
      </w:tr>
      <w:tr w:rsidR="000B2379" w14:paraId="4C885557"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3FCA576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5088F9C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169.37±79.33</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31E3AAA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061599B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102.02±45.6</w:t>
            </w:r>
          </w:p>
        </w:tc>
        <w:tc>
          <w:tcPr>
            <w:tcW w:w="1810" w:type="dxa"/>
            <w:tcBorders>
              <w:top w:val="single" w:sz="4" w:space="0" w:color="A8D08D"/>
              <w:left w:val="single" w:sz="4" w:space="0" w:color="A8D08D"/>
              <w:bottom w:val="single" w:sz="4" w:space="0" w:color="A8D08D"/>
              <w:right w:val="single" w:sz="4" w:space="0" w:color="A8D08D"/>
            </w:tcBorders>
            <w:shd w:val="clear" w:color="auto" w:fill="E2EFD9"/>
          </w:tcPr>
          <w:p w14:paraId="05B6AFF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462A5EA8" w14:textId="77777777" w:rsidTr="00B57F2E">
        <w:trPr>
          <w:gridAfter w:val="1"/>
          <w:wAfter w:w="50" w:type="dxa"/>
          <w:trHeight w:val="170"/>
        </w:trPr>
        <w:tc>
          <w:tcPr>
            <w:tcW w:w="2479" w:type="dxa"/>
            <w:tcBorders>
              <w:top w:val="single" w:sz="4" w:space="0" w:color="A8D08D"/>
              <w:left w:val="single" w:sz="4" w:space="0" w:color="A8D08D"/>
              <w:bottom w:val="single" w:sz="4" w:space="0" w:color="A8D08D"/>
              <w:right w:val="single" w:sz="4" w:space="0" w:color="A8D08D"/>
            </w:tcBorders>
          </w:tcPr>
          <w:p w14:paraId="253ECB9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w:t>
            </w:r>
          </w:p>
        </w:tc>
        <w:tc>
          <w:tcPr>
            <w:tcW w:w="1569" w:type="dxa"/>
            <w:tcBorders>
              <w:top w:val="single" w:sz="4" w:space="0" w:color="A8D08D"/>
              <w:left w:val="single" w:sz="4" w:space="0" w:color="A8D08D"/>
              <w:bottom w:val="single" w:sz="4" w:space="0" w:color="A8D08D"/>
              <w:right w:val="single" w:sz="4" w:space="0" w:color="A8D08D"/>
            </w:tcBorders>
          </w:tcPr>
          <w:p w14:paraId="75142EC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161.24±76.89</w:t>
            </w:r>
          </w:p>
        </w:tc>
        <w:tc>
          <w:tcPr>
            <w:tcW w:w="1454" w:type="dxa"/>
            <w:tcBorders>
              <w:top w:val="single" w:sz="4" w:space="0" w:color="A8D08D"/>
              <w:left w:val="single" w:sz="4" w:space="0" w:color="A8D08D"/>
              <w:bottom w:val="single" w:sz="4" w:space="0" w:color="A8D08D"/>
              <w:right w:val="single" w:sz="4" w:space="0" w:color="A8D08D"/>
            </w:tcBorders>
          </w:tcPr>
          <w:p w14:paraId="22543FF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1527E51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101.1±45.02</w:t>
            </w:r>
          </w:p>
        </w:tc>
        <w:tc>
          <w:tcPr>
            <w:tcW w:w="1810" w:type="dxa"/>
            <w:tcBorders>
              <w:top w:val="single" w:sz="4" w:space="0" w:color="A8D08D"/>
              <w:left w:val="single" w:sz="4" w:space="0" w:color="A8D08D"/>
              <w:bottom w:val="single" w:sz="4" w:space="0" w:color="A8D08D"/>
              <w:right w:val="single" w:sz="4" w:space="0" w:color="A8D08D"/>
            </w:tcBorders>
          </w:tcPr>
          <w:p w14:paraId="368C79D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175A5AD7"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627E260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1C86A47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745FC6E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195ED18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65981B4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0B2379" w14:paraId="40685CB7"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005BB5D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rs2032582</w:t>
            </w:r>
          </w:p>
        </w:tc>
        <w:tc>
          <w:tcPr>
            <w:tcW w:w="1569" w:type="dxa"/>
            <w:tcBorders>
              <w:top w:val="single" w:sz="4" w:space="0" w:color="A8D08D"/>
              <w:left w:val="single" w:sz="4" w:space="0" w:color="A8D08D"/>
              <w:bottom w:val="single" w:sz="4" w:space="0" w:color="A8D08D"/>
              <w:right w:val="single" w:sz="4" w:space="0" w:color="A8D08D"/>
            </w:tcBorders>
          </w:tcPr>
          <w:p w14:paraId="595C84E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4D634C7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7578479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tcPr>
          <w:p w14:paraId="225F631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5BA4AD38"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7EB9B4A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Аддитивная модель</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3553E17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6DFCEBF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0.063</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1AF45D5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2BAE5FF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0.374</w:t>
            </w:r>
          </w:p>
        </w:tc>
      </w:tr>
      <w:tr w:rsidR="000B2379" w14:paraId="091CF484"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57962E6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CC</w:t>
            </w:r>
          </w:p>
        </w:tc>
        <w:tc>
          <w:tcPr>
            <w:tcW w:w="1569" w:type="dxa"/>
            <w:tcBorders>
              <w:top w:val="single" w:sz="4" w:space="0" w:color="A8D08D"/>
              <w:left w:val="single" w:sz="4" w:space="0" w:color="A8D08D"/>
              <w:bottom w:val="single" w:sz="4" w:space="0" w:color="A8D08D"/>
              <w:right w:val="single" w:sz="4" w:space="0" w:color="A8D08D"/>
            </w:tcBorders>
          </w:tcPr>
          <w:p w14:paraId="377F4FA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164±81.13</w:t>
            </w:r>
          </w:p>
        </w:tc>
        <w:tc>
          <w:tcPr>
            <w:tcW w:w="1454" w:type="dxa"/>
            <w:tcBorders>
              <w:top w:val="single" w:sz="4" w:space="0" w:color="A8D08D"/>
              <w:left w:val="single" w:sz="4" w:space="0" w:color="A8D08D"/>
              <w:bottom w:val="single" w:sz="4" w:space="0" w:color="A8D08D"/>
              <w:right w:val="single" w:sz="4" w:space="0" w:color="A8D08D"/>
            </w:tcBorders>
          </w:tcPr>
          <w:p w14:paraId="2A1FADE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1C5E866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101.31±46.77</w:t>
            </w:r>
          </w:p>
        </w:tc>
        <w:tc>
          <w:tcPr>
            <w:tcW w:w="1860" w:type="dxa"/>
            <w:gridSpan w:val="2"/>
            <w:tcBorders>
              <w:top w:val="single" w:sz="4" w:space="0" w:color="A8D08D"/>
              <w:left w:val="single" w:sz="4" w:space="0" w:color="A8D08D"/>
              <w:bottom w:val="single" w:sz="4" w:space="0" w:color="A8D08D"/>
              <w:right w:val="single" w:sz="4" w:space="0" w:color="A8D08D"/>
            </w:tcBorders>
          </w:tcPr>
          <w:p w14:paraId="7155F17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76DB27F"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36DD2BB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5DE2FB6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151.82±63.15</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67D4464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559A2A0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92.73±39.83</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164A320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4AE3894" w14:textId="77777777" w:rsidTr="00B57F2E">
        <w:trPr>
          <w:trHeight w:val="54"/>
        </w:trPr>
        <w:tc>
          <w:tcPr>
            <w:tcW w:w="2479" w:type="dxa"/>
            <w:tcBorders>
              <w:top w:val="single" w:sz="4" w:space="0" w:color="A8D08D"/>
              <w:left w:val="single" w:sz="4" w:space="0" w:color="A8D08D"/>
              <w:bottom w:val="single" w:sz="4" w:space="0" w:color="A8D08D"/>
              <w:right w:val="single" w:sz="4" w:space="0" w:color="A8D08D"/>
            </w:tcBorders>
          </w:tcPr>
          <w:p w14:paraId="0665935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w:t>
            </w:r>
          </w:p>
        </w:tc>
        <w:tc>
          <w:tcPr>
            <w:tcW w:w="1569" w:type="dxa"/>
            <w:tcBorders>
              <w:top w:val="single" w:sz="4" w:space="0" w:color="A8D08D"/>
              <w:left w:val="single" w:sz="4" w:space="0" w:color="A8D08D"/>
              <w:bottom w:val="single" w:sz="4" w:space="0" w:color="A8D08D"/>
              <w:right w:val="single" w:sz="4" w:space="0" w:color="A8D08D"/>
            </w:tcBorders>
          </w:tcPr>
          <w:p w14:paraId="01D17AD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181.24±88.26</w:t>
            </w:r>
          </w:p>
        </w:tc>
        <w:tc>
          <w:tcPr>
            <w:tcW w:w="1454" w:type="dxa"/>
            <w:tcBorders>
              <w:top w:val="single" w:sz="4" w:space="0" w:color="A8D08D"/>
              <w:left w:val="single" w:sz="4" w:space="0" w:color="A8D08D"/>
              <w:bottom w:val="single" w:sz="4" w:space="0" w:color="A8D08D"/>
              <w:right w:val="single" w:sz="4" w:space="0" w:color="A8D08D"/>
            </w:tcBorders>
          </w:tcPr>
          <w:p w14:paraId="5C618F7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25C8FB5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111.94±48.16</w:t>
            </w:r>
          </w:p>
        </w:tc>
        <w:tc>
          <w:tcPr>
            <w:tcW w:w="1860" w:type="dxa"/>
            <w:gridSpan w:val="2"/>
            <w:tcBorders>
              <w:top w:val="single" w:sz="4" w:space="0" w:color="A8D08D"/>
              <w:left w:val="single" w:sz="4" w:space="0" w:color="A8D08D"/>
              <w:bottom w:val="single" w:sz="4" w:space="0" w:color="A8D08D"/>
              <w:right w:val="single" w:sz="4" w:space="0" w:color="A8D08D"/>
            </w:tcBorders>
          </w:tcPr>
          <w:p w14:paraId="2A5FB4F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1D3DFCF9"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1ABD5F3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Доминантная модель</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6DFB2FA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585EFB1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0.656</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4ED4A09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4E22846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0.711</w:t>
            </w:r>
          </w:p>
        </w:tc>
      </w:tr>
      <w:tr w:rsidR="000B2379" w14:paraId="03B6EF60"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6E1E8D9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CC</w:t>
            </w:r>
          </w:p>
        </w:tc>
        <w:tc>
          <w:tcPr>
            <w:tcW w:w="1569" w:type="dxa"/>
            <w:tcBorders>
              <w:top w:val="single" w:sz="4" w:space="0" w:color="A8D08D"/>
              <w:left w:val="single" w:sz="4" w:space="0" w:color="A8D08D"/>
              <w:bottom w:val="single" w:sz="4" w:space="0" w:color="A8D08D"/>
              <w:right w:val="single" w:sz="4" w:space="0" w:color="A8D08D"/>
            </w:tcBorders>
          </w:tcPr>
          <w:p w14:paraId="252B798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164.01±81.13</w:t>
            </w:r>
          </w:p>
        </w:tc>
        <w:tc>
          <w:tcPr>
            <w:tcW w:w="1454" w:type="dxa"/>
            <w:tcBorders>
              <w:top w:val="single" w:sz="4" w:space="0" w:color="A8D08D"/>
              <w:left w:val="single" w:sz="4" w:space="0" w:color="A8D08D"/>
              <w:bottom w:val="single" w:sz="4" w:space="0" w:color="A8D08D"/>
              <w:right w:val="single" w:sz="4" w:space="0" w:color="A8D08D"/>
            </w:tcBorders>
          </w:tcPr>
          <w:p w14:paraId="0FE12FF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4CFAECD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101.31±46.77</w:t>
            </w:r>
          </w:p>
        </w:tc>
        <w:tc>
          <w:tcPr>
            <w:tcW w:w="1860" w:type="dxa"/>
            <w:gridSpan w:val="2"/>
            <w:tcBorders>
              <w:top w:val="single" w:sz="4" w:space="0" w:color="A8D08D"/>
              <w:left w:val="single" w:sz="4" w:space="0" w:color="A8D08D"/>
              <w:bottom w:val="single" w:sz="4" w:space="0" w:color="A8D08D"/>
              <w:right w:val="single" w:sz="4" w:space="0" w:color="A8D08D"/>
            </w:tcBorders>
          </w:tcPr>
          <w:p w14:paraId="515D4F4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78CAA188"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1C09D92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CA+AA</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40DD0F4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165.47±76.85</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7BA0DE2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65776E8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101.64±44.71</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31D94F7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72E7D632"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10A3D0A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Рецессивная модель</w:t>
            </w:r>
          </w:p>
        </w:tc>
        <w:tc>
          <w:tcPr>
            <w:tcW w:w="1569" w:type="dxa"/>
            <w:tcBorders>
              <w:top w:val="single" w:sz="4" w:space="0" w:color="A8D08D"/>
              <w:left w:val="single" w:sz="4" w:space="0" w:color="A8D08D"/>
              <w:bottom w:val="single" w:sz="4" w:space="0" w:color="A8D08D"/>
              <w:right w:val="single" w:sz="4" w:space="0" w:color="A8D08D"/>
            </w:tcBorders>
          </w:tcPr>
          <w:p w14:paraId="7789307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6515719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0.120</w:t>
            </w:r>
          </w:p>
        </w:tc>
        <w:tc>
          <w:tcPr>
            <w:tcW w:w="1653" w:type="dxa"/>
            <w:tcBorders>
              <w:top w:val="single" w:sz="4" w:space="0" w:color="A8D08D"/>
              <w:left w:val="single" w:sz="4" w:space="0" w:color="A8D08D"/>
              <w:bottom w:val="single" w:sz="4" w:space="0" w:color="A8D08D"/>
              <w:right w:val="single" w:sz="4" w:space="0" w:color="A8D08D"/>
            </w:tcBorders>
          </w:tcPr>
          <w:p w14:paraId="02B298D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tcPr>
          <w:p w14:paraId="189DA5A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0.417</w:t>
            </w:r>
          </w:p>
        </w:tc>
      </w:tr>
      <w:tr w:rsidR="000B2379" w14:paraId="4AB8AB8A"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431142A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CC+CA</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0837290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157.97±72.69</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472DF75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4977945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97.06±43.48</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0B8364A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71F0AE97"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29999D4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w:t>
            </w:r>
          </w:p>
        </w:tc>
        <w:tc>
          <w:tcPr>
            <w:tcW w:w="1569" w:type="dxa"/>
            <w:tcBorders>
              <w:top w:val="single" w:sz="4" w:space="0" w:color="A8D08D"/>
              <w:left w:val="single" w:sz="4" w:space="0" w:color="A8D08D"/>
              <w:bottom w:val="single" w:sz="4" w:space="0" w:color="A8D08D"/>
              <w:right w:val="single" w:sz="4" w:space="0" w:color="A8D08D"/>
            </w:tcBorders>
          </w:tcPr>
          <w:p w14:paraId="0534A0D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181.24±88.26</w:t>
            </w:r>
          </w:p>
        </w:tc>
        <w:tc>
          <w:tcPr>
            <w:tcW w:w="1454" w:type="dxa"/>
            <w:tcBorders>
              <w:top w:val="single" w:sz="4" w:space="0" w:color="A8D08D"/>
              <w:left w:val="single" w:sz="4" w:space="0" w:color="A8D08D"/>
              <w:bottom w:val="single" w:sz="4" w:space="0" w:color="A8D08D"/>
              <w:right w:val="single" w:sz="4" w:space="0" w:color="A8D08D"/>
            </w:tcBorders>
          </w:tcPr>
          <w:p w14:paraId="4F0A1F7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52669C4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111.94±48.16</w:t>
            </w:r>
          </w:p>
        </w:tc>
        <w:tc>
          <w:tcPr>
            <w:tcW w:w="1860" w:type="dxa"/>
            <w:gridSpan w:val="2"/>
            <w:tcBorders>
              <w:top w:val="single" w:sz="4" w:space="0" w:color="A8D08D"/>
              <w:left w:val="single" w:sz="4" w:space="0" w:color="A8D08D"/>
              <w:bottom w:val="single" w:sz="4" w:space="0" w:color="A8D08D"/>
              <w:right w:val="single" w:sz="4" w:space="0" w:color="A8D08D"/>
            </w:tcBorders>
          </w:tcPr>
          <w:p w14:paraId="4587486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5320A669"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3966D2A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Аллельный</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38AB93C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2950131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0.413</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7FF9AAE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281F482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0.705</w:t>
            </w:r>
          </w:p>
        </w:tc>
      </w:tr>
      <w:tr w:rsidR="000B2379" w14:paraId="1B3A97CD"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269CEF9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w:t>
            </w:r>
          </w:p>
        </w:tc>
        <w:tc>
          <w:tcPr>
            <w:tcW w:w="1569" w:type="dxa"/>
            <w:tcBorders>
              <w:top w:val="single" w:sz="4" w:space="0" w:color="A8D08D"/>
              <w:left w:val="single" w:sz="4" w:space="0" w:color="A8D08D"/>
              <w:bottom w:val="single" w:sz="4" w:space="0" w:color="A8D08D"/>
              <w:right w:val="single" w:sz="4" w:space="0" w:color="A8D08D"/>
            </w:tcBorders>
          </w:tcPr>
          <w:p w14:paraId="6DA0982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160±75.42</w:t>
            </w:r>
          </w:p>
        </w:tc>
        <w:tc>
          <w:tcPr>
            <w:tcW w:w="1454" w:type="dxa"/>
            <w:tcBorders>
              <w:top w:val="single" w:sz="4" w:space="0" w:color="A8D08D"/>
              <w:left w:val="single" w:sz="4" w:space="0" w:color="A8D08D"/>
              <w:bottom w:val="single" w:sz="4" w:space="0" w:color="A8D08D"/>
              <w:right w:val="single" w:sz="4" w:space="0" w:color="A8D08D"/>
            </w:tcBorders>
          </w:tcPr>
          <w:p w14:paraId="44FAB6C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61431EF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98.49±44.5</w:t>
            </w:r>
          </w:p>
        </w:tc>
        <w:tc>
          <w:tcPr>
            <w:tcW w:w="1860" w:type="dxa"/>
            <w:gridSpan w:val="2"/>
            <w:tcBorders>
              <w:top w:val="single" w:sz="4" w:space="0" w:color="A8D08D"/>
              <w:left w:val="single" w:sz="4" w:space="0" w:color="A8D08D"/>
              <w:bottom w:val="single" w:sz="4" w:space="0" w:color="A8D08D"/>
              <w:right w:val="single" w:sz="4" w:space="0" w:color="A8D08D"/>
            </w:tcBorders>
          </w:tcPr>
          <w:p w14:paraId="670739A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1232B6F4"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31DE63C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3BA7582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170.47±80.66</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1DEDE89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4B00146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104.9±45.91</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5D1BE52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1F9D789F"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3EA1617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rs1128503</w:t>
            </w:r>
          </w:p>
        </w:tc>
        <w:tc>
          <w:tcPr>
            <w:tcW w:w="1569" w:type="dxa"/>
            <w:tcBorders>
              <w:top w:val="single" w:sz="4" w:space="0" w:color="A8D08D"/>
              <w:left w:val="single" w:sz="4" w:space="0" w:color="A8D08D"/>
              <w:bottom w:val="single" w:sz="4" w:space="0" w:color="A8D08D"/>
              <w:right w:val="single" w:sz="4" w:space="0" w:color="A8D08D"/>
            </w:tcBorders>
          </w:tcPr>
          <w:p w14:paraId="50240BB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11E3036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4D06C45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tcPr>
          <w:p w14:paraId="17A7E8D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5D529008"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77293BC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Аддитивная модель</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03E7679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5F7CB52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0.251</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4E3FBCE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7E3F4BF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0.373</w:t>
            </w:r>
          </w:p>
        </w:tc>
      </w:tr>
      <w:tr w:rsidR="000B2379" w14:paraId="13D12086"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436C776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w:t>
            </w:r>
          </w:p>
        </w:tc>
        <w:tc>
          <w:tcPr>
            <w:tcW w:w="1569" w:type="dxa"/>
            <w:tcBorders>
              <w:top w:val="single" w:sz="4" w:space="0" w:color="A8D08D"/>
              <w:left w:val="single" w:sz="4" w:space="0" w:color="A8D08D"/>
              <w:bottom w:val="single" w:sz="4" w:space="0" w:color="A8D08D"/>
              <w:right w:val="single" w:sz="4" w:space="0" w:color="A8D08D"/>
            </w:tcBorders>
          </w:tcPr>
          <w:p w14:paraId="332E2F0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175.13±86.27</w:t>
            </w:r>
          </w:p>
        </w:tc>
        <w:tc>
          <w:tcPr>
            <w:tcW w:w="1454" w:type="dxa"/>
            <w:tcBorders>
              <w:top w:val="single" w:sz="4" w:space="0" w:color="A8D08D"/>
              <w:left w:val="single" w:sz="4" w:space="0" w:color="A8D08D"/>
              <w:bottom w:val="single" w:sz="4" w:space="0" w:color="A8D08D"/>
              <w:right w:val="single" w:sz="4" w:space="0" w:color="A8D08D"/>
            </w:tcBorders>
          </w:tcPr>
          <w:p w14:paraId="0DCEA2E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4B4CCB8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102.97±48.92</w:t>
            </w:r>
          </w:p>
        </w:tc>
        <w:tc>
          <w:tcPr>
            <w:tcW w:w="1860" w:type="dxa"/>
            <w:gridSpan w:val="2"/>
            <w:tcBorders>
              <w:top w:val="single" w:sz="4" w:space="0" w:color="A8D08D"/>
              <w:left w:val="single" w:sz="4" w:space="0" w:color="A8D08D"/>
              <w:bottom w:val="single" w:sz="4" w:space="0" w:color="A8D08D"/>
              <w:right w:val="single" w:sz="4" w:space="0" w:color="A8D08D"/>
            </w:tcBorders>
          </w:tcPr>
          <w:p w14:paraId="5C285EF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3E268CE7"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58D97DE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AG</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2ABF32B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158.75±69.18</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0408D09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61365F2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103.1±45.87</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7DEE685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71EDF723"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67F860F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GG</w:t>
            </w:r>
          </w:p>
        </w:tc>
        <w:tc>
          <w:tcPr>
            <w:tcW w:w="1569" w:type="dxa"/>
            <w:tcBorders>
              <w:top w:val="single" w:sz="4" w:space="0" w:color="A8D08D"/>
              <w:left w:val="single" w:sz="4" w:space="0" w:color="A8D08D"/>
              <w:bottom w:val="single" w:sz="4" w:space="0" w:color="A8D08D"/>
              <w:right w:val="single" w:sz="4" w:space="0" w:color="A8D08D"/>
            </w:tcBorders>
          </w:tcPr>
          <w:p w14:paraId="3EABF46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160.49±80.47</w:t>
            </w:r>
          </w:p>
        </w:tc>
        <w:tc>
          <w:tcPr>
            <w:tcW w:w="1454" w:type="dxa"/>
            <w:tcBorders>
              <w:top w:val="single" w:sz="4" w:space="0" w:color="A8D08D"/>
              <w:left w:val="single" w:sz="4" w:space="0" w:color="A8D08D"/>
              <w:bottom w:val="single" w:sz="4" w:space="0" w:color="A8D08D"/>
              <w:right w:val="single" w:sz="4" w:space="0" w:color="A8D08D"/>
            </w:tcBorders>
          </w:tcPr>
          <w:p w14:paraId="65CB56F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44D39213"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96.72±39.2</w:t>
            </w:r>
          </w:p>
        </w:tc>
        <w:tc>
          <w:tcPr>
            <w:tcW w:w="1860" w:type="dxa"/>
            <w:gridSpan w:val="2"/>
            <w:tcBorders>
              <w:top w:val="single" w:sz="4" w:space="0" w:color="A8D08D"/>
              <w:left w:val="single" w:sz="4" w:space="0" w:color="A8D08D"/>
              <w:bottom w:val="single" w:sz="4" w:space="0" w:color="A8D08D"/>
              <w:right w:val="single" w:sz="4" w:space="0" w:color="A8D08D"/>
            </w:tcBorders>
          </w:tcPr>
          <w:p w14:paraId="0397CF0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5732F399"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512EF16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Доминантная модель</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10EECCD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3435FDB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0.172</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165367F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18C84CB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0.324</w:t>
            </w:r>
          </w:p>
        </w:tc>
      </w:tr>
      <w:tr w:rsidR="000B2379" w14:paraId="7C215626"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58B8117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w:t>
            </w:r>
          </w:p>
        </w:tc>
        <w:tc>
          <w:tcPr>
            <w:tcW w:w="1569" w:type="dxa"/>
            <w:tcBorders>
              <w:top w:val="single" w:sz="4" w:space="0" w:color="A8D08D"/>
              <w:left w:val="single" w:sz="4" w:space="0" w:color="A8D08D"/>
              <w:bottom w:val="single" w:sz="4" w:space="0" w:color="A8D08D"/>
              <w:right w:val="single" w:sz="4" w:space="0" w:color="A8D08D"/>
            </w:tcBorders>
          </w:tcPr>
          <w:p w14:paraId="2883F19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175.13±86.27</w:t>
            </w:r>
          </w:p>
        </w:tc>
        <w:tc>
          <w:tcPr>
            <w:tcW w:w="1454" w:type="dxa"/>
            <w:tcBorders>
              <w:top w:val="single" w:sz="4" w:space="0" w:color="A8D08D"/>
              <w:left w:val="single" w:sz="4" w:space="0" w:color="A8D08D"/>
              <w:bottom w:val="single" w:sz="4" w:space="0" w:color="A8D08D"/>
              <w:right w:val="single" w:sz="4" w:space="0" w:color="A8D08D"/>
            </w:tcBorders>
          </w:tcPr>
          <w:p w14:paraId="68D8913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5746BC0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102.97±48.92</w:t>
            </w:r>
          </w:p>
        </w:tc>
        <w:tc>
          <w:tcPr>
            <w:tcW w:w="1860" w:type="dxa"/>
            <w:gridSpan w:val="2"/>
            <w:tcBorders>
              <w:top w:val="single" w:sz="4" w:space="0" w:color="A8D08D"/>
              <w:left w:val="single" w:sz="4" w:space="0" w:color="A8D08D"/>
              <w:bottom w:val="single" w:sz="4" w:space="0" w:color="A8D08D"/>
              <w:right w:val="single" w:sz="4" w:space="0" w:color="A8D08D"/>
            </w:tcBorders>
          </w:tcPr>
          <w:p w14:paraId="4FA806F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68D472F8"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25F2F72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AG+GG</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74FF621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159.39±73.16</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0463C41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02653EE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100.73±43.42</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012AFA6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6EC16F09"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394B7E1D"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Рецессивная модель</w:t>
            </w:r>
          </w:p>
        </w:tc>
        <w:tc>
          <w:tcPr>
            <w:tcW w:w="1569" w:type="dxa"/>
            <w:tcBorders>
              <w:top w:val="single" w:sz="4" w:space="0" w:color="A8D08D"/>
              <w:left w:val="single" w:sz="4" w:space="0" w:color="A8D08D"/>
              <w:bottom w:val="single" w:sz="4" w:space="0" w:color="A8D08D"/>
              <w:right w:val="single" w:sz="4" w:space="0" w:color="A8D08D"/>
            </w:tcBorders>
          </w:tcPr>
          <w:p w14:paraId="2031E61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tcPr>
          <w:p w14:paraId="3554EC1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0.796</w:t>
            </w:r>
          </w:p>
        </w:tc>
        <w:tc>
          <w:tcPr>
            <w:tcW w:w="1653" w:type="dxa"/>
            <w:tcBorders>
              <w:top w:val="single" w:sz="4" w:space="0" w:color="A8D08D"/>
              <w:left w:val="single" w:sz="4" w:space="0" w:color="A8D08D"/>
              <w:bottom w:val="single" w:sz="4" w:space="0" w:color="A8D08D"/>
              <w:right w:val="single" w:sz="4" w:space="0" w:color="A8D08D"/>
            </w:tcBorders>
          </w:tcPr>
          <w:p w14:paraId="15F282EE"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tcPr>
          <w:p w14:paraId="1395A40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0.197</w:t>
            </w:r>
          </w:p>
        </w:tc>
      </w:tr>
      <w:tr w:rsidR="000B2379" w14:paraId="3BF75496"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0DCDA0B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AA+AG</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249B23E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166.36±77.68</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6EBE5C0B"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17DDF222"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103.04±47.1</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389EB7A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6089B9F3"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1A74C1B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GG</w:t>
            </w:r>
          </w:p>
        </w:tc>
        <w:tc>
          <w:tcPr>
            <w:tcW w:w="1569" w:type="dxa"/>
            <w:tcBorders>
              <w:top w:val="single" w:sz="4" w:space="0" w:color="A8D08D"/>
              <w:left w:val="single" w:sz="4" w:space="0" w:color="A8D08D"/>
              <w:bottom w:val="single" w:sz="4" w:space="0" w:color="A8D08D"/>
              <w:right w:val="single" w:sz="4" w:space="0" w:color="A8D08D"/>
            </w:tcBorders>
          </w:tcPr>
          <w:p w14:paraId="0C37ED9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160.49±80.47</w:t>
            </w:r>
          </w:p>
        </w:tc>
        <w:tc>
          <w:tcPr>
            <w:tcW w:w="1454" w:type="dxa"/>
            <w:tcBorders>
              <w:top w:val="single" w:sz="4" w:space="0" w:color="A8D08D"/>
              <w:left w:val="single" w:sz="4" w:space="0" w:color="A8D08D"/>
              <w:bottom w:val="single" w:sz="4" w:space="0" w:color="A8D08D"/>
              <w:right w:val="single" w:sz="4" w:space="0" w:color="A8D08D"/>
            </w:tcBorders>
          </w:tcPr>
          <w:p w14:paraId="58A33DA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0980400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96.72±39.2</w:t>
            </w:r>
          </w:p>
        </w:tc>
        <w:tc>
          <w:tcPr>
            <w:tcW w:w="1860" w:type="dxa"/>
            <w:gridSpan w:val="2"/>
            <w:tcBorders>
              <w:top w:val="single" w:sz="4" w:space="0" w:color="A8D08D"/>
              <w:left w:val="single" w:sz="4" w:space="0" w:color="A8D08D"/>
              <w:bottom w:val="single" w:sz="4" w:space="0" w:color="A8D08D"/>
              <w:right w:val="single" w:sz="4" w:space="0" w:color="A8D08D"/>
            </w:tcBorders>
          </w:tcPr>
          <w:p w14:paraId="18250DA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6C9FA8D2"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1EAF89E7"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Аллель</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4F4A289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6B0472EF"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0.397</w:t>
            </w: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24BA369C"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16CDB4D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0.153</w:t>
            </w:r>
          </w:p>
        </w:tc>
      </w:tr>
      <w:tr w:rsidR="000B2379" w14:paraId="709EAD1F"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tcPr>
          <w:p w14:paraId="441C5EC6"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w:t>
            </w:r>
          </w:p>
        </w:tc>
        <w:tc>
          <w:tcPr>
            <w:tcW w:w="1569" w:type="dxa"/>
            <w:tcBorders>
              <w:top w:val="single" w:sz="4" w:space="0" w:color="A8D08D"/>
              <w:left w:val="single" w:sz="4" w:space="0" w:color="A8D08D"/>
              <w:bottom w:val="single" w:sz="4" w:space="0" w:color="A8D08D"/>
              <w:right w:val="single" w:sz="4" w:space="0" w:color="A8D08D"/>
            </w:tcBorders>
          </w:tcPr>
          <w:p w14:paraId="0F6CADB8"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169.14±80.34</w:t>
            </w:r>
          </w:p>
        </w:tc>
        <w:tc>
          <w:tcPr>
            <w:tcW w:w="1454" w:type="dxa"/>
            <w:tcBorders>
              <w:top w:val="single" w:sz="4" w:space="0" w:color="A8D08D"/>
              <w:left w:val="single" w:sz="4" w:space="0" w:color="A8D08D"/>
              <w:bottom w:val="single" w:sz="4" w:space="0" w:color="A8D08D"/>
              <w:right w:val="single" w:sz="4" w:space="0" w:color="A8D08D"/>
            </w:tcBorders>
          </w:tcPr>
          <w:p w14:paraId="575132E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tcPr>
          <w:p w14:paraId="61199CB5"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103.02±47.54</w:t>
            </w:r>
          </w:p>
        </w:tc>
        <w:tc>
          <w:tcPr>
            <w:tcW w:w="1860" w:type="dxa"/>
            <w:gridSpan w:val="2"/>
            <w:tcBorders>
              <w:top w:val="single" w:sz="4" w:space="0" w:color="A8D08D"/>
              <w:left w:val="single" w:sz="4" w:space="0" w:color="A8D08D"/>
              <w:bottom w:val="single" w:sz="4" w:space="0" w:color="A8D08D"/>
              <w:right w:val="single" w:sz="4" w:space="0" w:color="A8D08D"/>
            </w:tcBorders>
          </w:tcPr>
          <w:p w14:paraId="2E9DA3B9"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r w:rsidR="000B2379" w14:paraId="2270C7CD" w14:textId="77777777" w:rsidTr="00B57F2E">
        <w:trPr>
          <w:trHeight w:val="170"/>
        </w:trPr>
        <w:tc>
          <w:tcPr>
            <w:tcW w:w="2479" w:type="dxa"/>
            <w:tcBorders>
              <w:top w:val="single" w:sz="4" w:space="0" w:color="A8D08D"/>
              <w:left w:val="single" w:sz="4" w:space="0" w:color="A8D08D"/>
              <w:bottom w:val="single" w:sz="4" w:space="0" w:color="A8D08D"/>
              <w:right w:val="single" w:sz="4" w:space="0" w:color="A8D08D"/>
            </w:tcBorders>
            <w:shd w:val="clear" w:color="auto" w:fill="E2EFD9"/>
          </w:tcPr>
          <w:p w14:paraId="126471F4"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w:t>
            </w:r>
          </w:p>
        </w:tc>
        <w:tc>
          <w:tcPr>
            <w:tcW w:w="1569" w:type="dxa"/>
            <w:tcBorders>
              <w:top w:val="single" w:sz="4" w:space="0" w:color="A8D08D"/>
              <w:left w:val="single" w:sz="4" w:space="0" w:color="A8D08D"/>
              <w:bottom w:val="single" w:sz="4" w:space="0" w:color="A8D08D"/>
              <w:right w:val="single" w:sz="4" w:space="0" w:color="A8D08D"/>
            </w:tcBorders>
            <w:shd w:val="clear" w:color="auto" w:fill="E2EFD9"/>
          </w:tcPr>
          <w:p w14:paraId="3274628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159.69±74.9</w:t>
            </w:r>
          </w:p>
        </w:tc>
        <w:tc>
          <w:tcPr>
            <w:tcW w:w="1454" w:type="dxa"/>
            <w:tcBorders>
              <w:top w:val="single" w:sz="4" w:space="0" w:color="A8D08D"/>
              <w:left w:val="single" w:sz="4" w:space="0" w:color="A8D08D"/>
              <w:bottom w:val="single" w:sz="4" w:space="0" w:color="A8D08D"/>
              <w:right w:val="single" w:sz="4" w:space="0" w:color="A8D08D"/>
            </w:tcBorders>
            <w:shd w:val="clear" w:color="auto" w:fill="E2EFD9"/>
          </w:tcPr>
          <w:p w14:paraId="35F39F91"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c>
          <w:tcPr>
            <w:tcW w:w="1653" w:type="dxa"/>
            <w:tcBorders>
              <w:top w:val="single" w:sz="4" w:space="0" w:color="A8D08D"/>
              <w:left w:val="single" w:sz="4" w:space="0" w:color="A8D08D"/>
              <w:bottom w:val="single" w:sz="4" w:space="0" w:color="A8D08D"/>
              <w:right w:val="single" w:sz="4" w:space="0" w:color="A8D08D"/>
            </w:tcBorders>
            <w:shd w:val="clear" w:color="auto" w:fill="E2EFD9"/>
          </w:tcPr>
          <w:p w14:paraId="5E3D5A10"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99.65±42.21</w:t>
            </w:r>
          </w:p>
        </w:tc>
        <w:tc>
          <w:tcPr>
            <w:tcW w:w="1860" w:type="dxa"/>
            <w:gridSpan w:val="2"/>
            <w:tcBorders>
              <w:top w:val="single" w:sz="4" w:space="0" w:color="A8D08D"/>
              <w:left w:val="single" w:sz="4" w:space="0" w:color="A8D08D"/>
              <w:bottom w:val="single" w:sz="4" w:space="0" w:color="A8D08D"/>
              <w:right w:val="single" w:sz="4" w:space="0" w:color="A8D08D"/>
            </w:tcBorders>
            <w:shd w:val="clear" w:color="auto" w:fill="E2EFD9"/>
          </w:tcPr>
          <w:p w14:paraId="72B4F03A" w14:textId="77777777" w:rsidR="000B2379" w:rsidRDefault="000B2379" w:rsidP="00B57F2E">
            <w:pPr>
              <w:pStyle w:val="LO-normal"/>
              <w:widowControl w:val="0"/>
              <w:spacing w:after="0" w:line="240" w:lineRule="auto"/>
              <w:jc w:val="center"/>
              <w:textAlignment w:val="baseline"/>
              <w:rPr>
                <w:rFonts w:ascii="Times New Roman" w:eastAsia="Times New Roman" w:hAnsi="Times New Roman" w:cs="Times New Roman"/>
                <w:color w:val="000000"/>
                <w:sz w:val="20"/>
                <w:szCs w:val="20"/>
              </w:rPr>
            </w:pPr>
          </w:p>
        </w:tc>
      </w:tr>
    </w:tbl>
    <w:p w14:paraId="1A114E21" w14:textId="77777777" w:rsidR="000B2379" w:rsidRDefault="000B2379" w:rsidP="004E5901">
      <w:pPr>
        <w:pStyle w:val="LO-normal"/>
        <w:spacing w:after="0" w:line="240" w:lineRule="auto"/>
        <w:ind w:firstLine="567"/>
        <w:jc w:val="both"/>
        <w:rPr>
          <w:rFonts w:ascii="Times New Roman" w:hAnsi="Times New Roman" w:cs="Times New Roman"/>
          <w:sz w:val="28"/>
          <w:szCs w:val="28"/>
          <w:lang w:bidi="ar-SA"/>
        </w:rPr>
      </w:pPr>
    </w:p>
    <w:p w14:paraId="20292D38" w14:textId="3910B122" w:rsidR="004E5901" w:rsidRPr="00926EC0" w:rsidRDefault="004E5901"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Был проведен анализ связи между четырьмя однонуклеотидными полиморфизмами гена АВСВ1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4E5901">
        <w:rPr>
          <w:rFonts w:ascii="Times New Roman" w:hAnsi="Times New Roman" w:cs="Times New Roman"/>
          <w:sz w:val="28"/>
          <w:szCs w:val="28"/>
          <w:lang w:bidi="ar-SA"/>
        </w:rPr>
        <w:t>1128503</w:t>
      </w:r>
      <w:r>
        <w:rPr>
          <w:rFonts w:ascii="Times New Roman" w:hAnsi="Times New Roman" w:cs="Times New Roman"/>
          <w:sz w:val="28"/>
          <w:szCs w:val="28"/>
          <w:lang w:bidi="ar-SA"/>
        </w:rPr>
        <w:t>)</w:t>
      </w:r>
      <w:r w:rsidRPr="004E5901">
        <w:rPr>
          <w:rFonts w:ascii="Times New Roman" w:hAnsi="Times New Roman" w:cs="Times New Roman"/>
          <w:sz w:val="28"/>
          <w:szCs w:val="28"/>
          <w:lang w:bidi="ar-SA"/>
        </w:rPr>
        <w:t xml:space="preserve"> </w:t>
      </w:r>
      <w:r>
        <w:rPr>
          <w:rFonts w:ascii="Times New Roman" w:hAnsi="Times New Roman" w:cs="Times New Roman"/>
          <w:sz w:val="28"/>
          <w:szCs w:val="28"/>
          <w:lang w:bidi="ar-SA"/>
        </w:rPr>
        <w:t>и концентрациями апиксабана в плазме крови (пиковыми и минимальными значениями) у пациентов с неклапанной ФП. Ни один из полиморфизмов не продемонстрировал статистически значимой ассоциации с концентрациями апиксабана (все р</w:t>
      </w:r>
      <w:r w:rsidRPr="004E5901">
        <w:rPr>
          <w:rFonts w:ascii="Times New Roman" w:hAnsi="Times New Roman" w:cs="Times New Roman"/>
          <w:sz w:val="28"/>
          <w:szCs w:val="28"/>
          <w:lang w:bidi="ar-SA"/>
        </w:rPr>
        <w:t>&gt;0,05</w:t>
      </w:r>
      <w:r>
        <w:rPr>
          <w:rFonts w:ascii="Times New Roman" w:hAnsi="Times New Roman" w:cs="Times New Roman"/>
          <w:sz w:val="28"/>
          <w:szCs w:val="28"/>
          <w:lang w:bidi="ar-SA"/>
        </w:rPr>
        <w:t xml:space="preserve">), независимо от используемой модели анализа (аддитивной, доминантной, рецессивной или аллельной). </w:t>
      </w:r>
      <w:r w:rsidR="00B80754" w:rsidRPr="000B2379">
        <w:rPr>
          <w:rFonts w:ascii="Times New Roman" w:hAnsi="Times New Roman" w:cs="Times New Roman"/>
          <w:i/>
          <w:iCs/>
          <w:sz w:val="28"/>
          <w:szCs w:val="28"/>
          <w:lang w:val="en-US" w:bidi="ar-SA"/>
        </w:rPr>
        <w:t>rs</w:t>
      </w:r>
      <w:r w:rsidR="00B80754" w:rsidRPr="000B2379">
        <w:rPr>
          <w:rFonts w:ascii="Times New Roman" w:hAnsi="Times New Roman" w:cs="Times New Roman"/>
          <w:i/>
          <w:iCs/>
          <w:sz w:val="28"/>
          <w:szCs w:val="28"/>
          <w:lang w:bidi="ar-SA"/>
        </w:rPr>
        <w:t>2032582 (</w:t>
      </w:r>
      <w:r w:rsidR="00B80754" w:rsidRPr="000B2379">
        <w:rPr>
          <w:rFonts w:ascii="Times New Roman" w:hAnsi="Times New Roman" w:cs="Times New Roman"/>
          <w:i/>
          <w:iCs/>
          <w:sz w:val="28"/>
          <w:szCs w:val="28"/>
          <w:lang w:val="en-US" w:bidi="ar-SA"/>
        </w:rPr>
        <w:t>C</w:t>
      </w:r>
      <w:r w:rsidR="00B80754" w:rsidRPr="000B2379">
        <w:rPr>
          <w:rFonts w:ascii="Times New Roman" w:hAnsi="Times New Roman" w:cs="Times New Roman"/>
          <w:i/>
          <w:iCs/>
          <w:sz w:val="28"/>
          <w:szCs w:val="28"/>
          <w:lang w:bidi="ar-SA"/>
        </w:rPr>
        <w:t>&gt;</w:t>
      </w:r>
      <w:r w:rsidR="00B80754" w:rsidRPr="000B2379">
        <w:rPr>
          <w:rFonts w:ascii="Times New Roman" w:hAnsi="Times New Roman" w:cs="Times New Roman"/>
          <w:i/>
          <w:iCs/>
          <w:sz w:val="28"/>
          <w:szCs w:val="28"/>
          <w:lang w:val="en-US" w:bidi="ar-SA"/>
        </w:rPr>
        <w:t>A</w:t>
      </w:r>
      <w:r w:rsidR="00B80754" w:rsidRPr="000B2379">
        <w:rPr>
          <w:rFonts w:ascii="Times New Roman" w:hAnsi="Times New Roman" w:cs="Times New Roman"/>
          <w:i/>
          <w:iCs/>
          <w:sz w:val="28"/>
          <w:szCs w:val="28"/>
          <w:lang w:bidi="ar-SA"/>
        </w:rPr>
        <w:t>):</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у носителей АА-генотипа отмечались более высокие как пиковые (181,2 нг/мл), так и минимальные (111,9нг/мл) концентрации по сравнению с другими генотипами. Однако различия не достигли статистической значимости (</w:t>
      </w:r>
      <w:r w:rsidR="00B80754">
        <w:rPr>
          <w:rFonts w:ascii="Times New Roman" w:hAnsi="Times New Roman" w:cs="Times New Roman"/>
          <w:sz w:val="28"/>
          <w:szCs w:val="28"/>
          <w:lang w:val="en-US" w:bidi="ar-SA"/>
        </w:rPr>
        <w:t>Cmax</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val="en-US" w:bidi="ar-SA"/>
        </w:rPr>
        <w:t>p</w:t>
      </w:r>
      <w:r w:rsidR="00B80754" w:rsidRPr="00B80754">
        <w:rPr>
          <w:rFonts w:ascii="Times New Roman" w:hAnsi="Times New Roman" w:cs="Times New Roman"/>
          <w:sz w:val="28"/>
          <w:szCs w:val="28"/>
          <w:lang w:bidi="ar-SA"/>
        </w:rPr>
        <w:t>=0,063</w:t>
      </w:r>
      <w:r w:rsidR="00B80754">
        <w:rPr>
          <w:rFonts w:ascii="Times New Roman" w:hAnsi="Times New Roman" w:cs="Times New Roman"/>
          <w:sz w:val="28"/>
          <w:szCs w:val="28"/>
          <w:lang w:bidi="ar-SA"/>
        </w:rPr>
        <w:t>)</w:t>
      </w:r>
      <w:r w:rsidR="00B80754" w:rsidRPr="00B80754">
        <w:rPr>
          <w:rFonts w:ascii="Times New Roman" w:hAnsi="Times New Roman" w:cs="Times New Roman"/>
          <w:sz w:val="28"/>
          <w:szCs w:val="28"/>
          <w:lang w:bidi="ar-SA"/>
        </w:rPr>
        <w:t xml:space="preserve">. </w:t>
      </w:r>
      <w:r w:rsidR="000B2379" w:rsidRPr="000B2379">
        <w:rPr>
          <w:rFonts w:ascii="Times New Roman" w:hAnsi="Times New Roman" w:cs="Times New Roman"/>
          <w:i/>
          <w:iCs/>
          <w:sz w:val="28"/>
          <w:szCs w:val="28"/>
          <w:lang w:val="en-US" w:bidi="ar-SA"/>
        </w:rPr>
        <w:t>r</w:t>
      </w:r>
      <w:r w:rsidR="00B80754" w:rsidRPr="000B2379">
        <w:rPr>
          <w:rFonts w:ascii="Times New Roman" w:hAnsi="Times New Roman" w:cs="Times New Roman"/>
          <w:i/>
          <w:iCs/>
          <w:sz w:val="28"/>
          <w:szCs w:val="28"/>
          <w:lang w:val="en-US" w:bidi="ar-SA"/>
        </w:rPr>
        <w:t>s</w:t>
      </w:r>
      <w:r w:rsidR="00B80754" w:rsidRPr="000B2379">
        <w:rPr>
          <w:rFonts w:ascii="Times New Roman" w:hAnsi="Times New Roman" w:cs="Times New Roman"/>
          <w:i/>
          <w:iCs/>
          <w:sz w:val="28"/>
          <w:szCs w:val="28"/>
          <w:lang w:bidi="ar-SA"/>
        </w:rPr>
        <w:t>1045642 (</w:t>
      </w:r>
      <w:r w:rsidR="00B80754" w:rsidRPr="000B2379">
        <w:rPr>
          <w:rFonts w:ascii="Times New Roman" w:hAnsi="Times New Roman" w:cs="Times New Roman"/>
          <w:i/>
          <w:iCs/>
          <w:sz w:val="28"/>
          <w:szCs w:val="28"/>
          <w:lang w:val="en-US" w:bidi="ar-SA"/>
        </w:rPr>
        <w:t>A</w:t>
      </w:r>
      <w:r w:rsidR="00B80754" w:rsidRPr="000B2379">
        <w:rPr>
          <w:rFonts w:ascii="Times New Roman" w:hAnsi="Times New Roman" w:cs="Times New Roman"/>
          <w:i/>
          <w:iCs/>
          <w:sz w:val="28"/>
          <w:szCs w:val="28"/>
          <w:lang w:bidi="ar-SA"/>
        </w:rPr>
        <w:t>&gt;</w:t>
      </w:r>
      <w:r w:rsidR="00B80754" w:rsidRPr="000B2379">
        <w:rPr>
          <w:rFonts w:ascii="Times New Roman" w:hAnsi="Times New Roman" w:cs="Times New Roman"/>
          <w:i/>
          <w:iCs/>
          <w:sz w:val="28"/>
          <w:szCs w:val="28"/>
          <w:lang w:val="en-US" w:bidi="ar-SA"/>
        </w:rPr>
        <w:t>G</w:t>
      </w:r>
      <w:r w:rsidR="00B80754" w:rsidRPr="000B2379">
        <w:rPr>
          <w:rFonts w:ascii="Times New Roman" w:hAnsi="Times New Roman" w:cs="Times New Roman"/>
          <w:i/>
          <w:iCs/>
          <w:sz w:val="28"/>
          <w:szCs w:val="28"/>
          <w:lang w:bidi="ar-SA"/>
        </w:rPr>
        <w:t>):</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 xml:space="preserve">носители АА имели наиболее высокие значения </w:t>
      </w:r>
      <w:r w:rsidR="00B80754">
        <w:rPr>
          <w:rFonts w:ascii="Times New Roman" w:hAnsi="Times New Roman" w:cs="Times New Roman"/>
          <w:sz w:val="28"/>
          <w:szCs w:val="28"/>
          <w:lang w:val="en-US" w:bidi="ar-SA"/>
        </w:rPr>
        <w:t>Cmax</w:t>
      </w:r>
      <w:r w:rsidR="00B80754" w:rsidRPr="00B80754">
        <w:rPr>
          <w:rFonts w:ascii="Times New Roman" w:hAnsi="Times New Roman" w:cs="Times New Roman"/>
          <w:sz w:val="28"/>
          <w:szCs w:val="28"/>
          <w:lang w:bidi="ar-SA"/>
        </w:rPr>
        <w:t xml:space="preserve"> (180,9</w:t>
      </w:r>
      <w:r w:rsidR="00B80754">
        <w:rPr>
          <w:rFonts w:ascii="Times New Roman" w:hAnsi="Times New Roman" w:cs="Times New Roman"/>
          <w:sz w:val="28"/>
          <w:szCs w:val="28"/>
          <w:lang w:bidi="ar-SA"/>
        </w:rPr>
        <w:t>нг/мл</w:t>
      </w:r>
      <w:r w:rsidR="00B80754" w:rsidRPr="00B80754">
        <w:rPr>
          <w:rFonts w:ascii="Times New Roman" w:hAnsi="Times New Roman" w:cs="Times New Roman"/>
          <w:sz w:val="28"/>
          <w:szCs w:val="28"/>
          <w:lang w:bidi="ar-SA"/>
        </w:rPr>
        <w:t>)</w:t>
      </w:r>
      <w:r w:rsidR="00B80754">
        <w:rPr>
          <w:rFonts w:ascii="Times New Roman" w:hAnsi="Times New Roman" w:cs="Times New Roman"/>
          <w:sz w:val="28"/>
          <w:szCs w:val="28"/>
          <w:lang w:bidi="ar-SA"/>
        </w:rPr>
        <w:t xml:space="preserve">, по сравнению с </w:t>
      </w:r>
      <w:r w:rsidR="00B80754">
        <w:rPr>
          <w:rFonts w:ascii="Times New Roman" w:hAnsi="Times New Roman" w:cs="Times New Roman"/>
          <w:sz w:val="28"/>
          <w:szCs w:val="28"/>
          <w:lang w:val="en-US" w:bidi="ar-SA"/>
        </w:rPr>
        <w:t>AG</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 xml:space="preserve">и </w:t>
      </w:r>
      <w:r w:rsidR="00B80754">
        <w:rPr>
          <w:rFonts w:ascii="Times New Roman" w:hAnsi="Times New Roman" w:cs="Times New Roman"/>
          <w:sz w:val="28"/>
          <w:szCs w:val="28"/>
          <w:lang w:val="en-US" w:bidi="ar-SA"/>
        </w:rPr>
        <w:t>GG</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но р=0,422</w:t>
      </w:r>
      <w:r w:rsidR="000B2379" w:rsidRPr="000B2379">
        <w:rPr>
          <w:rFonts w:ascii="Times New Roman" w:hAnsi="Times New Roman" w:cs="Times New Roman"/>
          <w:sz w:val="28"/>
          <w:szCs w:val="28"/>
          <w:lang w:bidi="ar-SA"/>
        </w:rPr>
        <w:t xml:space="preserve">. </w:t>
      </w:r>
      <w:r w:rsidR="00B80754" w:rsidRPr="000B2379">
        <w:rPr>
          <w:rFonts w:ascii="Times New Roman" w:hAnsi="Times New Roman" w:cs="Times New Roman"/>
          <w:i/>
          <w:iCs/>
          <w:sz w:val="28"/>
          <w:szCs w:val="28"/>
          <w:lang w:val="en-US" w:bidi="ar-SA"/>
        </w:rPr>
        <w:t>rs</w:t>
      </w:r>
      <w:r w:rsidR="00B80754" w:rsidRPr="000B2379">
        <w:rPr>
          <w:rFonts w:ascii="Times New Roman" w:hAnsi="Times New Roman" w:cs="Times New Roman"/>
          <w:i/>
          <w:iCs/>
          <w:sz w:val="28"/>
          <w:szCs w:val="28"/>
          <w:lang w:bidi="ar-SA"/>
        </w:rPr>
        <w:t>4148738</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незначительное снижение средних концентраций при переходе от СС к ТТ, но без достоверных различий. Несмотря на отсутствие статистически значимых результатов, наблюдаемые тенденции предполагают возможное участие отдельных вариантов гена АВСВ1 в межиндивидуальной вариабельности фармакокинетики апиксабана. По литературным данным в исследовании проведенном среди итальянской этнической группы впервые было продемонстрировано влияние полиморфизма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4148738</w:t>
      </w:r>
      <w:r w:rsidR="00B80754">
        <w:rPr>
          <w:rFonts w:ascii="Times New Roman" w:hAnsi="Times New Roman" w:cs="Times New Roman"/>
          <w:sz w:val="28"/>
          <w:szCs w:val="28"/>
          <w:lang w:bidi="ar-SA"/>
        </w:rPr>
        <w:t>)</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гена АВСВ1 на пиковые концентрации апиксабана</w:t>
      </w:r>
      <w:r w:rsidR="00B8075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gGpKQBFH","properties":{"unsorted":false,"formattedCitation":"[142]","plainCitation":"[142]","noteIndex":0},"citationItems":[{"id":124,"uris":["http://zotero.org/users/14784094/items/5SHW2PTW"],"itemData":{"id":124,"type":"article-journal","container-title":"Thrombosis Research","DOI":"10.1016/j.thromres.2016.07.005","ISSN":"1879-2472","journalAbbreviation":"Thromb Res","language":"eng","page":"24-26","PMID":"27434880","source":"PubMed","title":"ABCB1 SNP rs4148738 modulation of apixaban interindividual variability","volume":"145","author":[{"family":"Dimatteo","given":"Claudia"},{"family":"D'Andrea","given":"Giovanna"},{"family":"Vecchione","given":"Gennaro"},{"family":"Paoletti","given":"Oriana"},{"family":"Tiscia","given":"Giovanni Luca"},{"family":"Santacroce","given":"Rosa"},{"family":"Correale","given":"Michele"},{"family":"Brunetti","given":"Natale"},{"family":"Grandone","given":"Elvira"},{"family":"Testa","given":"Sophie"},{"family":"Margaglione","given":"Maurizio"}],"issued":{"date-parts":[["2016",9]]}}}],"schema":"https://github.com/citation-style-language/schema/raw/master/csl-citation.json"} </w:instrText>
      </w:r>
      <w:r w:rsidR="00B8075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[142]</w:t>
      </w:r>
      <w:r w:rsidR="00B80754">
        <w:rPr>
          <w:rFonts w:ascii="Times New Roman" w:hAnsi="Times New Roman" w:cs="Times New Roman"/>
          <w:sz w:val="28"/>
          <w:szCs w:val="28"/>
          <w:lang w:bidi="ar-SA"/>
        </w:rPr>
        <w:fldChar w:fldCharType="end"/>
      </w:r>
      <w:r w:rsidR="00B80754">
        <w:rPr>
          <w:rFonts w:ascii="Times New Roman" w:hAnsi="Times New Roman" w:cs="Times New Roman"/>
          <w:sz w:val="28"/>
          <w:szCs w:val="28"/>
          <w:lang w:bidi="ar-SA"/>
        </w:rPr>
        <w:t>.</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 xml:space="preserve">Относительно полиморфизмов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 xml:space="preserve">1045642,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 xml:space="preserve">2032582,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 xml:space="preserve">1128503 </w:t>
      </w:r>
      <w:r w:rsidR="00B80754">
        <w:rPr>
          <w:rFonts w:ascii="Times New Roman" w:hAnsi="Times New Roman" w:cs="Times New Roman"/>
          <w:sz w:val="28"/>
          <w:szCs w:val="28"/>
          <w:lang w:bidi="ar-SA"/>
        </w:rPr>
        <w:t>гена АВСВ1 не было обнаружено статистически значимых различий в пиковых или минимальных концентрациях апиксабана в плазме крови среди различных генотипов в японской популяции</w:t>
      </w:r>
      <w:r w:rsidR="00B8075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{"citationID":"BsmDOBgu","properties":{"unsorted":false,"formattedCitation":"[143]","plainCitation":"[143]","noteIndex":0},"citationItems":[{"id":698,"uris":["http://zotero.org/users/14784094/items/ELLID4F5"],"itemData":{"id":698,"type":"article-journal","abstract":"METHODS Data were collected from 81 Japanese patients with atrial ﬁbrillation. Pharmacogenomic data were stratiﬁed by ABCB1, ABCG2 and CYP3A5 polymorphisms. The pharmacokinetic proﬁle of apixaban was described by a one-compartment model with ﬁrst-order absorption. Population pharmacokinetic analysis was conducted using a nonlinear mixed effect modelling (NONMEM™) program.\nRESULTS The nonlinear relationship between oral clearance (CL/F) of apixaban and creatinine clearance (Ccr) was observed. The population mean of CL/F for a typical patient (Ccr value of 70 ml minÀ1) with the CYP3A5*1/*1 and ABCG2 421C/C or C/A genotypes was estimated to be 3.06 l hÀ1. When Ccr values were set to the typical value, the population mean of CL/F was 1.52 times higher in patients with the CYP3A5*1/*1 genotype compared with patients with the CYP3A5*1/*3 or *3/*3 genotype, while the population mean of CL/F was 1.49 times higher in patients with the ABCG2 421C/C or C/A genotype compared with patients with the ABCG2 421A/A genotype. However, no covariates affected the population mean of the apparent volume of distribution (Vd/F) of apixaban. The population mean of Vd/F was estimated to be 24.7 l.\nCONCLUSION The present study suggests that the ABCG2 421A/A and CYP3A5*3 genotypes and renal function are intrinsic factors affecting apixaban pharmacokinetics. These ﬁndings may provide useful information for precision medicine using apixaban, to avoid the risk of adverse reactions.","container-title":"British Journal of Clinical Pharmacology","DOI":"10.1111/bcp.13561","ISSN":"0306-5251, 1365-2125","issue":"6","journalAbbreviation":"Brit J Clinical Pharma","language":"en","license":"http://onlinelibrary.wiley.com/termsAndConditions#vor","page":"1301-1312","source":"DOI.org (Crossref)","title":"Population pharmacokinetics and pharmacogenomics of apixaban in Japanese adult patients with atrial fibrillation","volume":"84","author":[{"family":"Ueshima","given":"Satoshi"},{"family":"Hira","given":"Daiki"},{"family":"Kimura","given":"Yuuma"},{"family":"Fujii","given":"Ryo"},{"family":"Tomitsuka","given":"Chiho"},{"family":"Yamane","given":"Takuya"},{"family":"Tabuchi","given":"Yohei"},{"family":"Ozawa","given":"Tomoya"},{"family":"Itoh","given":"Hideki"},{"family":"Ohno","given":"Seiko"},{"family":"Horie","given":"Minoru"},{"family":"Terada","given":"Tomohiro"},{"family":"Katsura","given":"Toshiya"}],"issued":{"date-parts":[["2018",6]]}}}],"schema":"https://github.com/citation-style-language/schema/raw/master/csl-citation.json"} </w:instrText>
      </w:r>
      <w:r w:rsidR="00B8075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[143]</w:t>
      </w:r>
      <w:r w:rsidR="00B80754">
        <w:rPr>
          <w:rFonts w:ascii="Times New Roman" w:hAnsi="Times New Roman" w:cs="Times New Roman"/>
          <w:sz w:val="28"/>
          <w:szCs w:val="28"/>
          <w:lang w:bidi="ar-SA"/>
        </w:rPr>
        <w:fldChar w:fldCharType="end"/>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 xml:space="preserve">Аналогичные результаты были получены в исследовании </w:t>
      </w:r>
      <w:proofErr w:type="spellStart"/>
      <w:r w:rsidR="00B80754">
        <w:rPr>
          <w:rFonts w:ascii="Times New Roman" w:hAnsi="Times New Roman" w:cs="Times New Roman"/>
          <w:sz w:val="28"/>
          <w:szCs w:val="28"/>
          <w:lang w:bidi="ar-SA"/>
        </w:rPr>
        <w:t>А.Крюкова</w:t>
      </w:r>
      <w:proofErr w:type="spellEnd"/>
      <w:r w:rsidR="00B80754">
        <w:rPr>
          <w:rFonts w:ascii="Times New Roman" w:hAnsi="Times New Roman" w:cs="Times New Roman"/>
          <w:sz w:val="28"/>
          <w:szCs w:val="28"/>
          <w:lang w:bidi="ar-SA"/>
        </w:rPr>
        <w:t xml:space="preserve"> и соавторов, где не обнаружено влияния полиморфизмов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 xml:space="preserve">1045642 </w:t>
      </w:r>
      <w:r w:rsidR="00B80754">
        <w:rPr>
          <w:rFonts w:ascii="Times New Roman" w:hAnsi="Times New Roman" w:cs="Times New Roman"/>
          <w:sz w:val="28"/>
          <w:szCs w:val="28"/>
          <w:lang w:bidi="ar-SA"/>
        </w:rPr>
        <w:t xml:space="preserve">и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 xml:space="preserve">4148738 </w:t>
      </w:r>
      <w:r w:rsidR="00B80754">
        <w:rPr>
          <w:rFonts w:ascii="Times New Roman" w:hAnsi="Times New Roman" w:cs="Times New Roman"/>
          <w:sz w:val="28"/>
          <w:szCs w:val="28"/>
          <w:lang w:bidi="ar-SA"/>
        </w:rPr>
        <w:t>на фармакокинетику апиксабана, при этом различия в концентрациях между генотипными группами статистически незначимы</w:t>
      </w:r>
      <w:r w:rsidR="00B8075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aqzm90wz","properties":{"unsorted":false,"formattedCitation":"[127]","plainCitation":"[127]","noteIndex":0},"citationItems":[{"id":742,"uris":["http://zotero.org/users/14784094/items/7Y68CG3G"],"itemData":{"id":742,"type":"article-journal","abstract":"Introduction: Difficulties in non-vitamin K anticoagulant (NOAC) administration in acute stroke can be associated with changes in pharmacokinetic parameters of NOAC such as biotransformation, distribution, and excretion. Therefore, obtaining data on pharmacokinetics of NOAC and factors that affect it may help develop algorithms for personalized use of this drug class in patients with acute cardioembolic stroke. Patients and methods: Pharmacokinetics of apixaban in patients with acute stroke was studied earlier by Kryukov et al. The present study enrolled 17 patients with cardioembolic stroke, who received 5 mg of apixaban. In order to evaluate the pharmacokinetic parameters of apixaban, venous blood samples were collected before taking 5 mg of apixaban (point 0) and 1, 2, 3, 4, 10, and 12 hours after drug intake. Blood samples were centrifuged at 3000 rpm for 15 minutes. Separate plasma was aliquoted in Eppendorf tubes and frozen at -70°C until analysis. High-performance liquid chromatography mass spectrometry analysis was used to determine apixaban plasma concentration. Genotyping was performed by real-time polymerase chain reaction. CYP3A isoenzyme group activity was evaluated by determining urinary concentration of endogenous substrate of the enzyme and its metabolite (6-β-hydroxycortisol to cortisol ratio). Statistical analysis was performed using SPSS Statistics version 20.0. The protocol of this study was reviewed and approved by the ethics committee; patients or their representatives signed an informed consent.\nResults: ABCB1 (rs1045642 and rs4148738) gene polymorphisms do not affect the pharmacokinetics of apixaban as well as CYP3A5 (rs776746) gene polymorphisms. Apixaban pharmacokinetics in groups with different genotypes did not differ statistically significantly. Correlation analysis showed no statistically significant relationship between pharmacokinetic parameters of apixaban and the metabolic activity of CYP3A.\nConclusion: Questions such as depending on genotyping results for apixaban dosing and implementation of express genotyping in clinical practice remain open for NOACs. Large population studies are required to clarify the clinical significance of genotyping for this drug class.","container-title":"Pharmacogenomics and Personalized Medicine","DOI":"10.2147/PGPM.S157111","ISSN":"1178-7066","journalAbbreviation":"PGPM","language":"en","license":"http://creativecommons.org/licenses/by-nc/3.0/","page":"43-49","source":"DOI.org (Crossref)","title":"Influence of ABCB1 and CYP3A5 gene polymorphisms on pharmacokinetics of apixaban in patients with atrial fibrillation and acute stroke","volume":"Volume 11","author":[{"family":"Kryukov","given":"Alexander Valerevich"},{"family":"Sychev","given":"Dmitry Alekseevich"},{"family":"Andreev","given":"Denis Anatolevich"},{"family":"Ryzhikova","given":"Kristina Anatolievna"},{"family":"Grishina","given":"Elena Anatolievna"},{"family":"Ryabova","given":"Anastasia Vladislavovna"},{"family":"Loskutnikov","given":"Mark Alekseevich"},{"family":"Smirnov","given":"Valeriy Valerevich"},{"family":"Konova","given":"Olga Dmitrievna"},{"family":"Matsneva","given":"Irina Andreevna"},{"family":"Bochkov","given":"Pavel Olegovich"}],"issued":{"date-parts":[["2018",3]]}}}],"schema":"https://github.com/citation-style-language/schema/raw/master/csl-citation.json"} </w:instrText>
      </w:r>
      <w:r w:rsidR="00B8075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[127]</w:t>
      </w:r>
      <w:r w:rsidR="00B80754">
        <w:rPr>
          <w:rFonts w:ascii="Times New Roman" w:hAnsi="Times New Roman" w:cs="Times New Roman"/>
          <w:sz w:val="28"/>
          <w:szCs w:val="28"/>
          <w:lang w:bidi="ar-SA"/>
        </w:rPr>
        <w:fldChar w:fldCharType="end"/>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bidi="ar-SA"/>
        </w:rPr>
        <w:t xml:space="preserve">В другом исследовании </w:t>
      </w:r>
      <w:r w:rsidR="00B80754">
        <w:rPr>
          <w:rFonts w:ascii="Times New Roman" w:hAnsi="Times New Roman" w:cs="Times New Roman"/>
          <w:sz w:val="28"/>
          <w:szCs w:val="28"/>
          <w:lang w:val="en-US" w:bidi="ar-SA"/>
        </w:rPr>
        <w:t>Rosian</w:t>
      </w:r>
      <w:r w:rsidR="00B80754" w:rsidRPr="00B80754">
        <w:rPr>
          <w:rFonts w:ascii="Times New Roman" w:hAnsi="Times New Roman" w:cs="Times New Roman"/>
          <w:sz w:val="28"/>
          <w:szCs w:val="28"/>
          <w:lang w:bidi="ar-SA"/>
        </w:rPr>
        <w:t xml:space="preserve"> </w:t>
      </w:r>
      <w:r w:rsidR="00B80754">
        <w:rPr>
          <w:rFonts w:ascii="Times New Roman" w:hAnsi="Times New Roman" w:cs="Times New Roman"/>
          <w:sz w:val="28"/>
          <w:szCs w:val="28"/>
          <w:lang w:val="en-US" w:bidi="ar-SA"/>
        </w:rPr>
        <w:t>A</w:t>
      </w:r>
      <w:r w:rsidR="00B80754" w:rsidRPr="00B80754">
        <w:rPr>
          <w:rFonts w:ascii="Times New Roman" w:hAnsi="Times New Roman" w:cs="Times New Roman"/>
          <w:sz w:val="28"/>
          <w:szCs w:val="28"/>
          <w:lang w:bidi="ar-SA"/>
        </w:rPr>
        <w:t>.</w:t>
      </w:r>
      <w:r w:rsidR="00B80754">
        <w:rPr>
          <w:rFonts w:ascii="Times New Roman" w:hAnsi="Times New Roman" w:cs="Times New Roman"/>
          <w:sz w:val="28"/>
          <w:szCs w:val="28"/>
          <w:lang w:bidi="ar-SA"/>
        </w:rPr>
        <w:t xml:space="preserve"> не выявлено ассоциаций АВСВ1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 xml:space="preserve">1045642 </w:t>
      </w:r>
      <w:r w:rsidR="00B80754">
        <w:rPr>
          <w:rFonts w:ascii="Times New Roman" w:hAnsi="Times New Roman" w:cs="Times New Roman"/>
          <w:sz w:val="28"/>
          <w:szCs w:val="28"/>
          <w:lang w:bidi="ar-SA"/>
        </w:rPr>
        <w:t xml:space="preserve">и </w:t>
      </w:r>
      <w:r w:rsidR="00B80754">
        <w:rPr>
          <w:rFonts w:ascii="Times New Roman" w:hAnsi="Times New Roman" w:cs="Times New Roman"/>
          <w:sz w:val="28"/>
          <w:szCs w:val="28"/>
          <w:lang w:val="en-US" w:bidi="ar-SA"/>
        </w:rPr>
        <w:t>rs</w:t>
      </w:r>
      <w:r w:rsidR="00B80754" w:rsidRPr="00B80754">
        <w:rPr>
          <w:rFonts w:ascii="Times New Roman" w:hAnsi="Times New Roman" w:cs="Times New Roman"/>
          <w:sz w:val="28"/>
          <w:szCs w:val="28"/>
          <w:lang w:bidi="ar-SA"/>
        </w:rPr>
        <w:t xml:space="preserve">4148738 </w:t>
      </w:r>
      <w:r w:rsidR="00B80754">
        <w:rPr>
          <w:rFonts w:ascii="Times New Roman" w:hAnsi="Times New Roman" w:cs="Times New Roman"/>
          <w:sz w:val="28"/>
          <w:szCs w:val="28"/>
          <w:lang w:bidi="ar-SA"/>
        </w:rPr>
        <w:t>с вариабельностью концентраций апиксабана в плазме</w:t>
      </w:r>
      <w:r w:rsidR="00B80754">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{"citationID":"IZevUgvv","properties":{"unsorted":false,"formattedCitation":"[203]","plainCitation":"[203]","noteIndex":0},"citationItems":[{"id":737,"uris":["http://zotero.org/users/14784094/items/GV8L5895"],"itemData":{"id":737,"type":"article-journal","abstract":"(1) Background: The approach of bleeding complications in patients treated with non-vitamin K oral anticoagulants (NOACs) represents an important issue in clinical practice. Both dabigatran and apixaban are substrates for P-glycoprotein and, therefore, ABCB1 gene variations may be useful in individualizing NOACs treatment, especially in high-risk patients. (2) Methods: ABCB1 rs1045642 and rs4148738 were determined in 218 atrial fibrillation patients treated with dabigatran or apixaban (70.94 ± 9.04 years; 51.83% men). (3) Results: Non-major bleeding appeared in 7.34% NOACs–treated patients. The logistic tested models based on the four genetic models revealed no significant association between the variant genotype of two ABCB1 SNPs and the risk of bleeding (p &gt; 0.05). Among the four two-locus haplotypes, TA and CA haplotypes had the highest frequency in NOACs-treated patients with bleeding, involving a possible positive association with the susceptibility of bleeding complications (OR = 1.04 and OR = 1.91, respectively). The logistic model found no significant association of estimated haplotypes with bleeding (p &gt; 0.05) except for the TG haplotype which had a trend toward statistical significance (p = 0.092). Among the risk factors for bleeding, only age &gt; 70 years and stroke/TIA showed a tendency toward statistical significance. (4) Conclusions: We found no significant associations between the studied ABCB1 variant genotypes with non-major bleeding risk in NOACs-treated patients. A trend of association between TG haplotype with bleeding risk was observed, implying a protective role of this haplotype against bleeding in patients treated with dabigatran or apixaban.","container-title":"Journal of Personalized Medicine","DOI":"10.3390/jpm10030133","ISSN":"2075-4426","issue":"3","journalAbbreviation":"JPM","language":"en","license":"https://creativecommons.org/licenses/by/4.0/","page":"133","source":"DOI.org (Crossref)","title":"An Exploratory Association Analysis of ABCB1 rs1045642 and ABCB1 rs4148738 with Non-Major Bleeding Risk in Atrial Fibrillation Patients Treated with Dabigatran or Apixaban","volume":"10","author":[{"family":"Roşian","given":"Adela-Nicoleta"},{"family":"Iancu","given":"Mihaela"},{"family":"Trifa","given":"Adrian Pavel"},{"family":"Roşian","given":"Ştefan Horia"},{"family":"Mada","given":"Cristina"},{"family":"Gocan","given":"Cornelia Paula"},{"family":"Niţă","given":"Teodora"},{"family":"Istratoaie","given":"Sabina"},{"family":"Boarescu","given":"Paul-Mihai"},{"family":"Buzoianu","given":"Anca Dana"}],"issued":{"date-parts":[["2020",9,18]]}}}],"schema":"https://github.com/citation-style-language/schema/raw/master/csl-citation.json"} </w:instrText>
      </w:r>
      <w:r w:rsidR="00B80754">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[203]</w:t>
      </w:r>
      <w:r w:rsidR="00B80754">
        <w:rPr>
          <w:rFonts w:ascii="Times New Roman" w:hAnsi="Times New Roman" w:cs="Times New Roman"/>
          <w:sz w:val="28"/>
          <w:szCs w:val="28"/>
          <w:lang w:bidi="ar-SA"/>
        </w:rPr>
        <w:fldChar w:fldCharType="end"/>
      </w:r>
      <w:r w:rsidR="00B80754" w:rsidRPr="00926EC0">
        <w:rPr>
          <w:rFonts w:ascii="Times New Roman" w:hAnsi="Times New Roman" w:cs="Times New Roman"/>
          <w:sz w:val="28"/>
          <w:szCs w:val="28"/>
          <w:lang w:bidi="ar-SA"/>
        </w:rPr>
        <w:t>.</w:t>
      </w:r>
    </w:p>
    <w:p w14:paraId="7E977E8F" w14:textId="77777777" w:rsidR="00B80754" w:rsidRPr="00926EC0" w:rsidRDefault="00B80754" w:rsidP="004E5901">
      <w:pPr>
        <w:pStyle w:val="LO-normal"/>
        <w:spacing w:after="0" w:line="240" w:lineRule="auto"/>
        <w:ind w:firstLine="567"/>
        <w:jc w:val="both"/>
        <w:rPr>
          <w:rFonts w:ascii="Times New Roman" w:hAnsi="Times New Roman" w:cs="Times New Roman"/>
          <w:sz w:val="28"/>
          <w:szCs w:val="28"/>
          <w:lang w:bidi="ar-SA"/>
        </w:rPr>
      </w:pPr>
    </w:p>
    <w:p w14:paraId="508D5D2D" w14:textId="3E296530" w:rsidR="00B80754" w:rsidRDefault="00B80754" w:rsidP="004E5901">
      <w:pPr>
        <w:pStyle w:val="LO-normal"/>
        <w:spacing w:after="0" w:line="240" w:lineRule="auto"/>
        <w:ind w:firstLine="567"/>
        <w:jc w:val="both"/>
        <w:rPr>
          <w:rFonts w:ascii="Times New Roman" w:hAnsi="Times New Roman" w:cs="Times New Roman"/>
          <w:b/>
          <w:bCs/>
          <w:sz w:val="28"/>
          <w:szCs w:val="28"/>
          <w:lang w:bidi="ar-SA"/>
        </w:rPr>
      </w:pPr>
      <w:r w:rsidRPr="00B80754">
        <w:rPr>
          <w:rFonts w:ascii="Times New Roman" w:hAnsi="Times New Roman" w:cs="Times New Roman"/>
          <w:b/>
          <w:bCs/>
          <w:sz w:val="28"/>
          <w:szCs w:val="28"/>
          <w:lang w:bidi="ar-SA"/>
        </w:rPr>
        <w:t>3.3.6. Множественный линейный регрессионный анализ для пиковой и минимальной концентрации апиксабана в плазме</w:t>
      </w:r>
    </w:p>
    <w:p w14:paraId="75E7BDBA" w14:textId="6F1EDA89" w:rsidR="00B80754" w:rsidRPr="00171CCC" w:rsidRDefault="00B80754"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Целью множественного линейного регрессионного анализа было выявление независимых предикторов концентрации апиксабана в плазме крови у пациентов с неклапанной ФП. В модель были включены полиморфизмы генов </w:t>
      </w:r>
      <w:r>
        <w:rPr>
          <w:rFonts w:ascii="Times New Roman" w:hAnsi="Times New Roman" w:cs="Times New Roman"/>
          <w:sz w:val="28"/>
          <w:szCs w:val="28"/>
          <w:lang w:val="en-US" w:bidi="ar-SA"/>
        </w:rPr>
        <w:t>ABCB</w:t>
      </w:r>
      <w:r w:rsidRPr="00B80754">
        <w:rPr>
          <w:rFonts w:ascii="Times New Roman" w:hAnsi="Times New Roman" w:cs="Times New Roman"/>
          <w:sz w:val="28"/>
          <w:szCs w:val="28"/>
          <w:lang w:bidi="ar-SA"/>
        </w:rPr>
        <w:t>1</w:t>
      </w:r>
      <w:r>
        <w:rPr>
          <w:rFonts w:ascii="Times New Roman" w:hAnsi="Times New Roman" w:cs="Times New Roman"/>
          <w:sz w:val="28"/>
          <w:szCs w:val="28"/>
          <w:lang w:bidi="ar-SA"/>
        </w:rPr>
        <w:t xml:space="preserve"> и</w:t>
      </w:r>
      <w:r w:rsidRPr="00B80754">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B80754">
        <w:rPr>
          <w:rFonts w:ascii="Times New Roman" w:hAnsi="Times New Roman" w:cs="Times New Roman"/>
          <w:sz w:val="28"/>
          <w:szCs w:val="28"/>
          <w:lang w:bidi="ar-SA"/>
        </w:rPr>
        <w:t>1</w:t>
      </w:r>
      <w:r>
        <w:rPr>
          <w:rFonts w:ascii="Times New Roman" w:hAnsi="Times New Roman" w:cs="Times New Roman"/>
          <w:sz w:val="28"/>
          <w:szCs w:val="28"/>
          <w:lang w:bidi="ar-SA"/>
        </w:rPr>
        <w:t>, а также клинико-биохимические переменные (пол, возраст, индекс массы тела), лабораторные показатели (АЧТВ, ПВ, фибриноген, печеночные ферменты, креатинин). ИМТ был единственным фактором, достоверно ассоциированным с пиковой концентрацией апиксабана. Отрицательный коэффициент (</w:t>
      </w:r>
      <w:r w:rsidR="0011617E">
        <w:rPr>
          <w:rFonts w:ascii="Times New Roman" w:hAnsi="Times New Roman" w:cs="Times New Roman"/>
          <w:sz w:val="28"/>
          <w:szCs w:val="28"/>
          <w:lang w:val="kk-KZ" w:bidi="ar-SA"/>
        </w:rPr>
        <w:sym w:font="Symbol" w:char="F062"/>
      </w:r>
      <w:r w:rsidR="0011617E" w:rsidRPr="0011617E">
        <w:rPr>
          <w:rFonts w:ascii="Times New Roman" w:hAnsi="Times New Roman" w:cs="Times New Roman"/>
          <w:sz w:val="28"/>
          <w:szCs w:val="28"/>
          <w:lang w:bidi="ar-SA"/>
        </w:rPr>
        <w:t xml:space="preserve">=-4,747; </w:t>
      </w:r>
      <w:r w:rsidR="0011617E">
        <w:rPr>
          <w:rFonts w:ascii="Times New Roman" w:hAnsi="Times New Roman" w:cs="Times New Roman"/>
          <w:sz w:val="28"/>
          <w:szCs w:val="28"/>
          <w:lang w:val="kk-KZ" w:bidi="ar-SA"/>
        </w:rPr>
        <w:t>р</w:t>
      </w:r>
      <w:r w:rsidR="0011617E" w:rsidRPr="0011617E">
        <w:rPr>
          <w:rFonts w:ascii="Times New Roman" w:hAnsi="Times New Roman" w:cs="Times New Roman"/>
          <w:sz w:val="28"/>
          <w:szCs w:val="28"/>
          <w:lang w:bidi="ar-SA"/>
        </w:rPr>
        <w:t>=0,012</w:t>
      </w:r>
      <w:r>
        <w:rPr>
          <w:rFonts w:ascii="Times New Roman" w:hAnsi="Times New Roman" w:cs="Times New Roman"/>
          <w:sz w:val="28"/>
          <w:szCs w:val="28"/>
          <w:lang w:bidi="ar-SA"/>
        </w:rPr>
        <w:t>)</w:t>
      </w:r>
      <w:r w:rsidR="0011617E">
        <w:rPr>
          <w:rFonts w:ascii="Times New Roman" w:hAnsi="Times New Roman" w:cs="Times New Roman"/>
          <w:sz w:val="28"/>
          <w:szCs w:val="28"/>
          <w:lang w:bidi="ar-SA"/>
        </w:rPr>
        <w:t xml:space="preserve"> указывает на то, что при увеличении ИМТ концентрация апиксабана в плазме снижалась. </w:t>
      </w:r>
      <w:r w:rsidR="0011617E">
        <w:rPr>
          <w:rFonts w:ascii="Times New Roman" w:hAnsi="Times New Roman" w:cs="Times New Roman"/>
          <w:sz w:val="28"/>
          <w:szCs w:val="28"/>
          <w:lang w:val="en-US" w:bidi="ar-SA"/>
        </w:rPr>
        <w:t>CES</w:t>
      </w:r>
      <w:r w:rsidR="0011617E" w:rsidRPr="0011617E">
        <w:rPr>
          <w:rFonts w:ascii="Times New Roman" w:hAnsi="Times New Roman" w:cs="Times New Roman"/>
          <w:sz w:val="28"/>
          <w:szCs w:val="28"/>
          <w:lang w:bidi="ar-SA"/>
        </w:rPr>
        <w:t xml:space="preserve">1 </w:t>
      </w:r>
      <w:r w:rsidR="0011617E">
        <w:rPr>
          <w:rFonts w:ascii="Times New Roman" w:hAnsi="Times New Roman" w:cs="Times New Roman"/>
          <w:sz w:val="28"/>
          <w:szCs w:val="28"/>
          <w:lang w:val="en-US" w:bidi="ar-SA"/>
        </w:rPr>
        <w:t>rs</w:t>
      </w:r>
      <w:r w:rsidR="0011617E" w:rsidRPr="0011617E">
        <w:rPr>
          <w:rFonts w:ascii="Times New Roman" w:hAnsi="Times New Roman" w:cs="Times New Roman"/>
          <w:sz w:val="28"/>
          <w:szCs w:val="28"/>
          <w:lang w:bidi="ar-SA"/>
        </w:rPr>
        <w:t>8192935 (</w:t>
      </w:r>
      <w:r w:rsidR="0011617E">
        <w:rPr>
          <w:rFonts w:ascii="Times New Roman" w:hAnsi="Times New Roman" w:cs="Times New Roman"/>
          <w:sz w:val="28"/>
          <w:szCs w:val="28"/>
          <w:lang w:val="en-US" w:bidi="ar-SA"/>
        </w:rPr>
        <w:t>p</w:t>
      </w:r>
      <w:r w:rsidR="0011617E" w:rsidRPr="0011617E">
        <w:rPr>
          <w:rFonts w:ascii="Times New Roman" w:hAnsi="Times New Roman" w:cs="Times New Roman"/>
          <w:sz w:val="28"/>
          <w:szCs w:val="28"/>
          <w:lang w:bidi="ar-SA"/>
        </w:rPr>
        <w:t xml:space="preserve">=0,086) </w:t>
      </w:r>
      <w:r w:rsidR="0011617E">
        <w:rPr>
          <w:rFonts w:ascii="Times New Roman" w:hAnsi="Times New Roman" w:cs="Times New Roman"/>
          <w:sz w:val="28"/>
          <w:szCs w:val="28"/>
          <w:lang w:bidi="ar-SA"/>
        </w:rPr>
        <w:t xml:space="preserve">и возраст </w:t>
      </w:r>
      <w:r w:rsidR="0011617E" w:rsidRPr="0011617E">
        <w:rPr>
          <w:rFonts w:ascii="Times New Roman" w:hAnsi="Times New Roman" w:cs="Times New Roman"/>
          <w:sz w:val="28"/>
          <w:szCs w:val="28"/>
          <w:lang w:bidi="ar-SA"/>
        </w:rPr>
        <w:t>(</w:t>
      </w:r>
      <w:r w:rsidR="0011617E">
        <w:rPr>
          <w:rFonts w:ascii="Times New Roman" w:hAnsi="Times New Roman" w:cs="Times New Roman"/>
          <w:sz w:val="28"/>
          <w:szCs w:val="28"/>
          <w:lang w:val="en-US" w:bidi="ar-SA"/>
        </w:rPr>
        <w:t>p</w:t>
      </w:r>
      <w:r w:rsidR="0011617E" w:rsidRPr="0011617E">
        <w:rPr>
          <w:rFonts w:ascii="Times New Roman" w:hAnsi="Times New Roman" w:cs="Times New Roman"/>
          <w:sz w:val="28"/>
          <w:szCs w:val="28"/>
          <w:lang w:bidi="ar-SA"/>
        </w:rPr>
        <w:t>=0,131)</w:t>
      </w:r>
      <w:r w:rsidR="0011617E">
        <w:rPr>
          <w:rFonts w:ascii="Times New Roman" w:hAnsi="Times New Roman" w:cs="Times New Roman"/>
          <w:sz w:val="28"/>
          <w:szCs w:val="28"/>
          <w:lang w:val="kk-KZ" w:bidi="ar-SA"/>
        </w:rPr>
        <w:t xml:space="preserve"> </w:t>
      </w:r>
      <w:r w:rsidR="0011617E">
        <w:rPr>
          <w:rFonts w:ascii="Times New Roman" w:hAnsi="Times New Roman" w:cs="Times New Roman"/>
          <w:sz w:val="28"/>
          <w:szCs w:val="28"/>
          <w:lang w:bidi="ar-SA"/>
        </w:rPr>
        <w:t xml:space="preserve">продемонстрировали значения р, близкие к статистической </w:t>
      </w:r>
      <w:r w:rsidR="000B2379">
        <w:rPr>
          <w:rFonts w:ascii="Times New Roman" w:hAnsi="Times New Roman" w:cs="Times New Roman"/>
          <w:sz w:val="28"/>
          <w:szCs w:val="28"/>
          <w:lang w:bidi="ar-SA"/>
        </w:rPr>
        <w:t>значимости</w:t>
      </w:r>
      <w:r w:rsidR="0011617E">
        <w:rPr>
          <w:rFonts w:ascii="Times New Roman" w:hAnsi="Times New Roman" w:cs="Times New Roman"/>
          <w:sz w:val="28"/>
          <w:szCs w:val="28"/>
          <w:lang w:bidi="ar-SA"/>
        </w:rPr>
        <w:t xml:space="preserve">, что указывает на потенциальное, но пока не доказанное влияние. Все другие включенные </w:t>
      </w:r>
      <w:r w:rsidR="0011617E">
        <w:rPr>
          <w:rFonts w:ascii="Times New Roman" w:hAnsi="Times New Roman" w:cs="Times New Roman"/>
          <w:sz w:val="28"/>
          <w:szCs w:val="28"/>
          <w:lang w:val="en-US" w:bidi="ar-SA"/>
        </w:rPr>
        <w:t>SNP</w:t>
      </w:r>
      <w:r w:rsidR="0011617E">
        <w:rPr>
          <w:rFonts w:ascii="Times New Roman" w:hAnsi="Times New Roman" w:cs="Times New Roman"/>
          <w:sz w:val="28"/>
          <w:szCs w:val="28"/>
          <w:lang w:bidi="ar-SA"/>
        </w:rPr>
        <w:t xml:space="preserve"> (</w:t>
      </w:r>
      <w:r w:rsidR="0011617E">
        <w:rPr>
          <w:rFonts w:ascii="Times New Roman" w:hAnsi="Times New Roman" w:cs="Times New Roman"/>
          <w:sz w:val="28"/>
          <w:szCs w:val="28"/>
          <w:lang w:val="en-US" w:bidi="ar-SA"/>
        </w:rPr>
        <w:t>rs</w:t>
      </w:r>
      <w:r w:rsidR="0011617E" w:rsidRPr="0011617E">
        <w:rPr>
          <w:rFonts w:ascii="Times New Roman" w:hAnsi="Times New Roman" w:cs="Times New Roman"/>
          <w:sz w:val="28"/>
          <w:szCs w:val="28"/>
          <w:lang w:bidi="ar-SA"/>
        </w:rPr>
        <w:t xml:space="preserve">1128503, </w:t>
      </w:r>
      <w:r w:rsidR="0011617E">
        <w:rPr>
          <w:rFonts w:ascii="Times New Roman" w:hAnsi="Times New Roman" w:cs="Times New Roman"/>
          <w:sz w:val="28"/>
          <w:szCs w:val="28"/>
          <w:lang w:val="en-US" w:bidi="ar-SA"/>
        </w:rPr>
        <w:t>rs</w:t>
      </w:r>
      <w:r w:rsidR="0011617E" w:rsidRPr="0011617E">
        <w:rPr>
          <w:rFonts w:ascii="Times New Roman" w:hAnsi="Times New Roman" w:cs="Times New Roman"/>
          <w:sz w:val="28"/>
          <w:szCs w:val="28"/>
          <w:lang w:bidi="ar-SA"/>
        </w:rPr>
        <w:t xml:space="preserve">2244613, </w:t>
      </w:r>
      <w:r w:rsidR="0011617E">
        <w:rPr>
          <w:rFonts w:ascii="Times New Roman" w:hAnsi="Times New Roman" w:cs="Times New Roman"/>
          <w:sz w:val="28"/>
          <w:szCs w:val="28"/>
          <w:lang w:val="en-US" w:bidi="ar-SA"/>
        </w:rPr>
        <w:t>rs</w:t>
      </w:r>
      <w:r w:rsidR="0011617E" w:rsidRPr="0011617E">
        <w:rPr>
          <w:rFonts w:ascii="Times New Roman" w:hAnsi="Times New Roman" w:cs="Times New Roman"/>
          <w:sz w:val="28"/>
          <w:szCs w:val="28"/>
          <w:lang w:bidi="ar-SA"/>
        </w:rPr>
        <w:t xml:space="preserve">4148738, </w:t>
      </w:r>
      <w:r w:rsidR="0011617E">
        <w:rPr>
          <w:rFonts w:ascii="Times New Roman" w:hAnsi="Times New Roman" w:cs="Times New Roman"/>
          <w:sz w:val="28"/>
          <w:szCs w:val="28"/>
          <w:lang w:val="en-US" w:bidi="ar-SA"/>
        </w:rPr>
        <w:t>rs</w:t>
      </w:r>
      <w:r w:rsidR="0011617E" w:rsidRPr="0011617E">
        <w:rPr>
          <w:rFonts w:ascii="Times New Roman" w:hAnsi="Times New Roman" w:cs="Times New Roman"/>
          <w:sz w:val="28"/>
          <w:szCs w:val="28"/>
          <w:lang w:bidi="ar-SA"/>
        </w:rPr>
        <w:t xml:space="preserve">1045642, </w:t>
      </w:r>
      <w:r w:rsidR="0011617E">
        <w:rPr>
          <w:rFonts w:ascii="Times New Roman" w:hAnsi="Times New Roman" w:cs="Times New Roman"/>
          <w:sz w:val="28"/>
          <w:szCs w:val="28"/>
          <w:lang w:val="en-US" w:bidi="ar-SA"/>
        </w:rPr>
        <w:t>rs</w:t>
      </w:r>
      <w:r w:rsidR="0011617E" w:rsidRPr="0011617E">
        <w:rPr>
          <w:rFonts w:ascii="Times New Roman" w:hAnsi="Times New Roman" w:cs="Times New Roman"/>
          <w:sz w:val="28"/>
          <w:szCs w:val="28"/>
          <w:lang w:bidi="ar-SA"/>
        </w:rPr>
        <w:t xml:space="preserve">2032582, </w:t>
      </w:r>
      <w:r w:rsidR="0011617E">
        <w:rPr>
          <w:rFonts w:ascii="Times New Roman" w:hAnsi="Times New Roman" w:cs="Times New Roman"/>
          <w:sz w:val="28"/>
          <w:szCs w:val="28"/>
          <w:lang w:val="en-US" w:bidi="ar-SA"/>
        </w:rPr>
        <w:t>rs</w:t>
      </w:r>
      <w:r w:rsidR="0011617E" w:rsidRPr="0011617E">
        <w:rPr>
          <w:rFonts w:ascii="Times New Roman" w:hAnsi="Times New Roman" w:cs="Times New Roman"/>
          <w:sz w:val="28"/>
          <w:szCs w:val="28"/>
          <w:lang w:bidi="ar-SA"/>
        </w:rPr>
        <w:t>71647871</w:t>
      </w:r>
      <w:r w:rsidR="0011617E">
        <w:rPr>
          <w:rFonts w:ascii="Times New Roman" w:hAnsi="Times New Roman" w:cs="Times New Roman"/>
          <w:sz w:val="28"/>
          <w:szCs w:val="28"/>
          <w:lang w:bidi="ar-SA"/>
        </w:rPr>
        <w:t>)</w:t>
      </w:r>
      <w:r w:rsidR="0011617E" w:rsidRPr="0011617E">
        <w:rPr>
          <w:rFonts w:ascii="Times New Roman" w:hAnsi="Times New Roman" w:cs="Times New Roman"/>
          <w:sz w:val="28"/>
          <w:szCs w:val="28"/>
          <w:lang w:bidi="ar-SA"/>
        </w:rPr>
        <w:t xml:space="preserve">, </w:t>
      </w:r>
      <w:r w:rsidR="0011617E">
        <w:rPr>
          <w:rFonts w:ascii="Times New Roman" w:hAnsi="Times New Roman" w:cs="Times New Roman"/>
          <w:sz w:val="28"/>
          <w:szCs w:val="28"/>
          <w:lang w:bidi="ar-SA"/>
        </w:rPr>
        <w:t>пол, АЧТВ, ПВ, уровень ферментов печени, креатинин, фибриноген – не оказали достоверного влияния на уровень апиксабана (все р</w:t>
      </w:r>
      <w:r w:rsidR="0011617E" w:rsidRPr="0011617E">
        <w:rPr>
          <w:rFonts w:ascii="Times New Roman" w:hAnsi="Times New Roman" w:cs="Times New Roman"/>
          <w:sz w:val="28"/>
          <w:szCs w:val="28"/>
          <w:lang w:bidi="ar-SA"/>
        </w:rPr>
        <w:t>&gt;</w:t>
      </w:r>
      <w:r w:rsidR="0011617E">
        <w:rPr>
          <w:rFonts w:ascii="Times New Roman" w:hAnsi="Times New Roman" w:cs="Times New Roman"/>
          <w:sz w:val="28"/>
          <w:szCs w:val="28"/>
          <w:lang w:bidi="ar-SA"/>
        </w:rPr>
        <w:t>0,1) (</w:t>
      </w:r>
      <w:r w:rsidR="0011617E" w:rsidRPr="000B2379">
        <w:rPr>
          <w:rFonts w:ascii="Times New Roman" w:hAnsi="Times New Roman" w:cs="Times New Roman"/>
          <w:color w:val="000000" w:themeColor="text1"/>
          <w:sz w:val="28"/>
          <w:szCs w:val="28"/>
          <w:lang w:bidi="ar-SA"/>
        </w:rPr>
        <w:t xml:space="preserve">таблица </w:t>
      </w:r>
      <w:r w:rsidR="000B2379" w:rsidRPr="000B2379">
        <w:rPr>
          <w:rFonts w:ascii="Times New Roman" w:hAnsi="Times New Roman" w:cs="Times New Roman"/>
          <w:color w:val="000000" w:themeColor="text1"/>
          <w:sz w:val="28"/>
          <w:szCs w:val="28"/>
          <w:lang w:bidi="ar-SA"/>
        </w:rPr>
        <w:t>11</w:t>
      </w:r>
      <w:r w:rsidR="0011617E">
        <w:rPr>
          <w:rFonts w:ascii="Times New Roman" w:hAnsi="Times New Roman" w:cs="Times New Roman"/>
          <w:sz w:val="28"/>
          <w:szCs w:val="28"/>
          <w:lang w:bidi="ar-SA"/>
        </w:rPr>
        <w:t>).</w:t>
      </w:r>
    </w:p>
    <w:p w14:paraId="1445B2E5" w14:textId="77777777" w:rsidR="00AE548C" w:rsidRPr="00171CCC" w:rsidRDefault="00AE548C" w:rsidP="004E5901">
      <w:pPr>
        <w:pStyle w:val="LO-normal"/>
        <w:spacing w:after="0" w:line="240" w:lineRule="auto"/>
        <w:ind w:firstLine="567"/>
        <w:jc w:val="both"/>
        <w:rPr>
          <w:rFonts w:ascii="Times New Roman" w:hAnsi="Times New Roman" w:cs="Times New Roman"/>
          <w:sz w:val="28"/>
          <w:szCs w:val="28"/>
          <w:lang w:bidi="ar-SA"/>
        </w:rPr>
      </w:pPr>
    </w:p>
    <w:p w14:paraId="20BA2802" w14:textId="3FC862B5" w:rsidR="00B80754" w:rsidRDefault="0011617E"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Таблица 1</w:t>
      </w:r>
      <w:r w:rsidR="000B2379" w:rsidRPr="00171CCC">
        <w:rPr>
          <w:rFonts w:ascii="Times New Roman" w:hAnsi="Times New Roman" w:cs="Times New Roman"/>
          <w:sz w:val="28"/>
          <w:szCs w:val="28"/>
          <w:lang w:bidi="ar-SA"/>
        </w:rPr>
        <w:t>1</w:t>
      </w:r>
      <w:r>
        <w:rPr>
          <w:rFonts w:ascii="Times New Roman" w:hAnsi="Times New Roman" w:cs="Times New Roman"/>
          <w:sz w:val="28"/>
          <w:szCs w:val="28"/>
          <w:lang w:bidi="ar-SA"/>
        </w:rPr>
        <w:t>. Множественный линейный регрессионный анализ для пиковой концентрации апиксабана в плазме:</w:t>
      </w:r>
    </w:p>
    <w:tbl>
      <w:tblPr>
        <w:tblW w:w="9401" w:type="dxa"/>
        <w:shd w:val="clear" w:color="auto" w:fill="FFF2CC"/>
        <w:tblLayout w:type="fixed"/>
        <w:tblLook w:val="0000" w:firstRow="0" w:lastRow="0" w:firstColumn="0" w:lastColumn="0" w:noHBand="0" w:noVBand="0"/>
      </w:tblPr>
      <w:tblGrid>
        <w:gridCol w:w="2051"/>
        <w:gridCol w:w="612"/>
        <w:gridCol w:w="614"/>
        <w:gridCol w:w="614"/>
        <w:gridCol w:w="611"/>
        <w:gridCol w:w="613"/>
        <w:gridCol w:w="613"/>
        <w:gridCol w:w="612"/>
        <w:gridCol w:w="612"/>
        <w:gridCol w:w="612"/>
        <w:gridCol w:w="612"/>
        <w:gridCol w:w="612"/>
        <w:gridCol w:w="613"/>
      </w:tblGrid>
      <w:tr w:rsidR="00AE548C" w14:paraId="40E6F529" w14:textId="77777777" w:rsidTr="00B57F2E">
        <w:trPr>
          <w:trHeight w:val="315"/>
        </w:trPr>
        <w:tc>
          <w:tcPr>
            <w:tcW w:w="2051" w:type="dxa"/>
            <w:vMerge w:val="restart"/>
            <w:tcBorders>
              <w:top w:val="single" w:sz="12" w:space="0" w:color="538135"/>
              <w:left w:val="single" w:sz="12" w:space="0" w:color="538135"/>
              <w:bottom w:val="single" w:sz="12" w:space="0" w:color="538135"/>
              <w:right w:val="single" w:sz="12" w:space="0" w:color="538135"/>
            </w:tcBorders>
            <w:shd w:val="clear" w:color="auto" w:fill="FFF2CC"/>
          </w:tcPr>
          <w:p w14:paraId="3DBD177E"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1A3B1F4F"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692CC7B4"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75F63275"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Характеристики</w:t>
            </w:r>
          </w:p>
        </w:tc>
        <w:tc>
          <w:tcPr>
            <w:tcW w:w="1226"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00FAAC31"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proofErr w:type="spellStart"/>
            <w:r>
              <w:rPr>
                <w:rFonts w:ascii="Times New Roman" w:eastAsia="Times New Roman" w:hAnsi="Times New Roman" w:cs="Times New Roman"/>
                <w:b/>
                <w:i/>
                <w:iCs/>
                <w:sz w:val="18"/>
                <w:szCs w:val="18"/>
              </w:rPr>
              <w:t>Нестандартизованные</w:t>
            </w:r>
            <w:proofErr w:type="spellEnd"/>
            <w:r>
              <w:rPr>
                <w:rFonts w:ascii="Times New Roman" w:eastAsia="Times New Roman" w:hAnsi="Times New Roman" w:cs="Times New Roman"/>
                <w:b/>
                <w:i/>
                <w:iCs/>
                <w:sz w:val="18"/>
                <w:szCs w:val="18"/>
              </w:rPr>
              <w:t xml:space="preserve"> коэффициенты</w:t>
            </w:r>
          </w:p>
        </w:tc>
        <w:tc>
          <w:tcPr>
            <w:tcW w:w="614" w:type="dxa"/>
            <w:tcBorders>
              <w:top w:val="single" w:sz="12" w:space="0" w:color="538135"/>
              <w:left w:val="single" w:sz="12" w:space="0" w:color="538135"/>
              <w:bottom w:val="single" w:sz="12" w:space="0" w:color="538135"/>
              <w:right w:val="single" w:sz="12" w:space="0" w:color="538135"/>
            </w:tcBorders>
            <w:shd w:val="clear" w:color="auto" w:fill="FFF2CC"/>
          </w:tcPr>
          <w:p w14:paraId="2BAC86AE"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Стандартизованные коэффициенты</w:t>
            </w:r>
          </w:p>
        </w:tc>
        <w:tc>
          <w:tcPr>
            <w:tcW w:w="611" w:type="dxa"/>
            <w:vMerge w:val="restart"/>
            <w:tcBorders>
              <w:top w:val="single" w:sz="12" w:space="0" w:color="538135"/>
              <w:left w:val="single" w:sz="12" w:space="0" w:color="538135"/>
              <w:bottom w:val="single" w:sz="12" w:space="0" w:color="538135"/>
              <w:right w:val="single" w:sz="12" w:space="0" w:color="538135"/>
            </w:tcBorders>
            <w:shd w:val="clear" w:color="auto" w:fill="FFF2CC"/>
          </w:tcPr>
          <w:p w14:paraId="14B78181"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t</w:t>
            </w:r>
          </w:p>
        </w:tc>
        <w:tc>
          <w:tcPr>
            <w:tcW w:w="613" w:type="dxa"/>
            <w:vMerge w:val="restart"/>
            <w:tcBorders>
              <w:top w:val="single" w:sz="12" w:space="0" w:color="538135"/>
              <w:left w:val="single" w:sz="12" w:space="0" w:color="538135"/>
              <w:bottom w:val="single" w:sz="12" w:space="0" w:color="538135"/>
              <w:right w:val="single" w:sz="12" w:space="0" w:color="538135"/>
            </w:tcBorders>
            <w:shd w:val="clear" w:color="auto" w:fill="FFF2CC"/>
          </w:tcPr>
          <w:p w14:paraId="5EEFEAFF"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Значимость</w:t>
            </w:r>
          </w:p>
        </w:tc>
        <w:tc>
          <w:tcPr>
            <w:tcW w:w="1225"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35171284"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512E13F7"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95,0% Доверительный интервал для B</w:t>
            </w:r>
          </w:p>
        </w:tc>
        <w:tc>
          <w:tcPr>
            <w:tcW w:w="1836" w:type="dxa"/>
            <w:gridSpan w:val="3"/>
            <w:tcBorders>
              <w:top w:val="single" w:sz="12" w:space="0" w:color="538135"/>
              <w:left w:val="single" w:sz="12" w:space="0" w:color="538135"/>
              <w:bottom w:val="single" w:sz="12" w:space="0" w:color="538135"/>
              <w:right w:val="single" w:sz="12" w:space="0" w:color="538135"/>
            </w:tcBorders>
            <w:shd w:val="clear" w:color="auto" w:fill="FFF2CC"/>
          </w:tcPr>
          <w:p w14:paraId="6FC0C58A"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51674507"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Корреляции</w:t>
            </w:r>
          </w:p>
          <w:p w14:paraId="01D00E2A"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25BC14F6"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tc>
        <w:tc>
          <w:tcPr>
            <w:tcW w:w="1225" w:type="dxa"/>
            <w:gridSpan w:val="2"/>
            <w:tcBorders>
              <w:top w:val="single" w:sz="12" w:space="0" w:color="538135"/>
              <w:left w:val="single" w:sz="12" w:space="0" w:color="538135"/>
              <w:bottom w:val="single" w:sz="12" w:space="0" w:color="538135"/>
              <w:right w:val="single" w:sz="12" w:space="0" w:color="538135"/>
            </w:tcBorders>
            <w:shd w:val="clear" w:color="auto" w:fill="FFF2CC"/>
          </w:tcPr>
          <w:p w14:paraId="3B7CE195"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 xml:space="preserve">Статистика </w:t>
            </w:r>
            <w:proofErr w:type="spellStart"/>
            <w:r>
              <w:rPr>
                <w:rFonts w:ascii="Times New Roman" w:eastAsia="Times New Roman" w:hAnsi="Times New Roman" w:cs="Times New Roman"/>
                <w:b/>
                <w:i/>
                <w:iCs/>
                <w:sz w:val="18"/>
                <w:szCs w:val="18"/>
              </w:rPr>
              <w:t>коллинеарности</w:t>
            </w:r>
            <w:proofErr w:type="spellEnd"/>
          </w:p>
        </w:tc>
      </w:tr>
      <w:tr w:rsidR="00AE548C" w14:paraId="1FB325B9" w14:textId="77777777" w:rsidTr="00B57F2E">
        <w:trPr>
          <w:trHeight w:val="315"/>
        </w:trPr>
        <w:tc>
          <w:tcPr>
            <w:tcW w:w="2051" w:type="dxa"/>
            <w:vMerge/>
            <w:tcBorders>
              <w:top w:val="single" w:sz="12" w:space="0" w:color="538135"/>
              <w:left w:val="single" w:sz="12" w:space="0" w:color="538135"/>
              <w:bottom w:val="single" w:sz="12" w:space="0" w:color="538135"/>
              <w:right w:val="single" w:sz="12" w:space="0" w:color="538135"/>
            </w:tcBorders>
            <w:shd w:val="clear" w:color="auto" w:fill="FFF2CC"/>
          </w:tcPr>
          <w:p w14:paraId="7757EC2D" w14:textId="77777777" w:rsidR="00AE548C" w:rsidRDefault="00AE548C" w:rsidP="00B57F2E"/>
        </w:tc>
        <w:tc>
          <w:tcPr>
            <w:tcW w:w="612" w:type="dxa"/>
            <w:tcBorders>
              <w:top w:val="single" w:sz="12" w:space="0" w:color="538135"/>
              <w:left w:val="single" w:sz="12" w:space="0" w:color="538135"/>
              <w:bottom w:val="single" w:sz="12" w:space="0" w:color="538135"/>
              <w:right w:val="single" w:sz="12" w:space="0" w:color="538135"/>
            </w:tcBorders>
            <w:shd w:val="clear" w:color="auto" w:fill="FFF2CC"/>
          </w:tcPr>
          <w:p w14:paraId="030C62BA"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614" w:type="dxa"/>
            <w:tcBorders>
              <w:top w:val="single" w:sz="12" w:space="0" w:color="538135"/>
              <w:left w:val="single" w:sz="12" w:space="0" w:color="538135"/>
              <w:bottom w:val="single" w:sz="12" w:space="0" w:color="538135"/>
              <w:right w:val="single" w:sz="12" w:space="0" w:color="538135"/>
            </w:tcBorders>
            <w:shd w:val="clear" w:color="auto" w:fill="FFF2CC"/>
          </w:tcPr>
          <w:p w14:paraId="0D342E19"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Стандартная ошибка</w:t>
            </w:r>
          </w:p>
        </w:tc>
        <w:tc>
          <w:tcPr>
            <w:tcW w:w="614" w:type="dxa"/>
            <w:tcBorders>
              <w:top w:val="single" w:sz="12" w:space="0" w:color="538135"/>
              <w:left w:val="single" w:sz="12" w:space="0" w:color="538135"/>
              <w:bottom w:val="single" w:sz="12" w:space="0" w:color="538135"/>
              <w:right w:val="single" w:sz="12" w:space="0" w:color="538135"/>
            </w:tcBorders>
            <w:shd w:val="clear" w:color="auto" w:fill="FFF2CC"/>
          </w:tcPr>
          <w:p w14:paraId="25D9353A"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Бета</w:t>
            </w:r>
          </w:p>
        </w:tc>
        <w:tc>
          <w:tcPr>
            <w:tcW w:w="611" w:type="dxa"/>
            <w:vMerge/>
            <w:tcBorders>
              <w:top w:val="single" w:sz="12" w:space="0" w:color="538135"/>
              <w:left w:val="single" w:sz="12" w:space="0" w:color="538135"/>
              <w:bottom w:val="single" w:sz="12" w:space="0" w:color="538135"/>
              <w:right w:val="single" w:sz="12" w:space="0" w:color="538135"/>
            </w:tcBorders>
            <w:shd w:val="clear" w:color="auto" w:fill="FFF2CC"/>
          </w:tcPr>
          <w:p w14:paraId="18DBA8C3" w14:textId="77777777" w:rsidR="00AE548C" w:rsidRDefault="00AE548C" w:rsidP="00B57F2E"/>
        </w:tc>
        <w:tc>
          <w:tcPr>
            <w:tcW w:w="613" w:type="dxa"/>
            <w:vMerge/>
            <w:tcBorders>
              <w:top w:val="single" w:sz="12" w:space="0" w:color="538135"/>
              <w:left w:val="single" w:sz="12" w:space="0" w:color="538135"/>
              <w:bottom w:val="single" w:sz="12" w:space="0" w:color="538135"/>
              <w:right w:val="single" w:sz="12" w:space="0" w:color="538135"/>
            </w:tcBorders>
            <w:shd w:val="clear" w:color="auto" w:fill="FFF2CC"/>
          </w:tcPr>
          <w:p w14:paraId="3DE5FBFF" w14:textId="77777777" w:rsidR="00AE548C" w:rsidRDefault="00AE548C" w:rsidP="00B57F2E"/>
        </w:tc>
        <w:tc>
          <w:tcPr>
            <w:tcW w:w="613" w:type="dxa"/>
            <w:tcBorders>
              <w:top w:val="single" w:sz="12" w:space="0" w:color="538135"/>
              <w:left w:val="single" w:sz="12" w:space="0" w:color="538135"/>
              <w:bottom w:val="single" w:sz="12" w:space="0" w:color="538135"/>
              <w:right w:val="single" w:sz="12" w:space="0" w:color="538135"/>
            </w:tcBorders>
            <w:shd w:val="clear" w:color="auto" w:fill="FFF2CC"/>
          </w:tcPr>
          <w:p w14:paraId="3B013BD8"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Нижняя граница</w:t>
            </w:r>
          </w:p>
        </w:tc>
        <w:tc>
          <w:tcPr>
            <w:tcW w:w="612" w:type="dxa"/>
            <w:tcBorders>
              <w:top w:val="single" w:sz="12" w:space="0" w:color="538135"/>
              <w:left w:val="single" w:sz="12" w:space="0" w:color="538135"/>
              <w:bottom w:val="single" w:sz="12" w:space="0" w:color="538135"/>
              <w:right w:val="single" w:sz="12" w:space="0" w:color="538135"/>
            </w:tcBorders>
            <w:shd w:val="clear" w:color="auto" w:fill="FFF2CC"/>
          </w:tcPr>
          <w:p w14:paraId="3961934D"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Верхняя граница</w:t>
            </w:r>
          </w:p>
        </w:tc>
        <w:tc>
          <w:tcPr>
            <w:tcW w:w="612" w:type="dxa"/>
            <w:tcBorders>
              <w:top w:val="single" w:sz="12" w:space="0" w:color="538135"/>
              <w:left w:val="single" w:sz="12" w:space="0" w:color="538135"/>
              <w:bottom w:val="single" w:sz="12" w:space="0" w:color="538135"/>
              <w:right w:val="single" w:sz="12" w:space="0" w:color="538135"/>
            </w:tcBorders>
            <w:shd w:val="clear" w:color="auto" w:fill="FFF2CC"/>
          </w:tcPr>
          <w:p w14:paraId="6F5CD5E6"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Нулевого порядка</w:t>
            </w:r>
          </w:p>
        </w:tc>
        <w:tc>
          <w:tcPr>
            <w:tcW w:w="612" w:type="dxa"/>
            <w:tcBorders>
              <w:top w:val="single" w:sz="12" w:space="0" w:color="538135"/>
              <w:left w:val="single" w:sz="12" w:space="0" w:color="538135"/>
              <w:bottom w:val="single" w:sz="12" w:space="0" w:color="538135"/>
              <w:right w:val="single" w:sz="12" w:space="0" w:color="538135"/>
            </w:tcBorders>
            <w:shd w:val="clear" w:color="auto" w:fill="FFF2CC"/>
          </w:tcPr>
          <w:p w14:paraId="5786CC18"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Частично</w:t>
            </w:r>
          </w:p>
        </w:tc>
        <w:tc>
          <w:tcPr>
            <w:tcW w:w="612" w:type="dxa"/>
            <w:tcBorders>
              <w:top w:val="single" w:sz="12" w:space="0" w:color="538135"/>
              <w:left w:val="single" w:sz="12" w:space="0" w:color="538135"/>
              <w:bottom w:val="single" w:sz="12" w:space="0" w:color="538135"/>
              <w:right w:val="single" w:sz="12" w:space="0" w:color="538135"/>
            </w:tcBorders>
            <w:shd w:val="clear" w:color="auto" w:fill="FFF2CC"/>
          </w:tcPr>
          <w:p w14:paraId="69509201"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Компонент</w:t>
            </w:r>
          </w:p>
        </w:tc>
        <w:tc>
          <w:tcPr>
            <w:tcW w:w="612" w:type="dxa"/>
            <w:tcBorders>
              <w:top w:val="single" w:sz="12" w:space="0" w:color="538135"/>
              <w:left w:val="single" w:sz="12" w:space="0" w:color="538135"/>
              <w:bottom w:val="single" w:sz="12" w:space="0" w:color="538135"/>
              <w:right w:val="single" w:sz="12" w:space="0" w:color="538135"/>
            </w:tcBorders>
            <w:shd w:val="clear" w:color="auto" w:fill="FFF2CC"/>
          </w:tcPr>
          <w:p w14:paraId="52FE0FAC"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Допуск</w:t>
            </w:r>
          </w:p>
        </w:tc>
        <w:tc>
          <w:tcPr>
            <w:tcW w:w="613" w:type="dxa"/>
            <w:tcBorders>
              <w:top w:val="single" w:sz="12" w:space="0" w:color="538135"/>
              <w:left w:val="single" w:sz="12" w:space="0" w:color="538135"/>
              <w:bottom w:val="single" w:sz="12" w:space="0" w:color="538135"/>
              <w:right w:val="single" w:sz="12" w:space="0" w:color="538135"/>
            </w:tcBorders>
            <w:shd w:val="clear" w:color="auto" w:fill="FFF2CC"/>
          </w:tcPr>
          <w:p w14:paraId="77AC151E"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VIF</w:t>
            </w:r>
          </w:p>
        </w:tc>
      </w:tr>
      <w:tr w:rsidR="00AE548C" w14:paraId="0082BE29" w14:textId="77777777" w:rsidTr="00B57F2E">
        <w:trPr>
          <w:trHeight w:val="31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36BAED6B" w14:textId="77777777" w:rsidR="00AE548C" w:rsidRDefault="00AE548C" w:rsidP="00B57F2E">
            <w:pPr>
              <w:pStyle w:val="Standard"/>
              <w:widowControl w:val="0"/>
              <w:suppressAutoHyphens w:val="0"/>
              <w:jc w:val="center"/>
              <w:textAlignment w:val="auto"/>
              <w:rPr>
                <w:rFonts w:ascii="Times New Roman" w:hAnsi="Times New Roman"/>
                <w:sz w:val="20"/>
                <w:szCs w:val="20"/>
              </w:rPr>
            </w:pPr>
          </w:p>
          <w:p w14:paraId="3C32F917" w14:textId="77777777" w:rsidR="00AE548C" w:rsidRDefault="00AE548C" w:rsidP="00B57F2E">
            <w:pPr>
              <w:pStyle w:val="Standard"/>
              <w:widowControl w:val="0"/>
              <w:suppressAutoHyphens w:val="0"/>
              <w:jc w:val="center"/>
              <w:textAlignment w:val="auto"/>
              <w:rPr>
                <w:rFonts w:ascii="Times New Roman" w:hAnsi="Times New Roman"/>
                <w:sz w:val="20"/>
                <w:szCs w:val="20"/>
              </w:rPr>
            </w:pPr>
            <w:r>
              <w:rPr>
                <w:rFonts w:ascii="Times New Roman" w:hAnsi="Times New Roman"/>
                <w:sz w:val="20"/>
                <w:szCs w:val="20"/>
              </w:rPr>
              <w:t>(Константа)</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A8AAB5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113,111</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4DB129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138,277</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63655F0E" w14:textId="77777777" w:rsidR="00AE548C" w:rsidRDefault="00AE548C" w:rsidP="00B57F2E">
            <w:pPr>
              <w:pStyle w:val="Standard"/>
              <w:widowControl w:val="0"/>
              <w:suppressAutoHyphens w:val="0"/>
              <w:jc w:val="center"/>
              <w:textAlignment w:val="auto"/>
              <w:rPr>
                <w:rFonts w:ascii="Times New Roman" w:hAnsi="Times New Roman"/>
                <w:sz w:val="18"/>
                <w:szCs w:val="18"/>
              </w:rPr>
            </w:pP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42FC965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,818</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6F217EC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,415</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7309379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-160,474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43A7590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386,696</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60F370A" w14:textId="77777777" w:rsidR="00AE548C" w:rsidRDefault="00AE548C" w:rsidP="00B57F2E">
            <w:pPr>
              <w:pStyle w:val="Standard"/>
              <w:widowControl w:val="0"/>
              <w:suppressAutoHyphens w:val="0"/>
              <w:jc w:val="center"/>
              <w:textAlignment w:val="auto"/>
              <w:rPr>
                <w:rFonts w:ascii="Times New Roman" w:hAnsi="Times New Roman"/>
                <w:sz w:val="18"/>
                <w:szCs w:val="18"/>
              </w:rPr>
            </w:pP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0BF37C7" w14:textId="77777777" w:rsidR="00AE548C" w:rsidRDefault="00AE548C" w:rsidP="00B57F2E">
            <w:pPr>
              <w:pStyle w:val="Standard"/>
              <w:widowControl w:val="0"/>
              <w:suppressAutoHyphens w:val="0"/>
              <w:jc w:val="center"/>
              <w:textAlignment w:val="auto"/>
              <w:rPr>
                <w:rFonts w:ascii="Times New Roman" w:hAnsi="Times New Roman"/>
                <w:sz w:val="18"/>
                <w:szCs w:val="18"/>
              </w:rPr>
            </w:pP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2CB892A" w14:textId="77777777" w:rsidR="00AE548C" w:rsidRDefault="00AE548C" w:rsidP="00B57F2E">
            <w:pPr>
              <w:pStyle w:val="Standard"/>
              <w:widowControl w:val="0"/>
              <w:suppressAutoHyphens w:val="0"/>
              <w:jc w:val="center"/>
              <w:textAlignment w:val="auto"/>
              <w:rPr>
                <w:rFonts w:ascii="Times New Roman" w:hAnsi="Times New Roman"/>
                <w:sz w:val="18"/>
                <w:szCs w:val="18"/>
              </w:rPr>
            </w:pP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559C8C1" w14:textId="77777777" w:rsidR="00AE548C" w:rsidRDefault="00AE548C" w:rsidP="00B57F2E">
            <w:pPr>
              <w:pStyle w:val="Standard"/>
              <w:widowControl w:val="0"/>
              <w:suppressAutoHyphens w:val="0"/>
              <w:jc w:val="center"/>
              <w:textAlignment w:val="auto"/>
              <w:rPr>
                <w:rFonts w:ascii="Times New Roman" w:hAnsi="Times New Roman"/>
                <w:sz w:val="18"/>
                <w:szCs w:val="18"/>
              </w:rPr>
            </w:pP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0776C4F" w14:textId="77777777" w:rsidR="00AE548C" w:rsidRDefault="00AE548C" w:rsidP="00B57F2E">
            <w:pPr>
              <w:pStyle w:val="Standard"/>
              <w:widowControl w:val="0"/>
              <w:suppressAutoHyphens w:val="0"/>
              <w:jc w:val="center"/>
              <w:textAlignment w:val="auto"/>
              <w:rPr>
                <w:rFonts w:ascii="Times New Roman" w:hAnsi="Times New Roman"/>
                <w:sz w:val="18"/>
                <w:szCs w:val="18"/>
              </w:rPr>
            </w:pPr>
          </w:p>
        </w:tc>
      </w:tr>
      <w:tr w:rsidR="00AE548C" w14:paraId="320D2C18" w14:textId="77777777" w:rsidTr="00B57F2E">
        <w:trPr>
          <w:trHeight w:val="46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32C5EBDC"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6DF62867"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8192935  A</w:t>
            </w:r>
            <w:proofErr w:type="gramEnd"/>
            <w:r>
              <w:rPr>
                <w:rFonts w:ascii="Times New Roman" w:eastAsia="Times New Roman" w:hAnsi="Times New Roman" w:cs="Times New Roman"/>
                <w:b/>
                <w:bCs/>
                <w:sz w:val="20"/>
                <w:szCs w:val="20"/>
              </w:rPr>
              <w:t>_G</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778E1E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22,695</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138035E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13,103</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38A10C4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,192</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1561CBF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1,732</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63DA0B4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EEFB97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-3,229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DAB3B8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48,618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D16E14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1CD9F6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,151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8695C9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,141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D11871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,537</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2478316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1,863</w:t>
            </w:r>
          </w:p>
        </w:tc>
      </w:tr>
      <w:tr w:rsidR="00AE548C" w14:paraId="11CA9720" w14:textId="77777777" w:rsidTr="00B57F2E">
        <w:trPr>
          <w:trHeight w:val="34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3E61541C"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w:t>
            </w:r>
          </w:p>
          <w:p w14:paraId="36E48346"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1128503  A</w:t>
            </w:r>
            <w:proofErr w:type="gramEnd"/>
            <w:r>
              <w:rPr>
                <w:rFonts w:ascii="Times New Roman" w:eastAsia="Times New Roman" w:hAnsi="Times New Roman" w:cs="Times New Roman"/>
                <w:b/>
                <w:bCs/>
                <w:sz w:val="20"/>
                <w:szCs w:val="20"/>
              </w:rPr>
              <w:t>_G</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78CEAB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-9,775</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741684D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13,382</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1EF2214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-,096</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49F2F15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-,730</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822577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,466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2881A86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-36,252</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1253D4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16,703</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CAD5EF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220A86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-,064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9E8871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-,059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893BF9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,386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7292DB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2,589</w:t>
            </w:r>
          </w:p>
        </w:tc>
      </w:tr>
      <w:tr w:rsidR="00AE548C" w14:paraId="599540CD" w14:textId="77777777" w:rsidTr="00B57F2E">
        <w:trPr>
          <w:trHeight w:val="40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24146677"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3DABB3C7"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2244613  G</w:t>
            </w:r>
            <w:proofErr w:type="gramEnd"/>
            <w:r>
              <w:rPr>
                <w:rFonts w:ascii="Times New Roman" w:eastAsia="Times New Roman" w:hAnsi="Times New Roman" w:cs="Times New Roman"/>
                <w:b/>
                <w:bCs/>
                <w:sz w:val="20"/>
                <w:szCs w:val="20"/>
              </w:rPr>
              <w:t>_T</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F1CBD3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-13,757</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C94FF9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11,809</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4B1D23E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-,130</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37F6768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-1,165</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52D382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,246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2D05C0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-37,122</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E6852C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9,608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33CD0B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-,002</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4F200BA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-,102</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B6C7D6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C12F66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,535</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6E8403D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1,868</w:t>
            </w:r>
          </w:p>
        </w:tc>
      </w:tr>
      <w:tr w:rsidR="00AE548C" w14:paraId="74012DDD" w14:textId="77777777" w:rsidTr="00B57F2E">
        <w:trPr>
          <w:trHeight w:val="36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4DE3DA8E" w14:textId="77777777" w:rsidR="00AE548C" w:rsidRDefault="00AE548C"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ABCB1</w:t>
            </w:r>
          </w:p>
          <w:p w14:paraId="39444A82" w14:textId="77777777" w:rsidR="00AE548C" w:rsidRDefault="00AE548C"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rs4148738    C_T</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BEB3DA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-2,576</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5AA94D7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30,282</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2C0DBC9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-,024</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60928C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-,085</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86E230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,932</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4436B8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-62,489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980467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57,337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91D620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-,090</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746BC5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FB399E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8237C4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,080</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6464399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12,494</w:t>
            </w:r>
          </w:p>
        </w:tc>
      </w:tr>
      <w:tr w:rsidR="00AE548C" w14:paraId="39563783" w14:textId="77777777" w:rsidTr="00B57F2E">
        <w:trPr>
          <w:trHeight w:val="28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6C496E58"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581B17EF"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rs1045642 A_G</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272104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4,910</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CE84A1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17,075</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466E3DD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,045</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0E46A4B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,288</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729CAE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,774</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2959281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-28,874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C644BC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38,694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EBC056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-,072</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E293BA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,025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EE1743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,023</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A335A6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,265</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7F213E0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3,770</w:t>
            </w:r>
          </w:p>
        </w:tc>
      </w:tr>
      <w:tr w:rsidR="00AE548C" w14:paraId="148C8D62" w14:textId="77777777" w:rsidTr="00B57F2E">
        <w:trPr>
          <w:trHeight w:val="31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3B9C7EAC"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7DB45D67"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rs2032582 C_A</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B703F3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,209</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6C35F22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20,730</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6C96AAF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,002</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6B298A7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,010</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3B0DA4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,992</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22B1DB4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-40,805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C365A0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41,224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C28CEE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,083</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4975B1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D8FAC3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,001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BCED93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,144</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96F794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6,962</w:t>
            </w:r>
          </w:p>
        </w:tc>
      </w:tr>
      <w:tr w:rsidR="00AE548C" w14:paraId="5E1163AA" w14:textId="77777777" w:rsidTr="00B57F2E">
        <w:trPr>
          <w:trHeight w:val="33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6F18B45A"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21CBD30A"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rs71647871 A_G</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36BE12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48,559</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7CA969A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56,496</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A485A9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,072</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14C7D14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,860</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50B4981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,392</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B3C6C0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-63,219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808F3B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160,338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A7A0BD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72533F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946493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,070</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872AFD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,956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62CFEF0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1,046</w:t>
            </w:r>
          </w:p>
        </w:tc>
      </w:tr>
      <w:tr w:rsidR="00AE548C" w14:paraId="11184392" w14:textId="77777777" w:rsidTr="00B57F2E">
        <w:trPr>
          <w:trHeight w:val="30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5C294A39"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возраст</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71141E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1,055</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2C1A028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,694</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7CE0A79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,139</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51898FC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1,520</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255D121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,131</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7E8CE06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-,318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D8A225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2,429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75449B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79D7AF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,133</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F82AB5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42F349F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,797</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A699F7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1,255</w:t>
            </w:r>
          </w:p>
        </w:tc>
      </w:tr>
      <w:tr w:rsidR="00AE548C" w14:paraId="7E2BC90D" w14:textId="77777777" w:rsidTr="00B57F2E">
        <w:trPr>
          <w:trHeight w:val="31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6AE5049D"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ИМТ</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EEEED4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-4,747</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5F127CF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1,865</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6350C90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-,222</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D3DCFD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-2,545</w:t>
            </w:r>
          </w:p>
        </w:tc>
        <w:tc>
          <w:tcPr>
            <w:tcW w:w="613" w:type="dxa"/>
            <w:tcBorders>
              <w:top w:val="single" w:sz="12" w:space="0" w:color="538135"/>
              <w:left w:val="single" w:sz="12" w:space="0" w:color="538135"/>
              <w:bottom w:val="single" w:sz="12" w:space="0" w:color="538135"/>
              <w:right w:val="single" w:sz="12" w:space="0" w:color="538135"/>
            </w:tcBorders>
            <w:shd w:val="clear" w:color="auto" w:fill="FFE599"/>
          </w:tcPr>
          <w:p w14:paraId="375B35F6" w14:textId="77777777" w:rsidR="00AE548C" w:rsidRDefault="00AE548C" w:rsidP="00B57F2E">
            <w:pPr>
              <w:pStyle w:val="Standard"/>
              <w:widowControl w:val="0"/>
              <w:suppressAutoHyphens w:val="0"/>
              <w:jc w:val="right"/>
              <w:textAlignment w:val="auto"/>
              <w:rPr>
                <w:rFonts w:ascii="Times New Roman" w:hAnsi="Times New Roman"/>
                <w:sz w:val="18"/>
                <w:szCs w:val="18"/>
                <w:shd w:val="clear" w:color="auto" w:fill="FFFF00"/>
              </w:rPr>
            </w:pPr>
            <w:r>
              <w:rPr>
                <w:rFonts w:ascii="Times New Roman" w:hAnsi="Times New Roman"/>
                <w:sz w:val="18"/>
                <w:szCs w:val="18"/>
                <w:shd w:val="clear" w:color="auto" w:fill="FFFF00"/>
              </w:rPr>
              <w:t>,012</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131E37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-8,437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1EF9EC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-1,057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0A9FBC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42CB47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-,219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2143BC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-,207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D4544F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,874</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25746AA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1,144</w:t>
            </w:r>
          </w:p>
        </w:tc>
      </w:tr>
      <w:tr w:rsidR="00AE548C" w14:paraId="6FD40737" w14:textId="77777777" w:rsidTr="00B57F2E">
        <w:trPr>
          <w:trHeight w:val="30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70CCEFC1"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Пол</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116BED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16,947</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60A518F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15,077</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38BAF50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,107</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7755D45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1,124</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2BF270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,263</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6A491E4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-12,884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21B180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46,778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475B20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,172</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23B056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4D4AA12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4315F8A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,736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CF0756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1,359</w:t>
            </w:r>
          </w:p>
        </w:tc>
      </w:tr>
      <w:tr w:rsidR="00AE548C" w14:paraId="000FE1B8" w14:textId="77777777" w:rsidTr="00B57F2E">
        <w:trPr>
          <w:trHeight w:val="30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3425C849"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АЧТВ, с</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881636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-,668</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6CE1EF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1,057</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2C8688F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-,062</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4041AED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-,633</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2DD6E0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,528</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73D21EE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-2,760</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EF7D45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1,423</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499DA6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D5CA89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-,056</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6BC766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-,051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7174D9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,699</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4099E7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1,430</w:t>
            </w:r>
          </w:p>
        </w:tc>
      </w:tr>
      <w:tr w:rsidR="00AE548C" w14:paraId="32270D9A" w14:textId="77777777" w:rsidTr="00B57F2E">
        <w:trPr>
          <w:trHeight w:val="33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7C52F7B4"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ПВ, с</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5F5A68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-1,223</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C01A2E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2,434</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35D3D51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-,048</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1AA34E7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-,502</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605128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,616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BA497D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-6,039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4461E1E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3,593</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A25449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2C572F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-,044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BD7DE8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-,041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380730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,713</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1C9B4B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1,403</w:t>
            </w:r>
          </w:p>
        </w:tc>
      </w:tr>
      <w:tr w:rsidR="00AE548C" w14:paraId="2F06A8E8" w14:textId="77777777" w:rsidTr="00B57F2E">
        <w:trPr>
          <w:trHeight w:val="34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1F41921C"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Фибриноген, г/л</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18EF96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4,810</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5502342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7,150</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509809F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,058</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73C4543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,673</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DDF1D3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,502</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36FB39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-9,336</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F49C36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18,957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BDA49E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0528DD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,059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A1775D8"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,055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110E76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,879</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089BC3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1,137</w:t>
            </w:r>
          </w:p>
        </w:tc>
      </w:tr>
      <w:tr w:rsidR="00AE548C" w14:paraId="45B65CD8" w14:textId="77777777" w:rsidTr="00B57F2E">
        <w:trPr>
          <w:trHeight w:val="30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2D8A89B9"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AЛT, Ед/л</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6D255F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-,802</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3E3819A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,880</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93CF55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-,099</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029D8E2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-,911</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7163762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,364</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FB8F6B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-2,544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45DE740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,940</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215C8F9"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-,055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8CBB42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-,080</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9CBF34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040958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,558</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8B43DD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1,791</w:t>
            </w:r>
          </w:p>
        </w:tc>
      </w:tr>
      <w:tr w:rsidR="00AE548C" w14:paraId="4F48BC27" w14:textId="77777777" w:rsidTr="00B57F2E">
        <w:trPr>
          <w:trHeight w:val="300"/>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0014A19D"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AСT, ЕД/л</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288C10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1,503</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4361FDD7"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,952</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2153EF7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,168</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C171B6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1,578</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0D81F59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,117</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DB8434E"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-,381</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0FAD4D0"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3,387</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21C3025C"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,074</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13E523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EE6180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,128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C346F8D"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,585</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42A8581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1,709</w:t>
            </w:r>
          </w:p>
        </w:tc>
      </w:tr>
      <w:tr w:rsidR="00AE548C" w14:paraId="0A08EDA4" w14:textId="77777777" w:rsidTr="00B57F2E">
        <w:trPr>
          <w:trHeight w:val="315"/>
        </w:trPr>
        <w:tc>
          <w:tcPr>
            <w:tcW w:w="2051" w:type="dxa"/>
            <w:tcBorders>
              <w:top w:val="single" w:sz="12" w:space="0" w:color="538135"/>
              <w:left w:val="single" w:sz="12" w:space="0" w:color="538135"/>
              <w:bottom w:val="single" w:sz="12" w:space="0" w:color="538135"/>
              <w:right w:val="single" w:sz="12" w:space="0" w:color="538135"/>
            </w:tcBorders>
            <w:shd w:val="clear" w:color="auto" w:fill="FFF2CC"/>
          </w:tcPr>
          <w:p w14:paraId="346714C9"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Креатинин, мг/дл</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71953D1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19,109</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05553536"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43,954</w:t>
            </w:r>
          </w:p>
        </w:tc>
        <w:tc>
          <w:tcPr>
            <w:tcW w:w="614" w:type="dxa"/>
            <w:tcBorders>
              <w:top w:val="single" w:sz="12" w:space="0" w:color="538135"/>
              <w:left w:val="single" w:sz="12" w:space="0" w:color="538135"/>
              <w:bottom w:val="single" w:sz="12" w:space="0" w:color="538135"/>
              <w:right w:val="single" w:sz="12" w:space="0" w:color="538135"/>
            </w:tcBorders>
            <w:shd w:val="clear" w:color="auto" w:fill="FFFFFF"/>
          </w:tcPr>
          <w:p w14:paraId="30E6FF5B"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,041</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8DF1C61"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,435</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1250724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,664</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333DF59A"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-67,856</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6B03D18F"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106,075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0C8B5922"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-,069</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58E71C55"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,038</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3536BE7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,035</w:t>
            </w:r>
          </w:p>
        </w:tc>
        <w:tc>
          <w:tcPr>
            <w:tcW w:w="612" w:type="dxa"/>
            <w:tcBorders>
              <w:top w:val="single" w:sz="12" w:space="0" w:color="538135"/>
              <w:left w:val="single" w:sz="12" w:space="0" w:color="538135"/>
              <w:bottom w:val="single" w:sz="12" w:space="0" w:color="538135"/>
              <w:right w:val="single" w:sz="12" w:space="0" w:color="538135"/>
            </w:tcBorders>
            <w:shd w:val="clear" w:color="auto" w:fill="FFFFFF"/>
          </w:tcPr>
          <w:p w14:paraId="103505E4"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,736</w:t>
            </w:r>
          </w:p>
        </w:tc>
        <w:tc>
          <w:tcPr>
            <w:tcW w:w="613" w:type="dxa"/>
            <w:tcBorders>
              <w:top w:val="single" w:sz="12" w:space="0" w:color="538135"/>
              <w:left w:val="single" w:sz="12" w:space="0" w:color="538135"/>
              <w:bottom w:val="single" w:sz="12" w:space="0" w:color="538135"/>
              <w:right w:val="single" w:sz="12" w:space="0" w:color="538135"/>
            </w:tcBorders>
            <w:shd w:val="clear" w:color="auto" w:fill="FFFFFF"/>
          </w:tcPr>
          <w:p w14:paraId="5D2FB393" w14:textId="77777777" w:rsidR="00AE548C" w:rsidRDefault="00AE548C" w:rsidP="00B57F2E">
            <w:pPr>
              <w:pStyle w:val="Standard"/>
              <w:widowControl w:val="0"/>
              <w:suppressAutoHyphens w:val="0"/>
              <w:jc w:val="right"/>
              <w:textAlignment w:val="auto"/>
              <w:rPr>
                <w:rFonts w:ascii="Times New Roman" w:hAnsi="Times New Roman"/>
                <w:sz w:val="18"/>
                <w:szCs w:val="18"/>
              </w:rPr>
            </w:pPr>
            <w:r>
              <w:rPr>
                <w:rFonts w:ascii="Times New Roman" w:hAnsi="Times New Roman"/>
                <w:sz w:val="18"/>
                <w:szCs w:val="18"/>
              </w:rPr>
              <w:t>1,359</w:t>
            </w:r>
          </w:p>
        </w:tc>
      </w:tr>
    </w:tbl>
    <w:p w14:paraId="1E2641B5" w14:textId="77777777" w:rsidR="0011617E" w:rsidRPr="00AE548C" w:rsidRDefault="0011617E" w:rsidP="004E5901">
      <w:pPr>
        <w:pStyle w:val="LO-normal"/>
        <w:spacing w:after="0" w:line="240" w:lineRule="auto"/>
        <w:ind w:firstLine="567"/>
        <w:jc w:val="both"/>
        <w:rPr>
          <w:rFonts w:ascii="Times New Roman" w:hAnsi="Times New Roman" w:cs="Times New Roman"/>
          <w:sz w:val="28"/>
          <w:szCs w:val="28"/>
          <w:lang w:val="en-US" w:bidi="ar-SA"/>
        </w:rPr>
      </w:pPr>
    </w:p>
    <w:p w14:paraId="4BC58F05" w14:textId="7E477F27" w:rsidR="0011617E" w:rsidRPr="00171CCC" w:rsidRDefault="0011617E"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На минимальную концентрацию апиксабана значимо влияют возраст, ИМТ и уровень фибриногена </w:t>
      </w:r>
      <w:r w:rsidRPr="00AE548C">
        <w:rPr>
          <w:rFonts w:ascii="Times New Roman" w:hAnsi="Times New Roman" w:cs="Times New Roman"/>
          <w:color w:val="000000" w:themeColor="text1"/>
          <w:sz w:val="28"/>
          <w:szCs w:val="28"/>
          <w:lang w:bidi="ar-SA"/>
        </w:rPr>
        <w:t>(таблица 1</w:t>
      </w:r>
      <w:r w:rsidR="00AE548C" w:rsidRPr="00AE548C">
        <w:rPr>
          <w:rFonts w:ascii="Times New Roman" w:hAnsi="Times New Roman" w:cs="Times New Roman"/>
          <w:color w:val="000000" w:themeColor="text1"/>
          <w:sz w:val="28"/>
          <w:szCs w:val="28"/>
          <w:lang w:bidi="ar-SA"/>
        </w:rPr>
        <w:t>2</w:t>
      </w:r>
      <w:r w:rsidRPr="00AE548C">
        <w:rPr>
          <w:rFonts w:ascii="Times New Roman" w:hAnsi="Times New Roman" w:cs="Times New Roman"/>
          <w:color w:val="000000" w:themeColor="text1"/>
          <w:sz w:val="28"/>
          <w:szCs w:val="28"/>
          <w:lang w:bidi="ar-SA"/>
        </w:rPr>
        <w:t xml:space="preserve">). </w:t>
      </w:r>
      <w:r>
        <w:rPr>
          <w:rFonts w:ascii="Times New Roman" w:hAnsi="Times New Roman" w:cs="Times New Roman"/>
          <w:sz w:val="28"/>
          <w:szCs w:val="28"/>
          <w:lang w:bidi="ar-SA"/>
        </w:rPr>
        <w:t>Генетические факторы (</w:t>
      </w:r>
      <w:r>
        <w:rPr>
          <w:rFonts w:ascii="Times New Roman" w:hAnsi="Times New Roman" w:cs="Times New Roman"/>
          <w:sz w:val="28"/>
          <w:szCs w:val="28"/>
          <w:lang w:val="en-US" w:bidi="ar-SA"/>
        </w:rPr>
        <w:t>CES</w:t>
      </w:r>
      <w:r w:rsidRPr="0011617E">
        <w:rPr>
          <w:rFonts w:ascii="Times New Roman" w:hAnsi="Times New Roman" w:cs="Times New Roman"/>
          <w:sz w:val="28"/>
          <w:szCs w:val="28"/>
          <w:lang w:bidi="ar-SA"/>
        </w:rPr>
        <w:t>1/</w:t>
      </w:r>
      <w:r>
        <w:rPr>
          <w:rFonts w:ascii="Times New Roman" w:hAnsi="Times New Roman" w:cs="Times New Roman"/>
          <w:sz w:val="28"/>
          <w:szCs w:val="28"/>
          <w:lang w:val="en-US" w:bidi="ar-SA"/>
        </w:rPr>
        <w:t>ABCB</w:t>
      </w:r>
      <w:r w:rsidRPr="0011617E">
        <w:rPr>
          <w:rFonts w:ascii="Times New Roman" w:hAnsi="Times New Roman" w:cs="Times New Roman"/>
          <w:sz w:val="28"/>
          <w:szCs w:val="28"/>
          <w:lang w:bidi="ar-SA"/>
        </w:rPr>
        <w:t>1</w:t>
      </w:r>
      <w:r>
        <w:rPr>
          <w:rFonts w:ascii="Times New Roman" w:hAnsi="Times New Roman" w:cs="Times New Roman"/>
          <w:sz w:val="28"/>
          <w:szCs w:val="28"/>
          <w:lang w:bidi="ar-SA"/>
        </w:rPr>
        <w:t>) не показали статистически значимой связи в данной модели. Связь между уровнем фибриногена и концентрацией апиксабана не описана в большинстве исследований.</w:t>
      </w:r>
    </w:p>
    <w:p w14:paraId="66A2A19F" w14:textId="77777777" w:rsidR="00AE548C" w:rsidRPr="00171CCC" w:rsidRDefault="00AE548C" w:rsidP="004E5901">
      <w:pPr>
        <w:pStyle w:val="LO-normal"/>
        <w:spacing w:after="0" w:line="240" w:lineRule="auto"/>
        <w:ind w:firstLine="567"/>
        <w:jc w:val="both"/>
        <w:rPr>
          <w:rFonts w:ascii="Times New Roman" w:hAnsi="Times New Roman" w:cs="Times New Roman"/>
          <w:sz w:val="28"/>
          <w:szCs w:val="28"/>
          <w:lang w:bidi="ar-SA"/>
        </w:rPr>
      </w:pPr>
    </w:p>
    <w:p w14:paraId="5E76B45A" w14:textId="77777777" w:rsidR="00AE548C" w:rsidRPr="00171CCC" w:rsidRDefault="00AE548C" w:rsidP="00AE548C">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Таблица 1</w:t>
      </w:r>
      <w:r w:rsidRPr="00171CCC">
        <w:rPr>
          <w:rFonts w:ascii="Times New Roman" w:hAnsi="Times New Roman" w:cs="Times New Roman"/>
          <w:sz w:val="28"/>
          <w:szCs w:val="28"/>
          <w:lang w:bidi="ar-SA"/>
        </w:rPr>
        <w:t>2</w:t>
      </w:r>
      <w:r>
        <w:rPr>
          <w:rFonts w:ascii="Times New Roman" w:hAnsi="Times New Roman" w:cs="Times New Roman"/>
          <w:sz w:val="28"/>
          <w:szCs w:val="28"/>
          <w:lang w:bidi="ar-SA"/>
        </w:rPr>
        <w:t>. Множественный линейный регрессионный анализ для минимальной концентрации апиксабана в плазме:</w:t>
      </w:r>
    </w:p>
    <w:p w14:paraId="09AF458E" w14:textId="77777777" w:rsidR="00AE548C" w:rsidRPr="00171CCC" w:rsidRDefault="00AE548C" w:rsidP="00AE548C">
      <w:pPr>
        <w:pStyle w:val="LO-normal"/>
        <w:spacing w:after="0" w:line="240" w:lineRule="auto"/>
        <w:ind w:firstLine="567"/>
        <w:jc w:val="both"/>
        <w:rPr>
          <w:rFonts w:ascii="Times New Roman" w:hAnsi="Times New Roman" w:cs="Times New Roman"/>
          <w:sz w:val="28"/>
          <w:szCs w:val="28"/>
          <w:lang w:bidi="ar-SA"/>
        </w:rPr>
      </w:pPr>
    </w:p>
    <w:tbl>
      <w:tblPr>
        <w:tblW w:w="9401" w:type="dxa"/>
        <w:shd w:val="clear" w:color="auto" w:fill="FFF2CC"/>
        <w:tblLayout w:type="fixed"/>
        <w:tblLook w:val="0000" w:firstRow="0" w:lastRow="0" w:firstColumn="0" w:lastColumn="0" w:noHBand="0" w:noVBand="0"/>
      </w:tblPr>
      <w:tblGrid>
        <w:gridCol w:w="1813"/>
        <w:gridCol w:w="556"/>
        <w:gridCol w:w="669"/>
        <w:gridCol w:w="578"/>
        <w:gridCol w:w="611"/>
        <w:gridCol w:w="666"/>
        <w:gridCol w:w="644"/>
        <w:gridCol w:w="646"/>
        <w:gridCol w:w="644"/>
        <w:gridCol w:w="643"/>
        <w:gridCol w:w="644"/>
        <w:gridCol w:w="643"/>
        <w:gridCol w:w="644"/>
      </w:tblGrid>
      <w:tr w:rsidR="00AE548C" w14:paraId="4388A65E"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61C366DC"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204DFF3C"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6B455731"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5E2EEE0E"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Характеристики</w:t>
            </w:r>
          </w:p>
        </w:tc>
        <w:tc>
          <w:tcPr>
            <w:tcW w:w="556" w:type="dxa"/>
            <w:tcBorders>
              <w:top w:val="single" w:sz="12" w:space="0" w:color="538135"/>
              <w:left w:val="single" w:sz="12" w:space="0" w:color="538135"/>
              <w:bottom w:val="single" w:sz="12" w:space="0" w:color="538135"/>
              <w:right w:val="single" w:sz="12" w:space="0" w:color="538135"/>
            </w:tcBorders>
            <w:shd w:val="clear" w:color="auto" w:fill="FFE599"/>
          </w:tcPr>
          <w:p w14:paraId="496F87A5"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proofErr w:type="spellStart"/>
            <w:r>
              <w:rPr>
                <w:rFonts w:ascii="Times New Roman" w:eastAsia="Times New Roman" w:hAnsi="Times New Roman" w:cs="Times New Roman"/>
                <w:b/>
                <w:i/>
                <w:iCs/>
                <w:sz w:val="18"/>
                <w:szCs w:val="18"/>
              </w:rPr>
              <w:t>Нестандартизованные</w:t>
            </w:r>
            <w:proofErr w:type="spellEnd"/>
            <w:r>
              <w:rPr>
                <w:rFonts w:ascii="Times New Roman" w:eastAsia="Times New Roman" w:hAnsi="Times New Roman" w:cs="Times New Roman"/>
                <w:b/>
                <w:i/>
                <w:iCs/>
                <w:sz w:val="18"/>
                <w:szCs w:val="18"/>
              </w:rPr>
              <w:t xml:space="preserve"> коэффициенты</w:t>
            </w:r>
          </w:p>
        </w:tc>
        <w:tc>
          <w:tcPr>
            <w:tcW w:w="669" w:type="dxa"/>
            <w:tcBorders>
              <w:top w:val="single" w:sz="12" w:space="0" w:color="538135"/>
              <w:left w:val="single" w:sz="12" w:space="0" w:color="538135"/>
              <w:bottom w:val="single" w:sz="12" w:space="0" w:color="538135"/>
              <w:right w:val="single" w:sz="12" w:space="0" w:color="538135"/>
            </w:tcBorders>
            <w:shd w:val="clear" w:color="auto" w:fill="FFE599"/>
          </w:tcPr>
          <w:p w14:paraId="56B3A8BF"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Стандартизованные коэффициенты</w:t>
            </w:r>
          </w:p>
        </w:tc>
        <w:tc>
          <w:tcPr>
            <w:tcW w:w="578" w:type="dxa"/>
            <w:tcBorders>
              <w:top w:val="single" w:sz="12" w:space="0" w:color="538135"/>
              <w:left w:val="single" w:sz="12" w:space="0" w:color="538135"/>
              <w:bottom w:val="single" w:sz="12" w:space="0" w:color="538135"/>
              <w:right w:val="single" w:sz="12" w:space="0" w:color="538135"/>
            </w:tcBorders>
            <w:shd w:val="clear" w:color="auto" w:fill="FFE599"/>
          </w:tcPr>
          <w:p w14:paraId="455D7F21"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t</w:t>
            </w:r>
          </w:p>
        </w:tc>
        <w:tc>
          <w:tcPr>
            <w:tcW w:w="611" w:type="dxa"/>
            <w:tcBorders>
              <w:top w:val="single" w:sz="12" w:space="0" w:color="538135"/>
              <w:left w:val="single" w:sz="12" w:space="0" w:color="538135"/>
              <w:bottom w:val="single" w:sz="12" w:space="0" w:color="538135"/>
              <w:right w:val="single" w:sz="12" w:space="0" w:color="538135"/>
            </w:tcBorders>
            <w:shd w:val="clear" w:color="auto" w:fill="FFE599"/>
          </w:tcPr>
          <w:p w14:paraId="2EE2E35D"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Значимость</w:t>
            </w:r>
          </w:p>
        </w:tc>
        <w:tc>
          <w:tcPr>
            <w:tcW w:w="666" w:type="dxa"/>
            <w:tcBorders>
              <w:top w:val="single" w:sz="12" w:space="0" w:color="538135"/>
              <w:left w:val="single" w:sz="12" w:space="0" w:color="538135"/>
              <w:bottom w:val="single" w:sz="12" w:space="0" w:color="538135"/>
              <w:right w:val="single" w:sz="12" w:space="0" w:color="538135"/>
            </w:tcBorders>
            <w:shd w:val="clear" w:color="auto" w:fill="FFE599"/>
          </w:tcPr>
          <w:p w14:paraId="51394079"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1C6B4C0F"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95,0% Доверительный интервал для B</w:t>
            </w:r>
          </w:p>
        </w:tc>
        <w:tc>
          <w:tcPr>
            <w:tcW w:w="644" w:type="dxa"/>
            <w:tcBorders>
              <w:top w:val="single" w:sz="12" w:space="0" w:color="538135"/>
              <w:left w:val="single" w:sz="12" w:space="0" w:color="538135"/>
              <w:bottom w:val="single" w:sz="12" w:space="0" w:color="538135"/>
              <w:right w:val="single" w:sz="12" w:space="0" w:color="538135"/>
            </w:tcBorders>
            <w:shd w:val="clear" w:color="auto" w:fill="FFE599"/>
          </w:tcPr>
          <w:p w14:paraId="5B5196B7"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640FDE51"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Корреляции</w:t>
            </w:r>
          </w:p>
          <w:p w14:paraId="4FD0C296"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16C5C352"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tc>
        <w:tc>
          <w:tcPr>
            <w:tcW w:w="646" w:type="dxa"/>
            <w:tcBorders>
              <w:top w:val="single" w:sz="12" w:space="0" w:color="538135"/>
              <w:left w:val="single" w:sz="12" w:space="0" w:color="538135"/>
              <w:bottom w:val="single" w:sz="12" w:space="0" w:color="538135"/>
              <w:right w:val="single" w:sz="12" w:space="0" w:color="538135"/>
            </w:tcBorders>
            <w:shd w:val="clear" w:color="auto" w:fill="FFE599"/>
          </w:tcPr>
          <w:p w14:paraId="3BE2D790"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 xml:space="preserve">Статистика </w:t>
            </w:r>
            <w:proofErr w:type="spellStart"/>
            <w:r>
              <w:rPr>
                <w:rFonts w:ascii="Times New Roman" w:eastAsia="Times New Roman" w:hAnsi="Times New Roman" w:cs="Times New Roman"/>
                <w:b/>
                <w:i/>
                <w:iCs/>
                <w:sz w:val="18"/>
                <w:szCs w:val="18"/>
              </w:rPr>
              <w:t>коллинеарности</w:t>
            </w:r>
            <w:proofErr w:type="spellEnd"/>
          </w:p>
        </w:tc>
        <w:tc>
          <w:tcPr>
            <w:tcW w:w="644" w:type="dxa"/>
            <w:tcBorders>
              <w:top w:val="single" w:sz="12" w:space="0" w:color="538135"/>
              <w:left w:val="single" w:sz="12" w:space="0" w:color="538135"/>
              <w:bottom w:val="single" w:sz="12" w:space="0" w:color="538135"/>
              <w:right w:val="single" w:sz="12" w:space="0" w:color="538135"/>
            </w:tcBorders>
            <w:shd w:val="clear" w:color="auto" w:fill="FFE599"/>
          </w:tcPr>
          <w:p w14:paraId="087480B0"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78799D73"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6C9A49D9"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sz w:val="18"/>
                <w:szCs w:val="18"/>
              </w:rPr>
            </w:pPr>
          </w:p>
          <w:p w14:paraId="760FFA72"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Характеристики</w:t>
            </w:r>
          </w:p>
        </w:tc>
        <w:tc>
          <w:tcPr>
            <w:tcW w:w="643" w:type="dxa"/>
            <w:tcBorders>
              <w:top w:val="single" w:sz="12" w:space="0" w:color="538135"/>
              <w:left w:val="single" w:sz="12" w:space="0" w:color="538135"/>
              <w:bottom w:val="single" w:sz="12" w:space="0" w:color="538135"/>
              <w:right w:val="single" w:sz="12" w:space="0" w:color="538135"/>
            </w:tcBorders>
            <w:shd w:val="clear" w:color="auto" w:fill="FFE599"/>
          </w:tcPr>
          <w:p w14:paraId="5E07E7EA"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proofErr w:type="spellStart"/>
            <w:r>
              <w:rPr>
                <w:rFonts w:ascii="Times New Roman" w:eastAsia="Times New Roman" w:hAnsi="Times New Roman" w:cs="Times New Roman"/>
                <w:b/>
                <w:i/>
                <w:iCs/>
                <w:sz w:val="18"/>
                <w:szCs w:val="18"/>
              </w:rPr>
              <w:t>Нестандартизованные</w:t>
            </w:r>
            <w:proofErr w:type="spellEnd"/>
            <w:r>
              <w:rPr>
                <w:rFonts w:ascii="Times New Roman" w:eastAsia="Times New Roman" w:hAnsi="Times New Roman" w:cs="Times New Roman"/>
                <w:b/>
                <w:i/>
                <w:iCs/>
                <w:sz w:val="18"/>
                <w:szCs w:val="18"/>
              </w:rPr>
              <w:t xml:space="preserve"> коэффициенты</w:t>
            </w:r>
          </w:p>
        </w:tc>
        <w:tc>
          <w:tcPr>
            <w:tcW w:w="644" w:type="dxa"/>
            <w:tcBorders>
              <w:top w:val="single" w:sz="12" w:space="0" w:color="538135"/>
              <w:left w:val="single" w:sz="12" w:space="0" w:color="538135"/>
              <w:bottom w:val="single" w:sz="12" w:space="0" w:color="538135"/>
              <w:right w:val="single" w:sz="12" w:space="0" w:color="538135"/>
            </w:tcBorders>
            <w:shd w:val="clear" w:color="auto" w:fill="FFE599"/>
          </w:tcPr>
          <w:p w14:paraId="7058E9A0"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Стандартизованные коэффициенты</w:t>
            </w:r>
          </w:p>
        </w:tc>
        <w:tc>
          <w:tcPr>
            <w:tcW w:w="643" w:type="dxa"/>
            <w:tcBorders>
              <w:top w:val="single" w:sz="12" w:space="0" w:color="538135"/>
              <w:left w:val="single" w:sz="12" w:space="0" w:color="538135"/>
              <w:bottom w:val="single" w:sz="12" w:space="0" w:color="538135"/>
              <w:right w:val="single" w:sz="12" w:space="0" w:color="538135"/>
            </w:tcBorders>
            <w:shd w:val="clear" w:color="auto" w:fill="FFE599"/>
          </w:tcPr>
          <w:p w14:paraId="1E07955D"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t</w:t>
            </w:r>
          </w:p>
        </w:tc>
        <w:tc>
          <w:tcPr>
            <w:tcW w:w="644" w:type="dxa"/>
            <w:tcBorders>
              <w:top w:val="single" w:sz="12" w:space="0" w:color="538135"/>
              <w:left w:val="single" w:sz="12" w:space="0" w:color="538135"/>
              <w:bottom w:val="single" w:sz="12" w:space="0" w:color="538135"/>
              <w:right w:val="single" w:sz="12" w:space="0" w:color="538135"/>
            </w:tcBorders>
            <w:shd w:val="clear" w:color="auto" w:fill="FFE599"/>
          </w:tcPr>
          <w:p w14:paraId="23F9DC64"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Значимость</w:t>
            </w:r>
          </w:p>
        </w:tc>
      </w:tr>
      <w:tr w:rsidR="00AE548C" w14:paraId="6F386CFE"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6C634D45" w14:textId="77777777" w:rsidR="00AE548C" w:rsidRDefault="00AE548C" w:rsidP="00B57F2E">
            <w:pPr>
              <w:pStyle w:val="Standard"/>
              <w:widowControl w:val="0"/>
              <w:suppressAutoHyphens w:val="0"/>
              <w:jc w:val="center"/>
              <w:textAlignment w:val="auto"/>
              <w:rPr>
                <w:rFonts w:ascii="Times New Roman" w:hAnsi="Times New Roman"/>
              </w:rPr>
            </w:pPr>
          </w:p>
        </w:tc>
        <w:tc>
          <w:tcPr>
            <w:tcW w:w="556" w:type="dxa"/>
            <w:tcBorders>
              <w:top w:val="single" w:sz="12" w:space="0" w:color="538135"/>
              <w:left w:val="single" w:sz="12" w:space="0" w:color="538135"/>
              <w:bottom w:val="single" w:sz="12" w:space="0" w:color="538135"/>
              <w:right w:val="single" w:sz="12" w:space="0" w:color="538135"/>
            </w:tcBorders>
            <w:shd w:val="clear" w:color="auto" w:fill="FFF2CC"/>
          </w:tcPr>
          <w:p w14:paraId="38984A33"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669" w:type="dxa"/>
            <w:tcBorders>
              <w:top w:val="single" w:sz="12" w:space="0" w:color="538135"/>
              <w:left w:val="single" w:sz="12" w:space="0" w:color="538135"/>
              <w:bottom w:val="single" w:sz="12" w:space="0" w:color="538135"/>
              <w:right w:val="single" w:sz="12" w:space="0" w:color="538135"/>
            </w:tcBorders>
            <w:shd w:val="clear" w:color="auto" w:fill="FFF2CC"/>
          </w:tcPr>
          <w:p w14:paraId="45636337"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Стандартная ошибка</w:t>
            </w:r>
          </w:p>
        </w:tc>
        <w:tc>
          <w:tcPr>
            <w:tcW w:w="578" w:type="dxa"/>
            <w:tcBorders>
              <w:top w:val="single" w:sz="12" w:space="0" w:color="538135"/>
              <w:left w:val="single" w:sz="12" w:space="0" w:color="538135"/>
              <w:bottom w:val="single" w:sz="12" w:space="0" w:color="538135"/>
              <w:right w:val="single" w:sz="12" w:space="0" w:color="538135"/>
            </w:tcBorders>
            <w:shd w:val="clear" w:color="auto" w:fill="FFF2CC"/>
          </w:tcPr>
          <w:p w14:paraId="10E202E9"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Бета</w:t>
            </w:r>
          </w:p>
        </w:tc>
        <w:tc>
          <w:tcPr>
            <w:tcW w:w="611" w:type="dxa"/>
            <w:tcBorders>
              <w:top w:val="single" w:sz="12" w:space="0" w:color="538135"/>
              <w:left w:val="single" w:sz="12" w:space="0" w:color="538135"/>
              <w:bottom w:val="single" w:sz="12" w:space="0" w:color="538135"/>
              <w:right w:val="single" w:sz="12" w:space="0" w:color="538135"/>
            </w:tcBorders>
            <w:shd w:val="clear" w:color="auto" w:fill="FFF2CC"/>
          </w:tcPr>
          <w:p w14:paraId="49965486" w14:textId="77777777" w:rsidR="00AE548C" w:rsidRDefault="00AE548C" w:rsidP="00B57F2E">
            <w:pPr>
              <w:pStyle w:val="Standard"/>
              <w:widowControl w:val="0"/>
              <w:suppressAutoHyphens w:val="0"/>
              <w:jc w:val="center"/>
              <w:textAlignment w:val="auto"/>
              <w:rPr>
                <w:rFonts w:ascii="Times New Roman" w:hAnsi="Times New Roman"/>
              </w:rPr>
            </w:pPr>
          </w:p>
        </w:tc>
        <w:tc>
          <w:tcPr>
            <w:tcW w:w="666" w:type="dxa"/>
            <w:tcBorders>
              <w:top w:val="single" w:sz="12" w:space="0" w:color="538135"/>
              <w:left w:val="single" w:sz="12" w:space="0" w:color="538135"/>
              <w:bottom w:val="single" w:sz="12" w:space="0" w:color="538135"/>
              <w:right w:val="single" w:sz="12" w:space="0" w:color="538135"/>
            </w:tcBorders>
            <w:shd w:val="clear" w:color="auto" w:fill="FFF2CC"/>
          </w:tcPr>
          <w:p w14:paraId="27357525" w14:textId="77777777" w:rsidR="00AE548C" w:rsidRDefault="00AE548C" w:rsidP="00B57F2E">
            <w:pPr>
              <w:pStyle w:val="Standard"/>
              <w:widowControl w:val="0"/>
              <w:suppressAutoHyphens w:val="0"/>
              <w:jc w:val="center"/>
              <w:textAlignment w:val="auto"/>
              <w:rPr>
                <w:rFonts w:ascii="Times New Roman" w:hAnsi="Times New Roman"/>
              </w:rPr>
            </w:pPr>
          </w:p>
        </w:tc>
        <w:tc>
          <w:tcPr>
            <w:tcW w:w="644" w:type="dxa"/>
            <w:tcBorders>
              <w:top w:val="single" w:sz="12" w:space="0" w:color="538135"/>
              <w:left w:val="single" w:sz="12" w:space="0" w:color="538135"/>
              <w:bottom w:val="single" w:sz="12" w:space="0" w:color="538135"/>
              <w:right w:val="single" w:sz="12" w:space="0" w:color="538135"/>
            </w:tcBorders>
            <w:shd w:val="clear" w:color="auto" w:fill="FFF2CC"/>
          </w:tcPr>
          <w:p w14:paraId="48DBC576"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Нижняя граница</w:t>
            </w:r>
          </w:p>
        </w:tc>
        <w:tc>
          <w:tcPr>
            <w:tcW w:w="646" w:type="dxa"/>
            <w:tcBorders>
              <w:top w:val="single" w:sz="12" w:space="0" w:color="538135"/>
              <w:left w:val="single" w:sz="12" w:space="0" w:color="538135"/>
              <w:bottom w:val="single" w:sz="12" w:space="0" w:color="538135"/>
              <w:right w:val="single" w:sz="12" w:space="0" w:color="538135"/>
            </w:tcBorders>
            <w:shd w:val="clear" w:color="auto" w:fill="FFF2CC"/>
          </w:tcPr>
          <w:p w14:paraId="32332279"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Верхняя граница</w:t>
            </w:r>
          </w:p>
        </w:tc>
        <w:tc>
          <w:tcPr>
            <w:tcW w:w="644" w:type="dxa"/>
            <w:tcBorders>
              <w:top w:val="single" w:sz="12" w:space="0" w:color="538135"/>
              <w:left w:val="single" w:sz="12" w:space="0" w:color="538135"/>
              <w:bottom w:val="single" w:sz="12" w:space="0" w:color="538135"/>
              <w:right w:val="single" w:sz="12" w:space="0" w:color="538135"/>
            </w:tcBorders>
            <w:shd w:val="clear" w:color="auto" w:fill="FFF2CC"/>
          </w:tcPr>
          <w:p w14:paraId="6EBE574B"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Нулевого порядка</w:t>
            </w:r>
          </w:p>
        </w:tc>
        <w:tc>
          <w:tcPr>
            <w:tcW w:w="643" w:type="dxa"/>
            <w:tcBorders>
              <w:top w:val="single" w:sz="12" w:space="0" w:color="538135"/>
              <w:left w:val="single" w:sz="12" w:space="0" w:color="538135"/>
              <w:bottom w:val="single" w:sz="12" w:space="0" w:color="538135"/>
              <w:right w:val="single" w:sz="12" w:space="0" w:color="538135"/>
            </w:tcBorders>
            <w:shd w:val="clear" w:color="auto" w:fill="FFF2CC"/>
          </w:tcPr>
          <w:p w14:paraId="1727C233"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Частично</w:t>
            </w:r>
          </w:p>
        </w:tc>
        <w:tc>
          <w:tcPr>
            <w:tcW w:w="644" w:type="dxa"/>
            <w:tcBorders>
              <w:top w:val="single" w:sz="12" w:space="0" w:color="538135"/>
              <w:left w:val="single" w:sz="12" w:space="0" w:color="538135"/>
              <w:bottom w:val="single" w:sz="12" w:space="0" w:color="538135"/>
              <w:right w:val="single" w:sz="12" w:space="0" w:color="538135"/>
            </w:tcBorders>
            <w:shd w:val="clear" w:color="auto" w:fill="FFF2CC"/>
          </w:tcPr>
          <w:p w14:paraId="6B51CBDB"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Компонент</w:t>
            </w:r>
          </w:p>
        </w:tc>
        <w:tc>
          <w:tcPr>
            <w:tcW w:w="643" w:type="dxa"/>
            <w:tcBorders>
              <w:top w:val="single" w:sz="12" w:space="0" w:color="538135"/>
              <w:left w:val="single" w:sz="12" w:space="0" w:color="538135"/>
              <w:bottom w:val="single" w:sz="12" w:space="0" w:color="538135"/>
              <w:right w:val="single" w:sz="12" w:space="0" w:color="538135"/>
            </w:tcBorders>
            <w:shd w:val="clear" w:color="auto" w:fill="FFF2CC"/>
          </w:tcPr>
          <w:p w14:paraId="3C068CA4"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Допуск</w:t>
            </w:r>
          </w:p>
        </w:tc>
        <w:tc>
          <w:tcPr>
            <w:tcW w:w="644" w:type="dxa"/>
            <w:tcBorders>
              <w:top w:val="single" w:sz="12" w:space="0" w:color="538135"/>
              <w:left w:val="single" w:sz="12" w:space="0" w:color="538135"/>
              <w:bottom w:val="single" w:sz="12" w:space="0" w:color="538135"/>
              <w:right w:val="single" w:sz="12" w:space="0" w:color="538135"/>
            </w:tcBorders>
            <w:shd w:val="clear" w:color="auto" w:fill="FFF2CC"/>
          </w:tcPr>
          <w:p w14:paraId="624E419F" w14:textId="77777777" w:rsidR="00AE548C" w:rsidRDefault="00AE548C" w:rsidP="00B57F2E">
            <w:pPr>
              <w:pStyle w:val="LO-normal"/>
              <w:widowControl w:val="0"/>
              <w:suppressAutoHyphens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VIF</w:t>
            </w:r>
          </w:p>
        </w:tc>
      </w:tr>
      <w:tr w:rsidR="00AE548C" w14:paraId="353A4BB0"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62BA2C41" w14:textId="77777777" w:rsidR="00AE548C" w:rsidRDefault="00AE548C" w:rsidP="00B57F2E">
            <w:pPr>
              <w:pStyle w:val="Standard"/>
              <w:widowControl w:val="0"/>
              <w:suppressAutoHyphens w:val="0"/>
              <w:jc w:val="center"/>
              <w:textAlignment w:val="auto"/>
              <w:rPr>
                <w:rFonts w:ascii="Times New Roman" w:hAnsi="Times New Roman"/>
                <w:sz w:val="18"/>
                <w:szCs w:val="18"/>
              </w:rPr>
            </w:pPr>
            <w:r>
              <w:rPr>
                <w:rFonts w:ascii="Times New Roman" w:hAnsi="Times New Roman"/>
                <w:sz w:val="18"/>
                <w:szCs w:val="18"/>
              </w:rPr>
              <w:t>(Константа)</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1B40ADA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81,532</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1B53AD8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78,052</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7435BCAE" w14:textId="77777777" w:rsidR="00AE548C" w:rsidRDefault="00AE548C" w:rsidP="00B57F2E">
            <w:pPr>
              <w:pStyle w:val="Standard"/>
              <w:widowControl w:val="0"/>
              <w:suppressAutoHyphens w:val="0"/>
              <w:jc w:val="center"/>
              <w:textAlignment w:val="auto"/>
              <w:rPr>
                <w:rFonts w:ascii="Times New Roman" w:hAnsi="Times New Roman"/>
                <w:sz w:val="16"/>
                <w:szCs w:val="16"/>
              </w:rPr>
            </w:pP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4C9463D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1,045</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73C6CF8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,298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D1520A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-72,896</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1E9264A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235,959</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12B7D01" w14:textId="77777777" w:rsidR="00AE548C" w:rsidRDefault="00AE548C" w:rsidP="00B57F2E">
            <w:pPr>
              <w:pStyle w:val="Standard"/>
              <w:widowControl w:val="0"/>
              <w:suppressAutoHyphens w:val="0"/>
              <w:jc w:val="center"/>
              <w:textAlignment w:val="auto"/>
              <w:rPr>
                <w:rFonts w:ascii="Times New Roman" w:hAnsi="Times New Roman"/>
                <w:sz w:val="16"/>
                <w:szCs w:val="16"/>
              </w:rPr>
            </w:pP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2C678D9E" w14:textId="77777777" w:rsidR="00AE548C" w:rsidRDefault="00AE548C" w:rsidP="00B57F2E">
            <w:pPr>
              <w:pStyle w:val="Standard"/>
              <w:widowControl w:val="0"/>
              <w:suppressAutoHyphens w:val="0"/>
              <w:jc w:val="center"/>
              <w:textAlignment w:val="auto"/>
              <w:rPr>
                <w:rFonts w:ascii="Times New Roman" w:hAnsi="Times New Roman"/>
                <w:sz w:val="16"/>
                <w:szCs w:val="16"/>
              </w:rPr>
            </w:pP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BB0C2CA" w14:textId="77777777" w:rsidR="00AE548C" w:rsidRDefault="00AE548C" w:rsidP="00B57F2E">
            <w:pPr>
              <w:pStyle w:val="Standard"/>
              <w:widowControl w:val="0"/>
              <w:suppressAutoHyphens w:val="0"/>
              <w:jc w:val="center"/>
              <w:textAlignment w:val="auto"/>
              <w:rPr>
                <w:rFonts w:ascii="Times New Roman" w:hAnsi="Times New Roman"/>
                <w:sz w:val="16"/>
                <w:szCs w:val="16"/>
              </w:rPr>
            </w:pP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672D716F" w14:textId="77777777" w:rsidR="00AE548C" w:rsidRDefault="00AE548C" w:rsidP="00B57F2E">
            <w:pPr>
              <w:pStyle w:val="Standard"/>
              <w:widowControl w:val="0"/>
              <w:suppressAutoHyphens w:val="0"/>
              <w:jc w:val="center"/>
              <w:textAlignment w:val="auto"/>
              <w:rPr>
                <w:rFonts w:ascii="Times New Roman" w:hAnsi="Times New Roman"/>
                <w:sz w:val="16"/>
                <w:szCs w:val="16"/>
              </w:rPr>
            </w:pP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5565960D" w14:textId="77777777" w:rsidR="00AE548C" w:rsidRDefault="00AE548C" w:rsidP="00B57F2E">
            <w:pPr>
              <w:pStyle w:val="Standard"/>
              <w:widowControl w:val="0"/>
              <w:suppressAutoHyphens w:val="0"/>
              <w:jc w:val="center"/>
              <w:textAlignment w:val="auto"/>
              <w:rPr>
                <w:rFonts w:ascii="Times New Roman" w:hAnsi="Times New Roman"/>
                <w:sz w:val="16"/>
                <w:szCs w:val="16"/>
              </w:rPr>
            </w:pPr>
          </w:p>
        </w:tc>
      </w:tr>
      <w:tr w:rsidR="00AE548C" w14:paraId="22DF265D"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1876660C"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11359C4D"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8192935  A</w:t>
            </w:r>
            <w:proofErr w:type="gramEnd"/>
            <w:r>
              <w:rPr>
                <w:rFonts w:ascii="Times New Roman" w:eastAsia="Times New Roman" w:hAnsi="Times New Roman" w:cs="Times New Roman"/>
                <w:b/>
                <w:bCs/>
                <w:sz w:val="20"/>
                <w:szCs w:val="20"/>
              </w:rPr>
              <w:t>_G</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50B9E37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5,384</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0657BCC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7,396</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6EF2A7E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,078</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6E20929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,728</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72A5DD1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,468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01EA00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-9,249</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11EE181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20,017</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61E10C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,095</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7A75880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,064</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09EFDB7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,057</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51C25DB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,537</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892CD6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1,863</w:t>
            </w:r>
          </w:p>
        </w:tc>
      </w:tr>
      <w:tr w:rsidR="00AE548C" w14:paraId="63740ACA"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65CF82DE"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w:t>
            </w:r>
          </w:p>
          <w:p w14:paraId="64DC6A9E"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1128503  A</w:t>
            </w:r>
            <w:proofErr w:type="gramEnd"/>
            <w:r>
              <w:rPr>
                <w:rFonts w:ascii="Times New Roman" w:eastAsia="Times New Roman" w:hAnsi="Times New Roman" w:cs="Times New Roman"/>
                <w:b/>
                <w:bCs/>
                <w:sz w:val="20"/>
                <w:szCs w:val="20"/>
              </w:rPr>
              <w:t>_G</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76F325C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-,812</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68FD698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6,666</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5CC76F2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-,013</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6A014EE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-,122</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4F3D55F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,903</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F18320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-14,001</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5E44516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12,377</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DF4611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,037</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233DACC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-,011</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01A776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-,010</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6263A93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,535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45EC9E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1,868</w:t>
            </w:r>
          </w:p>
        </w:tc>
      </w:tr>
      <w:tr w:rsidR="00AE548C" w14:paraId="490D5869"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75CED4DA"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1AC89780"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w:t>
            </w:r>
            <w:proofErr w:type="gramStart"/>
            <w:r>
              <w:rPr>
                <w:rFonts w:ascii="Times New Roman" w:eastAsia="Times New Roman" w:hAnsi="Times New Roman" w:cs="Times New Roman"/>
                <w:b/>
                <w:bCs/>
                <w:sz w:val="20"/>
                <w:szCs w:val="20"/>
              </w:rPr>
              <w:t>2244613  G</w:t>
            </w:r>
            <w:proofErr w:type="gramEnd"/>
            <w:r>
              <w:rPr>
                <w:rFonts w:ascii="Times New Roman" w:eastAsia="Times New Roman" w:hAnsi="Times New Roman" w:cs="Times New Roman"/>
                <w:b/>
                <w:bCs/>
                <w:sz w:val="20"/>
                <w:szCs w:val="20"/>
              </w:rPr>
              <w:t>_T</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1C68B6F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-2,893</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78409ED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17,093</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621A67E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-,047</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A112C5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-,169</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6FDEBF2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,866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4F5801D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-36,711</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7E4AE09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30,926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996814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-,072</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3DEB6A9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-,015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0B66351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-,013</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6B0ECF2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,080</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22ED0C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12,494</w:t>
            </w:r>
          </w:p>
        </w:tc>
      </w:tr>
      <w:tr w:rsidR="00AE548C" w14:paraId="1375A04B"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20058B5D" w14:textId="77777777" w:rsidR="00AE548C" w:rsidRDefault="00AE548C"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ABCB1</w:t>
            </w:r>
          </w:p>
          <w:p w14:paraId="0FC032C0" w14:textId="77777777" w:rsidR="00AE548C" w:rsidRDefault="00AE548C" w:rsidP="00B57F2E">
            <w:pPr>
              <w:pStyle w:val="LO-normal"/>
              <w:widowControl w:val="0"/>
              <w:suppressAutoHyphens w:val="0"/>
              <w:spacing w:after="0" w:line="240" w:lineRule="auto"/>
              <w:ind w:left="-113"/>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rs4148738    C_T</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5B67998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12,291</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307AEA6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9,638</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76802B8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,193</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E12519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1,275</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0FD0608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,205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4813D2A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-6,779</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3B84AEE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31,361</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C35A44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-,013</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60EC675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,112</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845B1A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,100</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54BD11D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,265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462F59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3,770</w:t>
            </w:r>
          </w:p>
        </w:tc>
      </w:tr>
      <w:tr w:rsidR="00AE548C" w14:paraId="0BCEA1EC"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22931452"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7F7F54AB"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rs1045642 A_G</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52E01DE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6,322</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7AE7210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11,701</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0FEAA65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,111</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37FB41A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,540</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3D1351E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,590</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93AE74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-16,829</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53C6B9F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29,473</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09D96DF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,086</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755D1EE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,048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0788E1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,042</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7BF0DFE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,144</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2CA73F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6,962</w:t>
            </w:r>
          </w:p>
        </w:tc>
      </w:tr>
      <w:tr w:rsidR="00AE548C" w14:paraId="333CB764"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11268526"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ABCB1_</w:t>
            </w:r>
          </w:p>
          <w:p w14:paraId="0DCEAEF1"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rs2032582 C_A</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4D1A068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-1,825</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7A784A1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7,554</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73C0572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-,030</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34DBA55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-,242</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6961F8E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,809</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E96A60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-16,770</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246B90B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13,121</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4D9C7FC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-,049</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07DF867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-,021</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537009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-,019</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4A1D730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,386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6D2776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2,589</w:t>
            </w:r>
          </w:p>
        </w:tc>
      </w:tr>
      <w:tr w:rsidR="00AE548C" w14:paraId="2FF4F97C"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3B54378B"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CES1_</w:t>
            </w:r>
          </w:p>
          <w:p w14:paraId="28E39C86"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rs71647871 A_G</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3EF8900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2,343</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60BA441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31,890</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64D3279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,006</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13A34BD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,073</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7AA0309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,942</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E76173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-60,751</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4366199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65,437</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EF1542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,056</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4B365E3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FCA56F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,006</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10768DB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,956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F28168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1,046</w:t>
            </w:r>
          </w:p>
        </w:tc>
      </w:tr>
      <w:tr w:rsidR="00AE548C" w14:paraId="60A5E500"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6413C59D"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возраст</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6591016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,911</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06EEF54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,392</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1844751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,203</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154DCEF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2,324</w:t>
            </w:r>
          </w:p>
        </w:tc>
        <w:tc>
          <w:tcPr>
            <w:tcW w:w="666" w:type="dxa"/>
            <w:tcBorders>
              <w:top w:val="single" w:sz="12" w:space="0" w:color="538135"/>
              <w:left w:val="single" w:sz="12" w:space="0" w:color="538135"/>
              <w:bottom w:val="single" w:sz="12" w:space="0" w:color="538135"/>
              <w:right w:val="single" w:sz="12" w:space="0" w:color="538135"/>
            </w:tcBorders>
            <w:shd w:val="clear" w:color="auto" w:fill="FFD966"/>
          </w:tcPr>
          <w:p w14:paraId="65090BF4" w14:textId="77777777" w:rsidR="00AE548C" w:rsidRDefault="00AE548C" w:rsidP="00B57F2E">
            <w:pPr>
              <w:pStyle w:val="Standard"/>
              <w:widowControl w:val="0"/>
              <w:suppressAutoHyphens w:val="0"/>
              <w:jc w:val="right"/>
              <w:textAlignment w:val="auto"/>
              <w:rPr>
                <w:rFonts w:ascii="Times New Roman" w:hAnsi="Times New Roman"/>
                <w:b/>
                <w:sz w:val="16"/>
                <w:szCs w:val="16"/>
                <w:shd w:val="clear" w:color="auto" w:fill="FFFF00"/>
              </w:rPr>
            </w:pPr>
            <w:r>
              <w:rPr>
                <w:rFonts w:ascii="Times New Roman" w:hAnsi="Times New Roman"/>
                <w:b/>
                <w:sz w:val="16"/>
                <w:szCs w:val="16"/>
                <w:shd w:val="clear" w:color="auto" w:fill="FFFF00"/>
              </w:rPr>
              <w:t>,022</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71C7B0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,135</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0AA8071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1,686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B24F7D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,261</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0445B27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,200</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00DBC57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,182</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0A3317F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,797</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652BE96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1,255</w:t>
            </w:r>
          </w:p>
        </w:tc>
      </w:tr>
      <w:tr w:rsidR="00AE548C" w14:paraId="61F4D300"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574F2BA8"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ИМТ</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134AB32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-3,031</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33C6F6C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1,053</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72F6A29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-,241</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7AC924D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-2,879</w:t>
            </w:r>
          </w:p>
        </w:tc>
        <w:tc>
          <w:tcPr>
            <w:tcW w:w="666" w:type="dxa"/>
            <w:tcBorders>
              <w:top w:val="single" w:sz="12" w:space="0" w:color="538135"/>
              <w:left w:val="single" w:sz="12" w:space="0" w:color="538135"/>
              <w:bottom w:val="single" w:sz="12" w:space="0" w:color="538135"/>
              <w:right w:val="single" w:sz="12" w:space="0" w:color="538135"/>
            </w:tcBorders>
            <w:shd w:val="clear" w:color="auto" w:fill="FFD966"/>
          </w:tcPr>
          <w:p w14:paraId="11975B26" w14:textId="77777777" w:rsidR="00AE548C" w:rsidRDefault="00AE548C" w:rsidP="00B57F2E">
            <w:pPr>
              <w:pStyle w:val="Standard"/>
              <w:widowControl w:val="0"/>
              <w:suppressAutoHyphens w:val="0"/>
              <w:jc w:val="right"/>
              <w:textAlignment w:val="auto"/>
              <w:rPr>
                <w:rFonts w:ascii="Times New Roman" w:hAnsi="Times New Roman"/>
                <w:b/>
                <w:sz w:val="16"/>
                <w:szCs w:val="16"/>
                <w:shd w:val="clear" w:color="auto" w:fill="FFFF00"/>
              </w:rPr>
            </w:pPr>
            <w:r>
              <w:rPr>
                <w:rFonts w:ascii="Times New Roman" w:hAnsi="Times New Roman"/>
                <w:b/>
                <w:sz w:val="16"/>
                <w:szCs w:val="16"/>
                <w:shd w:val="clear" w:color="auto" w:fill="FFFF00"/>
              </w:rPr>
              <w:t>,005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6906AD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-5,114</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1D5F902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-,948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628E32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-,155</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19A0477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-,246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4E234F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-,225</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65178D7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,874</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539A4FD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1,144</w:t>
            </w:r>
          </w:p>
        </w:tc>
      </w:tr>
      <w:tr w:rsidR="00AE548C" w14:paraId="27197857"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084F8B2F"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Пол</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6E9B37E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12,992</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53BD859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8,511</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28BAF3D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,139</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729F80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1,527</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101C9B0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,129</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47432C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-3,846</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68CC26C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29,831</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AF956A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,229</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4A7DDF6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,133</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59F0DFD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,119</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08C912E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,736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4E6034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1,359</w:t>
            </w:r>
          </w:p>
        </w:tc>
      </w:tr>
      <w:tr w:rsidR="00AE548C" w14:paraId="425CD3F2"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172A7381"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АЧТВ, с</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529DE3C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-,712</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0E38CAF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,597</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33CF7F5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-,111</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3A54C7A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-1,193</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617C417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,235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6E8260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-1,892</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4306E1E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,468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A15708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-,125</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238BA0F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-,104</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EAA47F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-,093</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2596D53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,699</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67DC78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1,430</w:t>
            </w:r>
          </w:p>
        </w:tc>
      </w:tr>
      <w:tr w:rsidR="00AE548C" w14:paraId="36F614E8"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7E3BCA72"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ПВ, с</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56D267F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-,001</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60EAF51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1,374</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30C9AAC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,000</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43A9874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,000</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59B8B49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1,000</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DF41AD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-2,719</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38B6366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2,718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4151927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-,064</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716BB30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,000</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4BC09D7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,000</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3765AA6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,713</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524833BF"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1,403</w:t>
            </w:r>
          </w:p>
        </w:tc>
      </w:tr>
      <w:tr w:rsidR="00AE548C" w14:paraId="117855AF"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198CDF0D"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Фибриноген, г/л</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4C55B63C"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8,726</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0F3D04B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4,036</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32EA05E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,180</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56F0E4E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2,162</w:t>
            </w:r>
          </w:p>
        </w:tc>
        <w:tc>
          <w:tcPr>
            <w:tcW w:w="666" w:type="dxa"/>
            <w:tcBorders>
              <w:top w:val="single" w:sz="12" w:space="0" w:color="538135"/>
              <w:left w:val="single" w:sz="12" w:space="0" w:color="538135"/>
              <w:bottom w:val="single" w:sz="12" w:space="0" w:color="538135"/>
              <w:right w:val="single" w:sz="12" w:space="0" w:color="538135"/>
            </w:tcBorders>
            <w:shd w:val="clear" w:color="auto" w:fill="FFD966"/>
          </w:tcPr>
          <w:p w14:paraId="72895889" w14:textId="77777777" w:rsidR="00AE548C" w:rsidRDefault="00AE548C" w:rsidP="00B57F2E">
            <w:pPr>
              <w:pStyle w:val="Standard"/>
              <w:widowControl w:val="0"/>
              <w:suppressAutoHyphens w:val="0"/>
              <w:jc w:val="right"/>
              <w:textAlignment w:val="auto"/>
              <w:rPr>
                <w:rFonts w:ascii="Times New Roman" w:hAnsi="Times New Roman"/>
                <w:b/>
                <w:sz w:val="16"/>
                <w:szCs w:val="16"/>
                <w:shd w:val="clear" w:color="auto" w:fill="FFFF00"/>
              </w:rPr>
            </w:pPr>
            <w:r>
              <w:rPr>
                <w:rFonts w:ascii="Times New Roman" w:hAnsi="Times New Roman"/>
                <w:b/>
                <w:sz w:val="16"/>
                <w:szCs w:val="16"/>
                <w:shd w:val="clear" w:color="auto" w:fill="FFFF00"/>
              </w:rPr>
              <w:t>,032</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A1686F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,741</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6D43991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16,711</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5555543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,249</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458C665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,187</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63E354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,169</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0B8F98D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,879</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EE6A5E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1,137</w:t>
            </w:r>
          </w:p>
        </w:tc>
      </w:tr>
      <w:tr w:rsidR="00AE548C" w14:paraId="30CF5348"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507BD338"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AЛT, Ед/л</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3962F17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-,535</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23D6788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,497</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75DB07D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-,113</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6EC8CEC5"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-1,077</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28B14B9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,283</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4AD824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-1,519</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7F6A930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,448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697AC8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-,095</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73C3161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-,094</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1E33D9D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-,084</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463899EB"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,558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0475A88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1,791</w:t>
            </w:r>
          </w:p>
        </w:tc>
      </w:tr>
      <w:tr w:rsidR="00AE548C" w14:paraId="3B02EE25" w14:textId="77777777" w:rsidTr="00B57F2E">
        <w:trPr>
          <w:trHeight w:val="37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1CBABDE3"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AСT, ЕД/л</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431360F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,644</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597ACF3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,538</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576C971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,122</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7BED684E"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1,199</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5DC76A7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,233</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464BB03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-,419</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60B32FA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1,708</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5537EA1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,036</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5D1B6431"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,105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7EDF99B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,094</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6319139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,585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54116956"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1,709</w:t>
            </w:r>
          </w:p>
        </w:tc>
      </w:tr>
      <w:tr w:rsidR="00AE548C" w14:paraId="7238C335" w14:textId="77777777" w:rsidTr="00B57F2E">
        <w:trPr>
          <w:trHeight w:val="315"/>
        </w:trPr>
        <w:tc>
          <w:tcPr>
            <w:tcW w:w="1813" w:type="dxa"/>
            <w:tcBorders>
              <w:top w:val="single" w:sz="12" w:space="0" w:color="538135"/>
              <w:left w:val="single" w:sz="12" w:space="0" w:color="538135"/>
              <w:bottom w:val="single" w:sz="12" w:space="0" w:color="538135"/>
              <w:right w:val="single" w:sz="12" w:space="0" w:color="538135"/>
            </w:tcBorders>
            <w:shd w:val="clear" w:color="auto" w:fill="FFE599"/>
          </w:tcPr>
          <w:p w14:paraId="7A76DC7A" w14:textId="77777777" w:rsidR="00AE548C" w:rsidRDefault="00AE548C" w:rsidP="00B57F2E">
            <w:pPr>
              <w:pStyle w:val="LO-normal"/>
              <w:widowControl w:val="0"/>
              <w:suppressAutoHyphens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Креатинин, мг/дл</w:t>
            </w:r>
          </w:p>
        </w:tc>
        <w:tc>
          <w:tcPr>
            <w:tcW w:w="556" w:type="dxa"/>
            <w:tcBorders>
              <w:top w:val="single" w:sz="12" w:space="0" w:color="538135"/>
              <w:left w:val="single" w:sz="12" w:space="0" w:color="538135"/>
              <w:bottom w:val="single" w:sz="12" w:space="0" w:color="538135"/>
              <w:right w:val="single" w:sz="12" w:space="0" w:color="538135"/>
            </w:tcBorders>
            <w:shd w:val="clear" w:color="auto" w:fill="FFFFFF"/>
          </w:tcPr>
          <w:p w14:paraId="3CF528C2"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8,408</w:t>
            </w:r>
          </w:p>
        </w:tc>
        <w:tc>
          <w:tcPr>
            <w:tcW w:w="669" w:type="dxa"/>
            <w:tcBorders>
              <w:top w:val="single" w:sz="12" w:space="0" w:color="538135"/>
              <w:left w:val="single" w:sz="12" w:space="0" w:color="538135"/>
              <w:bottom w:val="single" w:sz="12" w:space="0" w:color="538135"/>
              <w:right w:val="single" w:sz="12" w:space="0" w:color="538135"/>
            </w:tcBorders>
            <w:shd w:val="clear" w:color="auto" w:fill="FFFFFF"/>
          </w:tcPr>
          <w:p w14:paraId="24297EA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24,811</w:t>
            </w:r>
          </w:p>
        </w:tc>
        <w:tc>
          <w:tcPr>
            <w:tcW w:w="578" w:type="dxa"/>
            <w:tcBorders>
              <w:top w:val="single" w:sz="12" w:space="0" w:color="538135"/>
              <w:left w:val="single" w:sz="12" w:space="0" w:color="538135"/>
              <w:bottom w:val="single" w:sz="12" w:space="0" w:color="538135"/>
              <w:right w:val="single" w:sz="12" w:space="0" w:color="538135"/>
            </w:tcBorders>
            <w:shd w:val="clear" w:color="auto" w:fill="FFFFFF"/>
          </w:tcPr>
          <w:p w14:paraId="66ECC74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,031</w:t>
            </w:r>
          </w:p>
        </w:tc>
        <w:tc>
          <w:tcPr>
            <w:tcW w:w="611" w:type="dxa"/>
            <w:tcBorders>
              <w:top w:val="single" w:sz="12" w:space="0" w:color="538135"/>
              <w:left w:val="single" w:sz="12" w:space="0" w:color="538135"/>
              <w:bottom w:val="single" w:sz="12" w:space="0" w:color="538135"/>
              <w:right w:val="single" w:sz="12" w:space="0" w:color="538135"/>
            </w:tcBorders>
            <w:shd w:val="clear" w:color="auto" w:fill="FFFFFF"/>
          </w:tcPr>
          <w:p w14:paraId="24A4C263"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,339</w:t>
            </w:r>
          </w:p>
        </w:tc>
        <w:tc>
          <w:tcPr>
            <w:tcW w:w="666" w:type="dxa"/>
            <w:tcBorders>
              <w:top w:val="single" w:sz="12" w:space="0" w:color="538135"/>
              <w:left w:val="single" w:sz="12" w:space="0" w:color="538135"/>
              <w:bottom w:val="single" w:sz="12" w:space="0" w:color="538135"/>
              <w:right w:val="single" w:sz="12" w:space="0" w:color="538135"/>
            </w:tcBorders>
            <w:shd w:val="clear" w:color="auto" w:fill="FFFFFF"/>
          </w:tcPr>
          <w:p w14:paraId="5FC2052A"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,735</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14CF4C0"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-40,681</w:t>
            </w:r>
          </w:p>
        </w:tc>
        <w:tc>
          <w:tcPr>
            <w:tcW w:w="646" w:type="dxa"/>
            <w:tcBorders>
              <w:top w:val="single" w:sz="12" w:space="0" w:color="538135"/>
              <w:left w:val="single" w:sz="12" w:space="0" w:color="538135"/>
              <w:bottom w:val="single" w:sz="12" w:space="0" w:color="538135"/>
              <w:right w:val="single" w:sz="12" w:space="0" w:color="538135"/>
            </w:tcBorders>
            <w:shd w:val="clear" w:color="auto" w:fill="FFFFFF"/>
          </w:tcPr>
          <w:p w14:paraId="7056311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57,496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35A5C979"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-,099</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342EEE84"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,030</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07810357"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,026</w:t>
            </w:r>
          </w:p>
        </w:tc>
        <w:tc>
          <w:tcPr>
            <w:tcW w:w="643" w:type="dxa"/>
            <w:tcBorders>
              <w:top w:val="single" w:sz="12" w:space="0" w:color="538135"/>
              <w:left w:val="single" w:sz="12" w:space="0" w:color="538135"/>
              <w:bottom w:val="single" w:sz="12" w:space="0" w:color="538135"/>
              <w:right w:val="single" w:sz="12" w:space="0" w:color="538135"/>
            </w:tcBorders>
            <w:shd w:val="clear" w:color="auto" w:fill="FFFFFF"/>
          </w:tcPr>
          <w:p w14:paraId="7B69DBB8"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,736</w:t>
            </w:r>
          </w:p>
        </w:tc>
        <w:tc>
          <w:tcPr>
            <w:tcW w:w="644" w:type="dxa"/>
            <w:tcBorders>
              <w:top w:val="single" w:sz="12" w:space="0" w:color="538135"/>
              <w:left w:val="single" w:sz="12" w:space="0" w:color="538135"/>
              <w:bottom w:val="single" w:sz="12" w:space="0" w:color="538135"/>
              <w:right w:val="single" w:sz="12" w:space="0" w:color="538135"/>
            </w:tcBorders>
            <w:shd w:val="clear" w:color="auto" w:fill="FFFFFF"/>
          </w:tcPr>
          <w:p w14:paraId="271F2E1D" w14:textId="77777777" w:rsidR="00AE548C" w:rsidRDefault="00AE548C" w:rsidP="00B57F2E">
            <w:pPr>
              <w:pStyle w:val="Standard"/>
              <w:widowControl w:val="0"/>
              <w:suppressAutoHyphens w:val="0"/>
              <w:jc w:val="right"/>
              <w:textAlignment w:val="auto"/>
              <w:rPr>
                <w:rFonts w:ascii="Times New Roman" w:hAnsi="Times New Roman"/>
                <w:sz w:val="16"/>
                <w:szCs w:val="16"/>
              </w:rPr>
            </w:pPr>
            <w:r>
              <w:rPr>
                <w:rFonts w:ascii="Times New Roman" w:hAnsi="Times New Roman"/>
                <w:sz w:val="16"/>
                <w:szCs w:val="16"/>
              </w:rPr>
              <w:t>1,359</w:t>
            </w:r>
          </w:p>
        </w:tc>
      </w:tr>
    </w:tbl>
    <w:p w14:paraId="4507BC81" w14:textId="77777777" w:rsidR="00AE548C" w:rsidRDefault="00AE548C" w:rsidP="004E5901">
      <w:pPr>
        <w:pStyle w:val="LO-normal"/>
        <w:spacing w:after="0" w:line="240" w:lineRule="auto"/>
        <w:ind w:firstLine="567"/>
        <w:jc w:val="both"/>
        <w:rPr>
          <w:rFonts w:ascii="Times New Roman" w:hAnsi="Times New Roman" w:cs="Times New Roman"/>
          <w:sz w:val="28"/>
          <w:szCs w:val="28"/>
          <w:lang w:bidi="ar-SA"/>
        </w:rPr>
      </w:pPr>
    </w:p>
    <w:p w14:paraId="220C3F10" w14:textId="77777777" w:rsidR="00171CCC" w:rsidRDefault="00171CCC" w:rsidP="004E5901">
      <w:pPr>
        <w:pStyle w:val="LO-normal"/>
        <w:spacing w:after="0" w:line="240" w:lineRule="auto"/>
        <w:ind w:firstLine="567"/>
        <w:jc w:val="both"/>
        <w:rPr>
          <w:rFonts w:ascii="Times New Roman" w:hAnsi="Times New Roman" w:cs="Times New Roman"/>
          <w:sz w:val="28"/>
          <w:szCs w:val="28"/>
          <w:lang w:bidi="ar-SA"/>
        </w:rPr>
      </w:pPr>
    </w:p>
    <w:p w14:paraId="433E3B97" w14:textId="77777777" w:rsidR="00171CCC" w:rsidRPr="00171CCC" w:rsidRDefault="00171CCC" w:rsidP="004E5901">
      <w:pPr>
        <w:pStyle w:val="LO-normal"/>
        <w:spacing w:after="0" w:line="240" w:lineRule="auto"/>
        <w:ind w:firstLine="567"/>
        <w:jc w:val="both"/>
        <w:rPr>
          <w:rFonts w:ascii="Times New Roman" w:hAnsi="Times New Roman" w:cs="Times New Roman"/>
          <w:sz w:val="28"/>
          <w:szCs w:val="28"/>
          <w:lang w:bidi="ar-SA"/>
        </w:rPr>
      </w:pPr>
    </w:p>
    <w:p w14:paraId="045E7141" w14:textId="09941321" w:rsidR="0011617E" w:rsidRDefault="0011617E" w:rsidP="00AE548C">
      <w:pPr>
        <w:pStyle w:val="LO-normal"/>
        <w:numPr>
          <w:ilvl w:val="1"/>
          <w:numId w:val="19"/>
        </w:numPr>
        <w:spacing w:after="0" w:line="240" w:lineRule="auto"/>
        <w:ind w:left="0" w:firstLine="567"/>
        <w:jc w:val="both"/>
        <w:rPr>
          <w:rFonts w:ascii="Times New Roman" w:hAnsi="Times New Roman" w:cs="Times New Roman"/>
          <w:b/>
          <w:bCs/>
          <w:sz w:val="28"/>
          <w:szCs w:val="28"/>
          <w:lang w:bidi="ar-SA"/>
        </w:rPr>
      </w:pPr>
      <w:r w:rsidRPr="0011617E">
        <w:rPr>
          <w:rFonts w:ascii="Times New Roman" w:hAnsi="Times New Roman" w:cs="Times New Roman"/>
          <w:b/>
          <w:bCs/>
          <w:sz w:val="28"/>
          <w:szCs w:val="28"/>
          <w:lang w:bidi="ar-SA"/>
        </w:rPr>
        <w:t>Результаты проспективного этапа исследования: анализ клинических исходов</w:t>
      </w:r>
    </w:p>
    <w:p w14:paraId="14077AA1" w14:textId="782BAC73" w:rsidR="0011617E" w:rsidRDefault="0011617E" w:rsidP="0011617E">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sz w:val="28"/>
          <w:szCs w:val="28"/>
          <w:lang w:bidi="ar-SA"/>
        </w:rPr>
        <w:t>После</w:t>
      </w:r>
      <w:r>
        <w:rPr>
          <w:rFonts w:ascii="Times New Roman" w:hAnsi="Times New Roman" w:cs="Times New Roman"/>
          <w:sz w:val="28"/>
          <w:szCs w:val="28"/>
          <w:lang w:bidi="ar-SA"/>
        </w:rPr>
        <w:t xml:space="preserve"> выписки пациенты были включены в программу амбулаторного наблюдения с контролем клинического состояния в течение 36 месяцев. Связь с пациентами поддерживалась путем телефонного обзвона. На 3-м месяце после катетерной аблации фиксировали:</w:t>
      </w:r>
    </w:p>
    <w:p w14:paraId="22C7D1AE" w14:textId="65428AAF" w:rsidR="0011617E" w:rsidRDefault="0011617E" w:rsidP="0011617E">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Восстановление синусового ритма или рецидива ФП;</w:t>
      </w:r>
    </w:p>
    <w:p w14:paraId="5FD8CBCB" w14:textId="6AFD0F71" w:rsidR="0011617E" w:rsidRDefault="0011617E" w:rsidP="0011617E">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Продолжение приема ПОАК (препарат, доза);</w:t>
      </w:r>
    </w:p>
    <w:p w14:paraId="3BA8D976" w14:textId="57AB6712" w:rsidR="0011617E" w:rsidRDefault="0011617E" w:rsidP="0011617E">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Наличие осложнений.</w:t>
      </w:r>
    </w:p>
    <w:p w14:paraId="57B2D228" w14:textId="27D0240B" w:rsidR="0011617E" w:rsidRDefault="0011617E" w:rsidP="00AE548C">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На каждом 12-м месяце регистрировались данные о продолжении терапии, развитии тромбоэмболических и геморрагических осложнений.</w:t>
      </w:r>
    </w:p>
    <w:p w14:paraId="7EC8955D" w14:textId="77777777" w:rsidR="00171CCC" w:rsidRDefault="00171CCC" w:rsidP="0011617E">
      <w:pPr>
        <w:pStyle w:val="LO-normal"/>
        <w:spacing w:after="0" w:line="240" w:lineRule="auto"/>
        <w:ind w:firstLine="567"/>
        <w:jc w:val="both"/>
        <w:rPr>
          <w:rFonts w:ascii="Times New Roman" w:hAnsi="Times New Roman" w:cs="Times New Roman"/>
          <w:i/>
          <w:iCs/>
          <w:sz w:val="28"/>
          <w:szCs w:val="28"/>
          <w:lang w:bidi="ar-SA"/>
        </w:rPr>
      </w:pPr>
    </w:p>
    <w:p w14:paraId="4E5A06D1" w14:textId="4580F1C9" w:rsidR="0011617E" w:rsidRPr="0011617E" w:rsidRDefault="0011617E" w:rsidP="0011617E">
      <w:pPr>
        <w:pStyle w:val="LO-normal"/>
        <w:spacing w:after="0" w:line="240" w:lineRule="auto"/>
        <w:ind w:firstLine="567"/>
        <w:jc w:val="both"/>
        <w:rPr>
          <w:rFonts w:ascii="Times New Roman" w:hAnsi="Times New Roman" w:cs="Times New Roman"/>
          <w:i/>
          <w:iCs/>
          <w:sz w:val="28"/>
          <w:szCs w:val="28"/>
          <w:lang w:bidi="ar-SA"/>
        </w:rPr>
      </w:pPr>
      <w:r w:rsidRPr="0011617E">
        <w:rPr>
          <w:rFonts w:ascii="Times New Roman" w:hAnsi="Times New Roman" w:cs="Times New Roman"/>
          <w:i/>
          <w:iCs/>
          <w:sz w:val="28"/>
          <w:szCs w:val="28"/>
          <w:lang w:bidi="ar-SA"/>
        </w:rPr>
        <w:t>Результаты наблюдения</w:t>
      </w:r>
    </w:p>
    <w:p w14:paraId="75329712" w14:textId="77777777" w:rsidR="0011617E" w:rsidRPr="00926EC0" w:rsidRDefault="0011617E"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Из 150 пациентов контакт установлен с 116 (77%). Остальные признаны не ответившими после трех безуспешных попыток связи с равными интервалами. Среди ответивших пациентов у 72 (62%) восстановился синусовый ритм, и терапия ПОАК была прекращена согласно клиническому протоколу; за период наблюдения у данных пациентов рецидивов ФП не зарегистрировано. Оставшиеся 44 пациента (38%) продолжили прием антикоагулянтов:</w:t>
      </w:r>
      <w:r w:rsidR="007847CD">
        <w:rPr>
          <w:rFonts w:ascii="Times New Roman" w:hAnsi="Times New Roman" w:cs="Times New Roman"/>
          <w:sz w:val="28"/>
          <w:szCs w:val="28"/>
          <w:lang w:bidi="ar-SA"/>
        </w:rPr>
        <w:tab/>
      </w:r>
    </w:p>
    <w:p w14:paraId="08746C75" w14:textId="7E6393B2" w:rsidR="0011617E" w:rsidRDefault="0011617E" w:rsidP="004E5901">
      <w:pPr>
        <w:pStyle w:val="LO-normal"/>
        <w:spacing w:after="0" w:line="240" w:lineRule="auto"/>
        <w:ind w:firstLine="567"/>
        <w:jc w:val="both"/>
        <w:rPr>
          <w:rFonts w:ascii="Times New Roman" w:hAnsi="Times New Roman" w:cs="Times New Roman"/>
          <w:sz w:val="28"/>
          <w:szCs w:val="28"/>
          <w:lang w:val="kk-KZ" w:bidi="ar-SA"/>
        </w:rPr>
      </w:pPr>
      <w:r>
        <w:rPr>
          <w:rFonts w:ascii="Times New Roman" w:hAnsi="Times New Roman" w:cs="Times New Roman"/>
          <w:sz w:val="28"/>
          <w:szCs w:val="28"/>
          <w:lang w:val="kk-KZ" w:bidi="ar-SA"/>
        </w:rPr>
        <w:t>Дабигатран 300 мг/сут – 20 пациентов</w:t>
      </w:r>
    </w:p>
    <w:p w14:paraId="4881A112" w14:textId="77777777" w:rsidR="0011617E" w:rsidRDefault="0011617E"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val="kk-KZ" w:bidi="ar-SA"/>
        </w:rPr>
        <w:t xml:space="preserve">Дабигатран </w:t>
      </w:r>
      <w:r>
        <w:rPr>
          <w:rFonts w:ascii="Times New Roman" w:hAnsi="Times New Roman" w:cs="Times New Roman"/>
          <w:sz w:val="28"/>
          <w:szCs w:val="28"/>
          <w:lang w:bidi="ar-SA"/>
        </w:rPr>
        <w:t>220мг/сут – 9 пациентов</w:t>
      </w:r>
      <w:r w:rsidR="007847CD">
        <w:rPr>
          <w:rFonts w:ascii="Times New Roman" w:hAnsi="Times New Roman" w:cs="Times New Roman"/>
          <w:sz w:val="28"/>
          <w:szCs w:val="28"/>
          <w:lang w:bidi="ar-SA"/>
        </w:rPr>
        <w:tab/>
      </w:r>
    </w:p>
    <w:p w14:paraId="47C80766" w14:textId="77777777" w:rsidR="0011617E" w:rsidRDefault="0011617E"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Ривароксабан 20 мг/сут – 14 пациентов</w:t>
      </w:r>
    </w:p>
    <w:p w14:paraId="2F1B6022" w14:textId="77777777" w:rsidR="0011617E" w:rsidRDefault="0011617E"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Варфарин (под контролем МНО) – 1 пациент</w:t>
      </w:r>
    </w:p>
    <w:p w14:paraId="64E379C3" w14:textId="77777777" w:rsidR="0011617E" w:rsidRPr="00AE548C" w:rsidRDefault="0011617E" w:rsidP="004E5901">
      <w:pPr>
        <w:pStyle w:val="LO-normal"/>
        <w:spacing w:after="0" w:line="240" w:lineRule="auto"/>
        <w:ind w:firstLine="567"/>
        <w:jc w:val="both"/>
        <w:rPr>
          <w:rFonts w:ascii="Times New Roman" w:hAnsi="Times New Roman" w:cs="Times New Roman"/>
          <w:i/>
          <w:iCs/>
          <w:sz w:val="28"/>
          <w:szCs w:val="28"/>
          <w:lang w:bidi="ar-SA"/>
        </w:rPr>
      </w:pPr>
      <w:r w:rsidRPr="00AE548C">
        <w:rPr>
          <w:rFonts w:ascii="Times New Roman" w:hAnsi="Times New Roman" w:cs="Times New Roman"/>
          <w:i/>
          <w:iCs/>
          <w:sz w:val="28"/>
          <w:szCs w:val="28"/>
          <w:lang w:bidi="ar-SA"/>
        </w:rPr>
        <w:t>Клинические исходы в период наблюдения</w:t>
      </w:r>
    </w:p>
    <w:p w14:paraId="310D8DE5" w14:textId="2D73CCF6" w:rsidR="0011617E" w:rsidRDefault="0011617E" w:rsidP="004E590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 течение 36 месяцев </w:t>
      </w:r>
      <w:r w:rsidR="00AE548C">
        <w:rPr>
          <w:rFonts w:ascii="Times New Roman" w:hAnsi="Times New Roman" w:cs="Times New Roman"/>
          <w:sz w:val="28"/>
          <w:szCs w:val="28"/>
          <w:lang w:bidi="ar-SA"/>
        </w:rPr>
        <w:t>из общей когорты 116 пациентов</w:t>
      </w:r>
      <w:r w:rsidR="00A677AB">
        <w:rPr>
          <w:rFonts w:ascii="Times New Roman" w:hAnsi="Times New Roman" w:cs="Times New Roman"/>
          <w:sz w:val="28"/>
          <w:szCs w:val="28"/>
          <w:lang w:bidi="ar-SA"/>
        </w:rPr>
        <w:t xml:space="preserve"> тромбоэмболические </w:t>
      </w:r>
      <w:r>
        <w:rPr>
          <w:rFonts w:ascii="Times New Roman" w:hAnsi="Times New Roman" w:cs="Times New Roman"/>
          <w:sz w:val="28"/>
          <w:szCs w:val="28"/>
          <w:lang w:bidi="ar-SA"/>
        </w:rPr>
        <w:t>осложнения были зарегистрированы у 7 пациентов</w:t>
      </w:r>
      <w:r w:rsidR="00A677AB">
        <w:rPr>
          <w:rFonts w:ascii="Times New Roman" w:hAnsi="Times New Roman" w:cs="Times New Roman"/>
          <w:sz w:val="28"/>
          <w:szCs w:val="28"/>
          <w:lang w:bidi="ar-SA"/>
        </w:rPr>
        <w:t xml:space="preserve"> (6,0%)</w:t>
      </w:r>
      <w:r>
        <w:rPr>
          <w:rFonts w:ascii="Times New Roman" w:hAnsi="Times New Roman" w:cs="Times New Roman"/>
          <w:sz w:val="28"/>
          <w:szCs w:val="28"/>
          <w:lang w:bidi="ar-SA"/>
        </w:rPr>
        <w:t xml:space="preserve">. </w:t>
      </w:r>
      <w:r w:rsidR="00A677AB">
        <w:rPr>
          <w:rFonts w:ascii="Times New Roman" w:hAnsi="Times New Roman" w:cs="Times New Roman"/>
          <w:sz w:val="28"/>
          <w:szCs w:val="28"/>
          <w:lang w:bidi="ar-SA"/>
        </w:rPr>
        <w:t xml:space="preserve">Среди пациентов с вариабельной концентрацией антикоагулянтов, которых всего было 22 из 44 продолжающих терапию ПОАК, тромбоэмболические события возникли у 3 пациентов (13,6%). Таким образом, частота неблагоприятных исходов у пациентов с вариабельностью концентрации прямых пероральных антикоагулянтов была выше, чем в общей когорте, что может подтверждать клиническую значимость контроля минимальной концентрации препаратов при персонализированном подходе. </w:t>
      </w:r>
      <w:r w:rsidR="00670283">
        <w:rPr>
          <w:rFonts w:ascii="Times New Roman" w:hAnsi="Times New Roman" w:cs="Times New Roman"/>
          <w:sz w:val="28"/>
          <w:szCs w:val="28"/>
          <w:lang w:bidi="ar-SA"/>
        </w:rPr>
        <w:t>Проведение с</w:t>
      </w:r>
      <w:r w:rsidR="002A52EB">
        <w:rPr>
          <w:rFonts w:ascii="Times New Roman" w:hAnsi="Times New Roman" w:cs="Times New Roman"/>
          <w:sz w:val="28"/>
          <w:szCs w:val="28"/>
          <w:lang w:bidi="ar-SA"/>
        </w:rPr>
        <w:t>татистическ</w:t>
      </w:r>
      <w:r w:rsidR="00670283">
        <w:rPr>
          <w:rFonts w:ascii="Times New Roman" w:hAnsi="Times New Roman" w:cs="Times New Roman"/>
          <w:sz w:val="28"/>
          <w:szCs w:val="28"/>
          <w:lang w:bidi="ar-SA"/>
        </w:rPr>
        <w:t xml:space="preserve">ого </w:t>
      </w:r>
      <w:r w:rsidR="002A52EB">
        <w:rPr>
          <w:rFonts w:ascii="Times New Roman" w:hAnsi="Times New Roman" w:cs="Times New Roman"/>
          <w:sz w:val="28"/>
          <w:szCs w:val="28"/>
          <w:lang w:bidi="ar-SA"/>
        </w:rPr>
        <w:t>анализ</w:t>
      </w:r>
      <w:r w:rsidR="00670283">
        <w:rPr>
          <w:rFonts w:ascii="Times New Roman" w:hAnsi="Times New Roman" w:cs="Times New Roman"/>
          <w:sz w:val="28"/>
          <w:szCs w:val="28"/>
          <w:lang w:bidi="ar-SA"/>
        </w:rPr>
        <w:t>а</w:t>
      </w:r>
      <w:r w:rsidR="002A52EB">
        <w:rPr>
          <w:rFonts w:ascii="Times New Roman" w:hAnsi="Times New Roman" w:cs="Times New Roman"/>
          <w:sz w:val="28"/>
          <w:szCs w:val="28"/>
          <w:lang w:bidi="ar-SA"/>
        </w:rPr>
        <w:t xml:space="preserve"> ассоциации аллелей полиморфизма</w:t>
      </w:r>
      <w:r w:rsidR="00670283" w:rsidRPr="00670283">
        <w:rPr>
          <w:rFonts w:ascii="Times New Roman" w:hAnsi="Times New Roman" w:cs="Times New Roman"/>
          <w:sz w:val="28"/>
          <w:szCs w:val="28"/>
          <w:lang w:bidi="ar-SA"/>
        </w:rPr>
        <w:t xml:space="preserve"> </w:t>
      </w:r>
      <w:r w:rsidR="00670283">
        <w:rPr>
          <w:rFonts w:ascii="Times New Roman" w:hAnsi="Times New Roman" w:cs="Times New Roman"/>
          <w:sz w:val="28"/>
          <w:szCs w:val="28"/>
          <w:lang w:val="en-US" w:bidi="ar-SA"/>
        </w:rPr>
        <w:t>rs</w:t>
      </w:r>
      <w:r w:rsidR="00670283" w:rsidRPr="00402B40">
        <w:rPr>
          <w:rFonts w:ascii="Times New Roman" w:hAnsi="Times New Roman" w:cs="Times New Roman"/>
          <w:sz w:val="28"/>
          <w:szCs w:val="28"/>
          <w:lang w:bidi="ar-SA"/>
        </w:rPr>
        <w:t xml:space="preserve">8192935 гена </w:t>
      </w:r>
      <w:r w:rsidR="00670283">
        <w:rPr>
          <w:rFonts w:ascii="Times New Roman" w:hAnsi="Times New Roman" w:cs="Times New Roman"/>
          <w:sz w:val="28"/>
          <w:szCs w:val="28"/>
          <w:lang w:val="en-US" w:bidi="ar-SA"/>
        </w:rPr>
        <w:t>CES</w:t>
      </w:r>
      <w:r w:rsidR="00670283" w:rsidRPr="00402B40">
        <w:rPr>
          <w:rFonts w:ascii="Times New Roman" w:hAnsi="Times New Roman" w:cs="Times New Roman"/>
          <w:sz w:val="28"/>
          <w:szCs w:val="28"/>
          <w:lang w:bidi="ar-SA"/>
        </w:rPr>
        <w:t>1</w:t>
      </w:r>
      <w:r w:rsidR="00670283">
        <w:rPr>
          <w:rFonts w:ascii="Times New Roman" w:hAnsi="Times New Roman" w:cs="Times New Roman"/>
          <w:sz w:val="28"/>
          <w:szCs w:val="28"/>
          <w:lang w:bidi="ar-SA"/>
        </w:rPr>
        <w:t xml:space="preserve"> и тромбоэмболическими событиями не представилось возможным и</w:t>
      </w:r>
      <w:r>
        <w:rPr>
          <w:rFonts w:ascii="Times New Roman" w:hAnsi="Times New Roman" w:cs="Times New Roman"/>
          <w:sz w:val="28"/>
          <w:szCs w:val="28"/>
          <w:lang w:bidi="ar-SA"/>
        </w:rPr>
        <w:t>з-за малого количества случаев (низкая статистическая мощность). В связи с этим, проведен детальный анализ серии клинических случаев.</w:t>
      </w:r>
    </w:p>
    <w:p w14:paraId="3C8BED47" w14:textId="77777777" w:rsidR="00A677AB" w:rsidRDefault="00A677AB" w:rsidP="004E5901">
      <w:pPr>
        <w:pStyle w:val="LO-normal"/>
        <w:spacing w:after="0" w:line="240" w:lineRule="auto"/>
        <w:ind w:firstLine="567"/>
        <w:jc w:val="both"/>
        <w:rPr>
          <w:rFonts w:ascii="AppleSystemUIFont" w:eastAsiaTheme="minorHAnsi" w:hAnsi="AppleSystemUIFont" w:cs="AppleSystemUIFont"/>
          <w:sz w:val="26"/>
          <w:szCs w:val="26"/>
          <w:lang w:eastAsia="en-US"/>
          <w14:ligatures w14:val="standardContextual"/>
        </w:rPr>
      </w:pPr>
    </w:p>
    <w:p w14:paraId="64E0C538" w14:textId="05D7A2C4" w:rsidR="0011617E" w:rsidRPr="00AE548C" w:rsidRDefault="0011617E" w:rsidP="004E5901">
      <w:pPr>
        <w:pStyle w:val="LO-normal"/>
        <w:spacing w:after="0" w:line="240" w:lineRule="auto"/>
        <w:ind w:firstLine="567"/>
        <w:jc w:val="both"/>
        <w:rPr>
          <w:rFonts w:ascii="Times New Roman" w:hAnsi="Times New Roman" w:cs="Times New Roman"/>
          <w:color w:val="000000" w:themeColor="text1"/>
          <w:sz w:val="28"/>
          <w:szCs w:val="28"/>
          <w:lang w:bidi="ar-SA"/>
        </w:rPr>
      </w:pPr>
      <w:r w:rsidRPr="00AE548C">
        <w:rPr>
          <w:rFonts w:ascii="Times New Roman" w:hAnsi="Times New Roman" w:cs="Times New Roman"/>
          <w:color w:val="000000" w:themeColor="text1"/>
          <w:sz w:val="28"/>
          <w:szCs w:val="28"/>
          <w:lang w:bidi="ar-SA"/>
        </w:rPr>
        <w:t>Таблица 1</w:t>
      </w:r>
      <w:r w:rsidR="00AE548C" w:rsidRPr="00AE548C">
        <w:rPr>
          <w:rFonts w:ascii="Times New Roman" w:hAnsi="Times New Roman" w:cs="Times New Roman"/>
          <w:color w:val="000000" w:themeColor="text1"/>
          <w:sz w:val="28"/>
          <w:szCs w:val="28"/>
          <w:lang w:val="en-US" w:bidi="ar-SA"/>
        </w:rPr>
        <w:t>3</w:t>
      </w:r>
      <w:r w:rsidRPr="00AE548C">
        <w:rPr>
          <w:rFonts w:ascii="Times New Roman" w:hAnsi="Times New Roman" w:cs="Times New Roman"/>
          <w:color w:val="000000" w:themeColor="text1"/>
          <w:sz w:val="28"/>
          <w:szCs w:val="28"/>
          <w:lang w:bidi="ar-SA"/>
        </w:rPr>
        <w:t>. Результаты проспективного этапа исследования</w:t>
      </w: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AE548C" w14:paraId="12E7E6B0" w14:textId="77777777" w:rsidTr="00B57F2E">
        <w:tc>
          <w:tcPr>
            <w:tcW w:w="4818" w:type="dxa"/>
            <w:tcBorders>
              <w:top w:val="single" w:sz="2" w:space="0" w:color="000000"/>
              <w:left w:val="single" w:sz="2" w:space="0" w:color="000000"/>
              <w:bottom w:val="single" w:sz="2" w:space="0" w:color="000000"/>
            </w:tcBorders>
          </w:tcPr>
          <w:p w14:paraId="089FFFB7" w14:textId="77777777" w:rsidR="00AE548C" w:rsidRDefault="00AE548C" w:rsidP="00AE548C">
            <w:pPr>
              <w:pStyle w:val="TableContents"/>
              <w:spacing w:after="0" w:line="240" w:lineRule="auto"/>
              <w:jc w:val="center"/>
              <w:rPr>
                <w:rFonts w:ascii="Times New Roman" w:hAnsi="Times New Roman"/>
                <w:b/>
                <w:bCs/>
                <w:sz w:val="24"/>
                <w:szCs w:val="24"/>
              </w:rPr>
            </w:pPr>
            <w:r>
              <w:rPr>
                <w:rFonts w:ascii="Times New Roman" w:hAnsi="Times New Roman"/>
                <w:b/>
                <w:bCs/>
                <w:sz w:val="24"/>
                <w:szCs w:val="24"/>
              </w:rPr>
              <w:t>Параметр</w:t>
            </w:r>
          </w:p>
        </w:tc>
        <w:tc>
          <w:tcPr>
            <w:tcW w:w="4820" w:type="dxa"/>
            <w:tcBorders>
              <w:top w:val="single" w:sz="2" w:space="0" w:color="000000"/>
              <w:left w:val="single" w:sz="2" w:space="0" w:color="000000"/>
              <w:bottom w:val="single" w:sz="2" w:space="0" w:color="000000"/>
              <w:right w:val="single" w:sz="2" w:space="0" w:color="000000"/>
            </w:tcBorders>
          </w:tcPr>
          <w:p w14:paraId="7D21C0A1" w14:textId="59226173" w:rsidR="00AE548C" w:rsidRDefault="00AE548C" w:rsidP="00AE548C">
            <w:pPr>
              <w:pStyle w:val="TableContents"/>
              <w:spacing w:after="0" w:line="240" w:lineRule="auto"/>
              <w:jc w:val="center"/>
              <w:rPr>
                <w:rFonts w:ascii="Times New Roman" w:hAnsi="Times New Roman"/>
                <w:b/>
                <w:bCs/>
                <w:sz w:val="24"/>
                <w:szCs w:val="24"/>
              </w:rPr>
            </w:pPr>
            <w:r>
              <w:rPr>
                <w:rFonts w:ascii="Times New Roman" w:hAnsi="Times New Roman"/>
                <w:b/>
                <w:bCs/>
                <w:sz w:val="24"/>
                <w:szCs w:val="24"/>
              </w:rPr>
              <w:t xml:space="preserve">Количество пациентов </w:t>
            </w:r>
            <w:r>
              <w:rPr>
                <w:rFonts w:ascii="Times New Roman" w:hAnsi="Times New Roman"/>
                <w:b/>
                <w:bCs/>
                <w:color w:val="000000"/>
                <w:sz w:val="24"/>
                <w:szCs w:val="24"/>
              </w:rPr>
              <w:t>(n=150)</w:t>
            </w:r>
          </w:p>
        </w:tc>
      </w:tr>
      <w:tr w:rsidR="00AE548C" w14:paraId="5041612B" w14:textId="77777777" w:rsidTr="00B57F2E">
        <w:tc>
          <w:tcPr>
            <w:tcW w:w="4818" w:type="dxa"/>
            <w:tcBorders>
              <w:left w:val="single" w:sz="2" w:space="0" w:color="000000"/>
              <w:bottom w:val="single" w:sz="2" w:space="0" w:color="000000"/>
            </w:tcBorders>
          </w:tcPr>
          <w:p w14:paraId="6589ADB3" w14:textId="77777777" w:rsidR="00AE548C" w:rsidRDefault="00AE548C" w:rsidP="00AE548C">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Ответившие через 3 месяца </w:t>
            </w:r>
          </w:p>
        </w:tc>
        <w:tc>
          <w:tcPr>
            <w:tcW w:w="4820" w:type="dxa"/>
            <w:tcBorders>
              <w:left w:val="single" w:sz="2" w:space="0" w:color="000000"/>
              <w:bottom w:val="single" w:sz="2" w:space="0" w:color="000000"/>
              <w:right w:val="single" w:sz="2" w:space="0" w:color="000000"/>
            </w:tcBorders>
          </w:tcPr>
          <w:p w14:paraId="6DD99BF8" w14:textId="77777777" w:rsidR="00AE548C" w:rsidRDefault="00AE548C" w:rsidP="00AE548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116 (77%)</w:t>
            </w:r>
          </w:p>
        </w:tc>
      </w:tr>
      <w:tr w:rsidR="00AE548C" w14:paraId="602582AF" w14:textId="77777777" w:rsidTr="00B57F2E">
        <w:trPr>
          <w:trHeight w:val="430"/>
        </w:trPr>
        <w:tc>
          <w:tcPr>
            <w:tcW w:w="4818" w:type="dxa"/>
            <w:tcBorders>
              <w:left w:val="single" w:sz="2" w:space="0" w:color="000000"/>
              <w:bottom w:val="single" w:sz="2" w:space="0" w:color="000000"/>
            </w:tcBorders>
          </w:tcPr>
          <w:p w14:paraId="773993FF" w14:textId="77777777" w:rsidR="00AE548C" w:rsidRDefault="00AE548C" w:rsidP="00AE548C">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Восстановившие ритм </w:t>
            </w:r>
          </w:p>
        </w:tc>
        <w:tc>
          <w:tcPr>
            <w:tcW w:w="4820" w:type="dxa"/>
            <w:tcBorders>
              <w:left w:val="single" w:sz="2" w:space="0" w:color="000000"/>
              <w:bottom w:val="single" w:sz="2" w:space="0" w:color="000000"/>
              <w:right w:val="single" w:sz="2" w:space="0" w:color="000000"/>
            </w:tcBorders>
          </w:tcPr>
          <w:p w14:paraId="76EF949F" w14:textId="77777777" w:rsidR="00AE548C" w:rsidRDefault="00AE548C" w:rsidP="00AE548C">
            <w:pPr>
              <w:pStyle w:val="TableContents"/>
              <w:spacing w:after="0" w:line="240" w:lineRule="auto"/>
              <w:jc w:val="center"/>
              <w:rPr>
                <w:rFonts w:ascii="Times New Roman" w:hAnsi="Times New Roman"/>
                <w:sz w:val="24"/>
                <w:szCs w:val="24"/>
              </w:rPr>
            </w:pPr>
            <w:r>
              <w:rPr>
                <w:rFonts w:ascii="Times New Roman" w:hAnsi="Times New Roman"/>
                <w:sz w:val="24"/>
                <w:szCs w:val="24"/>
              </w:rPr>
              <w:t>77</w:t>
            </w:r>
          </w:p>
        </w:tc>
      </w:tr>
      <w:tr w:rsidR="00AE548C" w14:paraId="2FD49BBB" w14:textId="77777777" w:rsidTr="00B57F2E">
        <w:tc>
          <w:tcPr>
            <w:tcW w:w="4818" w:type="dxa"/>
            <w:tcBorders>
              <w:left w:val="single" w:sz="2" w:space="0" w:color="000000"/>
              <w:bottom w:val="single" w:sz="2" w:space="0" w:color="000000"/>
            </w:tcBorders>
          </w:tcPr>
          <w:p w14:paraId="1A135535" w14:textId="77777777" w:rsidR="00AE548C" w:rsidRDefault="00AE548C" w:rsidP="00AE548C">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Продолжившие прием ПОАК:</w:t>
            </w:r>
          </w:p>
        </w:tc>
        <w:tc>
          <w:tcPr>
            <w:tcW w:w="4820" w:type="dxa"/>
            <w:tcBorders>
              <w:left w:val="single" w:sz="2" w:space="0" w:color="000000"/>
              <w:bottom w:val="single" w:sz="2" w:space="0" w:color="000000"/>
              <w:right w:val="single" w:sz="2" w:space="0" w:color="000000"/>
            </w:tcBorders>
          </w:tcPr>
          <w:p w14:paraId="72B89FBA" w14:textId="77777777" w:rsidR="00AE548C" w:rsidRDefault="00AE548C" w:rsidP="00AE548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44 (38%) </w:t>
            </w:r>
          </w:p>
        </w:tc>
      </w:tr>
      <w:tr w:rsidR="00AE548C" w14:paraId="0DF2104D" w14:textId="77777777" w:rsidTr="00B57F2E">
        <w:tc>
          <w:tcPr>
            <w:tcW w:w="4818" w:type="dxa"/>
            <w:tcBorders>
              <w:left w:val="single" w:sz="2" w:space="0" w:color="000000"/>
              <w:bottom w:val="single" w:sz="2" w:space="0" w:color="000000"/>
            </w:tcBorders>
          </w:tcPr>
          <w:p w14:paraId="0A6723D6" w14:textId="77777777" w:rsidR="00AE548C" w:rsidRDefault="00AE548C" w:rsidP="00AE548C">
            <w:pPr>
              <w:spacing w:after="0" w:line="240" w:lineRule="auto"/>
              <w:rPr>
                <w:rFonts w:ascii="Times New Roman" w:hAnsi="Times New Roman"/>
                <w:i/>
                <w:iCs/>
                <w:sz w:val="24"/>
                <w:szCs w:val="24"/>
              </w:rPr>
            </w:pPr>
            <w:r>
              <w:rPr>
                <w:rFonts w:ascii="Times New Roman" w:hAnsi="Times New Roman"/>
                <w:i/>
                <w:iCs/>
                <w:color w:val="000000"/>
                <w:sz w:val="24"/>
                <w:szCs w:val="24"/>
              </w:rPr>
              <w:t>Дабигатран 300 мг/сут</w:t>
            </w:r>
          </w:p>
        </w:tc>
        <w:tc>
          <w:tcPr>
            <w:tcW w:w="4820" w:type="dxa"/>
            <w:tcBorders>
              <w:left w:val="single" w:sz="2" w:space="0" w:color="000000"/>
              <w:bottom w:val="single" w:sz="2" w:space="0" w:color="000000"/>
              <w:right w:val="single" w:sz="2" w:space="0" w:color="000000"/>
            </w:tcBorders>
          </w:tcPr>
          <w:p w14:paraId="31D6867C" w14:textId="1D48B4CC" w:rsidR="00AE548C" w:rsidRPr="00AE548C" w:rsidRDefault="00AE548C" w:rsidP="00AE548C">
            <w:pPr>
              <w:pStyle w:val="TableContents"/>
              <w:spacing w:after="0" w:line="240" w:lineRule="auto"/>
              <w:jc w:val="center"/>
              <w:rPr>
                <w:rFonts w:ascii="Times New Roman" w:hAnsi="Times New Roman"/>
                <w:sz w:val="24"/>
                <w:szCs w:val="24"/>
                <w:lang w:val="en-US"/>
              </w:rPr>
            </w:pPr>
            <w:r>
              <w:rPr>
                <w:rFonts w:ascii="Times New Roman" w:hAnsi="Times New Roman"/>
                <w:sz w:val="24"/>
                <w:szCs w:val="24"/>
              </w:rPr>
              <w:t>2</w:t>
            </w:r>
            <w:r>
              <w:rPr>
                <w:rFonts w:ascii="Times New Roman" w:hAnsi="Times New Roman"/>
                <w:sz w:val="24"/>
                <w:szCs w:val="24"/>
                <w:lang w:val="en-US"/>
              </w:rPr>
              <w:t>0</w:t>
            </w:r>
          </w:p>
        </w:tc>
      </w:tr>
      <w:tr w:rsidR="00AE548C" w14:paraId="0EEECF0E" w14:textId="77777777" w:rsidTr="00B57F2E">
        <w:tc>
          <w:tcPr>
            <w:tcW w:w="4818" w:type="dxa"/>
            <w:tcBorders>
              <w:left w:val="single" w:sz="2" w:space="0" w:color="000000"/>
              <w:bottom w:val="single" w:sz="2" w:space="0" w:color="000000"/>
            </w:tcBorders>
          </w:tcPr>
          <w:p w14:paraId="076D6E02" w14:textId="38EB7D86" w:rsidR="00AE548C" w:rsidRPr="00AE548C" w:rsidRDefault="00AE548C" w:rsidP="00AE548C">
            <w:pPr>
              <w:spacing w:after="0" w:line="240" w:lineRule="auto"/>
              <w:rPr>
                <w:rFonts w:ascii="Times New Roman" w:hAnsi="Times New Roman"/>
                <w:i/>
                <w:iCs/>
                <w:color w:val="000000"/>
                <w:sz w:val="24"/>
                <w:szCs w:val="24"/>
              </w:rPr>
            </w:pPr>
            <w:r>
              <w:rPr>
                <w:rFonts w:ascii="Times New Roman" w:hAnsi="Times New Roman"/>
                <w:i/>
                <w:iCs/>
                <w:color w:val="000000"/>
                <w:sz w:val="24"/>
                <w:szCs w:val="24"/>
              </w:rPr>
              <w:t>Дабигатран 220 мг/сут</w:t>
            </w:r>
          </w:p>
        </w:tc>
        <w:tc>
          <w:tcPr>
            <w:tcW w:w="4820" w:type="dxa"/>
            <w:tcBorders>
              <w:left w:val="single" w:sz="2" w:space="0" w:color="000000"/>
              <w:bottom w:val="single" w:sz="2" w:space="0" w:color="000000"/>
              <w:right w:val="single" w:sz="2" w:space="0" w:color="000000"/>
            </w:tcBorders>
          </w:tcPr>
          <w:p w14:paraId="0C21FCE0" w14:textId="3D3B5246" w:rsidR="00AE548C" w:rsidRDefault="00AE548C" w:rsidP="00AE548C">
            <w:pPr>
              <w:pStyle w:val="TableContents"/>
              <w:spacing w:after="0" w:line="240" w:lineRule="auto"/>
              <w:jc w:val="center"/>
              <w:rPr>
                <w:rFonts w:ascii="Times New Roman" w:hAnsi="Times New Roman"/>
                <w:sz w:val="24"/>
                <w:szCs w:val="24"/>
              </w:rPr>
            </w:pPr>
            <w:r>
              <w:rPr>
                <w:rFonts w:ascii="Times New Roman" w:hAnsi="Times New Roman"/>
                <w:sz w:val="24"/>
                <w:szCs w:val="24"/>
              </w:rPr>
              <w:t>9</w:t>
            </w:r>
          </w:p>
        </w:tc>
      </w:tr>
      <w:tr w:rsidR="00AE548C" w14:paraId="0B7D81F9" w14:textId="77777777" w:rsidTr="00B57F2E">
        <w:trPr>
          <w:trHeight w:val="408"/>
        </w:trPr>
        <w:tc>
          <w:tcPr>
            <w:tcW w:w="4818" w:type="dxa"/>
            <w:tcBorders>
              <w:left w:val="single" w:sz="2" w:space="0" w:color="000000"/>
              <w:bottom w:val="single" w:sz="2" w:space="0" w:color="000000"/>
            </w:tcBorders>
          </w:tcPr>
          <w:p w14:paraId="1A6817DE" w14:textId="77777777" w:rsidR="00AE548C" w:rsidRDefault="00AE548C" w:rsidP="00AE548C">
            <w:pPr>
              <w:spacing w:after="0" w:line="240" w:lineRule="auto"/>
              <w:rPr>
                <w:rFonts w:ascii="Times New Roman" w:hAnsi="Times New Roman"/>
                <w:i/>
                <w:iCs/>
                <w:sz w:val="24"/>
                <w:szCs w:val="24"/>
              </w:rPr>
            </w:pPr>
            <w:r>
              <w:rPr>
                <w:rFonts w:ascii="Times New Roman" w:hAnsi="Times New Roman"/>
                <w:i/>
                <w:iCs/>
                <w:color w:val="000000"/>
                <w:sz w:val="24"/>
                <w:szCs w:val="24"/>
              </w:rPr>
              <w:t>Ривароксабан 20 мг/сут</w:t>
            </w:r>
          </w:p>
        </w:tc>
        <w:tc>
          <w:tcPr>
            <w:tcW w:w="4820" w:type="dxa"/>
            <w:tcBorders>
              <w:left w:val="single" w:sz="2" w:space="0" w:color="000000"/>
              <w:bottom w:val="single" w:sz="2" w:space="0" w:color="000000"/>
              <w:right w:val="single" w:sz="2" w:space="0" w:color="000000"/>
            </w:tcBorders>
          </w:tcPr>
          <w:p w14:paraId="2668547A" w14:textId="77777777" w:rsidR="00AE548C" w:rsidRDefault="00AE548C" w:rsidP="00AE548C">
            <w:pPr>
              <w:pStyle w:val="TableContents"/>
              <w:spacing w:after="0" w:line="240" w:lineRule="auto"/>
              <w:jc w:val="center"/>
              <w:rPr>
                <w:rFonts w:ascii="Times New Roman" w:hAnsi="Times New Roman"/>
                <w:sz w:val="24"/>
                <w:szCs w:val="24"/>
              </w:rPr>
            </w:pPr>
            <w:r>
              <w:rPr>
                <w:rFonts w:ascii="Times New Roman" w:hAnsi="Times New Roman"/>
                <w:sz w:val="24"/>
                <w:szCs w:val="24"/>
              </w:rPr>
              <w:t>14</w:t>
            </w:r>
          </w:p>
        </w:tc>
      </w:tr>
      <w:tr w:rsidR="00AE548C" w14:paraId="60413077" w14:textId="77777777" w:rsidTr="00B57F2E">
        <w:tc>
          <w:tcPr>
            <w:tcW w:w="4818" w:type="dxa"/>
            <w:tcBorders>
              <w:left w:val="single" w:sz="2" w:space="0" w:color="000000"/>
              <w:bottom w:val="single" w:sz="2" w:space="0" w:color="000000"/>
            </w:tcBorders>
          </w:tcPr>
          <w:p w14:paraId="68EFE307" w14:textId="77777777" w:rsidR="00AE548C" w:rsidRDefault="00AE548C" w:rsidP="00AE548C">
            <w:pPr>
              <w:spacing w:after="0" w:line="240" w:lineRule="auto"/>
              <w:rPr>
                <w:rFonts w:ascii="Times New Roman" w:hAnsi="Times New Roman"/>
                <w:i/>
                <w:iCs/>
                <w:sz w:val="24"/>
                <w:szCs w:val="24"/>
              </w:rPr>
            </w:pPr>
            <w:r>
              <w:rPr>
                <w:rFonts w:ascii="Times New Roman" w:hAnsi="Times New Roman"/>
                <w:i/>
                <w:iCs/>
                <w:color w:val="000000"/>
                <w:sz w:val="24"/>
                <w:szCs w:val="24"/>
              </w:rPr>
              <w:t>Апиксабан 10мг/сут</w:t>
            </w:r>
          </w:p>
        </w:tc>
        <w:tc>
          <w:tcPr>
            <w:tcW w:w="4820" w:type="dxa"/>
            <w:tcBorders>
              <w:left w:val="single" w:sz="2" w:space="0" w:color="000000"/>
              <w:bottom w:val="single" w:sz="2" w:space="0" w:color="000000"/>
              <w:right w:val="single" w:sz="2" w:space="0" w:color="000000"/>
            </w:tcBorders>
          </w:tcPr>
          <w:p w14:paraId="55E57EE0" w14:textId="77777777" w:rsidR="00AE548C" w:rsidRDefault="00AE548C" w:rsidP="00AE548C">
            <w:pPr>
              <w:pStyle w:val="TableContents"/>
              <w:spacing w:after="0" w:line="240" w:lineRule="auto"/>
              <w:jc w:val="center"/>
              <w:rPr>
                <w:rFonts w:ascii="Times New Roman" w:hAnsi="Times New Roman"/>
                <w:sz w:val="24"/>
                <w:szCs w:val="24"/>
              </w:rPr>
            </w:pPr>
            <w:r>
              <w:rPr>
                <w:rFonts w:ascii="Times New Roman" w:hAnsi="Times New Roman"/>
                <w:sz w:val="24"/>
                <w:szCs w:val="24"/>
              </w:rPr>
              <w:t>10</w:t>
            </w:r>
          </w:p>
        </w:tc>
      </w:tr>
      <w:tr w:rsidR="00AE548C" w14:paraId="294007A6" w14:textId="77777777" w:rsidTr="00B57F2E">
        <w:tc>
          <w:tcPr>
            <w:tcW w:w="4818" w:type="dxa"/>
            <w:tcBorders>
              <w:left w:val="single" w:sz="2" w:space="0" w:color="000000"/>
              <w:bottom w:val="single" w:sz="2" w:space="0" w:color="000000"/>
            </w:tcBorders>
          </w:tcPr>
          <w:p w14:paraId="3FED1DF2" w14:textId="77777777" w:rsidR="00AE548C" w:rsidRDefault="00AE548C" w:rsidP="00AE548C">
            <w:pPr>
              <w:spacing w:after="0" w:line="240" w:lineRule="auto"/>
              <w:rPr>
                <w:rFonts w:ascii="Times New Roman" w:hAnsi="Times New Roman"/>
                <w:i/>
                <w:iCs/>
                <w:sz w:val="24"/>
                <w:szCs w:val="24"/>
              </w:rPr>
            </w:pPr>
            <w:r>
              <w:rPr>
                <w:rFonts w:ascii="Times New Roman" w:hAnsi="Times New Roman"/>
                <w:i/>
                <w:iCs/>
                <w:color w:val="000000"/>
                <w:sz w:val="24"/>
                <w:szCs w:val="24"/>
              </w:rPr>
              <w:t>Варфарин (под контролем МНО)</w:t>
            </w:r>
          </w:p>
        </w:tc>
        <w:tc>
          <w:tcPr>
            <w:tcW w:w="4820" w:type="dxa"/>
            <w:tcBorders>
              <w:left w:val="single" w:sz="2" w:space="0" w:color="000000"/>
              <w:bottom w:val="single" w:sz="2" w:space="0" w:color="000000"/>
              <w:right w:val="single" w:sz="2" w:space="0" w:color="000000"/>
            </w:tcBorders>
          </w:tcPr>
          <w:p w14:paraId="06A2A928" w14:textId="77777777" w:rsidR="00AE548C" w:rsidRDefault="00AE548C" w:rsidP="00AE548C">
            <w:pPr>
              <w:pStyle w:val="TableContents"/>
              <w:spacing w:after="0" w:line="240" w:lineRule="auto"/>
              <w:jc w:val="center"/>
              <w:rPr>
                <w:rFonts w:ascii="Times New Roman" w:hAnsi="Times New Roman"/>
                <w:sz w:val="24"/>
                <w:szCs w:val="24"/>
              </w:rPr>
            </w:pPr>
            <w:r>
              <w:rPr>
                <w:rFonts w:ascii="Times New Roman" w:hAnsi="Times New Roman"/>
                <w:sz w:val="24"/>
                <w:szCs w:val="24"/>
              </w:rPr>
              <w:t>1</w:t>
            </w:r>
          </w:p>
        </w:tc>
      </w:tr>
      <w:tr w:rsidR="00AE548C" w14:paraId="20F10513" w14:textId="77777777" w:rsidTr="00B57F2E">
        <w:tc>
          <w:tcPr>
            <w:tcW w:w="4818" w:type="dxa"/>
            <w:tcBorders>
              <w:left w:val="single" w:sz="2" w:space="0" w:color="000000"/>
              <w:bottom w:val="single" w:sz="2" w:space="0" w:color="000000"/>
            </w:tcBorders>
          </w:tcPr>
          <w:p w14:paraId="187233EA" w14:textId="77777777" w:rsidR="00AE548C" w:rsidRDefault="00AE548C" w:rsidP="00AE548C">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Осложнения за 36 месяцев  </w:t>
            </w:r>
          </w:p>
        </w:tc>
        <w:tc>
          <w:tcPr>
            <w:tcW w:w="4820" w:type="dxa"/>
            <w:tcBorders>
              <w:left w:val="single" w:sz="2" w:space="0" w:color="000000"/>
              <w:bottom w:val="single" w:sz="2" w:space="0" w:color="000000"/>
              <w:right w:val="single" w:sz="2" w:space="0" w:color="000000"/>
            </w:tcBorders>
          </w:tcPr>
          <w:p w14:paraId="703E4BDB" w14:textId="53798E68" w:rsidR="00AE548C" w:rsidRDefault="00AE548C" w:rsidP="00AE548C">
            <w:pPr>
              <w:pStyle w:val="TableContents"/>
              <w:spacing w:after="0" w:line="240" w:lineRule="auto"/>
              <w:jc w:val="center"/>
              <w:rPr>
                <w:rFonts w:ascii="Times New Roman" w:hAnsi="Times New Roman"/>
                <w:sz w:val="24"/>
                <w:szCs w:val="24"/>
              </w:rPr>
            </w:pPr>
            <w:r>
              <w:rPr>
                <w:rFonts w:ascii="Times New Roman" w:hAnsi="Times New Roman"/>
                <w:sz w:val="24"/>
                <w:szCs w:val="24"/>
              </w:rPr>
              <w:t>7</w:t>
            </w:r>
            <w:r w:rsidR="00670283">
              <w:rPr>
                <w:rFonts w:ascii="Times New Roman" w:hAnsi="Times New Roman"/>
                <w:sz w:val="24"/>
                <w:szCs w:val="24"/>
              </w:rPr>
              <w:t xml:space="preserve"> (6,0%)</w:t>
            </w:r>
          </w:p>
        </w:tc>
      </w:tr>
    </w:tbl>
    <w:p w14:paraId="5C76EB01" w14:textId="77777777" w:rsidR="00AE548C" w:rsidRDefault="00AE548C" w:rsidP="00AE548C">
      <w:pPr>
        <w:pStyle w:val="LO-normal"/>
        <w:spacing w:after="0" w:line="240" w:lineRule="auto"/>
        <w:ind w:firstLine="567"/>
        <w:jc w:val="both"/>
        <w:rPr>
          <w:rFonts w:ascii="Times New Roman" w:hAnsi="Times New Roman" w:cs="Times New Roman"/>
          <w:b/>
          <w:bCs/>
          <w:sz w:val="28"/>
          <w:szCs w:val="28"/>
          <w:lang w:bidi="ar-SA"/>
        </w:rPr>
      </w:pPr>
    </w:p>
    <w:p w14:paraId="422CB20D" w14:textId="77777777" w:rsidR="00171CCC" w:rsidRDefault="00171CCC" w:rsidP="00AE548C">
      <w:pPr>
        <w:pStyle w:val="LO-normal"/>
        <w:spacing w:after="0" w:line="240" w:lineRule="auto"/>
        <w:ind w:firstLine="567"/>
        <w:jc w:val="both"/>
        <w:rPr>
          <w:rFonts w:ascii="Times New Roman" w:hAnsi="Times New Roman" w:cs="Times New Roman"/>
          <w:b/>
          <w:bCs/>
          <w:sz w:val="28"/>
          <w:szCs w:val="28"/>
          <w:lang w:bidi="ar-SA"/>
        </w:rPr>
      </w:pPr>
    </w:p>
    <w:p w14:paraId="63BC8A73" w14:textId="77777777" w:rsidR="00171CCC" w:rsidRDefault="00171CCC" w:rsidP="00AE548C">
      <w:pPr>
        <w:pStyle w:val="LO-normal"/>
        <w:spacing w:after="0" w:line="240" w:lineRule="auto"/>
        <w:ind w:firstLine="567"/>
        <w:jc w:val="both"/>
        <w:rPr>
          <w:rFonts w:ascii="Times New Roman" w:hAnsi="Times New Roman" w:cs="Times New Roman"/>
          <w:b/>
          <w:bCs/>
          <w:sz w:val="28"/>
          <w:szCs w:val="28"/>
          <w:lang w:bidi="ar-SA"/>
        </w:rPr>
      </w:pPr>
    </w:p>
    <w:p w14:paraId="652B6246" w14:textId="77777777" w:rsidR="00171CCC" w:rsidRDefault="00171CCC" w:rsidP="00AE548C">
      <w:pPr>
        <w:pStyle w:val="LO-normal"/>
        <w:spacing w:after="0" w:line="240" w:lineRule="auto"/>
        <w:ind w:firstLine="567"/>
        <w:jc w:val="both"/>
        <w:rPr>
          <w:rFonts w:ascii="Times New Roman" w:hAnsi="Times New Roman" w:cs="Times New Roman"/>
          <w:b/>
          <w:bCs/>
          <w:sz w:val="28"/>
          <w:szCs w:val="28"/>
          <w:lang w:bidi="ar-SA"/>
        </w:rPr>
      </w:pPr>
    </w:p>
    <w:p w14:paraId="7F2D66FE" w14:textId="77777777" w:rsidR="00171CCC" w:rsidRDefault="00171CCC" w:rsidP="00AE548C">
      <w:pPr>
        <w:pStyle w:val="LO-normal"/>
        <w:spacing w:after="0" w:line="240" w:lineRule="auto"/>
        <w:ind w:firstLine="567"/>
        <w:jc w:val="both"/>
        <w:rPr>
          <w:rFonts w:ascii="Times New Roman" w:hAnsi="Times New Roman" w:cs="Times New Roman"/>
          <w:b/>
          <w:bCs/>
          <w:sz w:val="28"/>
          <w:szCs w:val="28"/>
          <w:lang w:bidi="ar-SA"/>
        </w:rPr>
      </w:pPr>
    </w:p>
    <w:p w14:paraId="4935E668" w14:textId="770380F3" w:rsidR="0011617E" w:rsidRDefault="0011617E" w:rsidP="00AE548C">
      <w:pPr>
        <w:pStyle w:val="LO-normal"/>
        <w:spacing w:after="0" w:line="240" w:lineRule="auto"/>
        <w:ind w:firstLine="567"/>
        <w:jc w:val="both"/>
        <w:rPr>
          <w:rFonts w:ascii="Times New Roman" w:hAnsi="Times New Roman" w:cs="Times New Roman"/>
          <w:b/>
          <w:bCs/>
          <w:sz w:val="28"/>
          <w:szCs w:val="28"/>
          <w:lang w:bidi="ar-SA"/>
        </w:rPr>
      </w:pPr>
      <w:r w:rsidRPr="0011617E">
        <w:rPr>
          <w:rFonts w:ascii="Times New Roman" w:hAnsi="Times New Roman" w:cs="Times New Roman"/>
          <w:b/>
          <w:bCs/>
          <w:sz w:val="28"/>
          <w:szCs w:val="28"/>
          <w:lang w:bidi="ar-SA"/>
        </w:rPr>
        <w:t>Серии клинических случаев</w:t>
      </w:r>
    </w:p>
    <w:p w14:paraId="0AA5AA5F" w14:textId="76C42069" w:rsidR="0011617E" w:rsidRDefault="0011617E" w:rsidP="004E5901">
      <w:pPr>
        <w:pStyle w:val="LO-normal"/>
        <w:spacing w:after="0" w:line="240" w:lineRule="auto"/>
        <w:ind w:firstLine="567"/>
        <w:jc w:val="both"/>
        <w:rPr>
          <w:rFonts w:ascii="Times New Roman" w:hAnsi="Times New Roman" w:cs="Times New Roman"/>
          <w:i/>
          <w:iCs/>
          <w:sz w:val="28"/>
          <w:szCs w:val="28"/>
          <w:lang w:bidi="ar-SA"/>
        </w:rPr>
      </w:pPr>
      <w:r>
        <w:rPr>
          <w:rFonts w:ascii="Times New Roman" w:hAnsi="Times New Roman" w:cs="Times New Roman"/>
          <w:i/>
          <w:iCs/>
          <w:sz w:val="28"/>
          <w:szCs w:val="28"/>
          <w:lang w:bidi="ar-SA"/>
        </w:rPr>
        <w:t>Клинический случай №1. Пациент К, 61 год.</w:t>
      </w:r>
    </w:p>
    <w:p w14:paraId="23717B1E" w14:textId="6E0373ED" w:rsidR="0011617E" w:rsidRDefault="0011617E" w:rsidP="004E5901">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bidi="ar-SA"/>
        </w:rPr>
        <w:t>Диагноз:</w:t>
      </w:r>
      <w:r>
        <w:rPr>
          <w:rFonts w:ascii="Times New Roman" w:hAnsi="Times New Roman" w:cs="Times New Roman"/>
          <w:sz w:val="28"/>
          <w:szCs w:val="28"/>
          <w:lang w:bidi="ar-SA"/>
        </w:rPr>
        <w:t xml:space="preserve"> НРС. Фибрилляция предсердий, пароксизмальная форма. </w:t>
      </w:r>
      <w:r>
        <w:rPr>
          <w:rFonts w:ascii="Times New Roman" w:hAnsi="Times New Roman" w:cs="Times New Roman"/>
          <w:sz w:val="28"/>
          <w:szCs w:val="28"/>
          <w:lang w:val="en-US" w:bidi="ar-SA"/>
        </w:rPr>
        <w:t>EHRAIIb. CHA</w:t>
      </w:r>
      <w:r w:rsidRPr="00926EC0">
        <w:rPr>
          <w:rFonts w:ascii="Times New Roman" w:hAnsi="Times New Roman" w:cs="Times New Roman"/>
          <w:sz w:val="28"/>
          <w:szCs w:val="28"/>
          <w:vertAlign w:val="subscript"/>
          <w:lang w:val="en-US" w:bidi="ar-SA"/>
        </w:rPr>
        <w:t>2</w:t>
      </w:r>
      <w:r>
        <w:rPr>
          <w:rFonts w:ascii="Times New Roman" w:hAnsi="Times New Roman" w:cs="Times New Roman"/>
          <w:sz w:val="28"/>
          <w:szCs w:val="28"/>
          <w:lang w:val="en-US" w:bidi="ar-SA"/>
        </w:rPr>
        <w:t>DS</w:t>
      </w:r>
      <w:r w:rsidRPr="00926EC0">
        <w:rPr>
          <w:rFonts w:ascii="Times New Roman" w:hAnsi="Times New Roman" w:cs="Times New Roman"/>
          <w:sz w:val="28"/>
          <w:szCs w:val="28"/>
          <w:vertAlign w:val="subscript"/>
          <w:lang w:val="en-US" w:bidi="ar-SA"/>
        </w:rPr>
        <w:t>2</w:t>
      </w:r>
      <w:r w:rsidRPr="00926EC0">
        <w:rPr>
          <w:rFonts w:ascii="Times New Roman" w:hAnsi="Times New Roman" w:cs="Times New Roman"/>
          <w:sz w:val="28"/>
          <w:szCs w:val="28"/>
          <w:lang w:val="en-US" w:bidi="ar-SA"/>
        </w:rPr>
        <w:t>-</w:t>
      </w:r>
      <w:r>
        <w:rPr>
          <w:rFonts w:ascii="Times New Roman" w:hAnsi="Times New Roman" w:cs="Times New Roman"/>
          <w:sz w:val="28"/>
          <w:szCs w:val="28"/>
          <w:lang w:val="en-US" w:bidi="ar-SA"/>
        </w:rPr>
        <w:t>VA</w:t>
      </w:r>
      <w:r w:rsidRPr="00926EC0">
        <w:rPr>
          <w:rFonts w:ascii="Times New Roman" w:hAnsi="Times New Roman" w:cs="Times New Roman"/>
          <w:sz w:val="28"/>
          <w:szCs w:val="28"/>
          <w:lang w:val="en-US" w:bidi="ar-SA"/>
        </w:rPr>
        <w:t xml:space="preserve"> – 1 </w:t>
      </w:r>
      <w:r>
        <w:rPr>
          <w:rFonts w:ascii="Times New Roman" w:hAnsi="Times New Roman" w:cs="Times New Roman"/>
          <w:sz w:val="28"/>
          <w:szCs w:val="28"/>
          <w:lang w:val="kk-KZ" w:bidi="ar-SA"/>
        </w:rPr>
        <w:t xml:space="preserve">балл. </w:t>
      </w:r>
      <w:r>
        <w:rPr>
          <w:rFonts w:ascii="Times New Roman" w:hAnsi="Times New Roman" w:cs="Times New Roman"/>
          <w:sz w:val="28"/>
          <w:szCs w:val="28"/>
          <w:lang w:val="en-US" w:bidi="ar-SA"/>
        </w:rPr>
        <w:t>HAS</w:t>
      </w:r>
      <w:r w:rsidRPr="00926EC0">
        <w:rPr>
          <w:rFonts w:ascii="Times New Roman" w:hAnsi="Times New Roman" w:cs="Times New Roman"/>
          <w:sz w:val="28"/>
          <w:szCs w:val="28"/>
          <w:lang w:val="en-US" w:bidi="ar-SA"/>
        </w:rPr>
        <w:t>-</w:t>
      </w:r>
      <w:r>
        <w:rPr>
          <w:rFonts w:ascii="Times New Roman" w:hAnsi="Times New Roman" w:cs="Times New Roman"/>
          <w:sz w:val="28"/>
          <w:szCs w:val="28"/>
          <w:lang w:val="en-US" w:bidi="ar-SA"/>
        </w:rPr>
        <w:t>BLED</w:t>
      </w:r>
      <w:r w:rsidRPr="00926EC0">
        <w:rPr>
          <w:rFonts w:ascii="Times New Roman" w:hAnsi="Times New Roman" w:cs="Times New Roman"/>
          <w:sz w:val="28"/>
          <w:szCs w:val="28"/>
          <w:lang w:val="en-US" w:bidi="ar-SA"/>
        </w:rPr>
        <w:t xml:space="preserve"> – 1 </w:t>
      </w:r>
      <w:r>
        <w:rPr>
          <w:rFonts w:ascii="Times New Roman" w:hAnsi="Times New Roman" w:cs="Times New Roman"/>
          <w:sz w:val="28"/>
          <w:szCs w:val="28"/>
          <w:lang w:val="kk-KZ" w:bidi="ar-SA"/>
        </w:rPr>
        <w:t xml:space="preserve">балл. Артериальная гипертензия 3 степени, риск ССО 3. Сахарный диабет 2 типа, стадия декомпенсации. </w:t>
      </w:r>
    </w:p>
    <w:p w14:paraId="6499EC6F" w14:textId="303BB34B" w:rsidR="0011617E" w:rsidRDefault="0011617E" w:rsidP="004E5901">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Операция:</w:t>
      </w:r>
      <w:r>
        <w:rPr>
          <w:rFonts w:ascii="Times New Roman" w:hAnsi="Times New Roman" w:cs="Times New Roman"/>
          <w:sz w:val="28"/>
          <w:szCs w:val="28"/>
          <w:lang w:val="kk-KZ" w:bidi="ar-SA"/>
        </w:rPr>
        <w:t xml:space="preserve"> Электрофизиологическое исследование (ЭФИ). Криобаллонная изоляция устьев легочных вен (08.2021г.).</w:t>
      </w:r>
    </w:p>
    <w:p w14:paraId="0449CECA" w14:textId="5019EDDD" w:rsidR="0011617E" w:rsidRPr="0011617E" w:rsidRDefault="0011617E" w:rsidP="004E5901">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Концентрации дабигатрана и апиксабана (пиковая/минимальная концентрации)</w:t>
      </w:r>
      <w:r>
        <w:rPr>
          <w:rFonts w:ascii="Times New Roman" w:hAnsi="Times New Roman" w:cs="Times New Roman"/>
          <w:sz w:val="28"/>
          <w:szCs w:val="28"/>
          <w:lang w:val="kk-KZ" w:bidi="ar-SA"/>
        </w:rPr>
        <w:t xml:space="preserve">: </w:t>
      </w:r>
    </w:p>
    <w:p w14:paraId="297883D5" w14:textId="3039781F" w:rsidR="0011617E" w:rsidRPr="0011617E" w:rsidRDefault="007847CD" w:rsidP="004E5901">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6"/>
      </w:tblGrid>
      <w:tr w:rsidR="0011617E" w14:paraId="2B921345" w14:textId="77777777" w:rsidTr="0011617E">
        <w:tc>
          <w:tcPr>
            <w:tcW w:w="2265" w:type="dxa"/>
          </w:tcPr>
          <w:p w14:paraId="13F44C02" w14:textId="77777777" w:rsidR="0011617E" w:rsidRPr="0011617E" w:rsidRDefault="0011617E" w:rsidP="0011617E">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Дабигатран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max</w:t>
            </w:r>
          </w:p>
          <w:p w14:paraId="31DB3C18" w14:textId="46D85EE2" w:rsidR="0011617E" w:rsidRPr="0011617E" w:rsidRDefault="0011617E" w:rsidP="0011617E">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(117-275) </w:t>
            </w:r>
            <w:r w:rsidRPr="0011617E">
              <w:rPr>
                <w:rFonts w:ascii="Times New Roman" w:hAnsi="Times New Roman" w:cs="Times New Roman"/>
                <w:b/>
                <w:bCs/>
                <w:sz w:val="24"/>
                <w:szCs w:val="24"/>
                <w:lang w:bidi="ar-SA"/>
              </w:rPr>
              <w:t>нг/мл</w:t>
            </w:r>
          </w:p>
        </w:tc>
        <w:tc>
          <w:tcPr>
            <w:tcW w:w="2265" w:type="dxa"/>
          </w:tcPr>
          <w:p w14:paraId="429D3B30" w14:textId="395018A9" w:rsidR="0011617E" w:rsidRPr="0011617E" w:rsidRDefault="0011617E" w:rsidP="0011617E">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bidi="ar-SA"/>
              </w:rPr>
              <w:t>Дабигатран С</w:t>
            </w:r>
            <w:r w:rsidRPr="009C40E7">
              <w:rPr>
                <w:rFonts w:ascii="Times New Roman" w:hAnsi="Times New Roman" w:cs="Times New Roman"/>
                <w:b/>
                <w:bCs/>
                <w:sz w:val="24"/>
                <w:szCs w:val="24"/>
                <w:vertAlign w:val="subscript"/>
                <w:lang w:val="en-US" w:bidi="ar-SA"/>
              </w:rPr>
              <w:t xml:space="preserve">min </w:t>
            </w:r>
            <w:r w:rsidRPr="0011617E">
              <w:rPr>
                <w:rFonts w:ascii="Times New Roman" w:hAnsi="Times New Roman" w:cs="Times New Roman"/>
                <w:b/>
                <w:bCs/>
                <w:sz w:val="24"/>
                <w:szCs w:val="24"/>
                <w:lang w:val="en-US" w:bidi="ar-SA"/>
              </w:rPr>
              <w:t xml:space="preserve">(61-143) </w:t>
            </w:r>
            <w:r w:rsidRPr="0011617E">
              <w:rPr>
                <w:rFonts w:ascii="Times New Roman" w:hAnsi="Times New Roman" w:cs="Times New Roman"/>
                <w:b/>
                <w:bCs/>
                <w:sz w:val="24"/>
                <w:szCs w:val="24"/>
                <w:lang w:val="kk-KZ" w:bidi="ar-SA"/>
              </w:rPr>
              <w:t>нг/мл</w:t>
            </w:r>
          </w:p>
        </w:tc>
        <w:tc>
          <w:tcPr>
            <w:tcW w:w="2265" w:type="dxa"/>
          </w:tcPr>
          <w:p w14:paraId="08ECDF04" w14:textId="77777777" w:rsidR="0011617E" w:rsidRPr="0011617E" w:rsidRDefault="0011617E" w:rsidP="0011617E">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val="kk-KZ" w:bidi="ar-SA"/>
              </w:rPr>
              <w:t>Апиксабан С</w:t>
            </w:r>
            <w:r w:rsidRPr="0011617E">
              <w:rPr>
                <w:rFonts w:ascii="Times New Roman" w:hAnsi="Times New Roman" w:cs="Times New Roman"/>
                <w:b/>
                <w:bCs/>
                <w:sz w:val="24"/>
                <w:szCs w:val="24"/>
                <w:vertAlign w:val="subscript"/>
                <w:lang w:val="en-US" w:bidi="ar-SA"/>
              </w:rPr>
              <w:t>max</w:t>
            </w:r>
          </w:p>
          <w:p w14:paraId="24F46B71" w14:textId="478DFA5C" w:rsidR="0011617E" w:rsidRPr="0011617E" w:rsidRDefault="0011617E" w:rsidP="0011617E">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val="en-US" w:bidi="ar-SA"/>
              </w:rPr>
              <w:t>(</w:t>
            </w:r>
            <w:r w:rsidRPr="0011617E">
              <w:rPr>
                <w:rFonts w:ascii="Times New Roman" w:hAnsi="Times New Roman" w:cs="Times New Roman"/>
                <w:b/>
                <w:bCs/>
                <w:sz w:val="24"/>
                <w:szCs w:val="24"/>
                <w:lang w:bidi="ar-SA"/>
              </w:rPr>
              <w:t>91-321</w:t>
            </w:r>
            <w:r w:rsidRPr="0011617E">
              <w:rPr>
                <w:rFonts w:ascii="Times New Roman" w:hAnsi="Times New Roman" w:cs="Times New Roman"/>
                <w:b/>
                <w:bCs/>
                <w:sz w:val="24"/>
                <w:szCs w:val="24"/>
                <w:lang w:val="en-US" w:bidi="ar-SA"/>
              </w:rPr>
              <w:t xml:space="preserve">) </w:t>
            </w:r>
            <w:r w:rsidRPr="0011617E">
              <w:rPr>
                <w:rFonts w:ascii="Times New Roman" w:hAnsi="Times New Roman" w:cs="Times New Roman"/>
                <w:b/>
                <w:bCs/>
                <w:sz w:val="24"/>
                <w:szCs w:val="24"/>
                <w:lang w:bidi="ar-SA"/>
              </w:rPr>
              <w:t>нг/мл</w:t>
            </w:r>
          </w:p>
        </w:tc>
        <w:tc>
          <w:tcPr>
            <w:tcW w:w="2266" w:type="dxa"/>
          </w:tcPr>
          <w:p w14:paraId="4FE532C8" w14:textId="70CA0CCC" w:rsidR="0011617E" w:rsidRPr="0011617E" w:rsidRDefault="0011617E" w:rsidP="0011617E">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Апиксабан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min</w:t>
            </w:r>
          </w:p>
          <w:p w14:paraId="4FCAA112" w14:textId="4E171FA1" w:rsidR="0011617E" w:rsidRPr="0011617E" w:rsidRDefault="0011617E" w:rsidP="0011617E">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(41-230) </w:t>
            </w:r>
            <w:r w:rsidRPr="0011617E">
              <w:rPr>
                <w:rFonts w:ascii="Times New Roman" w:hAnsi="Times New Roman" w:cs="Times New Roman"/>
                <w:b/>
                <w:bCs/>
                <w:sz w:val="24"/>
                <w:szCs w:val="24"/>
                <w:lang w:bidi="ar-SA"/>
              </w:rPr>
              <w:t>нг/мл</w:t>
            </w:r>
          </w:p>
        </w:tc>
      </w:tr>
      <w:tr w:rsidR="0011617E" w14:paraId="481A5F75" w14:textId="77777777" w:rsidTr="0011617E">
        <w:tc>
          <w:tcPr>
            <w:tcW w:w="2265" w:type="dxa"/>
          </w:tcPr>
          <w:p w14:paraId="1DFA0ED7" w14:textId="16B13458" w:rsidR="0011617E" w:rsidRPr="0011617E" w:rsidRDefault="0011617E" w:rsidP="0011617E">
            <w:pPr>
              <w:pStyle w:val="LO-normal"/>
              <w:spacing w:after="0" w:line="240" w:lineRule="auto"/>
              <w:jc w:val="center"/>
              <w:rPr>
                <w:rFonts w:ascii="Times New Roman" w:hAnsi="Times New Roman" w:cs="Times New Roman"/>
                <w:sz w:val="24"/>
                <w:szCs w:val="24"/>
                <w:lang w:val="en-US" w:bidi="ar-SA"/>
              </w:rPr>
            </w:pPr>
            <w:r w:rsidRPr="0011617E">
              <w:rPr>
                <w:rFonts w:ascii="Times New Roman" w:hAnsi="Times New Roman" w:cs="Times New Roman"/>
                <w:sz w:val="24"/>
                <w:szCs w:val="24"/>
                <w:lang w:val="en-US" w:bidi="ar-SA"/>
              </w:rPr>
              <w:t>154</w:t>
            </w:r>
          </w:p>
        </w:tc>
        <w:tc>
          <w:tcPr>
            <w:tcW w:w="2265" w:type="dxa"/>
          </w:tcPr>
          <w:p w14:paraId="1D18209B" w14:textId="28997215" w:rsidR="0011617E" w:rsidRPr="0011617E" w:rsidRDefault="0011617E" w:rsidP="0011617E">
            <w:pPr>
              <w:pStyle w:val="LO-normal"/>
              <w:spacing w:after="0" w:line="240" w:lineRule="auto"/>
              <w:jc w:val="center"/>
              <w:rPr>
                <w:rFonts w:ascii="Times New Roman" w:hAnsi="Times New Roman" w:cs="Times New Roman"/>
                <w:sz w:val="24"/>
                <w:szCs w:val="24"/>
                <w:lang w:val="en-US" w:bidi="ar-SA"/>
              </w:rPr>
            </w:pPr>
            <w:r w:rsidRPr="0011617E">
              <w:rPr>
                <w:rFonts w:ascii="Times New Roman" w:hAnsi="Times New Roman" w:cs="Times New Roman"/>
                <w:sz w:val="24"/>
                <w:szCs w:val="24"/>
                <w:lang w:val="en-US" w:bidi="ar-SA"/>
              </w:rPr>
              <w:t>51,48</w:t>
            </w:r>
          </w:p>
        </w:tc>
        <w:tc>
          <w:tcPr>
            <w:tcW w:w="2265" w:type="dxa"/>
          </w:tcPr>
          <w:p w14:paraId="41A78D43" w14:textId="48B46E52" w:rsidR="0011617E" w:rsidRPr="0011617E" w:rsidRDefault="0011617E" w:rsidP="0011617E">
            <w:pPr>
              <w:pStyle w:val="LO-normal"/>
              <w:spacing w:after="0" w:line="240" w:lineRule="auto"/>
              <w:jc w:val="center"/>
              <w:rPr>
                <w:rFonts w:ascii="Times New Roman" w:hAnsi="Times New Roman" w:cs="Times New Roman"/>
                <w:sz w:val="24"/>
                <w:szCs w:val="24"/>
                <w:lang w:val="en-US" w:bidi="ar-SA"/>
              </w:rPr>
            </w:pPr>
            <w:r w:rsidRPr="0011617E">
              <w:rPr>
                <w:rFonts w:ascii="Times New Roman" w:hAnsi="Times New Roman" w:cs="Times New Roman"/>
                <w:sz w:val="24"/>
                <w:szCs w:val="24"/>
                <w:lang w:val="en-US" w:bidi="ar-SA"/>
              </w:rPr>
              <w:t>181</w:t>
            </w:r>
          </w:p>
        </w:tc>
        <w:tc>
          <w:tcPr>
            <w:tcW w:w="2266" w:type="dxa"/>
          </w:tcPr>
          <w:p w14:paraId="53E30A99" w14:textId="6611F863" w:rsidR="0011617E" w:rsidRPr="0011617E" w:rsidRDefault="0011617E" w:rsidP="0011617E">
            <w:pPr>
              <w:pStyle w:val="LO-normal"/>
              <w:spacing w:after="0" w:line="240" w:lineRule="auto"/>
              <w:jc w:val="center"/>
              <w:rPr>
                <w:rFonts w:ascii="Times New Roman" w:hAnsi="Times New Roman" w:cs="Times New Roman"/>
                <w:sz w:val="24"/>
                <w:szCs w:val="24"/>
                <w:lang w:val="en-US" w:bidi="ar-SA"/>
              </w:rPr>
            </w:pPr>
            <w:r w:rsidRPr="0011617E">
              <w:rPr>
                <w:rFonts w:ascii="Times New Roman" w:hAnsi="Times New Roman" w:cs="Times New Roman"/>
                <w:sz w:val="24"/>
                <w:szCs w:val="24"/>
                <w:lang w:val="en-US" w:bidi="ar-SA"/>
              </w:rPr>
              <w:t>69,1</w:t>
            </w:r>
          </w:p>
        </w:tc>
      </w:tr>
    </w:tbl>
    <w:p w14:paraId="2C7985B4" w14:textId="77777777" w:rsidR="0011617E" w:rsidRDefault="007847CD" w:rsidP="004E5901">
      <w:pPr>
        <w:pStyle w:val="LO-normal"/>
        <w:spacing w:after="0" w:line="240" w:lineRule="auto"/>
        <w:ind w:firstLine="567"/>
        <w:jc w:val="both"/>
        <w:rPr>
          <w:rFonts w:ascii="Times New Roman" w:hAnsi="Times New Roman" w:cs="Times New Roman"/>
          <w:sz w:val="28"/>
          <w:szCs w:val="28"/>
          <w:lang w:val="en-US"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p w14:paraId="5C7CD8DA" w14:textId="77777777" w:rsidR="0011617E" w:rsidRDefault="0011617E" w:rsidP="004E5901">
      <w:pPr>
        <w:pStyle w:val="LO-normal"/>
        <w:spacing w:after="0" w:line="240" w:lineRule="auto"/>
        <w:ind w:firstLine="567"/>
        <w:jc w:val="both"/>
        <w:rPr>
          <w:rFonts w:ascii="Times New Roman" w:hAnsi="Times New Roman" w:cs="Times New Roman"/>
          <w:sz w:val="28"/>
          <w:szCs w:val="28"/>
          <w:lang w:bidi="ar-SA"/>
        </w:rPr>
      </w:pPr>
      <w:r w:rsidRPr="00F87B08">
        <w:rPr>
          <w:rFonts w:ascii="Times New Roman" w:hAnsi="Times New Roman" w:cs="Times New Roman"/>
          <w:i/>
          <w:iCs/>
          <w:sz w:val="28"/>
          <w:szCs w:val="28"/>
          <w:lang w:bidi="ar-SA"/>
        </w:rPr>
        <w:t>Генотип</w:t>
      </w:r>
      <w:r>
        <w:rPr>
          <w:rFonts w:ascii="Times New Roman" w:hAnsi="Times New Roman" w:cs="Times New Roman"/>
          <w:sz w:val="28"/>
          <w:szCs w:val="28"/>
          <w:lang w:bidi="ar-S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350"/>
        <w:gridCol w:w="1294"/>
        <w:gridCol w:w="1295"/>
        <w:gridCol w:w="1295"/>
        <w:gridCol w:w="1295"/>
      </w:tblGrid>
      <w:tr w:rsidR="00F87B08" w:rsidRPr="00F87B08" w14:paraId="4EED074B" w14:textId="77777777" w:rsidTr="00F87B08">
        <w:tc>
          <w:tcPr>
            <w:tcW w:w="1294" w:type="dxa"/>
          </w:tcPr>
          <w:p w14:paraId="1AF5E500" w14:textId="0940AECB" w:rsidR="00F87B08" w:rsidRPr="00F87B08" w:rsidRDefault="00F87B08" w:rsidP="00F87B08">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665EFB67" w14:textId="2A4E82D7" w:rsidR="00F87B08" w:rsidRPr="00F87B08" w:rsidRDefault="00F87B08" w:rsidP="00F87B08">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64DF866B" w14:textId="48936F61" w:rsidR="00F87B08" w:rsidRPr="00F87B08" w:rsidRDefault="00F87B08" w:rsidP="00F87B08">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6E349534" w14:textId="582C296E" w:rsidR="00F87B08" w:rsidRPr="00F87B08" w:rsidRDefault="00F87B08" w:rsidP="00F87B08">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ABCB1</w:t>
            </w:r>
          </w:p>
        </w:tc>
        <w:tc>
          <w:tcPr>
            <w:tcW w:w="1295" w:type="dxa"/>
          </w:tcPr>
          <w:p w14:paraId="724CE007" w14:textId="76BED8BA" w:rsidR="00F87B08" w:rsidRPr="00F87B08" w:rsidRDefault="00F87B08" w:rsidP="00F87B08">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0A3B5B37" w14:textId="128D3F59" w:rsidR="00F87B08" w:rsidRPr="00F87B08" w:rsidRDefault="00F87B08" w:rsidP="00F87B08">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22270B66" w14:textId="4FC402D6" w:rsidR="00F87B08" w:rsidRPr="00F87B08" w:rsidRDefault="00F87B08" w:rsidP="00F87B08">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r>
      <w:tr w:rsidR="00F87B08" w:rsidRPr="00F87B08" w14:paraId="4ED70D1B" w14:textId="77777777" w:rsidTr="00F87B08">
        <w:tc>
          <w:tcPr>
            <w:tcW w:w="1294" w:type="dxa"/>
          </w:tcPr>
          <w:p w14:paraId="763DADC5" w14:textId="42C1A027"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sidRPr="00F87B08">
              <w:rPr>
                <w:rFonts w:ascii="Times New Roman" w:hAnsi="Times New Roman" w:cs="Times New Roman"/>
                <w:sz w:val="24"/>
                <w:szCs w:val="24"/>
                <w:lang w:val="en-US" w:bidi="ar-SA"/>
              </w:rPr>
              <w:t>rs8192935</w:t>
            </w:r>
            <w:r>
              <w:rPr>
                <w:rFonts w:ascii="Times New Roman" w:hAnsi="Times New Roman" w:cs="Times New Roman"/>
                <w:sz w:val="24"/>
                <w:szCs w:val="24"/>
                <w:lang w:val="en-US" w:bidi="ar-SA"/>
              </w:rPr>
              <w:t xml:space="preserve"> A/G</w:t>
            </w:r>
          </w:p>
        </w:tc>
        <w:tc>
          <w:tcPr>
            <w:tcW w:w="1294" w:type="dxa"/>
          </w:tcPr>
          <w:p w14:paraId="3740637D" w14:textId="57771966"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rs2244613 G/T</w:t>
            </w:r>
          </w:p>
        </w:tc>
        <w:tc>
          <w:tcPr>
            <w:tcW w:w="1294" w:type="dxa"/>
          </w:tcPr>
          <w:p w14:paraId="3C359517" w14:textId="7D6416DA"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rs71647871 A/G</w:t>
            </w:r>
          </w:p>
        </w:tc>
        <w:tc>
          <w:tcPr>
            <w:tcW w:w="1294" w:type="dxa"/>
          </w:tcPr>
          <w:p w14:paraId="6EA575A9" w14:textId="3F8A6953" w:rsidR="00F87B08" w:rsidRPr="00F87B08" w:rsidRDefault="00F87B08" w:rsidP="00F87B08">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rs4148738 C/T</w:t>
            </w:r>
          </w:p>
        </w:tc>
        <w:tc>
          <w:tcPr>
            <w:tcW w:w="1295" w:type="dxa"/>
          </w:tcPr>
          <w:p w14:paraId="5C9FBA38" w14:textId="42DB8017"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rs1045642 A/G</w:t>
            </w:r>
          </w:p>
        </w:tc>
        <w:tc>
          <w:tcPr>
            <w:tcW w:w="1295" w:type="dxa"/>
          </w:tcPr>
          <w:p w14:paraId="76B7F0D9" w14:textId="11CD7FB9"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rs2032582 C/A</w:t>
            </w:r>
          </w:p>
        </w:tc>
        <w:tc>
          <w:tcPr>
            <w:tcW w:w="1295" w:type="dxa"/>
          </w:tcPr>
          <w:p w14:paraId="099FB45D" w14:textId="5412A1CE"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rs1128503 A/G</w:t>
            </w:r>
          </w:p>
        </w:tc>
      </w:tr>
      <w:tr w:rsidR="00F87B08" w:rsidRPr="00F87B08" w14:paraId="044C3200" w14:textId="77777777" w:rsidTr="00F87B08">
        <w:tc>
          <w:tcPr>
            <w:tcW w:w="1294" w:type="dxa"/>
          </w:tcPr>
          <w:p w14:paraId="2B1E9CED" w14:textId="5DB892C5"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c>
          <w:tcPr>
            <w:tcW w:w="1294" w:type="dxa"/>
          </w:tcPr>
          <w:p w14:paraId="5076FAF3" w14:textId="1006D624"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GT</w:t>
            </w:r>
          </w:p>
        </w:tc>
        <w:tc>
          <w:tcPr>
            <w:tcW w:w="1294" w:type="dxa"/>
          </w:tcPr>
          <w:p w14:paraId="7F8627B9" w14:textId="6AE31FCA"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58AED02D" w14:textId="177C70CB"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CT</w:t>
            </w:r>
          </w:p>
        </w:tc>
        <w:tc>
          <w:tcPr>
            <w:tcW w:w="1295" w:type="dxa"/>
          </w:tcPr>
          <w:p w14:paraId="457544CF" w14:textId="3FCBEEBC"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c>
          <w:tcPr>
            <w:tcW w:w="1295" w:type="dxa"/>
          </w:tcPr>
          <w:p w14:paraId="3EDD99B5" w14:textId="448960BA"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AA</w:t>
            </w:r>
          </w:p>
        </w:tc>
        <w:tc>
          <w:tcPr>
            <w:tcW w:w="1295" w:type="dxa"/>
          </w:tcPr>
          <w:p w14:paraId="565E8CCB" w14:textId="6119F74E" w:rsidR="00F87B08" w:rsidRPr="00F87B08" w:rsidRDefault="00F87B08" w:rsidP="00F87B08">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r>
    </w:tbl>
    <w:p w14:paraId="4C529D7F" w14:textId="77777777" w:rsidR="00F87B08" w:rsidRDefault="00F87B08" w:rsidP="004E5901">
      <w:pPr>
        <w:pStyle w:val="LO-normal"/>
        <w:spacing w:after="0" w:line="240" w:lineRule="auto"/>
        <w:ind w:firstLine="567"/>
        <w:jc w:val="both"/>
        <w:rPr>
          <w:rFonts w:ascii="Times New Roman" w:hAnsi="Times New Roman" w:cs="Times New Roman"/>
          <w:sz w:val="28"/>
          <w:szCs w:val="28"/>
          <w:lang w:bidi="ar-SA"/>
        </w:rPr>
      </w:pPr>
    </w:p>
    <w:p w14:paraId="0A732D18" w14:textId="29C69F57" w:rsidR="007847CD" w:rsidRDefault="00F87B08" w:rsidP="00F87B08">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Принимаемые препараты</w:t>
      </w:r>
      <w:r>
        <w:rPr>
          <w:rFonts w:ascii="Times New Roman" w:hAnsi="Times New Roman" w:cs="Times New Roman"/>
          <w:sz w:val="28"/>
          <w:szCs w:val="28"/>
          <w:lang w:bidi="ar-SA"/>
        </w:rPr>
        <w:t>: Вальсакор 80мг 2 раза в сутки, Прадакса 150 мг по 1 таб 2 раза в день, Антарис 2 мг, Джардинс 25мг, Инсулин Туджео 12ЕД п/к.</w:t>
      </w:r>
    </w:p>
    <w:p w14:paraId="5C25B9BE" w14:textId="62B30387" w:rsidR="00F87B08" w:rsidRDefault="00F87B08" w:rsidP="00F87B08">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На 9 месяце наблюдения развилось осложнение в виде транзиторной ишемической атака (ТИА) на фоне гипертонического криза</w:t>
      </w:r>
      <w:r>
        <w:rPr>
          <w:rFonts w:ascii="Times New Roman" w:hAnsi="Times New Roman" w:cs="Times New Roman"/>
          <w:sz w:val="28"/>
          <w:szCs w:val="28"/>
          <w:lang w:bidi="ar-SA"/>
        </w:rPr>
        <w:t>.</w:t>
      </w:r>
    </w:p>
    <w:p w14:paraId="44D8244C" w14:textId="7B8D0029" w:rsidR="00F87B08" w:rsidRDefault="00F87B08" w:rsidP="00F87B08">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Рост: 156см. Вес:84кг. ИМТ:34,52кг/м</w:t>
      </w:r>
      <w:r w:rsidRPr="00F87B08">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ЧСС:70уд/мин. АД: 180/110мм.рт.ст. </w:t>
      </w:r>
    </w:p>
    <w:p w14:paraId="60388448" w14:textId="56666BBF" w:rsidR="00F87B08" w:rsidRPr="009C40E7" w:rsidRDefault="00F87B08" w:rsidP="00F87B08">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Результаты проведенных лабораторных и инструментальных исследований.</w:t>
      </w:r>
    </w:p>
    <w:p w14:paraId="6896E579" w14:textId="670C89E0" w:rsidR="00F87B08" w:rsidRDefault="00F87B08" w:rsidP="00F87B08">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Общий анализ крови</w:t>
      </w:r>
      <w:r>
        <w:rPr>
          <w:rFonts w:ascii="Times New Roman" w:hAnsi="Times New Roman" w:cs="Times New Roman"/>
          <w:sz w:val="28"/>
          <w:szCs w:val="28"/>
          <w:lang w:bidi="ar-SA"/>
        </w:rPr>
        <w:t xml:space="preserve"> – лейкоциты 4,94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(4,5-11), эритроциты 5,02 10</w:t>
      </w:r>
      <w:r w:rsidRPr="009C40E7">
        <w:rPr>
          <w:rFonts w:ascii="Times New Roman" w:hAnsi="Times New Roman" w:cs="Times New Roman"/>
          <w:sz w:val="28"/>
          <w:szCs w:val="28"/>
          <w:vertAlign w:val="superscript"/>
          <w:lang w:bidi="ar-SA"/>
        </w:rPr>
        <w:t>12</w:t>
      </w:r>
      <w:r>
        <w:rPr>
          <w:rFonts w:ascii="Times New Roman" w:hAnsi="Times New Roman" w:cs="Times New Roman"/>
          <w:sz w:val="28"/>
          <w:szCs w:val="28"/>
          <w:lang w:bidi="ar-SA"/>
        </w:rPr>
        <w:t>/л (3,8-5,5), гемоглобин 136 г/л (115-140), тромбоциты 230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(140-400).</w:t>
      </w:r>
    </w:p>
    <w:p w14:paraId="6C7EB328" w14:textId="446B4582"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Биохимический анализ крови</w:t>
      </w:r>
      <w:r>
        <w:rPr>
          <w:rFonts w:ascii="Times New Roman" w:hAnsi="Times New Roman" w:cs="Times New Roman"/>
          <w:sz w:val="28"/>
          <w:szCs w:val="28"/>
          <w:lang w:bidi="ar-SA"/>
        </w:rPr>
        <w:t xml:space="preserve"> – глюкоза 178,0 мг/дл (74-106), креатинин 0,93 мг/дл (0,5-0,9), СКФ 71,242мл/мин/1,73м</w:t>
      </w:r>
      <w:r w:rsidRPr="009C40E7">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АЛТ 37,8 Ед/л (0-33), АСТ 35,6 Ед/л (0-32), холестерин общий 4,78ммоль/л, ЛПВП 1,09ммоль/л, ЛПНП 3,42ммоль/л, триглицериды 1,69 ммоль/л, калий 4,2ммоль/л.</w:t>
      </w:r>
    </w:p>
    <w:p w14:paraId="1BB44871" w14:textId="7F53D0C2"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Гормоны щитовидной железы</w:t>
      </w:r>
      <w:r>
        <w:rPr>
          <w:rFonts w:ascii="Times New Roman" w:hAnsi="Times New Roman" w:cs="Times New Roman"/>
          <w:sz w:val="28"/>
          <w:szCs w:val="28"/>
          <w:lang w:bidi="ar-SA"/>
        </w:rPr>
        <w:t xml:space="preserve"> – тиреотропный гормон 1,95нг/мл (0,27-4,2), свободный трийодтиронин (св.Т3) 3,86 пмоль/л (3,1-6,8), свободный тироксин 13,85 пмоль/л (12-22).</w:t>
      </w:r>
    </w:p>
    <w:p w14:paraId="531BC14E" w14:textId="1C4563A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Коагулограмма</w:t>
      </w:r>
      <w:r>
        <w:rPr>
          <w:rFonts w:ascii="Times New Roman" w:hAnsi="Times New Roman" w:cs="Times New Roman"/>
          <w:sz w:val="28"/>
          <w:szCs w:val="28"/>
          <w:lang w:bidi="ar-SA"/>
        </w:rPr>
        <w:t xml:space="preserve"> – протромбиновое время (ПВ) 9,9сек (9,4-12,5), протромбиновый индекс (ПТИ) 125% (70-140), МНО 0,88 (0,9-1,2), АЧТВ 35,6сек (25,1-36,5), фибриноген 2,69 г/л (2-3,93).</w:t>
      </w:r>
    </w:p>
    <w:p w14:paraId="4B397F4C" w14:textId="09065571"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Гликогемоглобин</w:t>
      </w:r>
      <w:r>
        <w:rPr>
          <w:rFonts w:ascii="Times New Roman" w:hAnsi="Times New Roman" w:cs="Times New Roman"/>
          <w:sz w:val="28"/>
          <w:szCs w:val="28"/>
          <w:lang w:bidi="ar-SA"/>
        </w:rPr>
        <w:t xml:space="preserve"> – 12,2% (4,8-5,9).</w:t>
      </w:r>
    </w:p>
    <w:p w14:paraId="068E3C08" w14:textId="7A7848AF"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ФГДС</w:t>
      </w:r>
      <w:r>
        <w:rPr>
          <w:rFonts w:ascii="Times New Roman" w:hAnsi="Times New Roman" w:cs="Times New Roman"/>
          <w:sz w:val="28"/>
          <w:szCs w:val="28"/>
          <w:lang w:bidi="ar-SA"/>
        </w:rPr>
        <w:t>: хронический субатрофический гастрит, вне обострения.</w:t>
      </w:r>
    </w:p>
    <w:p w14:paraId="7753AE3A" w14:textId="1CD44183"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поступлении</w:t>
      </w:r>
      <w:r>
        <w:rPr>
          <w:rFonts w:ascii="Times New Roman" w:hAnsi="Times New Roman" w:cs="Times New Roman"/>
          <w:sz w:val="28"/>
          <w:szCs w:val="28"/>
          <w:lang w:bidi="ar-SA"/>
        </w:rPr>
        <w:t>: ритм синусовый с ЧСС 68 уд/мин, ЭОС отклонена влево.</w:t>
      </w:r>
    </w:p>
    <w:p w14:paraId="1BB0BE14" w14:textId="59812BCD"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выписке</w:t>
      </w:r>
      <w:r>
        <w:rPr>
          <w:rFonts w:ascii="Times New Roman" w:hAnsi="Times New Roman" w:cs="Times New Roman"/>
          <w:sz w:val="28"/>
          <w:szCs w:val="28"/>
          <w:lang w:bidi="ar-SA"/>
        </w:rPr>
        <w:t>: ритм синусовый с ЧСС 82 уд/мин, ЭОС отклонена влево.</w:t>
      </w:r>
    </w:p>
    <w:p w14:paraId="4328EB8F" w14:textId="5C0D0B3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Эхокардиография</w:t>
      </w:r>
      <w:r>
        <w:rPr>
          <w:rFonts w:ascii="Times New Roman" w:hAnsi="Times New Roman" w:cs="Times New Roman"/>
          <w:sz w:val="28"/>
          <w:szCs w:val="28"/>
          <w:lang w:bidi="ar-SA"/>
        </w:rPr>
        <w:t xml:space="preserve">: полости сердца не расширены. Систолическая функция левого желудочка удовлетворительная (ФВ 59%). Диастолическая дисфункция миокарда ЛЖ 1 степени (нарушение релаксации). </w:t>
      </w:r>
    </w:p>
    <w:p w14:paraId="1EC1AA15" w14:textId="2B07171F"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Коронарография</w:t>
      </w:r>
      <w:r>
        <w:rPr>
          <w:rFonts w:ascii="Times New Roman" w:hAnsi="Times New Roman" w:cs="Times New Roman"/>
          <w:sz w:val="28"/>
          <w:szCs w:val="28"/>
          <w:lang w:bidi="ar-SA"/>
        </w:rPr>
        <w:t>: коронарные артерии без гемодинамически значимых стенозов.</w:t>
      </w:r>
    </w:p>
    <w:p w14:paraId="34B5816E" w14:textId="0D4C35C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сосудов экстракраниального бассейна</w:t>
      </w:r>
      <w:r>
        <w:rPr>
          <w:rFonts w:ascii="Times New Roman" w:hAnsi="Times New Roman" w:cs="Times New Roman"/>
          <w:sz w:val="28"/>
          <w:szCs w:val="28"/>
          <w:lang w:bidi="ar-SA"/>
        </w:rPr>
        <w:t>: атеросклероз сонных артерий.</w:t>
      </w:r>
    </w:p>
    <w:p w14:paraId="76BEAFA1" w14:textId="37430C16"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артерий/вен верхних и нижних конечностей</w:t>
      </w:r>
      <w:r>
        <w:rPr>
          <w:rFonts w:ascii="Times New Roman" w:hAnsi="Times New Roman" w:cs="Times New Roman"/>
          <w:sz w:val="28"/>
          <w:szCs w:val="28"/>
          <w:lang w:bidi="ar-SA"/>
        </w:rPr>
        <w:t>: атеросклероз общей бедренной артерии без нарушения гемодинамики. Вены нижних конечностей проходимы.</w:t>
      </w:r>
    </w:p>
    <w:p w14:paraId="5FFFC2F5" w14:textId="6B3E98DD"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Компьютерная томография головного мозга</w:t>
      </w:r>
      <w:r>
        <w:rPr>
          <w:rFonts w:ascii="Times New Roman" w:hAnsi="Times New Roman" w:cs="Times New Roman"/>
          <w:sz w:val="28"/>
          <w:szCs w:val="28"/>
          <w:lang w:bidi="ar-SA"/>
        </w:rPr>
        <w:t>: атеросклеротические изменения в сифонах внутренней сонной артерии.</w:t>
      </w:r>
    </w:p>
    <w:p w14:paraId="6ABD83B6" w14:textId="0372D3E2"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Магниторезонансная томография головного мозга</w:t>
      </w:r>
      <w:r>
        <w:rPr>
          <w:rFonts w:ascii="Times New Roman" w:hAnsi="Times New Roman" w:cs="Times New Roman"/>
          <w:sz w:val="28"/>
          <w:szCs w:val="28"/>
          <w:lang w:bidi="ar-SA"/>
        </w:rPr>
        <w:t>: МР признаки энцефалопатии.</w:t>
      </w:r>
    </w:p>
    <w:p w14:paraId="4BEFBE08"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683CFC26"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1540B1CB" w14:textId="4B8E8342" w:rsidR="009C40E7" w:rsidRPr="009C40E7" w:rsidRDefault="009C40E7" w:rsidP="009C40E7">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Клинический случай №2. Пациентка О, 55 лет.</w:t>
      </w:r>
    </w:p>
    <w:p w14:paraId="2318B672" w14:textId="18741EFC" w:rsidR="009C40E7"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bidi="ar-SA"/>
        </w:rPr>
        <w:t>Диагноз:</w:t>
      </w:r>
      <w:r>
        <w:rPr>
          <w:rFonts w:ascii="Times New Roman" w:hAnsi="Times New Roman" w:cs="Times New Roman"/>
          <w:sz w:val="28"/>
          <w:szCs w:val="28"/>
          <w:lang w:bidi="ar-SA"/>
        </w:rPr>
        <w:t xml:space="preserve"> НРС. Фибрилляция предсердий, персистирующая форма. </w:t>
      </w:r>
      <w:r>
        <w:rPr>
          <w:rFonts w:ascii="Times New Roman" w:hAnsi="Times New Roman" w:cs="Times New Roman"/>
          <w:sz w:val="28"/>
          <w:szCs w:val="28"/>
          <w:lang w:val="en-US" w:bidi="ar-SA"/>
        </w:rPr>
        <w:t>EHRAII</w:t>
      </w:r>
      <w:r>
        <w:rPr>
          <w:rFonts w:ascii="Times New Roman" w:hAnsi="Times New Roman" w:cs="Times New Roman"/>
          <w:sz w:val="28"/>
          <w:szCs w:val="28"/>
          <w:lang w:bidi="ar-SA"/>
        </w:rPr>
        <w:t>а</w:t>
      </w:r>
      <w:r w:rsidRPr="009C40E7">
        <w:rPr>
          <w:rFonts w:ascii="Times New Roman" w:hAnsi="Times New Roman" w:cs="Times New Roman"/>
          <w:sz w:val="28"/>
          <w:szCs w:val="28"/>
          <w:lang w:val="en-US" w:bidi="ar-SA"/>
        </w:rPr>
        <w:t xml:space="preserve">. </w:t>
      </w:r>
      <w:r>
        <w:rPr>
          <w:rFonts w:ascii="Times New Roman" w:hAnsi="Times New Roman" w:cs="Times New Roman"/>
          <w:sz w:val="28"/>
          <w:szCs w:val="28"/>
          <w:lang w:val="en-US" w:bidi="ar-SA"/>
        </w:rPr>
        <w:t>CHA</w:t>
      </w:r>
      <w:r w:rsidRPr="009C40E7">
        <w:rPr>
          <w:rFonts w:ascii="Times New Roman" w:hAnsi="Times New Roman" w:cs="Times New Roman"/>
          <w:sz w:val="28"/>
          <w:szCs w:val="28"/>
          <w:vertAlign w:val="subscript"/>
          <w:lang w:val="en-US" w:bidi="ar-SA"/>
        </w:rPr>
        <w:t>2</w:t>
      </w:r>
      <w:r>
        <w:rPr>
          <w:rFonts w:ascii="Times New Roman" w:hAnsi="Times New Roman" w:cs="Times New Roman"/>
          <w:sz w:val="28"/>
          <w:szCs w:val="28"/>
          <w:lang w:val="en-US" w:bidi="ar-SA"/>
        </w:rPr>
        <w:t>DS</w:t>
      </w:r>
      <w:r w:rsidRPr="009C40E7">
        <w:rPr>
          <w:rFonts w:ascii="Times New Roman" w:hAnsi="Times New Roman" w:cs="Times New Roman"/>
          <w:sz w:val="28"/>
          <w:szCs w:val="28"/>
          <w:vertAlign w:val="subscript"/>
          <w:lang w:val="en-US" w:bidi="ar-SA"/>
        </w:rPr>
        <w:t>2</w:t>
      </w:r>
      <w:r w:rsidRPr="009C40E7">
        <w:rPr>
          <w:rFonts w:ascii="Times New Roman" w:hAnsi="Times New Roman" w:cs="Times New Roman"/>
          <w:sz w:val="28"/>
          <w:szCs w:val="28"/>
          <w:lang w:val="en-US" w:bidi="ar-SA"/>
        </w:rPr>
        <w:t>-</w:t>
      </w:r>
      <w:r>
        <w:rPr>
          <w:rFonts w:ascii="Times New Roman" w:hAnsi="Times New Roman" w:cs="Times New Roman"/>
          <w:sz w:val="28"/>
          <w:szCs w:val="28"/>
          <w:lang w:val="en-US" w:bidi="ar-SA"/>
        </w:rPr>
        <w:t>VA</w:t>
      </w:r>
      <w:r w:rsidRPr="009C40E7">
        <w:rPr>
          <w:rFonts w:ascii="Times New Roman" w:hAnsi="Times New Roman" w:cs="Times New Roman"/>
          <w:sz w:val="28"/>
          <w:szCs w:val="28"/>
          <w:lang w:val="en-US" w:bidi="ar-SA"/>
        </w:rPr>
        <w:t xml:space="preserve"> – </w:t>
      </w:r>
      <w:r w:rsidRPr="00926EC0">
        <w:rPr>
          <w:rFonts w:ascii="Times New Roman" w:hAnsi="Times New Roman" w:cs="Times New Roman"/>
          <w:sz w:val="28"/>
          <w:szCs w:val="28"/>
          <w:lang w:val="en-US" w:bidi="ar-SA"/>
        </w:rPr>
        <w:t>2</w:t>
      </w:r>
      <w:r w:rsidRPr="009C40E7">
        <w:rPr>
          <w:rFonts w:ascii="Times New Roman" w:hAnsi="Times New Roman" w:cs="Times New Roman"/>
          <w:sz w:val="28"/>
          <w:szCs w:val="28"/>
          <w:lang w:val="en-US" w:bidi="ar-SA"/>
        </w:rPr>
        <w:t xml:space="preserve"> </w:t>
      </w:r>
      <w:r>
        <w:rPr>
          <w:rFonts w:ascii="Times New Roman" w:hAnsi="Times New Roman" w:cs="Times New Roman"/>
          <w:sz w:val="28"/>
          <w:szCs w:val="28"/>
          <w:lang w:val="kk-KZ" w:bidi="ar-SA"/>
        </w:rPr>
        <w:t xml:space="preserve">балла. </w:t>
      </w:r>
      <w:r>
        <w:rPr>
          <w:rFonts w:ascii="Times New Roman" w:hAnsi="Times New Roman" w:cs="Times New Roman"/>
          <w:sz w:val="28"/>
          <w:szCs w:val="28"/>
          <w:lang w:val="en-US" w:bidi="ar-SA"/>
        </w:rPr>
        <w:t>HAS</w:t>
      </w:r>
      <w:r w:rsidRPr="00967295">
        <w:rPr>
          <w:rFonts w:ascii="Times New Roman" w:hAnsi="Times New Roman" w:cs="Times New Roman"/>
          <w:sz w:val="28"/>
          <w:szCs w:val="28"/>
          <w:lang w:val="en-US" w:bidi="ar-SA"/>
        </w:rPr>
        <w:t>-</w:t>
      </w:r>
      <w:r>
        <w:rPr>
          <w:rFonts w:ascii="Times New Roman" w:hAnsi="Times New Roman" w:cs="Times New Roman"/>
          <w:sz w:val="28"/>
          <w:szCs w:val="28"/>
          <w:lang w:val="en-US" w:bidi="ar-SA"/>
        </w:rPr>
        <w:t>BLED</w:t>
      </w:r>
      <w:r w:rsidRPr="00967295">
        <w:rPr>
          <w:rFonts w:ascii="Times New Roman" w:hAnsi="Times New Roman" w:cs="Times New Roman"/>
          <w:sz w:val="28"/>
          <w:szCs w:val="28"/>
          <w:lang w:val="en-US" w:bidi="ar-SA"/>
        </w:rPr>
        <w:t xml:space="preserve"> – 2 </w:t>
      </w:r>
      <w:r>
        <w:rPr>
          <w:rFonts w:ascii="Times New Roman" w:hAnsi="Times New Roman" w:cs="Times New Roman"/>
          <w:sz w:val="28"/>
          <w:szCs w:val="28"/>
          <w:lang w:val="kk-KZ" w:bidi="ar-SA"/>
        </w:rPr>
        <w:t xml:space="preserve">балла. Артериальная гипертензия 3 степени, риск ССО 4. Дислипидемия. </w:t>
      </w:r>
    </w:p>
    <w:p w14:paraId="061BE9AA" w14:textId="6951C0D1" w:rsidR="009C40E7"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Операция:</w:t>
      </w:r>
      <w:r>
        <w:rPr>
          <w:rFonts w:ascii="Times New Roman" w:hAnsi="Times New Roman" w:cs="Times New Roman"/>
          <w:sz w:val="28"/>
          <w:szCs w:val="28"/>
          <w:lang w:val="kk-KZ" w:bidi="ar-SA"/>
        </w:rPr>
        <w:t xml:space="preserve"> ЭФИ. Криобаллонная изоляция устьев легочных вен (09.2021г.).</w:t>
      </w:r>
    </w:p>
    <w:p w14:paraId="58532429" w14:textId="235D3E67" w:rsidR="009C40E7"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9C40E7">
        <w:rPr>
          <w:rFonts w:ascii="Times New Roman" w:hAnsi="Times New Roman" w:cs="Times New Roman"/>
          <w:i/>
          <w:iCs/>
          <w:sz w:val="28"/>
          <w:szCs w:val="28"/>
          <w:lang w:val="kk-KZ" w:bidi="ar-SA"/>
        </w:rPr>
        <w:t>Анамнез жизни</w:t>
      </w:r>
      <w:r>
        <w:rPr>
          <w:rFonts w:ascii="Times New Roman" w:hAnsi="Times New Roman" w:cs="Times New Roman"/>
          <w:sz w:val="28"/>
          <w:szCs w:val="28"/>
          <w:lang w:val="kk-KZ" w:bidi="ar-SA"/>
        </w:rPr>
        <w:t>: субклинический гипотиреоз. Наследственность отягощена по АГ, ИБС.</w:t>
      </w:r>
    </w:p>
    <w:p w14:paraId="77DFE5B6" w14:textId="77777777" w:rsidR="009C40E7" w:rsidRPr="0011617E"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Концентрации дабигатрана и апиксабана (пиковая/минимальная концентрации)</w:t>
      </w:r>
      <w:r>
        <w:rPr>
          <w:rFonts w:ascii="Times New Roman" w:hAnsi="Times New Roman" w:cs="Times New Roman"/>
          <w:sz w:val="28"/>
          <w:szCs w:val="28"/>
          <w:lang w:val="kk-KZ" w:bidi="ar-SA"/>
        </w:rPr>
        <w:t xml:space="preserve">: </w:t>
      </w:r>
    </w:p>
    <w:p w14:paraId="637C77D8" w14:textId="77777777" w:rsidR="009C40E7" w:rsidRPr="0011617E" w:rsidRDefault="009C40E7" w:rsidP="009C40E7">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6"/>
      </w:tblGrid>
      <w:tr w:rsidR="009C40E7" w14:paraId="1EAC1EF3" w14:textId="77777777" w:rsidTr="00E41A93">
        <w:tc>
          <w:tcPr>
            <w:tcW w:w="2265" w:type="dxa"/>
          </w:tcPr>
          <w:p w14:paraId="390E758E"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Дабигатран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max</w:t>
            </w:r>
          </w:p>
          <w:p w14:paraId="7AC0AB7D"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(117-275) </w:t>
            </w:r>
            <w:r w:rsidRPr="0011617E">
              <w:rPr>
                <w:rFonts w:ascii="Times New Roman" w:hAnsi="Times New Roman" w:cs="Times New Roman"/>
                <w:b/>
                <w:bCs/>
                <w:sz w:val="24"/>
                <w:szCs w:val="24"/>
                <w:lang w:bidi="ar-SA"/>
              </w:rPr>
              <w:t>нг/мл</w:t>
            </w:r>
          </w:p>
        </w:tc>
        <w:tc>
          <w:tcPr>
            <w:tcW w:w="2265" w:type="dxa"/>
          </w:tcPr>
          <w:p w14:paraId="4C7FD19F"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bidi="ar-SA"/>
              </w:rPr>
              <w:t>Дабигатран С</w:t>
            </w:r>
            <w:r w:rsidRPr="009C40E7">
              <w:rPr>
                <w:rFonts w:ascii="Times New Roman" w:hAnsi="Times New Roman" w:cs="Times New Roman"/>
                <w:b/>
                <w:bCs/>
                <w:sz w:val="24"/>
                <w:szCs w:val="24"/>
                <w:vertAlign w:val="subscript"/>
                <w:lang w:val="en-US" w:bidi="ar-SA"/>
              </w:rPr>
              <w:t xml:space="preserve">min </w:t>
            </w:r>
            <w:r w:rsidRPr="0011617E">
              <w:rPr>
                <w:rFonts w:ascii="Times New Roman" w:hAnsi="Times New Roman" w:cs="Times New Roman"/>
                <w:b/>
                <w:bCs/>
                <w:sz w:val="24"/>
                <w:szCs w:val="24"/>
                <w:lang w:val="en-US" w:bidi="ar-SA"/>
              </w:rPr>
              <w:t xml:space="preserve">(61-143) </w:t>
            </w:r>
            <w:r w:rsidRPr="0011617E">
              <w:rPr>
                <w:rFonts w:ascii="Times New Roman" w:hAnsi="Times New Roman" w:cs="Times New Roman"/>
                <w:b/>
                <w:bCs/>
                <w:sz w:val="24"/>
                <w:szCs w:val="24"/>
                <w:lang w:val="kk-KZ" w:bidi="ar-SA"/>
              </w:rPr>
              <w:t>нг/мл</w:t>
            </w:r>
          </w:p>
        </w:tc>
        <w:tc>
          <w:tcPr>
            <w:tcW w:w="2265" w:type="dxa"/>
          </w:tcPr>
          <w:p w14:paraId="5E999A4D"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val="kk-KZ" w:bidi="ar-SA"/>
              </w:rPr>
              <w:t>Апиксабан С</w:t>
            </w:r>
            <w:r w:rsidRPr="0011617E">
              <w:rPr>
                <w:rFonts w:ascii="Times New Roman" w:hAnsi="Times New Roman" w:cs="Times New Roman"/>
                <w:b/>
                <w:bCs/>
                <w:sz w:val="24"/>
                <w:szCs w:val="24"/>
                <w:vertAlign w:val="subscript"/>
                <w:lang w:val="en-US" w:bidi="ar-SA"/>
              </w:rPr>
              <w:t>max</w:t>
            </w:r>
          </w:p>
          <w:p w14:paraId="45C15822"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val="en-US" w:bidi="ar-SA"/>
              </w:rPr>
              <w:t>(</w:t>
            </w:r>
            <w:r w:rsidRPr="0011617E">
              <w:rPr>
                <w:rFonts w:ascii="Times New Roman" w:hAnsi="Times New Roman" w:cs="Times New Roman"/>
                <w:b/>
                <w:bCs/>
                <w:sz w:val="24"/>
                <w:szCs w:val="24"/>
                <w:lang w:bidi="ar-SA"/>
              </w:rPr>
              <w:t>91-321</w:t>
            </w:r>
            <w:r w:rsidRPr="0011617E">
              <w:rPr>
                <w:rFonts w:ascii="Times New Roman" w:hAnsi="Times New Roman" w:cs="Times New Roman"/>
                <w:b/>
                <w:bCs/>
                <w:sz w:val="24"/>
                <w:szCs w:val="24"/>
                <w:lang w:val="en-US" w:bidi="ar-SA"/>
              </w:rPr>
              <w:t xml:space="preserve">) </w:t>
            </w:r>
            <w:r w:rsidRPr="0011617E">
              <w:rPr>
                <w:rFonts w:ascii="Times New Roman" w:hAnsi="Times New Roman" w:cs="Times New Roman"/>
                <w:b/>
                <w:bCs/>
                <w:sz w:val="24"/>
                <w:szCs w:val="24"/>
                <w:lang w:bidi="ar-SA"/>
              </w:rPr>
              <w:t>нг/мл</w:t>
            </w:r>
          </w:p>
        </w:tc>
        <w:tc>
          <w:tcPr>
            <w:tcW w:w="2266" w:type="dxa"/>
          </w:tcPr>
          <w:p w14:paraId="255EFA3A"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Апиксабан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min</w:t>
            </w:r>
          </w:p>
          <w:p w14:paraId="47B24FCC"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(41-230) </w:t>
            </w:r>
            <w:r w:rsidRPr="0011617E">
              <w:rPr>
                <w:rFonts w:ascii="Times New Roman" w:hAnsi="Times New Roman" w:cs="Times New Roman"/>
                <w:b/>
                <w:bCs/>
                <w:sz w:val="24"/>
                <w:szCs w:val="24"/>
                <w:lang w:bidi="ar-SA"/>
              </w:rPr>
              <w:t>нг/мл</w:t>
            </w:r>
          </w:p>
        </w:tc>
      </w:tr>
      <w:tr w:rsidR="009C40E7" w14:paraId="65990FF8" w14:textId="77777777" w:rsidTr="00E41A93">
        <w:tc>
          <w:tcPr>
            <w:tcW w:w="2265" w:type="dxa"/>
          </w:tcPr>
          <w:p w14:paraId="4C2C21F3" w14:textId="25F3590A"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229,57</w:t>
            </w:r>
          </w:p>
        </w:tc>
        <w:tc>
          <w:tcPr>
            <w:tcW w:w="2265" w:type="dxa"/>
          </w:tcPr>
          <w:p w14:paraId="541F40AA" w14:textId="085A91A0"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82,04</w:t>
            </w:r>
          </w:p>
        </w:tc>
        <w:tc>
          <w:tcPr>
            <w:tcW w:w="2265" w:type="dxa"/>
          </w:tcPr>
          <w:p w14:paraId="4E00AE58" w14:textId="52A0DC8C"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sidRPr="0011617E">
              <w:rPr>
                <w:rFonts w:ascii="Times New Roman" w:hAnsi="Times New Roman" w:cs="Times New Roman"/>
                <w:sz w:val="24"/>
                <w:szCs w:val="24"/>
                <w:lang w:val="en-US" w:bidi="ar-SA"/>
              </w:rPr>
              <w:t>1</w:t>
            </w:r>
            <w:r>
              <w:rPr>
                <w:rFonts w:ascii="Times New Roman" w:hAnsi="Times New Roman" w:cs="Times New Roman"/>
                <w:sz w:val="24"/>
                <w:szCs w:val="24"/>
                <w:lang w:bidi="ar-SA"/>
              </w:rPr>
              <w:t>90</w:t>
            </w:r>
          </w:p>
        </w:tc>
        <w:tc>
          <w:tcPr>
            <w:tcW w:w="2266" w:type="dxa"/>
          </w:tcPr>
          <w:p w14:paraId="0B2D5817" w14:textId="4C75BC24"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125,3</w:t>
            </w:r>
          </w:p>
        </w:tc>
      </w:tr>
    </w:tbl>
    <w:p w14:paraId="3C067DFA" w14:textId="77777777" w:rsidR="009C40E7" w:rsidRDefault="009C40E7" w:rsidP="009C40E7">
      <w:pPr>
        <w:pStyle w:val="LO-normal"/>
        <w:spacing w:after="0" w:line="240" w:lineRule="auto"/>
        <w:ind w:firstLine="567"/>
        <w:jc w:val="both"/>
        <w:rPr>
          <w:rFonts w:ascii="Times New Roman" w:hAnsi="Times New Roman" w:cs="Times New Roman"/>
          <w:sz w:val="28"/>
          <w:szCs w:val="28"/>
          <w:lang w:val="en-US"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p w14:paraId="601BB456"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F87B08">
        <w:rPr>
          <w:rFonts w:ascii="Times New Roman" w:hAnsi="Times New Roman" w:cs="Times New Roman"/>
          <w:i/>
          <w:iCs/>
          <w:sz w:val="28"/>
          <w:szCs w:val="28"/>
          <w:lang w:bidi="ar-SA"/>
        </w:rPr>
        <w:t>Генотип</w:t>
      </w:r>
      <w:r>
        <w:rPr>
          <w:rFonts w:ascii="Times New Roman" w:hAnsi="Times New Roman" w:cs="Times New Roman"/>
          <w:sz w:val="28"/>
          <w:szCs w:val="28"/>
          <w:lang w:bidi="ar-S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350"/>
        <w:gridCol w:w="1294"/>
        <w:gridCol w:w="1295"/>
        <w:gridCol w:w="1295"/>
        <w:gridCol w:w="1295"/>
      </w:tblGrid>
      <w:tr w:rsidR="009C40E7" w:rsidRPr="00F87B08" w14:paraId="7E5A8AFE" w14:textId="77777777" w:rsidTr="00E41A93">
        <w:tc>
          <w:tcPr>
            <w:tcW w:w="1294" w:type="dxa"/>
          </w:tcPr>
          <w:p w14:paraId="21E24340"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003AB955"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67E4A581"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49AE2579"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ABCB1</w:t>
            </w:r>
          </w:p>
        </w:tc>
        <w:tc>
          <w:tcPr>
            <w:tcW w:w="1295" w:type="dxa"/>
          </w:tcPr>
          <w:p w14:paraId="38E0727E"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159515F5"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137804BD"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r>
      <w:tr w:rsidR="009C40E7" w:rsidRPr="00F87B08" w14:paraId="1C4B1803" w14:textId="77777777" w:rsidTr="00E41A93">
        <w:tc>
          <w:tcPr>
            <w:tcW w:w="1294" w:type="dxa"/>
          </w:tcPr>
          <w:p w14:paraId="72932549"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sidRPr="00F87B08">
              <w:rPr>
                <w:rFonts w:ascii="Times New Roman" w:hAnsi="Times New Roman" w:cs="Times New Roman"/>
                <w:sz w:val="24"/>
                <w:szCs w:val="24"/>
                <w:lang w:val="en-US" w:bidi="ar-SA"/>
              </w:rPr>
              <w:t>rs8192935</w:t>
            </w:r>
            <w:r>
              <w:rPr>
                <w:rFonts w:ascii="Times New Roman" w:hAnsi="Times New Roman" w:cs="Times New Roman"/>
                <w:sz w:val="24"/>
                <w:szCs w:val="24"/>
                <w:lang w:val="en-US" w:bidi="ar-SA"/>
              </w:rPr>
              <w:t xml:space="preserve"> A/G</w:t>
            </w:r>
          </w:p>
        </w:tc>
        <w:tc>
          <w:tcPr>
            <w:tcW w:w="1294" w:type="dxa"/>
          </w:tcPr>
          <w:p w14:paraId="120A5AD5"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rs2244613 G/T</w:t>
            </w:r>
          </w:p>
        </w:tc>
        <w:tc>
          <w:tcPr>
            <w:tcW w:w="1294" w:type="dxa"/>
          </w:tcPr>
          <w:p w14:paraId="324B53DA"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rs71647871 A/G</w:t>
            </w:r>
          </w:p>
        </w:tc>
        <w:tc>
          <w:tcPr>
            <w:tcW w:w="1294" w:type="dxa"/>
          </w:tcPr>
          <w:p w14:paraId="0EDCAE10" w14:textId="77777777" w:rsidR="009C40E7" w:rsidRPr="00F87B08"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rs4148738 C/T</w:t>
            </w:r>
          </w:p>
        </w:tc>
        <w:tc>
          <w:tcPr>
            <w:tcW w:w="1295" w:type="dxa"/>
          </w:tcPr>
          <w:p w14:paraId="430E4373"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rs1045642 A/G</w:t>
            </w:r>
          </w:p>
        </w:tc>
        <w:tc>
          <w:tcPr>
            <w:tcW w:w="1295" w:type="dxa"/>
          </w:tcPr>
          <w:p w14:paraId="153E6FFE"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rs2032582 C/A</w:t>
            </w:r>
          </w:p>
        </w:tc>
        <w:tc>
          <w:tcPr>
            <w:tcW w:w="1295" w:type="dxa"/>
          </w:tcPr>
          <w:p w14:paraId="175B1541"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rs1128503 A/G</w:t>
            </w:r>
          </w:p>
        </w:tc>
      </w:tr>
      <w:tr w:rsidR="009C40E7" w:rsidRPr="00F87B08" w14:paraId="2ECF4E4A" w14:textId="77777777" w:rsidTr="00E41A93">
        <w:tc>
          <w:tcPr>
            <w:tcW w:w="1294" w:type="dxa"/>
          </w:tcPr>
          <w:p w14:paraId="07E4E3D0" w14:textId="6F0FAC9B"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7304694B" w14:textId="19968926"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TT</w:t>
            </w:r>
          </w:p>
        </w:tc>
        <w:tc>
          <w:tcPr>
            <w:tcW w:w="1294" w:type="dxa"/>
          </w:tcPr>
          <w:p w14:paraId="0B484E12"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6FE7CAB3"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CT</w:t>
            </w:r>
          </w:p>
        </w:tc>
        <w:tc>
          <w:tcPr>
            <w:tcW w:w="1295" w:type="dxa"/>
          </w:tcPr>
          <w:p w14:paraId="2A581DC7"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c>
          <w:tcPr>
            <w:tcW w:w="1295" w:type="dxa"/>
          </w:tcPr>
          <w:p w14:paraId="117B3296" w14:textId="1F1D66AE"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CA</w:t>
            </w:r>
          </w:p>
        </w:tc>
        <w:tc>
          <w:tcPr>
            <w:tcW w:w="1295" w:type="dxa"/>
          </w:tcPr>
          <w:p w14:paraId="3E506F6C"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r>
    </w:tbl>
    <w:p w14:paraId="61FB2E5E" w14:textId="77777777" w:rsidR="009C40E7" w:rsidRDefault="009C40E7" w:rsidP="009C40E7">
      <w:pPr>
        <w:pStyle w:val="LO-normal"/>
        <w:spacing w:after="0" w:line="240" w:lineRule="auto"/>
        <w:jc w:val="both"/>
        <w:rPr>
          <w:rFonts w:ascii="Times New Roman" w:hAnsi="Times New Roman" w:cs="Times New Roman"/>
          <w:sz w:val="28"/>
          <w:szCs w:val="28"/>
          <w:lang w:bidi="ar-SA"/>
        </w:rPr>
      </w:pPr>
    </w:p>
    <w:p w14:paraId="7C2EC2E8" w14:textId="6529E146"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Принимаемые препараты</w:t>
      </w:r>
      <w:r>
        <w:rPr>
          <w:rFonts w:ascii="Times New Roman" w:hAnsi="Times New Roman" w:cs="Times New Roman"/>
          <w:sz w:val="28"/>
          <w:szCs w:val="28"/>
          <w:lang w:bidi="ar-SA"/>
        </w:rPr>
        <w:t>: Ксарелто 20 мг, Стопресс 4 мг, Ультрокс 20 мг, Эутирокс 75 мкг, Омез 20 мг. (</w:t>
      </w:r>
      <w:r w:rsidRPr="009C40E7">
        <w:rPr>
          <w:rFonts w:ascii="Times New Roman" w:hAnsi="Times New Roman" w:cs="Times New Roman"/>
          <w:i/>
          <w:iCs/>
          <w:sz w:val="28"/>
          <w:szCs w:val="28"/>
          <w:lang w:bidi="ar-SA"/>
        </w:rPr>
        <w:t xml:space="preserve">Пациентка переведена с препарата Прадакса 300мг/сут на Ксарелто 20 мг из-за развития диспепсических </w:t>
      </w:r>
      <w:r>
        <w:rPr>
          <w:rFonts w:ascii="Times New Roman" w:hAnsi="Times New Roman" w:cs="Times New Roman"/>
          <w:i/>
          <w:iCs/>
          <w:sz w:val="28"/>
          <w:szCs w:val="28"/>
          <w:lang w:bidi="ar-SA"/>
        </w:rPr>
        <w:t>побочных эффектов</w:t>
      </w:r>
      <w:r>
        <w:rPr>
          <w:rFonts w:ascii="Times New Roman" w:hAnsi="Times New Roman" w:cs="Times New Roman"/>
          <w:sz w:val="28"/>
          <w:szCs w:val="28"/>
          <w:lang w:bidi="ar-SA"/>
        </w:rPr>
        <w:t xml:space="preserve">). </w:t>
      </w:r>
    </w:p>
    <w:p w14:paraId="28F83AAA" w14:textId="57E0FDF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i/>
          <w:iCs/>
          <w:sz w:val="28"/>
          <w:szCs w:val="28"/>
          <w:lang w:bidi="ar-SA"/>
        </w:rPr>
        <w:t>Через 6 месяцев после выписки была госпитализирована с ТИА</w:t>
      </w:r>
      <w:r>
        <w:rPr>
          <w:rFonts w:ascii="Times New Roman" w:hAnsi="Times New Roman" w:cs="Times New Roman"/>
          <w:sz w:val="28"/>
          <w:szCs w:val="28"/>
          <w:lang w:bidi="ar-SA"/>
        </w:rPr>
        <w:t>.</w:t>
      </w:r>
    </w:p>
    <w:p w14:paraId="55EF5350" w14:textId="3D5CDEA3"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Рост: 170см. Вес:88кг. ИМТ:30,45кг/м</w:t>
      </w:r>
      <w:r w:rsidRPr="00F87B08">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ЧСС:76уд/мин. АД: 150/80мм.рт.ст. </w:t>
      </w:r>
    </w:p>
    <w:p w14:paraId="595C0FCF" w14:textId="77777777" w:rsidR="009C40E7" w:rsidRPr="009C40E7" w:rsidRDefault="009C40E7" w:rsidP="009C40E7">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Результаты проведенных лабораторных и инструментальных исследований.</w:t>
      </w:r>
    </w:p>
    <w:p w14:paraId="3BD759AE" w14:textId="45CE755D"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Общий анализ крови</w:t>
      </w:r>
      <w:r>
        <w:rPr>
          <w:rFonts w:ascii="Times New Roman" w:hAnsi="Times New Roman" w:cs="Times New Roman"/>
          <w:sz w:val="28"/>
          <w:szCs w:val="28"/>
          <w:lang w:bidi="ar-SA"/>
        </w:rPr>
        <w:t xml:space="preserve"> – лейкоциты 9,4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(4,5-11), эритроциты 4,98 10</w:t>
      </w:r>
      <w:r w:rsidRPr="009C40E7">
        <w:rPr>
          <w:rFonts w:ascii="Times New Roman" w:hAnsi="Times New Roman" w:cs="Times New Roman"/>
          <w:sz w:val="28"/>
          <w:szCs w:val="28"/>
          <w:vertAlign w:val="superscript"/>
          <w:lang w:bidi="ar-SA"/>
        </w:rPr>
        <w:t>12</w:t>
      </w:r>
      <w:r>
        <w:rPr>
          <w:rFonts w:ascii="Times New Roman" w:hAnsi="Times New Roman" w:cs="Times New Roman"/>
          <w:sz w:val="28"/>
          <w:szCs w:val="28"/>
          <w:lang w:bidi="ar-SA"/>
        </w:rPr>
        <w:t>/л (3,8-5,5), гемоглобин 149 г/л (115-140), тромбоциты 240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(140-400).</w:t>
      </w:r>
    </w:p>
    <w:p w14:paraId="4F984E1D" w14:textId="51D32AA1"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Биохимический анализ крови</w:t>
      </w:r>
      <w:r>
        <w:rPr>
          <w:rFonts w:ascii="Times New Roman" w:hAnsi="Times New Roman" w:cs="Times New Roman"/>
          <w:sz w:val="28"/>
          <w:szCs w:val="28"/>
          <w:lang w:bidi="ar-SA"/>
        </w:rPr>
        <w:t xml:space="preserve"> – глюкоза 105 мг/дл (74-106), креатинин 0,83 мг/дл (0,5-0,9), СКФ 83 мл/мин/1,73м</w:t>
      </w:r>
      <w:r w:rsidRPr="009C40E7">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АЛТ 34 Ед/л (0-33), АСТ 30 Ед/л (0-32), холестерин общий 6,19 ммоль/л, ЛПВП 1,45 ммоль/л, ЛПНП 4,07ммоль/л, триглицериды 2,52 ммоль/л, калий 4,4 ммоль/л.</w:t>
      </w:r>
    </w:p>
    <w:p w14:paraId="20F98993" w14:textId="2BCA9A2C"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Гормоны щитовидной железы</w:t>
      </w:r>
      <w:r>
        <w:rPr>
          <w:rFonts w:ascii="Times New Roman" w:hAnsi="Times New Roman" w:cs="Times New Roman"/>
          <w:sz w:val="28"/>
          <w:szCs w:val="28"/>
          <w:lang w:bidi="ar-SA"/>
        </w:rPr>
        <w:t xml:space="preserve"> – тиреотропный гормон 0,133 нг/мл (0,27-4,2), свободный трийодтиронин (св.Т3) 5,04 пмоль/л (3,1-6,8), свободный тироксин 20,12 пмоль/л (12-22).</w:t>
      </w:r>
    </w:p>
    <w:p w14:paraId="201F9A7B" w14:textId="2801E3CD"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Коагулограмма</w:t>
      </w:r>
      <w:r>
        <w:rPr>
          <w:rFonts w:ascii="Times New Roman" w:hAnsi="Times New Roman" w:cs="Times New Roman"/>
          <w:sz w:val="28"/>
          <w:szCs w:val="28"/>
          <w:lang w:bidi="ar-SA"/>
        </w:rPr>
        <w:t xml:space="preserve"> – протромбиновое время (ПВ) 11,9 сек (9,4-12,5), протромбиновый индекс (ПТИ) 93% (70-140), МНО 1,06 (0,9-1,2), АЧТВ 42,7 сек (25,1-36,5), фибриноген 2,88 г/л (2-3,93).</w:t>
      </w:r>
    </w:p>
    <w:p w14:paraId="097CE8B9" w14:textId="73206C1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ФГДС</w:t>
      </w:r>
      <w:r>
        <w:rPr>
          <w:rFonts w:ascii="Times New Roman" w:hAnsi="Times New Roman" w:cs="Times New Roman"/>
          <w:sz w:val="28"/>
          <w:szCs w:val="28"/>
          <w:lang w:bidi="ar-SA"/>
        </w:rPr>
        <w:t>: катаральный очаговый гастрит.</w:t>
      </w:r>
    </w:p>
    <w:p w14:paraId="17F8BAFB" w14:textId="0A0F896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поступлении</w:t>
      </w:r>
      <w:r>
        <w:rPr>
          <w:rFonts w:ascii="Times New Roman" w:hAnsi="Times New Roman" w:cs="Times New Roman"/>
          <w:sz w:val="28"/>
          <w:szCs w:val="28"/>
          <w:lang w:bidi="ar-SA"/>
        </w:rPr>
        <w:t>: ритм фибрилляции предсердий, ЧЖС 70 уд/мин, ЭОС отклонена влево.</w:t>
      </w:r>
    </w:p>
    <w:p w14:paraId="3C29E462" w14:textId="6E74CAF5"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выписке</w:t>
      </w:r>
      <w:r>
        <w:rPr>
          <w:rFonts w:ascii="Times New Roman" w:hAnsi="Times New Roman" w:cs="Times New Roman"/>
          <w:sz w:val="28"/>
          <w:szCs w:val="28"/>
          <w:lang w:bidi="ar-SA"/>
        </w:rPr>
        <w:t>: ритм фибрилляции предсердий, ЧЖС 79 уд/мин, ЭОС отклонена влево.</w:t>
      </w:r>
    </w:p>
    <w:p w14:paraId="2E2B5C18" w14:textId="77ED29AF"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Эхокардиография</w:t>
      </w:r>
      <w:r>
        <w:rPr>
          <w:rFonts w:ascii="Times New Roman" w:hAnsi="Times New Roman" w:cs="Times New Roman"/>
          <w:sz w:val="28"/>
          <w:szCs w:val="28"/>
          <w:lang w:bidi="ar-SA"/>
        </w:rPr>
        <w:t xml:space="preserve">: дилатация восходящего отдела аорты, обоих предсердий. Недостаточность митрального клапана, трикуспидального клапана легкой степени. Систолическая функция левого желудочка удовлетворительная (ФВ 58%). </w:t>
      </w:r>
    </w:p>
    <w:p w14:paraId="4538E591" w14:textId="7A5B44A8"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сосудов экстракраниального бассейна</w:t>
      </w:r>
      <w:r>
        <w:rPr>
          <w:rFonts w:ascii="Times New Roman" w:hAnsi="Times New Roman" w:cs="Times New Roman"/>
          <w:sz w:val="28"/>
          <w:szCs w:val="28"/>
          <w:lang w:bidi="ar-SA"/>
        </w:rPr>
        <w:t>: атеросклероз сонных артерий, без нарушения гемодинамики.</w:t>
      </w:r>
    </w:p>
    <w:p w14:paraId="4BA4EA4F" w14:textId="15FAB72F"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артерий/вен верхних и нижних конечностей</w:t>
      </w:r>
      <w:r>
        <w:rPr>
          <w:rFonts w:ascii="Times New Roman" w:hAnsi="Times New Roman" w:cs="Times New Roman"/>
          <w:sz w:val="28"/>
          <w:szCs w:val="28"/>
          <w:lang w:bidi="ar-SA"/>
        </w:rPr>
        <w:t>: артерии и вены нижних конечностей проходимы.</w:t>
      </w:r>
    </w:p>
    <w:p w14:paraId="10BDBE4E" w14:textId="1674D6AE" w:rsidR="009C40E7" w:rsidRP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Магниторезонансная томография головного мозга</w:t>
      </w:r>
      <w:r>
        <w:rPr>
          <w:rFonts w:ascii="Times New Roman" w:hAnsi="Times New Roman" w:cs="Times New Roman"/>
          <w:sz w:val="28"/>
          <w:szCs w:val="28"/>
          <w:lang w:bidi="ar-SA"/>
        </w:rPr>
        <w:t>: МР признаки энцефалопатии с умеренной вентрикуломегалией и асимметрией боковых желудочков (</w:t>
      </w:r>
      <w:r>
        <w:rPr>
          <w:rFonts w:ascii="Times New Roman" w:hAnsi="Times New Roman" w:cs="Times New Roman"/>
          <w:sz w:val="28"/>
          <w:szCs w:val="28"/>
          <w:lang w:val="en-US" w:bidi="ar-SA"/>
        </w:rPr>
        <w:t>Fazekas</w:t>
      </w:r>
      <w:r w:rsidRPr="009C40E7">
        <w:rPr>
          <w:rFonts w:ascii="Times New Roman" w:hAnsi="Times New Roman" w:cs="Times New Roman"/>
          <w:sz w:val="28"/>
          <w:szCs w:val="28"/>
          <w:lang w:bidi="ar-SA"/>
        </w:rPr>
        <w:t>2</w:t>
      </w:r>
      <w:r>
        <w:rPr>
          <w:rFonts w:ascii="Times New Roman" w:hAnsi="Times New Roman" w:cs="Times New Roman"/>
          <w:sz w:val="28"/>
          <w:szCs w:val="28"/>
          <w:lang w:bidi="ar-SA"/>
        </w:rPr>
        <w:t>).</w:t>
      </w:r>
    </w:p>
    <w:p w14:paraId="4FA62408" w14:textId="77777777" w:rsidR="009C40E7" w:rsidRDefault="009C40E7" w:rsidP="00726D21">
      <w:pPr>
        <w:pStyle w:val="LO-normal"/>
        <w:spacing w:after="0" w:line="240" w:lineRule="auto"/>
        <w:jc w:val="both"/>
        <w:rPr>
          <w:rFonts w:ascii="Times New Roman" w:hAnsi="Times New Roman" w:cs="Times New Roman"/>
          <w:sz w:val="28"/>
          <w:szCs w:val="28"/>
          <w:lang w:bidi="ar-SA"/>
        </w:rPr>
      </w:pPr>
    </w:p>
    <w:p w14:paraId="1386B7E6" w14:textId="2AB7C233" w:rsidR="009C40E7" w:rsidRDefault="009C40E7" w:rsidP="009C40E7">
      <w:pPr>
        <w:pStyle w:val="LO-normal"/>
        <w:spacing w:after="0" w:line="240" w:lineRule="auto"/>
        <w:ind w:firstLine="567"/>
        <w:jc w:val="both"/>
        <w:rPr>
          <w:rFonts w:ascii="Times New Roman" w:hAnsi="Times New Roman" w:cs="Times New Roman"/>
          <w:i/>
          <w:iCs/>
          <w:sz w:val="28"/>
          <w:szCs w:val="28"/>
          <w:lang w:bidi="ar-SA"/>
        </w:rPr>
      </w:pPr>
      <w:r>
        <w:rPr>
          <w:rFonts w:ascii="Times New Roman" w:hAnsi="Times New Roman" w:cs="Times New Roman"/>
          <w:i/>
          <w:iCs/>
          <w:sz w:val="28"/>
          <w:szCs w:val="28"/>
          <w:lang w:bidi="ar-SA"/>
        </w:rPr>
        <w:t>Клинический случай №3. Пациент С, 60 лет.</w:t>
      </w:r>
    </w:p>
    <w:p w14:paraId="202F369E" w14:textId="2EBA3508" w:rsidR="009C40E7"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bidi="ar-SA"/>
        </w:rPr>
        <w:t>Диагноз:</w:t>
      </w:r>
      <w:r>
        <w:rPr>
          <w:rFonts w:ascii="Times New Roman" w:hAnsi="Times New Roman" w:cs="Times New Roman"/>
          <w:sz w:val="28"/>
          <w:szCs w:val="28"/>
          <w:lang w:bidi="ar-SA"/>
        </w:rPr>
        <w:t xml:space="preserve"> НРС. Фибрилляция предсердий, персистирующая форма. </w:t>
      </w:r>
      <w:r>
        <w:rPr>
          <w:rFonts w:ascii="Times New Roman" w:hAnsi="Times New Roman" w:cs="Times New Roman"/>
          <w:sz w:val="28"/>
          <w:szCs w:val="28"/>
          <w:lang w:val="en-US" w:bidi="ar-SA"/>
        </w:rPr>
        <w:t>EHRAII</w:t>
      </w:r>
      <w:r>
        <w:rPr>
          <w:rFonts w:ascii="Times New Roman" w:hAnsi="Times New Roman" w:cs="Times New Roman"/>
          <w:sz w:val="28"/>
          <w:szCs w:val="28"/>
          <w:lang w:bidi="ar-SA"/>
        </w:rPr>
        <w:t>а</w:t>
      </w:r>
      <w:r w:rsidRPr="00926EC0">
        <w:rPr>
          <w:rFonts w:ascii="Times New Roman" w:hAnsi="Times New Roman" w:cs="Times New Roman"/>
          <w:sz w:val="28"/>
          <w:szCs w:val="28"/>
          <w:lang w:val="en-US" w:bidi="ar-SA"/>
        </w:rPr>
        <w:t xml:space="preserve">. </w:t>
      </w:r>
      <w:r>
        <w:rPr>
          <w:rFonts w:ascii="Times New Roman" w:hAnsi="Times New Roman" w:cs="Times New Roman"/>
          <w:sz w:val="28"/>
          <w:szCs w:val="28"/>
          <w:lang w:val="en-US" w:bidi="ar-SA"/>
        </w:rPr>
        <w:t>CHA</w:t>
      </w:r>
      <w:r w:rsidRPr="00926EC0">
        <w:rPr>
          <w:rFonts w:ascii="Times New Roman" w:hAnsi="Times New Roman" w:cs="Times New Roman"/>
          <w:sz w:val="28"/>
          <w:szCs w:val="28"/>
          <w:vertAlign w:val="subscript"/>
          <w:lang w:val="en-US" w:bidi="ar-SA"/>
        </w:rPr>
        <w:t>2</w:t>
      </w:r>
      <w:r>
        <w:rPr>
          <w:rFonts w:ascii="Times New Roman" w:hAnsi="Times New Roman" w:cs="Times New Roman"/>
          <w:sz w:val="28"/>
          <w:szCs w:val="28"/>
          <w:lang w:val="en-US" w:bidi="ar-SA"/>
        </w:rPr>
        <w:t>DS</w:t>
      </w:r>
      <w:r w:rsidRPr="00926EC0">
        <w:rPr>
          <w:rFonts w:ascii="Times New Roman" w:hAnsi="Times New Roman" w:cs="Times New Roman"/>
          <w:sz w:val="28"/>
          <w:szCs w:val="28"/>
          <w:vertAlign w:val="subscript"/>
          <w:lang w:val="en-US" w:bidi="ar-SA"/>
        </w:rPr>
        <w:t>2</w:t>
      </w:r>
      <w:r w:rsidRPr="00926EC0">
        <w:rPr>
          <w:rFonts w:ascii="Times New Roman" w:hAnsi="Times New Roman" w:cs="Times New Roman"/>
          <w:sz w:val="28"/>
          <w:szCs w:val="28"/>
          <w:lang w:val="en-US" w:bidi="ar-SA"/>
        </w:rPr>
        <w:t>-</w:t>
      </w:r>
      <w:r>
        <w:rPr>
          <w:rFonts w:ascii="Times New Roman" w:hAnsi="Times New Roman" w:cs="Times New Roman"/>
          <w:sz w:val="28"/>
          <w:szCs w:val="28"/>
          <w:lang w:val="en-US" w:bidi="ar-SA"/>
        </w:rPr>
        <w:t>VA</w:t>
      </w:r>
      <w:r w:rsidRPr="00926EC0">
        <w:rPr>
          <w:rFonts w:ascii="Times New Roman" w:hAnsi="Times New Roman" w:cs="Times New Roman"/>
          <w:sz w:val="28"/>
          <w:szCs w:val="28"/>
          <w:lang w:val="en-US" w:bidi="ar-SA"/>
        </w:rPr>
        <w:t xml:space="preserve"> – 3 </w:t>
      </w:r>
      <w:r>
        <w:rPr>
          <w:rFonts w:ascii="Times New Roman" w:hAnsi="Times New Roman" w:cs="Times New Roman"/>
          <w:sz w:val="28"/>
          <w:szCs w:val="28"/>
          <w:lang w:val="kk-KZ" w:bidi="ar-SA"/>
        </w:rPr>
        <w:t xml:space="preserve">балла. </w:t>
      </w:r>
      <w:r>
        <w:rPr>
          <w:rFonts w:ascii="Times New Roman" w:hAnsi="Times New Roman" w:cs="Times New Roman"/>
          <w:sz w:val="28"/>
          <w:szCs w:val="28"/>
          <w:lang w:val="en-US" w:bidi="ar-SA"/>
        </w:rPr>
        <w:t>HAS</w:t>
      </w:r>
      <w:r w:rsidRPr="00967295">
        <w:rPr>
          <w:rFonts w:ascii="Times New Roman" w:hAnsi="Times New Roman" w:cs="Times New Roman"/>
          <w:sz w:val="28"/>
          <w:szCs w:val="28"/>
          <w:lang w:val="en-US" w:bidi="ar-SA"/>
        </w:rPr>
        <w:t>-</w:t>
      </w:r>
      <w:r>
        <w:rPr>
          <w:rFonts w:ascii="Times New Roman" w:hAnsi="Times New Roman" w:cs="Times New Roman"/>
          <w:sz w:val="28"/>
          <w:szCs w:val="28"/>
          <w:lang w:val="en-US" w:bidi="ar-SA"/>
        </w:rPr>
        <w:t>BLED</w:t>
      </w:r>
      <w:r w:rsidRPr="00967295">
        <w:rPr>
          <w:rFonts w:ascii="Times New Roman" w:hAnsi="Times New Roman" w:cs="Times New Roman"/>
          <w:sz w:val="28"/>
          <w:szCs w:val="28"/>
          <w:lang w:val="en-US" w:bidi="ar-SA"/>
        </w:rPr>
        <w:t xml:space="preserve"> – 1 </w:t>
      </w:r>
      <w:r>
        <w:rPr>
          <w:rFonts w:ascii="Times New Roman" w:hAnsi="Times New Roman" w:cs="Times New Roman"/>
          <w:sz w:val="28"/>
          <w:szCs w:val="28"/>
          <w:lang w:val="kk-KZ" w:bidi="ar-SA"/>
        </w:rPr>
        <w:t xml:space="preserve">балл. ИБС. Трехсосудистое поражение коронарного русла. Стенокардия напряжения </w:t>
      </w:r>
      <w:r>
        <w:rPr>
          <w:rFonts w:ascii="Times New Roman" w:hAnsi="Times New Roman" w:cs="Times New Roman"/>
          <w:sz w:val="28"/>
          <w:szCs w:val="28"/>
          <w:lang w:val="en-US" w:bidi="ar-SA"/>
        </w:rPr>
        <w:t>III</w:t>
      </w:r>
      <w:r>
        <w:rPr>
          <w:rFonts w:ascii="Times New Roman" w:hAnsi="Times New Roman" w:cs="Times New Roman"/>
          <w:sz w:val="28"/>
          <w:szCs w:val="28"/>
          <w:lang w:bidi="ar-SA"/>
        </w:rPr>
        <w:t xml:space="preserve"> ФК. Аутовенозное аортокоронарное шунтирование задней межжелудочковой ветви правой коронарной артерии, ветви тупого края огибающей ветви, маммарокоронарное шунтирование передней межжелудочковой артерии в 2018г. ХСН с сохранной фракцией выброса ЛЖ стадия С (АНА/АСС), ФК </w:t>
      </w:r>
      <w:r>
        <w:rPr>
          <w:rFonts w:ascii="Times New Roman" w:hAnsi="Times New Roman" w:cs="Times New Roman"/>
          <w:sz w:val="28"/>
          <w:szCs w:val="28"/>
          <w:lang w:val="en-US" w:bidi="ar-SA"/>
        </w:rPr>
        <w:t>II</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NYHA</w:t>
      </w:r>
      <w:r>
        <w:rPr>
          <w:rFonts w:ascii="Times New Roman" w:hAnsi="Times New Roman" w:cs="Times New Roman"/>
          <w:sz w:val="28"/>
          <w:szCs w:val="28"/>
          <w:lang w:bidi="ar-SA"/>
        </w:rPr>
        <w:t>)</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val="kk-KZ" w:bidi="ar-SA"/>
        </w:rPr>
        <w:t xml:space="preserve">Артериальная гипертензия 3 степени, риск ССО </w:t>
      </w:r>
      <w:r w:rsidRPr="009C40E7">
        <w:rPr>
          <w:rFonts w:ascii="Times New Roman" w:hAnsi="Times New Roman" w:cs="Times New Roman"/>
          <w:sz w:val="28"/>
          <w:szCs w:val="28"/>
          <w:lang w:bidi="ar-SA"/>
        </w:rPr>
        <w:t>4</w:t>
      </w:r>
      <w:r>
        <w:rPr>
          <w:rFonts w:ascii="Times New Roman" w:hAnsi="Times New Roman" w:cs="Times New Roman"/>
          <w:sz w:val="28"/>
          <w:szCs w:val="28"/>
          <w:lang w:val="kk-KZ" w:bidi="ar-SA"/>
        </w:rPr>
        <w:t xml:space="preserve">. Сахарный диабет 2 типа, </w:t>
      </w:r>
      <w:r>
        <w:rPr>
          <w:rFonts w:ascii="Times New Roman" w:hAnsi="Times New Roman" w:cs="Times New Roman"/>
          <w:sz w:val="28"/>
          <w:szCs w:val="28"/>
          <w:lang w:bidi="ar-SA"/>
        </w:rPr>
        <w:t>инсулин потребная фаза</w:t>
      </w:r>
      <w:r>
        <w:rPr>
          <w:rFonts w:ascii="Times New Roman" w:hAnsi="Times New Roman" w:cs="Times New Roman"/>
          <w:sz w:val="28"/>
          <w:szCs w:val="28"/>
          <w:lang w:val="kk-KZ" w:bidi="ar-SA"/>
        </w:rPr>
        <w:t>. Диабетическая полинейропатия нижних конечностей.</w:t>
      </w:r>
    </w:p>
    <w:p w14:paraId="3249B372" w14:textId="25C7332A" w:rsidR="009C40E7" w:rsidRP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val="kk-KZ" w:bidi="ar-SA"/>
        </w:rPr>
        <w:t>Анамнез жизни</w:t>
      </w:r>
      <w:r>
        <w:rPr>
          <w:rFonts w:ascii="Times New Roman" w:hAnsi="Times New Roman" w:cs="Times New Roman"/>
          <w:sz w:val="28"/>
          <w:szCs w:val="28"/>
          <w:lang w:val="kk-KZ" w:bidi="ar-SA"/>
        </w:rPr>
        <w:t xml:space="preserve">: </w:t>
      </w:r>
      <w:r>
        <w:rPr>
          <w:rFonts w:ascii="Times New Roman" w:hAnsi="Times New Roman" w:cs="Times New Roman"/>
          <w:sz w:val="28"/>
          <w:szCs w:val="28"/>
          <w:lang w:bidi="ar-SA"/>
        </w:rPr>
        <w:t xml:space="preserve">мультифокальный атеросклероз. Облитерирующий атеросклероз. Окклюзия поверхностной бедренной артерии справа. Бедренно-подколенное шунтирование правой нижней конечности (2019г.). Стеноз шунта справа. Ишемия </w:t>
      </w:r>
      <w:r>
        <w:rPr>
          <w:rFonts w:ascii="Times New Roman" w:hAnsi="Times New Roman" w:cs="Times New Roman"/>
          <w:sz w:val="28"/>
          <w:szCs w:val="28"/>
          <w:lang w:val="en-US" w:bidi="ar-SA"/>
        </w:rPr>
        <w:t>II</w:t>
      </w:r>
      <w:r>
        <w:rPr>
          <w:rFonts w:ascii="Times New Roman" w:hAnsi="Times New Roman" w:cs="Times New Roman"/>
          <w:sz w:val="28"/>
          <w:szCs w:val="28"/>
          <w:lang w:bidi="ar-SA"/>
        </w:rPr>
        <w:t xml:space="preserve"> ст. Наследственность отягощена по сахарному диабету 2 типа. Стаж курения 28 лет.</w:t>
      </w:r>
    </w:p>
    <w:p w14:paraId="6247CE0D" w14:textId="4976EC14" w:rsidR="009C40E7" w:rsidRPr="009C40E7"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Концентрации дабигатрана и апиксабана (пиковая/минимальная концентрации)</w:t>
      </w:r>
      <w:r>
        <w:rPr>
          <w:rFonts w:ascii="Times New Roman" w:hAnsi="Times New Roman" w:cs="Times New Roman"/>
          <w:sz w:val="28"/>
          <w:szCs w:val="28"/>
          <w:lang w:val="kk-KZ" w:bidi="ar-SA"/>
        </w:rPr>
        <w:t xml:space="preserve">: </w:t>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6"/>
      </w:tblGrid>
      <w:tr w:rsidR="009C40E7" w14:paraId="6E78F774" w14:textId="77777777" w:rsidTr="00E41A93">
        <w:tc>
          <w:tcPr>
            <w:tcW w:w="2265" w:type="dxa"/>
          </w:tcPr>
          <w:p w14:paraId="77B8AA47"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Дабигатран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max</w:t>
            </w:r>
          </w:p>
          <w:p w14:paraId="026952AB"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(117-275) </w:t>
            </w:r>
            <w:r w:rsidRPr="0011617E">
              <w:rPr>
                <w:rFonts w:ascii="Times New Roman" w:hAnsi="Times New Roman" w:cs="Times New Roman"/>
                <w:b/>
                <w:bCs/>
                <w:sz w:val="24"/>
                <w:szCs w:val="24"/>
                <w:lang w:bidi="ar-SA"/>
              </w:rPr>
              <w:t>нг/мл</w:t>
            </w:r>
          </w:p>
        </w:tc>
        <w:tc>
          <w:tcPr>
            <w:tcW w:w="2265" w:type="dxa"/>
          </w:tcPr>
          <w:p w14:paraId="1D951AC1"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bidi="ar-SA"/>
              </w:rPr>
              <w:t>Дабигатран С</w:t>
            </w:r>
            <w:r w:rsidRPr="009C40E7">
              <w:rPr>
                <w:rFonts w:ascii="Times New Roman" w:hAnsi="Times New Roman" w:cs="Times New Roman"/>
                <w:b/>
                <w:bCs/>
                <w:sz w:val="24"/>
                <w:szCs w:val="24"/>
                <w:vertAlign w:val="subscript"/>
                <w:lang w:val="en-US" w:bidi="ar-SA"/>
              </w:rPr>
              <w:t xml:space="preserve">min </w:t>
            </w:r>
            <w:r w:rsidRPr="0011617E">
              <w:rPr>
                <w:rFonts w:ascii="Times New Roman" w:hAnsi="Times New Roman" w:cs="Times New Roman"/>
                <w:b/>
                <w:bCs/>
                <w:sz w:val="24"/>
                <w:szCs w:val="24"/>
                <w:lang w:val="en-US" w:bidi="ar-SA"/>
              </w:rPr>
              <w:t xml:space="preserve">(61-143) </w:t>
            </w:r>
            <w:r w:rsidRPr="0011617E">
              <w:rPr>
                <w:rFonts w:ascii="Times New Roman" w:hAnsi="Times New Roman" w:cs="Times New Roman"/>
                <w:b/>
                <w:bCs/>
                <w:sz w:val="24"/>
                <w:szCs w:val="24"/>
                <w:lang w:val="kk-KZ" w:bidi="ar-SA"/>
              </w:rPr>
              <w:t>нг/мл</w:t>
            </w:r>
          </w:p>
        </w:tc>
        <w:tc>
          <w:tcPr>
            <w:tcW w:w="2265" w:type="dxa"/>
          </w:tcPr>
          <w:p w14:paraId="7C300D2B"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val="kk-KZ" w:bidi="ar-SA"/>
              </w:rPr>
              <w:t>Апиксабан С</w:t>
            </w:r>
            <w:r w:rsidRPr="0011617E">
              <w:rPr>
                <w:rFonts w:ascii="Times New Roman" w:hAnsi="Times New Roman" w:cs="Times New Roman"/>
                <w:b/>
                <w:bCs/>
                <w:sz w:val="24"/>
                <w:szCs w:val="24"/>
                <w:vertAlign w:val="subscript"/>
                <w:lang w:val="en-US" w:bidi="ar-SA"/>
              </w:rPr>
              <w:t>max</w:t>
            </w:r>
          </w:p>
          <w:p w14:paraId="5A761E29"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val="en-US" w:bidi="ar-SA"/>
              </w:rPr>
              <w:t>(</w:t>
            </w:r>
            <w:r w:rsidRPr="0011617E">
              <w:rPr>
                <w:rFonts w:ascii="Times New Roman" w:hAnsi="Times New Roman" w:cs="Times New Roman"/>
                <w:b/>
                <w:bCs/>
                <w:sz w:val="24"/>
                <w:szCs w:val="24"/>
                <w:lang w:bidi="ar-SA"/>
              </w:rPr>
              <w:t>91-321</w:t>
            </w:r>
            <w:r w:rsidRPr="0011617E">
              <w:rPr>
                <w:rFonts w:ascii="Times New Roman" w:hAnsi="Times New Roman" w:cs="Times New Roman"/>
                <w:b/>
                <w:bCs/>
                <w:sz w:val="24"/>
                <w:szCs w:val="24"/>
                <w:lang w:val="en-US" w:bidi="ar-SA"/>
              </w:rPr>
              <w:t xml:space="preserve">) </w:t>
            </w:r>
            <w:r w:rsidRPr="0011617E">
              <w:rPr>
                <w:rFonts w:ascii="Times New Roman" w:hAnsi="Times New Roman" w:cs="Times New Roman"/>
                <w:b/>
                <w:bCs/>
                <w:sz w:val="24"/>
                <w:szCs w:val="24"/>
                <w:lang w:bidi="ar-SA"/>
              </w:rPr>
              <w:t>нг/мл</w:t>
            </w:r>
          </w:p>
        </w:tc>
        <w:tc>
          <w:tcPr>
            <w:tcW w:w="2266" w:type="dxa"/>
          </w:tcPr>
          <w:p w14:paraId="006FE82F"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Апиксабан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min</w:t>
            </w:r>
          </w:p>
          <w:p w14:paraId="602B0C05"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(41-230) </w:t>
            </w:r>
            <w:r w:rsidRPr="0011617E">
              <w:rPr>
                <w:rFonts w:ascii="Times New Roman" w:hAnsi="Times New Roman" w:cs="Times New Roman"/>
                <w:b/>
                <w:bCs/>
                <w:sz w:val="24"/>
                <w:szCs w:val="24"/>
                <w:lang w:bidi="ar-SA"/>
              </w:rPr>
              <w:t>нг/мл</w:t>
            </w:r>
          </w:p>
        </w:tc>
      </w:tr>
      <w:tr w:rsidR="009C40E7" w14:paraId="5AF20EF3" w14:textId="77777777" w:rsidTr="00E41A93">
        <w:tc>
          <w:tcPr>
            <w:tcW w:w="2265" w:type="dxa"/>
          </w:tcPr>
          <w:p w14:paraId="31BA0811" w14:textId="648B3E0C"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12,3</w:t>
            </w:r>
          </w:p>
        </w:tc>
        <w:tc>
          <w:tcPr>
            <w:tcW w:w="2265" w:type="dxa"/>
          </w:tcPr>
          <w:p w14:paraId="48D42F72" w14:textId="44D9EA97"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10,3</w:t>
            </w:r>
          </w:p>
        </w:tc>
        <w:tc>
          <w:tcPr>
            <w:tcW w:w="2265" w:type="dxa"/>
          </w:tcPr>
          <w:p w14:paraId="0F2CF5E5" w14:textId="79ECD624"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99,9</w:t>
            </w:r>
          </w:p>
        </w:tc>
        <w:tc>
          <w:tcPr>
            <w:tcW w:w="2266" w:type="dxa"/>
          </w:tcPr>
          <w:p w14:paraId="4AE1FEA0" w14:textId="342B8F2F"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62,5</w:t>
            </w:r>
          </w:p>
        </w:tc>
      </w:tr>
    </w:tbl>
    <w:p w14:paraId="1E915644" w14:textId="77777777" w:rsidR="009C40E7" w:rsidRDefault="009C40E7" w:rsidP="009C40E7">
      <w:pPr>
        <w:pStyle w:val="LO-normal"/>
        <w:spacing w:after="0" w:line="240" w:lineRule="auto"/>
        <w:jc w:val="both"/>
        <w:rPr>
          <w:rFonts w:ascii="Times New Roman" w:hAnsi="Times New Roman" w:cs="Times New Roman"/>
          <w:i/>
          <w:iCs/>
          <w:sz w:val="28"/>
          <w:szCs w:val="28"/>
          <w:lang w:bidi="ar-SA"/>
        </w:rPr>
      </w:pPr>
    </w:p>
    <w:p w14:paraId="5AF07CE1" w14:textId="4CD83C62" w:rsidR="009C40E7" w:rsidRDefault="009C40E7" w:rsidP="009C40E7">
      <w:pPr>
        <w:pStyle w:val="LO-normal"/>
        <w:spacing w:after="0" w:line="240" w:lineRule="auto"/>
        <w:jc w:val="both"/>
        <w:rPr>
          <w:rFonts w:ascii="Times New Roman" w:hAnsi="Times New Roman" w:cs="Times New Roman"/>
          <w:sz w:val="28"/>
          <w:szCs w:val="28"/>
          <w:lang w:bidi="ar-SA"/>
        </w:rPr>
      </w:pPr>
      <w:r w:rsidRPr="00F87B08">
        <w:rPr>
          <w:rFonts w:ascii="Times New Roman" w:hAnsi="Times New Roman" w:cs="Times New Roman"/>
          <w:i/>
          <w:iCs/>
          <w:sz w:val="28"/>
          <w:szCs w:val="28"/>
          <w:lang w:bidi="ar-SA"/>
        </w:rPr>
        <w:t>Генотип</w:t>
      </w:r>
      <w:r>
        <w:rPr>
          <w:rFonts w:ascii="Times New Roman" w:hAnsi="Times New Roman" w:cs="Times New Roman"/>
          <w:sz w:val="28"/>
          <w:szCs w:val="28"/>
          <w:lang w:bidi="ar-S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350"/>
        <w:gridCol w:w="1294"/>
        <w:gridCol w:w="1295"/>
        <w:gridCol w:w="1295"/>
        <w:gridCol w:w="1295"/>
      </w:tblGrid>
      <w:tr w:rsidR="009C40E7" w:rsidRPr="00F87B08" w14:paraId="71C14A3D" w14:textId="77777777" w:rsidTr="00E41A93">
        <w:tc>
          <w:tcPr>
            <w:tcW w:w="1294" w:type="dxa"/>
          </w:tcPr>
          <w:p w14:paraId="56F3A79E"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5C72371B"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24B8F76E"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66F8EAA9"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ABCB1</w:t>
            </w:r>
          </w:p>
        </w:tc>
        <w:tc>
          <w:tcPr>
            <w:tcW w:w="1295" w:type="dxa"/>
          </w:tcPr>
          <w:p w14:paraId="764F3BF8"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58BC8C7B"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54664065"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r>
      <w:tr w:rsidR="009C40E7" w:rsidRPr="00F87B08" w14:paraId="6C699B1C" w14:textId="77777777" w:rsidTr="00E41A93">
        <w:tc>
          <w:tcPr>
            <w:tcW w:w="1294" w:type="dxa"/>
          </w:tcPr>
          <w:p w14:paraId="1F4A076A"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sidRPr="00F87B08">
              <w:rPr>
                <w:rFonts w:ascii="Times New Roman" w:hAnsi="Times New Roman" w:cs="Times New Roman"/>
                <w:sz w:val="24"/>
                <w:szCs w:val="24"/>
                <w:lang w:val="en-US" w:bidi="ar-SA"/>
              </w:rPr>
              <w:t>rs8192935</w:t>
            </w:r>
            <w:r>
              <w:rPr>
                <w:rFonts w:ascii="Times New Roman" w:hAnsi="Times New Roman" w:cs="Times New Roman"/>
                <w:sz w:val="24"/>
                <w:szCs w:val="24"/>
                <w:lang w:val="en-US" w:bidi="ar-SA"/>
              </w:rPr>
              <w:t xml:space="preserve"> A/G</w:t>
            </w:r>
          </w:p>
        </w:tc>
        <w:tc>
          <w:tcPr>
            <w:tcW w:w="1294" w:type="dxa"/>
          </w:tcPr>
          <w:p w14:paraId="760B2DB8"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rs2244613 G/T</w:t>
            </w:r>
          </w:p>
        </w:tc>
        <w:tc>
          <w:tcPr>
            <w:tcW w:w="1294" w:type="dxa"/>
          </w:tcPr>
          <w:p w14:paraId="25E5DF3C"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rs71647871 A/G</w:t>
            </w:r>
          </w:p>
        </w:tc>
        <w:tc>
          <w:tcPr>
            <w:tcW w:w="1294" w:type="dxa"/>
          </w:tcPr>
          <w:p w14:paraId="7EB1D024" w14:textId="77777777" w:rsidR="009C40E7" w:rsidRPr="00F87B08"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rs4148738 C/T</w:t>
            </w:r>
          </w:p>
        </w:tc>
        <w:tc>
          <w:tcPr>
            <w:tcW w:w="1295" w:type="dxa"/>
          </w:tcPr>
          <w:p w14:paraId="068B02FF"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rs1045642 A/G</w:t>
            </w:r>
          </w:p>
        </w:tc>
        <w:tc>
          <w:tcPr>
            <w:tcW w:w="1295" w:type="dxa"/>
          </w:tcPr>
          <w:p w14:paraId="1DFEA52A"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rs2032582 C/A</w:t>
            </w:r>
          </w:p>
        </w:tc>
        <w:tc>
          <w:tcPr>
            <w:tcW w:w="1295" w:type="dxa"/>
          </w:tcPr>
          <w:p w14:paraId="4D12FC65"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rs1128503 A/G</w:t>
            </w:r>
          </w:p>
        </w:tc>
      </w:tr>
      <w:tr w:rsidR="009C40E7" w:rsidRPr="00F87B08" w14:paraId="501B7E08" w14:textId="77777777" w:rsidTr="00E41A93">
        <w:tc>
          <w:tcPr>
            <w:tcW w:w="1294" w:type="dxa"/>
          </w:tcPr>
          <w:p w14:paraId="2A707B02" w14:textId="348F431D"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A</w:t>
            </w:r>
            <w:r>
              <w:rPr>
                <w:rFonts w:ascii="Times New Roman" w:hAnsi="Times New Roman" w:cs="Times New Roman"/>
                <w:sz w:val="24"/>
                <w:szCs w:val="24"/>
                <w:lang w:bidi="ar-SA"/>
              </w:rPr>
              <w:t>А</w:t>
            </w:r>
          </w:p>
        </w:tc>
        <w:tc>
          <w:tcPr>
            <w:tcW w:w="1294" w:type="dxa"/>
          </w:tcPr>
          <w:p w14:paraId="382BBC8A" w14:textId="00D91AA9"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GG</w:t>
            </w:r>
          </w:p>
        </w:tc>
        <w:tc>
          <w:tcPr>
            <w:tcW w:w="1294" w:type="dxa"/>
          </w:tcPr>
          <w:p w14:paraId="00ECD88C"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193C213E"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CT</w:t>
            </w:r>
          </w:p>
        </w:tc>
        <w:tc>
          <w:tcPr>
            <w:tcW w:w="1295" w:type="dxa"/>
          </w:tcPr>
          <w:p w14:paraId="32D40BB6"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c>
          <w:tcPr>
            <w:tcW w:w="1295" w:type="dxa"/>
          </w:tcPr>
          <w:p w14:paraId="0BD20F56"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AA</w:t>
            </w:r>
          </w:p>
        </w:tc>
        <w:tc>
          <w:tcPr>
            <w:tcW w:w="1295" w:type="dxa"/>
          </w:tcPr>
          <w:p w14:paraId="14A319A5"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r>
    </w:tbl>
    <w:p w14:paraId="49BEEC1C"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3C74BF52" w14:textId="2DDBAEFB"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Принимаемые препараты</w:t>
      </w:r>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Конкор</w:t>
      </w:r>
      <w:proofErr w:type="spellEnd"/>
      <w:r>
        <w:rPr>
          <w:rFonts w:ascii="Times New Roman" w:hAnsi="Times New Roman" w:cs="Times New Roman"/>
          <w:sz w:val="28"/>
          <w:szCs w:val="28"/>
          <w:lang w:bidi="ar-SA"/>
        </w:rPr>
        <w:t xml:space="preserve"> 2,5мг, </w:t>
      </w:r>
      <w:proofErr w:type="spellStart"/>
      <w:r>
        <w:rPr>
          <w:rFonts w:ascii="Times New Roman" w:hAnsi="Times New Roman" w:cs="Times New Roman"/>
          <w:sz w:val="28"/>
          <w:szCs w:val="28"/>
          <w:lang w:bidi="ar-SA"/>
        </w:rPr>
        <w:t>Ксарелто</w:t>
      </w:r>
      <w:proofErr w:type="spellEnd"/>
      <w:r>
        <w:rPr>
          <w:rFonts w:ascii="Times New Roman" w:hAnsi="Times New Roman" w:cs="Times New Roman"/>
          <w:sz w:val="28"/>
          <w:szCs w:val="28"/>
          <w:lang w:bidi="ar-SA"/>
        </w:rPr>
        <w:t xml:space="preserve"> 20мг, </w:t>
      </w:r>
      <w:proofErr w:type="spellStart"/>
      <w:r>
        <w:rPr>
          <w:rFonts w:ascii="Times New Roman" w:hAnsi="Times New Roman" w:cs="Times New Roman"/>
          <w:sz w:val="28"/>
          <w:szCs w:val="28"/>
          <w:lang w:bidi="ar-SA"/>
        </w:rPr>
        <w:t>ТромбоАСС</w:t>
      </w:r>
      <w:proofErr w:type="spellEnd"/>
      <w:r>
        <w:rPr>
          <w:rFonts w:ascii="Times New Roman" w:hAnsi="Times New Roman" w:cs="Times New Roman"/>
          <w:sz w:val="28"/>
          <w:szCs w:val="28"/>
          <w:lang w:bidi="ar-SA"/>
        </w:rPr>
        <w:t xml:space="preserve"> 100мг, </w:t>
      </w:r>
      <w:proofErr w:type="spellStart"/>
      <w:r>
        <w:rPr>
          <w:rFonts w:ascii="Times New Roman" w:hAnsi="Times New Roman" w:cs="Times New Roman"/>
          <w:sz w:val="28"/>
          <w:szCs w:val="28"/>
          <w:lang w:bidi="ar-SA"/>
        </w:rPr>
        <w:t>Короним</w:t>
      </w:r>
      <w:proofErr w:type="spellEnd"/>
      <w:r>
        <w:rPr>
          <w:rFonts w:ascii="Times New Roman" w:hAnsi="Times New Roman" w:cs="Times New Roman"/>
          <w:sz w:val="28"/>
          <w:szCs w:val="28"/>
          <w:lang w:bidi="ar-SA"/>
        </w:rPr>
        <w:t xml:space="preserve"> 5мг, Вальсакор 80мг, </w:t>
      </w:r>
      <w:proofErr w:type="spellStart"/>
      <w:r>
        <w:rPr>
          <w:rFonts w:ascii="Times New Roman" w:hAnsi="Times New Roman" w:cs="Times New Roman"/>
          <w:sz w:val="28"/>
          <w:szCs w:val="28"/>
          <w:lang w:bidi="ar-SA"/>
        </w:rPr>
        <w:t>Джардинс</w:t>
      </w:r>
      <w:proofErr w:type="spellEnd"/>
      <w:r>
        <w:rPr>
          <w:rFonts w:ascii="Times New Roman" w:hAnsi="Times New Roman" w:cs="Times New Roman"/>
          <w:sz w:val="28"/>
          <w:szCs w:val="28"/>
          <w:lang w:bidi="ar-SA"/>
        </w:rPr>
        <w:t xml:space="preserve"> 25мг, </w:t>
      </w:r>
      <w:proofErr w:type="spellStart"/>
      <w:r>
        <w:rPr>
          <w:rFonts w:ascii="Times New Roman" w:hAnsi="Times New Roman" w:cs="Times New Roman"/>
          <w:sz w:val="28"/>
          <w:szCs w:val="28"/>
          <w:lang w:bidi="ar-SA"/>
        </w:rPr>
        <w:t>Тражента</w:t>
      </w:r>
      <w:proofErr w:type="spellEnd"/>
      <w:r>
        <w:rPr>
          <w:rFonts w:ascii="Times New Roman" w:hAnsi="Times New Roman" w:cs="Times New Roman"/>
          <w:sz w:val="28"/>
          <w:szCs w:val="28"/>
          <w:lang w:bidi="ar-SA"/>
        </w:rPr>
        <w:t xml:space="preserve"> 5мг, Инсулин </w:t>
      </w:r>
      <w:proofErr w:type="spellStart"/>
      <w:r>
        <w:rPr>
          <w:rFonts w:ascii="Times New Roman" w:hAnsi="Times New Roman" w:cs="Times New Roman"/>
          <w:sz w:val="28"/>
          <w:szCs w:val="28"/>
          <w:lang w:bidi="ar-SA"/>
        </w:rPr>
        <w:t>Левемир</w:t>
      </w:r>
      <w:proofErr w:type="spellEnd"/>
      <w:r>
        <w:rPr>
          <w:rFonts w:ascii="Times New Roman" w:hAnsi="Times New Roman" w:cs="Times New Roman"/>
          <w:sz w:val="28"/>
          <w:szCs w:val="28"/>
          <w:lang w:bidi="ar-SA"/>
        </w:rPr>
        <w:t xml:space="preserve"> по 10ЕД утром и на ночь п/к, Омез 20 мг. Препараты принимал нерегулярно.</w:t>
      </w:r>
    </w:p>
    <w:p w14:paraId="65DC7BC3" w14:textId="7F6BB22A"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 xml:space="preserve">На </w:t>
      </w:r>
      <w:r>
        <w:rPr>
          <w:rFonts w:ascii="Times New Roman" w:hAnsi="Times New Roman" w:cs="Times New Roman"/>
          <w:i/>
          <w:iCs/>
          <w:sz w:val="28"/>
          <w:szCs w:val="28"/>
          <w:lang w:bidi="ar-SA"/>
        </w:rPr>
        <w:t>10</w:t>
      </w:r>
      <w:r w:rsidRPr="009C40E7">
        <w:rPr>
          <w:rFonts w:ascii="Times New Roman" w:hAnsi="Times New Roman" w:cs="Times New Roman"/>
          <w:i/>
          <w:iCs/>
          <w:sz w:val="28"/>
          <w:szCs w:val="28"/>
          <w:lang w:bidi="ar-SA"/>
        </w:rPr>
        <w:t xml:space="preserve"> месяц наблюдения </w:t>
      </w:r>
      <w:r>
        <w:rPr>
          <w:rFonts w:ascii="Times New Roman" w:hAnsi="Times New Roman" w:cs="Times New Roman"/>
          <w:i/>
          <w:iCs/>
          <w:sz w:val="28"/>
          <w:szCs w:val="28"/>
          <w:lang w:bidi="ar-SA"/>
        </w:rPr>
        <w:t>был госпитализирован с инфарктом миокарда</w:t>
      </w:r>
      <w:r>
        <w:rPr>
          <w:rFonts w:ascii="Times New Roman" w:hAnsi="Times New Roman" w:cs="Times New Roman"/>
          <w:sz w:val="28"/>
          <w:szCs w:val="28"/>
          <w:lang w:bidi="ar-SA"/>
        </w:rPr>
        <w:t>.</w:t>
      </w:r>
    </w:p>
    <w:p w14:paraId="5684D2E9" w14:textId="78551170"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Рост: 164см. Вес:85кг. ИМТ:31,6кг/м</w:t>
      </w:r>
      <w:r w:rsidRPr="00F87B08">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ЧСС:80уд/мин. АД: 120/90мм.рт.ст. </w:t>
      </w:r>
    </w:p>
    <w:p w14:paraId="409C2423" w14:textId="77777777" w:rsidR="009C40E7" w:rsidRPr="009C40E7" w:rsidRDefault="009C40E7" w:rsidP="009C40E7">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Результаты проведенных лабораторных и инструментальных исследований.</w:t>
      </w:r>
    </w:p>
    <w:p w14:paraId="41233758" w14:textId="7FA0571D"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Общий анализ крови</w:t>
      </w:r>
      <w:r>
        <w:rPr>
          <w:rFonts w:ascii="Times New Roman" w:hAnsi="Times New Roman" w:cs="Times New Roman"/>
          <w:sz w:val="28"/>
          <w:szCs w:val="28"/>
          <w:lang w:bidi="ar-SA"/>
        </w:rPr>
        <w:t xml:space="preserve"> – лейкоциты 6,6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(4,5-11), эритроциты 5,36 10</w:t>
      </w:r>
      <w:r w:rsidRPr="009C40E7">
        <w:rPr>
          <w:rFonts w:ascii="Times New Roman" w:hAnsi="Times New Roman" w:cs="Times New Roman"/>
          <w:sz w:val="28"/>
          <w:szCs w:val="28"/>
          <w:vertAlign w:val="superscript"/>
          <w:lang w:bidi="ar-SA"/>
        </w:rPr>
        <w:t>12</w:t>
      </w:r>
      <w:r>
        <w:rPr>
          <w:rFonts w:ascii="Times New Roman" w:hAnsi="Times New Roman" w:cs="Times New Roman"/>
          <w:sz w:val="28"/>
          <w:szCs w:val="28"/>
          <w:lang w:bidi="ar-SA"/>
        </w:rPr>
        <w:t>/л (3,8-5,5), гемоглобин 171 г/л (115-140), тромбоциты 124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(140-400).</w:t>
      </w:r>
    </w:p>
    <w:p w14:paraId="7F0F02A2" w14:textId="5B8EEDF6"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Биохимический анализ крови</w:t>
      </w:r>
      <w:r>
        <w:rPr>
          <w:rFonts w:ascii="Times New Roman" w:hAnsi="Times New Roman" w:cs="Times New Roman"/>
          <w:sz w:val="28"/>
          <w:szCs w:val="28"/>
          <w:lang w:bidi="ar-SA"/>
        </w:rPr>
        <w:t xml:space="preserve"> – глюкоза 177,9 мг/дл (74-106), креатинин 0,98 мг/дл (0,5-0,9), СКФ 88,184мл/мин/1,73м</w:t>
      </w:r>
      <w:r w:rsidRPr="009C40E7">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АЛТ 56,3 Ед/л (0-33), АСТ 43,3 Ед/л (0-32), холестерин общий 4,21ммоль/л, ЛПВП 1,38ммоль/л, ЛПНП 3,38ммоль/л, триглицериды 1,08 ммоль/л, калий 4,1ммоль/л.</w:t>
      </w:r>
    </w:p>
    <w:p w14:paraId="7DE4EE9E" w14:textId="1443FE3F"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Гормоны щитовидной железы</w:t>
      </w:r>
      <w:r>
        <w:rPr>
          <w:rFonts w:ascii="Times New Roman" w:hAnsi="Times New Roman" w:cs="Times New Roman"/>
          <w:sz w:val="28"/>
          <w:szCs w:val="28"/>
          <w:lang w:bidi="ar-SA"/>
        </w:rPr>
        <w:t xml:space="preserve"> – тиреотропный гормон 1,74нг/мл (0,27-4,2), свободный трийодтиронин (св.Т3) 4,0 пмоль/л (3,1-6,8), свободный тироксин 17,99 пмоль/л (12-22).</w:t>
      </w:r>
    </w:p>
    <w:p w14:paraId="52A327A5" w14:textId="20956427"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Коагулограмма</w:t>
      </w:r>
      <w:r>
        <w:rPr>
          <w:rFonts w:ascii="Times New Roman" w:hAnsi="Times New Roman" w:cs="Times New Roman"/>
          <w:sz w:val="28"/>
          <w:szCs w:val="28"/>
          <w:lang w:bidi="ar-SA"/>
        </w:rPr>
        <w:t xml:space="preserve"> – протромбиновое время (ПВ) 11,0 сек (9,4-12,5), протромбиновый индекс (ПТИ) 105% (70-140), МНО 0,98 (0,9-1,2), АЧТВ 40,5сек (25,1-36,5), фибриноген 3,3 г/л (2-3,93).</w:t>
      </w:r>
    </w:p>
    <w:p w14:paraId="7DF768C0" w14:textId="11D04BE9"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ФГДС</w:t>
      </w:r>
      <w:r>
        <w:rPr>
          <w:rFonts w:ascii="Times New Roman" w:hAnsi="Times New Roman" w:cs="Times New Roman"/>
          <w:sz w:val="28"/>
          <w:szCs w:val="28"/>
          <w:lang w:bidi="ar-SA"/>
        </w:rPr>
        <w:t>: эрозивный рефлюкс-эзофагит. Диффузный катаральный гастрит.</w:t>
      </w:r>
    </w:p>
    <w:p w14:paraId="177A9273" w14:textId="4431EE8F"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поступлении</w:t>
      </w:r>
      <w:r>
        <w:rPr>
          <w:rFonts w:ascii="Times New Roman" w:hAnsi="Times New Roman" w:cs="Times New Roman"/>
          <w:sz w:val="28"/>
          <w:szCs w:val="28"/>
          <w:lang w:bidi="ar-SA"/>
        </w:rPr>
        <w:t>: ритм фибрилляция предсердий, ЧЖС 78 уд/мин, горизонтальное положение ЭОС.</w:t>
      </w:r>
    </w:p>
    <w:p w14:paraId="545113A0" w14:textId="43267B82"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выписке</w:t>
      </w:r>
      <w:r>
        <w:rPr>
          <w:rFonts w:ascii="Times New Roman" w:hAnsi="Times New Roman" w:cs="Times New Roman"/>
          <w:sz w:val="28"/>
          <w:szCs w:val="28"/>
          <w:lang w:bidi="ar-SA"/>
        </w:rPr>
        <w:t>: ритм фибрилляция предсердий, ЧЖС 75 уд/мин, горизонтальное положение ЭОС.</w:t>
      </w:r>
    </w:p>
    <w:p w14:paraId="456AD6C3" w14:textId="3564FC3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Эхокардиография</w:t>
      </w:r>
      <w:r>
        <w:rPr>
          <w:rFonts w:ascii="Times New Roman" w:hAnsi="Times New Roman" w:cs="Times New Roman"/>
          <w:sz w:val="28"/>
          <w:szCs w:val="28"/>
          <w:lang w:bidi="ar-SA"/>
        </w:rPr>
        <w:t xml:space="preserve">: дилатация обоих предсердий. Диффузный гипокинез миокарда ЛЖ. Систолическая функция левого желудочка незначительно снижена (ФВ 52%). Недостаточность митрального клапана от легкой до умеренной степени за счет аннулоэктазии. </w:t>
      </w:r>
    </w:p>
    <w:p w14:paraId="43FE293E" w14:textId="1B2F7E55"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сосудов экстракраниального бассейна</w:t>
      </w:r>
      <w:r>
        <w:rPr>
          <w:rFonts w:ascii="Times New Roman" w:hAnsi="Times New Roman" w:cs="Times New Roman"/>
          <w:i/>
          <w:iCs/>
          <w:sz w:val="28"/>
          <w:szCs w:val="28"/>
          <w:lang w:bidi="ar-SA"/>
        </w:rPr>
        <w:t>,</w:t>
      </w:r>
      <w:r w:rsidRPr="009C40E7">
        <w:rPr>
          <w:rFonts w:ascii="Times New Roman" w:hAnsi="Times New Roman" w:cs="Times New Roman"/>
          <w:i/>
          <w:iCs/>
          <w:sz w:val="28"/>
          <w:szCs w:val="28"/>
          <w:lang w:bidi="ar-SA"/>
        </w:rPr>
        <w:t xml:space="preserve"> артерий/вен верхних и нижних конечностей</w:t>
      </w:r>
      <w:r>
        <w:rPr>
          <w:rFonts w:ascii="Times New Roman" w:hAnsi="Times New Roman" w:cs="Times New Roman"/>
          <w:sz w:val="28"/>
          <w:szCs w:val="28"/>
          <w:lang w:bidi="ar-SA"/>
        </w:rPr>
        <w:t>: стено-окклюзирующее поражение сонных артерий и артерий нижних конечностей. Гемодинамически-незначимый стеноз просвета общей сонной артерии (ОСА) слева в среднем сегменте 69%. Стеноз устья внутренней сонной артерии (ВСА) справа 68%, слева 66%. Стеноз просвета общей бедренной артерии (ОБА) справа 67%, слева до 50%. Окклюзия передней большеберцовой артерии (ПБА) справа, стеноз просвета ПБА слева до 50%. В артериях голеней справа коллатеральный кровоток. Вены нижних конечностей проходимы.</w:t>
      </w:r>
    </w:p>
    <w:p w14:paraId="465AE20B" w14:textId="279E9F88"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i/>
          <w:iCs/>
          <w:sz w:val="28"/>
          <w:szCs w:val="28"/>
          <w:lang w:bidi="ar-SA"/>
        </w:rPr>
        <w:t xml:space="preserve">Коронарография с шунтографией: </w:t>
      </w:r>
      <w:r>
        <w:rPr>
          <w:rFonts w:ascii="Times New Roman" w:hAnsi="Times New Roman" w:cs="Times New Roman"/>
          <w:sz w:val="28"/>
          <w:szCs w:val="28"/>
          <w:lang w:bidi="ar-SA"/>
        </w:rPr>
        <w:t xml:space="preserve">левая коронарная артерия – окклюзия средней трети, постокклюзионное русло заполняется по шунту. Диагональная ветвь1 – стеноз проксимальной трети 95%, артерия малого диаметра. Огибающая ветвь – стеноз средней трети 65%. Правая коронарная артерия – окклюзия проксимальной трети. Шунтография: </w:t>
      </w:r>
      <w:r>
        <w:rPr>
          <w:rFonts w:ascii="Times New Roman" w:hAnsi="Times New Roman" w:cs="Times New Roman"/>
          <w:sz w:val="28"/>
          <w:szCs w:val="28"/>
          <w:lang w:val="en-US" w:bidi="ar-SA"/>
        </w:rPr>
        <w:t>SVG</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OM</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bidi="ar-SA"/>
        </w:rPr>
        <w:t>аутовенозный шунт к ветви тупого края огибающей артерии</w:t>
      </w:r>
      <w:r w:rsidRPr="009C40E7">
        <w:rPr>
          <w:rFonts w:ascii="Times New Roman" w:hAnsi="Times New Roman" w:cs="Times New Roman"/>
          <w:sz w:val="28"/>
          <w:szCs w:val="28"/>
          <w:lang w:bidi="ar-SA"/>
        </w:rPr>
        <w:t>)</w:t>
      </w:r>
      <w:r>
        <w:rPr>
          <w:rFonts w:ascii="Times New Roman" w:hAnsi="Times New Roman" w:cs="Times New Roman"/>
          <w:sz w:val="28"/>
          <w:szCs w:val="28"/>
          <w:lang w:bidi="ar-SA"/>
        </w:rPr>
        <w:t xml:space="preserve"> окклюзирована. </w:t>
      </w:r>
      <w:r>
        <w:rPr>
          <w:rFonts w:ascii="Times New Roman" w:hAnsi="Times New Roman" w:cs="Times New Roman"/>
          <w:sz w:val="28"/>
          <w:szCs w:val="28"/>
          <w:lang w:val="en-US" w:bidi="ar-SA"/>
        </w:rPr>
        <w:t>SVG</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PDA</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RCA</w:t>
      </w:r>
      <w:r>
        <w:rPr>
          <w:rFonts w:ascii="Times New Roman" w:hAnsi="Times New Roman" w:cs="Times New Roman"/>
          <w:sz w:val="28"/>
          <w:szCs w:val="28"/>
          <w:lang w:bidi="ar-SA"/>
        </w:rPr>
        <w:t xml:space="preserve"> (аутовенозный шунт к задней межжелудочковой ветви правой коронарной артерии) – стеноз на границе средней и дистальной трети 80%.</w:t>
      </w:r>
    </w:p>
    <w:p w14:paraId="3A7FC397"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7634F073"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790F9B6E" w14:textId="28922CE7" w:rsidR="009C40E7" w:rsidRDefault="009C40E7" w:rsidP="009C40E7">
      <w:pPr>
        <w:pStyle w:val="LO-normal"/>
        <w:spacing w:after="0" w:line="240" w:lineRule="auto"/>
        <w:ind w:firstLine="567"/>
        <w:jc w:val="both"/>
        <w:rPr>
          <w:rFonts w:ascii="Times New Roman" w:hAnsi="Times New Roman" w:cs="Times New Roman"/>
          <w:i/>
          <w:iCs/>
          <w:sz w:val="28"/>
          <w:szCs w:val="28"/>
          <w:lang w:bidi="ar-SA"/>
        </w:rPr>
      </w:pPr>
      <w:r>
        <w:rPr>
          <w:rFonts w:ascii="Times New Roman" w:hAnsi="Times New Roman" w:cs="Times New Roman"/>
          <w:i/>
          <w:iCs/>
          <w:sz w:val="28"/>
          <w:szCs w:val="28"/>
          <w:lang w:bidi="ar-SA"/>
        </w:rPr>
        <w:t>Клинический случай №4. Пациент Ж, 59 лет.</w:t>
      </w:r>
    </w:p>
    <w:p w14:paraId="66CABD86" w14:textId="676018D3" w:rsidR="009C40E7" w:rsidRP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i/>
          <w:iCs/>
          <w:sz w:val="28"/>
          <w:szCs w:val="28"/>
          <w:lang w:bidi="ar-SA"/>
        </w:rPr>
        <w:t>Диагноз:</w:t>
      </w:r>
      <w:r>
        <w:rPr>
          <w:rFonts w:ascii="Times New Roman" w:hAnsi="Times New Roman" w:cs="Times New Roman"/>
          <w:sz w:val="28"/>
          <w:szCs w:val="28"/>
          <w:lang w:bidi="ar-SA"/>
        </w:rPr>
        <w:t xml:space="preserve"> НРС. Фибрилляция предсердий, персистирующая форма. </w:t>
      </w:r>
      <w:r>
        <w:rPr>
          <w:rFonts w:ascii="Times New Roman" w:hAnsi="Times New Roman" w:cs="Times New Roman"/>
          <w:sz w:val="28"/>
          <w:szCs w:val="28"/>
          <w:lang w:val="en-US" w:bidi="ar-SA"/>
        </w:rPr>
        <w:t>EHRAII</w:t>
      </w:r>
      <w:r>
        <w:rPr>
          <w:rFonts w:ascii="Times New Roman" w:hAnsi="Times New Roman" w:cs="Times New Roman"/>
          <w:sz w:val="28"/>
          <w:szCs w:val="28"/>
          <w:lang w:bidi="ar-SA"/>
        </w:rPr>
        <w:t>а</w:t>
      </w:r>
      <w:r w:rsidRPr="00926EC0">
        <w:rPr>
          <w:rFonts w:ascii="Times New Roman" w:hAnsi="Times New Roman" w:cs="Times New Roman"/>
          <w:sz w:val="28"/>
          <w:szCs w:val="28"/>
          <w:lang w:val="en-US" w:bidi="ar-SA"/>
        </w:rPr>
        <w:t xml:space="preserve">. </w:t>
      </w:r>
      <w:r>
        <w:rPr>
          <w:rFonts w:ascii="Times New Roman" w:hAnsi="Times New Roman" w:cs="Times New Roman"/>
          <w:sz w:val="28"/>
          <w:szCs w:val="28"/>
          <w:lang w:val="en-US" w:bidi="ar-SA"/>
        </w:rPr>
        <w:t>CHA</w:t>
      </w:r>
      <w:r w:rsidRPr="00926EC0">
        <w:rPr>
          <w:rFonts w:ascii="Times New Roman" w:hAnsi="Times New Roman" w:cs="Times New Roman"/>
          <w:sz w:val="28"/>
          <w:szCs w:val="28"/>
          <w:vertAlign w:val="subscript"/>
          <w:lang w:val="en-US" w:bidi="ar-SA"/>
        </w:rPr>
        <w:t>2</w:t>
      </w:r>
      <w:r>
        <w:rPr>
          <w:rFonts w:ascii="Times New Roman" w:hAnsi="Times New Roman" w:cs="Times New Roman"/>
          <w:sz w:val="28"/>
          <w:szCs w:val="28"/>
          <w:lang w:val="en-US" w:bidi="ar-SA"/>
        </w:rPr>
        <w:t>DS</w:t>
      </w:r>
      <w:r w:rsidRPr="00926EC0">
        <w:rPr>
          <w:rFonts w:ascii="Times New Roman" w:hAnsi="Times New Roman" w:cs="Times New Roman"/>
          <w:sz w:val="28"/>
          <w:szCs w:val="28"/>
          <w:vertAlign w:val="subscript"/>
          <w:lang w:val="en-US" w:bidi="ar-SA"/>
        </w:rPr>
        <w:t>2</w:t>
      </w:r>
      <w:r w:rsidRPr="00926EC0">
        <w:rPr>
          <w:rFonts w:ascii="Times New Roman" w:hAnsi="Times New Roman" w:cs="Times New Roman"/>
          <w:sz w:val="28"/>
          <w:szCs w:val="28"/>
          <w:lang w:val="en-US" w:bidi="ar-SA"/>
        </w:rPr>
        <w:t>-</w:t>
      </w:r>
      <w:r>
        <w:rPr>
          <w:rFonts w:ascii="Times New Roman" w:hAnsi="Times New Roman" w:cs="Times New Roman"/>
          <w:sz w:val="28"/>
          <w:szCs w:val="28"/>
          <w:lang w:val="en-US" w:bidi="ar-SA"/>
        </w:rPr>
        <w:t>VA</w:t>
      </w:r>
      <w:r w:rsidRPr="00926EC0">
        <w:rPr>
          <w:rFonts w:ascii="Times New Roman" w:hAnsi="Times New Roman" w:cs="Times New Roman"/>
          <w:sz w:val="28"/>
          <w:szCs w:val="28"/>
          <w:lang w:val="en-US" w:bidi="ar-SA"/>
        </w:rPr>
        <w:t xml:space="preserve"> – 2 </w:t>
      </w:r>
      <w:r>
        <w:rPr>
          <w:rFonts w:ascii="Times New Roman" w:hAnsi="Times New Roman" w:cs="Times New Roman"/>
          <w:sz w:val="28"/>
          <w:szCs w:val="28"/>
          <w:lang w:val="kk-KZ" w:bidi="ar-SA"/>
        </w:rPr>
        <w:t xml:space="preserve">балла. </w:t>
      </w:r>
      <w:r>
        <w:rPr>
          <w:rFonts w:ascii="Times New Roman" w:hAnsi="Times New Roman" w:cs="Times New Roman"/>
          <w:sz w:val="28"/>
          <w:szCs w:val="28"/>
          <w:lang w:val="en-US" w:bidi="ar-SA"/>
        </w:rPr>
        <w:t>HAS</w:t>
      </w:r>
      <w:r w:rsidRPr="00967295">
        <w:rPr>
          <w:rFonts w:ascii="Times New Roman" w:hAnsi="Times New Roman" w:cs="Times New Roman"/>
          <w:sz w:val="28"/>
          <w:szCs w:val="28"/>
          <w:lang w:val="en-US" w:bidi="ar-SA"/>
        </w:rPr>
        <w:t>-</w:t>
      </w:r>
      <w:r>
        <w:rPr>
          <w:rFonts w:ascii="Times New Roman" w:hAnsi="Times New Roman" w:cs="Times New Roman"/>
          <w:sz w:val="28"/>
          <w:szCs w:val="28"/>
          <w:lang w:val="en-US" w:bidi="ar-SA"/>
        </w:rPr>
        <w:t>BLED</w:t>
      </w:r>
      <w:r w:rsidRPr="00967295">
        <w:rPr>
          <w:rFonts w:ascii="Times New Roman" w:hAnsi="Times New Roman" w:cs="Times New Roman"/>
          <w:sz w:val="28"/>
          <w:szCs w:val="28"/>
          <w:lang w:val="en-US" w:bidi="ar-SA"/>
        </w:rPr>
        <w:t xml:space="preserve"> – 2 </w:t>
      </w:r>
      <w:r>
        <w:rPr>
          <w:rFonts w:ascii="Times New Roman" w:hAnsi="Times New Roman" w:cs="Times New Roman"/>
          <w:sz w:val="28"/>
          <w:szCs w:val="28"/>
          <w:lang w:val="kk-KZ" w:bidi="ar-SA"/>
        </w:rPr>
        <w:t xml:space="preserve">балла. ИБС. Однососудистое </w:t>
      </w:r>
      <w:r>
        <w:rPr>
          <w:rFonts w:ascii="Times New Roman" w:hAnsi="Times New Roman" w:cs="Times New Roman"/>
          <w:sz w:val="28"/>
          <w:szCs w:val="28"/>
          <w:lang w:bidi="ar-SA"/>
        </w:rPr>
        <w:t>поражение коронарного русла. Состояние после стентирования ПМЖВ от 06.2021г.</w:t>
      </w:r>
      <w:r>
        <w:rPr>
          <w:rFonts w:ascii="Times New Roman" w:hAnsi="Times New Roman" w:cs="Times New Roman"/>
          <w:sz w:val="28"/>
          <w:szCs w:val="28"/>
          <w:lang w:val="kk-KZ" w:bidi="ar-SA"/>
        </w:rPr>
        <w:t xml:space="preserve"> Артериальная гипертензия 2 степени, риск ССО 3. СН ФК </w:t>
      </w:r>
      <w:r>
        <w:rPr>
          <w:rFonts w:ascii="Times New Roman" w:hAnsi="Times New Roman" w:cs="Times New Roman"/>
          <w:sz w:val="28"/>
          <w:szCs w:val="28"/>
          <w:lang w:val="en-US" w:bidi="ar-SA"/>
        </w:rPr>
        <w:t>II</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NYHA</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bidi="ar-SA"/>
        </w:rPr>
        <w:t>стадия В (АНА/АСС).</w:t>
      </w:r>
    </w:p>
    <w:p w14:paraId="0AD5B38C" w14:textId="509A2CA9" w:rsidR="009C40E7"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Операция:</w:t>
      </w:r>
      <w:r>
        <w:rPr>
          <w:rFonts w:ascii="Times New Roman" w:hAnsi="Times New Roman" w:cs="Times New Roman"/>
          <w:sz w:val="28"/>
          <w:szCs w:val="28"/>
          <w:lang w:val="kk-KZ" w:bidi="ar-SA"/>
        </w:rPr>
        <w:t xml:space="preserve"> ЭФИ. Криобаллонная изоляция устьев легочных вен (09.2021г.).</w:t>
      </w:r>
    </w:p>
    <w:p w14:paraId="4355AA9F" w14:textId="77777777" w:rsidR="009C40E7" w:rsidRPr="0011617E" w:rsidRDefault="009C40E7" w:rsidP="009C40E7">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Концентрации дабигатрана и апиксабана (пиковая/минимальная концентрации)</w:t>
      </w:r>
      <w:r>
        <w:rPr>
          <w:rFonts w:ascii="Times New Roman" w:hAnsi="Times New Roman" w:cs="Times New Roman"/>
          <w:sz w:val="28"/>
          <w:szCs w:val="28"/>
          <w:lang w:val="kk-KZ" w:bidi="ar-SA"/>
        </w:rPr>
        <w:t xml:space="preserve">: </w:t>
      </w:r>
    </w:p>
    <w:p w14:paraId="487F6868" w14:textId="77777777" w:rsidR="009C40E7" w:rsidRPr="0011617E" w:rsidRDefault="009C40E7" w:rsidP="009C40E7">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6"/>
      </w:tblGrid>
      <w:tr w:rsidR="009C40E7" w14:paraId="5C0DB7AF" w14:textId="77777777" w:rsidTr="00E41A93">
        <w:tc>
          <w:tcPr>
            <w:tcW w:w="2265" w:type="dxa"/>
          </w:tcPr>
          <w:p w14:paraId="5AD54508"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Дабигатран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max</w:t>
            </w:r>
          </w:p>
          <w:p w14:paraId="42C62949"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(117-275) </w:t>
            </w:r>
            <w:r w:rsidRPr="0011617E">
              <w:rPr>
                <w:rFonts w:ascii="Times New Roman" w:hAnsi="Times New Roman" w:cs="Times New Roman"/>
                <w:b/>
                <w:bCs/>
                <w:sz w:val="24"/>
                <w:szCs w:val="24"/>
                <w:lang w:bidi="ar-SA"/>
              </w:rPr>
              <w:t>нг/мл</w:t>
            </w:r>
          </w:p>
        </w:tc>
        <w:tc>
          <w:tcPr>
            <w:tcW w:w="2265" w:type="dxa"/>
          </w:tcPr>
          <w:p w14:paraId="472AA624"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bidi="ar-SA"/>
              </w:rPr>
              <w:t>Дабигатран С</w:t>
            </w:r>
            <w:r w:rsidRPr="009C40E7">
              <w:rPr>
                <w:rFonts w:ascii="Times New Roman" w:hAnsi="Times New Roman" w:cs="Times New Roman"/>
                <w:b/>
                <w:bCs/>
                <w:sz w:val="24"/>
                <w:szCs w:val="24"/>
                <w:vertAlign w:val="subscript"/>
                <w:lang w:val="en-US" w:bidi="ar-SA"/>
              </w:rPr>
              <w:t xml:space="preserve">min </w:t>
            </w:r>
            <w:r w:rsidRPr="0011617E">
              <w:rPr>
                <w:rFonts w:ascii="Times New Roman" w:hAnsi="Times New Roman" w:cs="Times New Roman"/>
                <w:b/>
                <w:bCs/>
                <w:sz w:val="24"/>
                <w:szCs w:val="24"/>
                <w:lang w:val="en-US" w:bidi="ar-SA"/>
              </w:rPr>
              <w:t xml:space="preserve">(61-143) </w:t>
            </w:r>
            <w:r w:rsidRPr="0011617E">
              <w:rPr>
                <w:rFonts w:ascii="Times New Roman" w:hAnsi="Times New Roman" w:cs="Times New Roman"/>
                <w:b/>
                <w:bCs/>
                <w:sz w:val="24"/>
                <w:szCs w:val="24"/>
                <w:lang w:val="kk-KZ" w:bidi="ar-SA"/>
              </w:rPr>
              <w:t>нг/мл</w:t>
            </w:r>
          </w:p>
        </w:tc>
        <w:tc>
          <w:tcPr>
            <w:tcW w:w="2265" w:type="dxa"/>
          </w:tcPr>
          <w:p w14:paraId="4A349E00"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val="kk-KZ" w:bidi="ar-SA"/>
              </w:rPr>
              <w:t>Апиксабан С</w:t>
            </w:r>
            <w:r w:rsidRPr="0011617E">
              <w:rPr>
                <w:rFonts w:ascii="Times New Roman" w:hAnsi="Times New Roman" w:cs="Times New Roman"/>
                <w:b/>
                <w:bCs/>
                <w:sz w:val="24"/>
                <w:szCs w:val="24"/>
                <w:vertAlign w:val="subscript"/>
                <w:lang w:val="en-US" w:bidi="ar-SA"/>
              </w:rPr>
              <w:t>max</w:t>
            </w:r>
          </w:p>
          <w:p w14:paraId="5F9E478E"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val="en-US" w:bidi="ar-SA"/>
              </w:rPr>
              <w:t>(</w:t>
            </w:r>
            <w:r w:rsidRPr="0011617E">
              <w:rPr>
                <w:rFonts w:ascii="Times New Roman" w:hAnsi="Times New Roman" w:cs="Times New Roman"/>
                <w:b/>
                <w:bCs/>
                <w:sz w:val="24"/>
                <w:szCs w:val="24"/>
                <w:lang w:bidi="ar-SA"/>
              </w:rPr>
              <w:t>91-321</w:t>
            </w:r>
            <w:r w:rsidRPr="0011617E">
              <w:rPr>
                <w:rFonts w:ascii="Times New Roman" w:hAnsi="Times New Roman" w:cs="Times New Roman"/>
                <w:b/>
                <w:bCs/>
                <w:sz w:val="24"/>
                <w:szCs w:val="24"/>
                <w:lang w:val="en-US" w:bidi="ar-SA"/>
              </w:rPr>
              <w:t xml:space="preserve">) </w:t>
            </w:r>
            <w:r w:rsidRPr="0011617E">
              <w:rPr>
                <w:rFonts w:ascii="Times New Roman" w:hAnsi="Times New Roman" w:cs="Times New Roman"/>
                <w:b/>
                <w:bCs/>
                <w:sz w:val="24"/>
                <w:szCs w:val="24"/>
                <w:lang w:bidi="ar-SA"/>
              </w:rPr>
              <w:t>нг/мл</w:t>
            </w:r>
          </w:p>
        </w:tc>
        <w:tc>
          <w:tcPr>
            <w:tcW w:w="2266" w:type="dxa"/>
          </w:tcPr>
          <w:p w14:paraId="562BFF75" w14:textId="77777777" w:rsidR="009C40E7" w:rsidRPr="0011617E" w:rsidRDefault="009C40E7"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Апиксабан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min</w:t>
            </w:r>
          </w:p>
          <w:p w14:paraId="70F4026B" w14:textId="77777777" w:rsidR="009C40E7" w:rsidRPr="0011617E" w:rsidRDefault="009C40E7"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(41-230) </w:t>
            </w:r>
            <w:r w:rsidRPr="0011617E">
              <w:rPr>
                <w:rFonts w:ascii="Times New Roman" w:hAnsi="Times New Roman" w:cs="Times New Roman"/>
                <w:b/>
                <w:bCs/>
                <w:sz w:val="24"/>
                <w:szCs w:val="24"/>
                <w:lang w:bidi="ar-SA"/>
              </w:rPr>
              <w:t>нг/мл</w:t>
            </w:r>
          </w:p>
        </w:tc>
      </w:tr>
      <w:tr w:rsidR="009C40E7" w14:paraId="252E9F30" w14:textId="77777777" w:rsidTr="00E41A93">
        <w:tc>
          <w:tcPr>
            <w:tcW w:w="2265" w:type="dxa"/>
          </w:tcPr>
          <w:p w14:paraId="154C954F" w14:textId="1CACD0F6"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sidRPr="0011617E">
              <w:rPr>
                <w:rFonts w:ascii="Times New Roman" w:hAnsi="Times New Roman" w:cs="Times New Roman"/>
                <w:sz w:val="24"/>
                <w:szCs w:val="24"/>
                <w:lang w:val="en-US" w:bidi="ar-SA"/>
              </w:rPr>
              <w:t>1</w:t>
            </w:r>
            <w:r>
              <w:rPr>
                <w:rFonts w:ascii="Times New Roman" w:hAnsi="Times New Roman" w:cs="Times New Roman"/>
                <w:sz w:val="24"/>
                <w:szCs w:val="24"/>
                <w:lang w:bidi="ar-SA"/>
              </w:rPr>
              <w:t>21,75</w:t>
            </w:r>
          </w:p>
        </w:tc>
        <w:tc>
          <w:tcPr>
            <w:tcW w:w="2265" w:type="dxa"/>
          </w:tcPr>
          <w:p w14:paraId="3608BE48" w14:textId="319B4B0A"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84,28</w:t>
            </w:r>
          </w:p>
        </w:tc>
        <w:tc>
          <w:tcPr>
            <w:tcW w:w="2265" w:type="dxa"/>
          </w:tcPr>
          <w:p w14:paraId="0878AE0C" w14:textId="1516D8FF"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455,4</w:t>
            </w:r>
          </w:p>
        </w:tc>
        <w:tc>
          <w:tcPr>
            <w:tcW w:w="2266" w:type="dxa"/>
          </w:tcPr>
          <w:p w14:paraId="18B9A654" w14:textId="66A9C93C" w:rsidR="009C40E7" w:rsidRPr="009C40E7"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189,7</w:t>
            </w:r>
          </w:p>
        </w:tc>
      </w:tr>
    </w:tbl>
    <w:p w14:paraId="089DB089" w14:textId="77777777" w:rsidR="009C40E7" w:rsidRDefault="009C40E7" w:rsidP="009C40E7">
      <w:pPr>
        <w:pStyle w:val="LO-normal"/>
        <w:spacing w:after="0" w:line="240" w:lineRule="auto"/>
        <w:ind w:firstLine="567"/>
        <w:jc w:val="both"/>
        <w:rPr>
          <w:rFonts w:ascii="Times New Roman" w:hAnsi="Times New Roman" w:cs="Times New Roman"/>
          <w:sz w:val="28"/>
          <w:szCs w:val="28"/>
          <w:lang w:val="en-US"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p w14:paraId="248A1ECF"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F87B08">
        <w:rPr>
          <w:rFonts w:ascii="Times New Roman" w:hAnsi="Times New Roman" w:cs="Times New Roman"/>
          <w:i/>
          <w:iCs/>
          <w:sz w:val="28"/>
          <w:szCs w:val="28"/>
          <w:lang w:bidi="ar-SA"/>
        </w:rPr>
        <w:t>Генотип</w:t>
      </w:r>
      <w:r>
        <w:rPr>
          <w:rFonts w:ascii="Times New Roman" w:hAnsi="Times New Roman" w:cs="Times New Roman"/>
          <w:sz w:val="28"/>
          <w:szCs w:val="28"/>
          <w:lang w:bidi="ar-S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350"/>
        <w:gridCol w:w="1294"/>
        <w:gridCol w:w="1295"/>
        <w:gridCol w:w="1295"/>
        <w:gridCol w:w="1295"/>
      </w:tblGrid>
      <w:tr w:rsidR="009C40E7" w:rsidRPr="00F87B08" w14:paraId="5E636CCF" w14:textId="77777777" w:rsidTr="00E41A93">
        <w:tc>
          <w:tcPr>
            <w:tcW w:w="1294" w:type="dxa"/>
          </w:tcPr>
          <w:p w14:paraId="61CCB706"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05965A7E"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741A4A2B"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2F9C4EE1"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ABCB1</w:t>
            </w:r>
          </w:p>
        </w:tc>
        <w:tc>
          <w:tcPr>
            <w:tcW w:w="1295" w:type="dxa"/>
          </w:tcPr>
          <w:p w14:paraId="1A8ADFF0"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5CBDB7A1"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753A733A" w14:textId="77777777" w:rsidR="009C40E7" w:rsidRPr="00F87B08" w:rsidRDefault="009C40E7"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r>
      <w:tr w:rsidR="009C40E7" w:rsidRPr="00F87B08" w14:paraId="612B8B45" w14:textId="77777777" w:rsidTr="00E41A93">
        <w:tc>
          <w:tcPr>
            <w:tcW w:w="1294" w:type="dxa"/>
          </w:tcPr>
          <w:p w14:paraId="27521AE4"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sidRPr="00F87B08">
              <w:rPr>
                <w:rFonts w:ascii="Times New Roman" w:hAnsi="Times New Roman" w:cs="Times New Roman"/>
                <w:sz w:val="24"/>
                <w:szCs w:val="24"/>
                <w:lang w:val="en-US" w:bidi="ar-SA"/>
              </w:rPr>
              <w:t>rs8192935</w:t>
            </w:r>
            <w:r>
              <w:rPr>
                <w:rFonts w:ascii="Times New Roman" w:hAnsi="Times New Roman" w:cs="Times New Roman"/>
                <w:sz w:val="24"/>
                <w:szCs w:val="24"/>
                <w:lang w:val="en-US" w:bidi="ar-SA"/>
              </w:rPr>
              <w:t xml:space="preserve"> A/G</w:t>
            </w:r>
          </w:p>
        </w:tc>
        <w:tc>
          <w:tcPr>
            <w:tcW w:w="1294" w:type="dxa"/>
          </w:tcPr>
          <w:p w14:paraId="13DE6091"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rs2244613 G/T</w:t>
            </w:r>
          </w:p>
        </w:tc>
        <w:tc>
          <w:tcPr>
            <w:tcW w:w="1294" w:type="dxa"/>
          </w:tcPr>
          <w:p w14:paraId="552B55F1"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rs71647871 A/G</w:t>
            </w:r>
          </w:p>
        </w:tc>
        <w:tc>
          <w:tcPr>
            <w:tcW w:w="1294" w:type="dxa"/>
          </w:tcPr>
          <w:p w14:paraId="7A8CF263" w14:textId="77777777" w:rsidR="009C40E7" w:rsidRPr="00F87B08" w:rsidRDefault="009C40E7"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rs4148738 C/T</w:t>
            </w:r>
          </w:p>
        </w:tc>
        <w:tc>
          <w:tcPr>
            <w:tcW w:w="1295" w:type="dxa"/>
          </w:tcPr>
          <w:p w14:paraId="0C3BB921"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rs1045642 A/G</w:t>
            </w:r>
          </w:p>
        </w:tc>
        <w:tc>
          <w:tcPr>
            <w:tcW w:w="1295" w:type="dxa"/>
          </w:tcPr>
          <w:p w14:paraId="6A39CF86"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rs2032582 C/A</w:t>
            </w:r>
          </w:p>
        </w:tc>
        <w:tc>
          <w:tcPr>
            <w:tcW w:w="1295" w:type="dxa"/>
          </w:tcPr>
          <w:p w14:paraId="46DB2BC9"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rs1128503 A/G</w:t>
            </w:r>
          </w:p>
        </w:tc>
      </w:tr>
      <w:tr w:rsidR="009C40E7" w:rsidRPr="00F87B08" w14:paraId="451C17C0" w14:textId="77777777" w:rsidTr="00E41A93">
        <w:tc>
          <w:tcPr>
            <w:tcW w:w="1294" w:type="dxa"/>
          </w:tcPr>
          <w:p w14:paraId="5E8ABA52"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c>
          <w:tcPr>
            <w:tcW w:w="1294" w:type="dxa"/>
          </w:tcPr>
          <w:p w14:paraId="0B1AB6FB"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GT</w:t>
            </w:r>
          </w:p>
        </w:tc>
        <w:tc>
          <w:tcPr>
            <w:tcW w:w="1294" w:type="dxa"/>
          </w:tcPr>
          <w:p w14:paraId="1AEA70D6" w14:textId="77777777"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2EF77751" w14:textId="1D221A56"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bidi="ar-SA"/>
              </w:rPr>
              <w:t>Т</w:t>
            </w:r>
            <w:r>
              <w:rPr>
                <w:rFonts w:ascii="Times New Roman" w:hAnsi="Times New Roman" w:cs="Times New Roman"/>
                <w:sz w:val="24"/>
                <w:szCs w:val="24"/>
                <w:lang w:val="en-US" w:bidi="ar-SA"/>
              </w:rPr>
              <w:t>T</w:t>
            </w:r>
          </w:p>
        </w:tc>
        <w:tc>
          <w:tcPr>
            <w:tcW w:w="1295" w:type="dxa"/>
          </w:tcPr>
          <w:p w14:paraId="66A93364" w14:textId="340EFCBD"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5" w:type="dxa"/>
          </w:tcPr>
          <w:p w14:paraId="042582C9" w14:textId="77FC09EE"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CC</w:t>
            </w:r>
          </w:p>
        </w:tc>
        <w:tc>
          <w:tcPr>
            <w:tcW w:w="1295" w:type="dxa"/>
          </w:tcPr>
          <w:p w14:paraId="2E170B5F" w14:textId="34671532" w:rsidR="009C40E7" w:rsidRPr="00F87B08" w:rsidRDefault="009C40E7"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r>
    </w:tbl>
    <w:p w14:paraId="61C7EB3A"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4D97FF0A" w14:textId="1CDE5CC8"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Принимаемые препараты</w:t>
      </w:r>
      <w:r>
        <w:rPr>
          <w:rFonts w:ascii="Times New Roman" w:hAnsi="Times New Roman" w:cs="Times New Roman"/>
          <w:sz w:val="28"/>
          <w:szCs w:val="28"/>
          <w:lang w:bidi="ar-SA"/>
        </w:rPr>
        <w:t>: Вальсакор</w:t>
      </w:r>
      <w:r w:rsidRPr="009C40E7">
        <w:rPr>
          <w:rFonts w:ascii="Times New Roman" w:hAnsi="Times New Roman" w:cs="Times New Roman"/>
          <w:sz w:val="28"/>
          <w:szCs w:val="28"/>
          <w:lang w:bidi="ar-SA"/>
        </w:rPr>
        <w:t xml:space="preserve"> </w:t>
      </w:r>
      <w:r>
        <w:rPr>
          <w:rFonts w:ascii="Times New Roman" w:hAnsi="Times New Roman" w:cs="Times New Roman"/>
          <w:sz w:val="28"/>
          <w:szCs w:val="28"/>
          <w:lang w:bidi="ar-SA"/>
        </w:rPr>
        <w:t>Н 160/12,5</w:t>
      </w:r>
      <w:proofErr w:type="gramStart"/>
      <w:r>
        <w:rPr>
          <w:rFonts w:ascii="Times New Roman" w:hAnsi="Times New Roman" w:cs="Times New Roman"/>
          <w:sz w:val="28"/>
          <w:szCs w:val="28"/>
          <w:lang w:bidi="ar-SA"/>
        </w:rPr>
        <w:t>мг,  Аспирин</w:t>
      </w:r>
      <w:proofErr w:type="gramEnd"/>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Кардио</w:t>
      </w:r>
      <w:proofErr w:type="spellEnd"/>
      <w:r>
        <w:rPr>
          <w:rFonts w:ascii="Times New Roman" w:hAnsi="Times New Roman" w:cs="Times New Roman"/>
          <w:sz w:val="28"/>
          <w:szCs w:val="28"/>
          <w:lang w:bidi="ar-SA"/>
        </w:rPr>
        <w:t xml:space="preserve"> 100мг, </w:t>
      </w:r>
      <w:proofErr w:type="spellStart"/>
      <w:r>
        <w:rPr>
          <w:rFonts w:ascii="Times New Roman" w:hAnsi="Times New Roman" w:cs="Times New Roman"/>
          <w:sz w:val="28"/>
          <w:szCs w:val="28"/>
          <w:lang w:bidi="ar-SA"/>
        </w:rPr>
        <w:t>Прадакса</w:t>
      </w:r>
      <w:proofErr w:type="spellEnd"/>
      <w:r>
        <w:rPr>
          <w:rFonts w:ascii="Times New Roman" w:hAnsi="Times New Roman" w:cs="Times New Roman"/>
          <w:sz w:val="28"/>
          <w:szCs w:val="28"/>
          <w:lang w:bidi="ar-SA"/>
        </w:rPr>
        <w:t xml:space="preserve"> 150 мг по 1 таб 2 раза в день.</w:t>
      </w:r>
    </w:p>
    <w:p w14:paraId="5B1FFCD8" w14:textId="234DD99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i/>
          <w:iCs/>
          <w:sz w:val="28"/>
          <w:szCs w:val="28"/>
          <w:lang w:bidi="ar-SA"/>
        </w:rPr>
        <w:t>Через 16 месяцев после выписки был госпитализирован с ОНМК.</w:t>
      </w:r>
      <w:r w:rsidRPr="009C40E7">
        <w:rPr>
          <w:rFonts w:ascii="Times New Roman" w:hAnsi="Times New Roman" w:cs="Times New Roman"/>
          <w:i/>
          <w:iCs/>
          <w:sz w:val="28"/>
          <w:szCs w:val="28"/>
          <w:lang w:bidi="ar-SA"/>
        </w:rPr>
        <w:t xml:space="preserve"> </w:t>
      </w:r>
    </w:p>
    <w:p w14:paraId="7533DEFB" w14:textId="21A41125"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Рост:175см. Вес:88кг. ИМТ:28,73кг/м</w:t>
      </w:r>
      <w:r w:rsidRPr="00F87B08">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ЧСС:104уд/мин. АД: 130/90мм.рт.ст. </w:t>
      </w:r>
    </w:p>
    <w:p w14:paraId="61FE2E54" w14:textId="77777777" w:rsidR="009C40E7" w:rsidRPr="009C40E7" w:rsidRDefault="009C40E7" w:rsidP="009C40E7">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Результаты проведенных лабораторных и инструментальных исследований.</w:t>
      </w:r>
    </w:p>
    <w:p w14:paraId="6F4442FA" w14:textId="6382E35D"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Общий анализ крови</w:t>
      </w:r>
      <w:r>
        <w:rPr>
          <w:rFonts w:ascii="Times New Roman" w:hAnsi="Times New Roman" w:cs="Times New Roman"/>
          <w:sz w:val="28"/>
          <w:szCs w:val="28"/>
          <w:lang w:bidi="ar-SA"/>
        </w:rPr>
        <w:t xml:space="preserve"> – лейкоциты 8,3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(4,5-11), эритроциты 5,91 10</w:t>
      </w:r>
      <w:r w:rsidRPr="009C40E7">
        <w:rPr>
          <w:rFonts w:ascii="Times New Roman" w:hAnsi="Times New Roman" w:cs="Times New Roman"/>
          <w:sz w:val="28"/>
          <w:szCs w:val="28"/>
          <w:vertAlign w:val="superscript"/>
          <w:lang w:bidi="ar-SA"/>
        </w:rPr>
        <w:t>12</w:t>
      </w:r>
      <w:r>
        <w:rPr>
          <w:rFonts w:ascii="Times New Roman" w:hAnsi="Times New Roman" w:cs="Times New Roman"/>
          <w:sz w:val="28"/>
          <w:szCs w:val="28"/>
          <w:lang w:bidi="ar-SA"/>
        </w:rPr>
        <w:t>/л (3,8-5,5), гемоглобин 175 г/л (115-140), тромбоциты 216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(140-400).</w:t>
      </w:r>
    </w:p>
    <w:p w14:paraId="28CA5154" w14:textId="55BC9B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Биохимический анализ крови</w:t>
      </w:r>
      <w:r>
        <w:rPr>
          <w:rFonts w:ascii="Times New Roman" w:hAnsi="Times New Roman" w:cs="Times New Roman"/>
          <w:sz w:val="28"/>
          <w:szCs w:val="28"/>
          <w:lang w:bidi="ar-SA"/>
        </w:rPr>
        <w:t xml:space="preserve"> – глюкоза 96 мг/дл (74-106), креатинин 1,03 мг/дл (0,5-0,9), СКФ 85,345 мл/мин/1,73м</w:t>
      </w:r>
      <w:r w:rsidRPr="009C40E7">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АЛТ 15,3 Ед/л (0-33), АСТ 24 Ед/л (0-32), холестерин общий 6,57 ммоль/л, ЛПВП 1,78 ммоль/л, ЛПНП 5,26 ммоль/л, триглицериды 2,19 ммоль/л, калий 4,9 ммоль/л.</w:t>
      </w:r>
    </w:p>
    <w:p w14:paraId="749EDB8E" w14:textId="4D458722"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Гормоны щитовидной железы</w:t>
      </w:r>
      <w:r>
        <w:rPr>
          <w:rFonts w:ascii="Times New Roman" w:hAnsi="Times New Roman" w:cs="Times New Roman"/>
          <w:sz w:val="28"/>
          <w:szCs w:val="28"/>
          <w:lang w:bidi="ar-SA"/>
        </w:rPr>
        <w:t xml:space="preserve"> – тиреотропный гормон 1,84 нг/мл (0,27-4,2), свободный трийодтиронин (св.Т3) 4,66 пмоль/л (3,1-6,8), свободный тироксин 18,28 пмоль/л (12-22).</w:t>
      </w:r>
    </w:p>
    <w:p w14:paraId="0D59C0D6" w14:textId="622D4455"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Коагулограмма</w:t>
      </w:r>
      <w:r>
        <w:rPr>
          <w:rFonts w:ascii="Times New Roman" w:hAnsi="Times New Roman" w:cs="Times New Roman"/>
          <w:sz w:val="28"/>
          <w:szCs w:val="28"/>
          <w:lang w:bidi="ar-SA"/>
        </w:rPr>
        <w:t xml:space="preserve"> – протромбиновое время (ПВ) 13,4 сек (9,4-12,5), протромбиновый индекс (ПТИ) 78 % (70-140), МНО 1,2 (0,9-1,2), АЧТВ 33,7 сек (25,1-36,5), фибриноген 4,72 г/л (2-3,93).</w:t>
      </w:r>
    </w:p>
    <w:p w14:paraId="21102183" w14:textId="68DDA734"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ФГДС</w:t>
      </w:r>
      <w:r>
        <w:rPr>
          <w:rFonts w:ascii="Times New Roman" w:hAnsi="Times New Roman" w:cs="Times New Roman"/>
          <w:sz w:val="28"/>
          <w:szCs w:val="28"/>
          <w:lang w:bidi="ar-SA"/>
        </w:rPr>
        <w:t>: поверхностный гастрит.</w:t>
      </w:r>
    </w:p>
    <w:p w14:paraId="02E27224" w14:textId="22502DAF"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w:t>
      </w:r>
      <w:r>
        <w:rPr>
          <w:rFonts w:ascii="Times New Roman" w:hAnsi="Times New Roman" w:cs="Times New Roman"/>
          <w:sz w:val="28"/>
          <w:szCs w:val="28"/>
          <w:lang w:bidi="ar-SA"/>
        </w:rPr>
        <w:t xml:space="preserve">: ритм фибрилляция предсердий, ЧЖС 90 уд/мин, ЭОС отклонена </w:t>
      </w:r>
      <w:proofErr w:type="gramStart"/>
      <w:r>
        <w:rPr>
          <w:rFonts w:ascii="Times New Roman" w:hAnsi="Times New Roman" w:cs="Times New Roman"/>
          <w:sz w:val="28"/>
          <w:szCs w:val="28"/>
          <w:lang w:bidi="ar-SA"/>
        </w:rPr>
        <w:t>влево..</w:t>
      </w:r>
      <w:proofErr w:type="gramEnd"/>
    </w:p>
    <w:p w14:paraId="1D85926E" w14:textId="554EB108"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Эхокардиография</w:t>
      </w:r>
      <w:r>
        <w:rPr>
          <w:rFonts w:ascii="Times New Roman" w:hAnsi="Times New Roman" w:cs="Times New Roman"/>
          <w:sz w:val="28"/>
          <w:szCs w:val="28"/>
          <w:lang w:bidi="ar-SA"/>
        </w:rPr>
        <w:t xml:space="preserve">: дилатация восходящего отдела аорты и синусов Вальсальвы, обоих предсердий. Гипертрофия миокарда ЛЖ. Недостаточность митрального клапана умеренной степени. Недостаточность трикуспидального клапана легкой степени. Минимальная аортальная регургитация. Систолическая функция левого желудочка относительно удовлетворительная (ФВ 54%). </w:t>
      </w:r>
    </w:p>
    <w:p w14:paraId="0518AFCF"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сосудов экстракраниального бассейна</w:t>
      </w:r>
      <w:r>
        <w:rPr>
          <w:rFonts w:ascii="Times New Roman" w:hAnsi="Times New Roman" w:cs="Times New Roman"/>
          <w:sz w:val="28"/>
          <w:szCs w:val="28"/>
          <w:lang w:bidi="ar-SA"/>
        </w:rPr>
        <w:t>: атеросклероз сонных артерий.</w:t>
      </w:r>
    </w:p>
    <w:p w14:paraId="1F1D4323" w14:textId="048961D5"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артерий/вен верхних и нижних конечностей</w:t>
      </w:r>
      <w:r>
        <w:rPr>
          <w:rFonts w:ascii="Times New Roman" w:hAnsi="Times New Roman" w:cs="Times New Roman"/>
          <w:sz w:val="28"/>
          <w:szCs w:val="28"/>
          <w:lang w:bidi="ar-SA"/>
        </w:rPr>
        <w:t>: атеросклероз артерий нижних конечностей без нарушения гемодинамики. Вены нижних конечностей проходимы.</w:t>
      </w:r>
    </w:p>
    <w:p w14:paraId="206B892C" w14:textId="7044AB38" w:rsidR="009C40E7" w:rsidRDefault="009C40E7" w:rsidP="009C40E7">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Магниторезонансная томография головного мозга</w:t>
      </w:r>
      <w:r>
        <w:rPr>
          <w:rFonts w:ascii="Times New Roman" w:hAnsi="Times New Roman" w:cs="Times New Roman"/>
          <w:sz w:val="28"/>
          <w:szCs w:val="28"/>
          <w:lang w:bidi="ar-SA"/>
        </w:rPr>
        <w:t>: признаки ишемии в левой гемисфере мозжечка на фоне тромбоза Р2 сегмента задней мозговой артерии слева, верхней мозжечковой артерии слева.</w:t>
      </w:r>
    </w:p>
    <w:p w14:paraId="1DF86C40" w14:textId="77777777" w:rsidR="008E0493" w:rsidRDefault="008E0493" w:rsidP="009C40E7">
      <w:pPr>
        <w:pStyle w:val="LO-normal"/>
        <w:spacing w:after="0" w:line="240" w:lineRule="auto"/>
        <w:ind w:firstLine="567"/>
        <w:jc w:val="both"/>
        <w:rPr>
          <w:rFonts w:ascii="Times New Roman" w:hAnsi="Times New Roman" w:cs="Times New Roman"/>
          <w:sz w:val="28"/>
          <w:szCs w:val="28"/>
          <w:lang w:bidi="ar-SA"/>
        </w:rPr>
      </w:pPr>
    </w:p>
    <w:p w14:paraId="51A37D01" w14:textId="77777777" w:rsidR="008E0493" w:rsidRDefault="008E0493" w:rsidP="009C40E7">
      <w:pPr>
        <w:pStyle w:val="LO-normal"/>
        <w:spacing w:after="0" w:line="240" w:lineRule="auto"/>
        <w:ind w:firstLine="567"/>
        <w:jc w:val="both"/>
        <w:rPr>
          <w:rFonts w:ascii="Times New Roman" w:hAnsi="Times New Roman" w:cs="Times New Roman"/>
          <w:sz w:val="28"/>
          <w:szCs w:val="28"/>
          <w:lang w:bidi="ar-SA"/>
        </w:rPr>
      </w:pPr>
    </w:p>
    <w:p w14:paraId="6D4B57DC" w14:textId="77777777" w:rsidR="008E0493" w:rsidRDefault="008E0493" w:rsidP="009C40E7">
      <w:pPr>
        <w:pStyle w:val="LO-normal"/>
        <w:spacing w:after="0" w:line="240" w:lineRule="auto"/>
        <w:ind w:firstLine="567"/>
        <w:jc w:val="both"/>
        <w:rPr>
          <w:rFonts w:ascii="Times New Roman" w:hAnsi="Times New Roman" w:cs="Times New Roman"/>
          <w:sz w:val="28"/>
          <w:szCs w:val="28"/>
          <w:lang w:bidi="ar-SA"/>
        </w:rPr>
      </w:pPr>
    </w:p>
    <w:p w14:paraId="1CF0D9BF" w14:textId="28286559" w:rsidR="008E0493" w:rsidRDefault="008E0493" w:rsidP="008E0493">
      <w:pPr>
        <w:pStyle w:val="LO-normal"/>
        <w:spacing w:after="0" w:line="240" w:lineRule="auto"/>
        <w:ind w:firstLine="567"/>
        <w:jc w:val="both"/>
        <w:rPr>
          <w:rFonts w:ascii="Times New Roman" w:hAnsi="Times New Roman" w:cs="Times New Roman"/>
          <w:i/>
          <w:iCs/>
          <w:sz w:val="28"/>
          <w:szCs w:val="28"/>
          <w:lang w:bidi="ar-SA"/>
        </w:rPr>
      </w:pPr>
      <w:r>
        <w:rPr>
          <w:rFonts w:ascii="Times New Roman" w:hAnsi="Times New Roman" w:cs="Times New Roman"/>
          <w:i/>
          <w:iCs/>
          <w:sz w:val="28"/>
          <w:szCs w:val="28"/>
          <w:lang w:bidi="ar-SA"/>
        </w:rPr>
        <w:t>Клинический случай №5. Пациент М, 60 лет.</w:t>
      </w:r>
    </w:p>
    <w:p w14:paraId="5EDE3A12" w14:textId="2E8FCC87" w:rsidR="008E0493" w:rsidRDefault="008E0493" w:rsidP="008E0493">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bidi="ar-SA"/>
        </w:rPr>
        <w:t>Диагноз:</w:t>
      </w:r>
      <w:r>
        <w:rPr>
          <w:rFonts w:ascii="Times New Roman" w:hAnsi="Times New Roman" w:cs="Times New Roman"/>
          <w:sz w:val="28"/>
          <w:szCs w:val="28"/>
          <w:lang w:bidi="ar-SA"/>
        </w:rPr>
        <w:t xml:space="preserve"> НРС. Фибрилляция предсердий, пароксизмальная форма. </w:t>
      </w:r>
      <w:r>
        <w:rPr>
          <w:rFonts w:ascii="Times New Roman" w:hAnsi="Times New Roman" w:cs="Times New Roman"/>
          <w:sz w:val="28"/>
          <w:szCs w:val="28"/>
          <w:lang w:val="en-US" w:bidi="ar-SA"/>
        </w:rPr>
        <w:t>EHRAIIb. CHA</w:t>
      </w:r>
      <w:r w:rsidRPr="008E0493">
        <w:rPr>
          <w:rFonts w:ascii="Times New Roman" w:hAnsi="Times New Roman" w:cs="Times New Roman"/>
          <w:sz w:val="28"/>
          <w:szCs w:val="28"/>
          <w:vertAlign w:val="subscript"/>
          <w:lang w:val="en-US" w:bidi="ar-SA"/>
        </w:rPr>
        <w:t>2</w:t>
      </w:r>
      <w:r>
        <w:rPr>
          <w:rFonts w:ascii="Times New Roman" w:hAnsi="Times New Roman" w:cs="Times New Roman"/>
          <w:sz w:val="28"/>
          <w:szCs w:val="28"/>
          <w:lang w:val="en-US" w:bidi="ar-SA"/>
        </w:rPr>
        <w:t>DS</w:t>
      </w:r>
      <w:r w:rsidRPr="008E0493">
        <w:rPr>
          <w:rFonts w:ascii="Times New Roman" w:hAnsi="Times New Roman" w:cs="Times New Roman"/>
          <w:sz w:val="28"/>
          <w:szCs w:val="28"/>
          <w:vertAlign w:val="subscript"/>
          <w:lang w:val="en-US" w:bidi="ar-SA"/>
        </w:rPr>
        <w:t>2</w:t>
      </w:r>
      <w:r w:rsidRPr="008E0493">
        <w:rPr>
          <w:rFonts w:ascii="Times New Roman" w:hAnsi="Times New Roman" w:cs="Times New Roman"/>
          <w:sz w:val="28"/>
          <w:szCs w:val="28"/>
          <w:lang w:val="en-US" w:bidi="ar-SA"/>
        </w:rPr>
        <w:t>-</w:t>
      </w:r>
      <w:r>
        <w:rPr>
          <w:rFonts w:ascii="Times New Roman" w:hAnsi="Times New Roman" w:cs="Times New Roman"/>
          <w:sz w:val="28"/>
          <w:szCs w:val="28"/>
          <w:lang w:val="en-US" w:bidi="ar-SA"/>
        </w:rPr>
        <w:t>VA</w:t>
      </w:r>
      <w:r w:rsidRPr="008E0493">
        <w:rPr>
          <w:rFonts w:ascii="Times New Roman" w:hAnsi="Times New Roman" w:cs="Times New Roman"/>
          <w:sz w:val="28"/>
          <w:szCs w:val="28"/>
          <w:lang w:val="en-US" w:bidi="ar-SA"/>
        </w:rPr>
        <w:t xml:space="preserve"> – </w:t>
      </w:r>
      <w:r w:rsidRPr="00926EC0">
        <w:rPr>
          <w:rFonts w:ascii="Times New Roman" w:hAnsi="Times New Roman" w:cs="Times New Roman"/>
          <w:sz w:val="28"/>
          <w:szCs w:val="28"/>
          <w:lang w:val="en-US" w:bidi="ar-SA"/>
        </w:rPr>
        <w:t>3</w:t>
      </w:r>
      <w:r w:rsidRPr="008E0493">
        <w:rPr>
          <w:rFonts w:ascii="Times New Roman" w:hAnsi="Times New Roman" w:cs="Times New Roman"/>
          <w:sz w:val="28"/>
          <w:szCs w:val="28"/>
          <w:lang w:val="en-US" w:bidi="ar-SA"/>
        </w:rPr>
        <w:t xml:space="preserve"> </w:t>
      </w:r>
      <w:r>
        <w:rPr>
          <w:rFonts w:ascii="Times New Roman" w:hAnsi="Times New Roman" w:cs="Times New Roman"/>
          <w:sz w:val="28"/>
          <w:szCs w:val="28"/>
          <w:lang w:val="kk-KZ" w:bidi="ar-SA"/>
        </w:rPr>
        <w:t xml:space="preserve">балла. </w:t>
      </w:r>
      <w:r>
        <w:rPr>
          <w:rFonts w:ascii="Times New Roman" w:hAnsi="Times New Roman" w:cs="Times New Roman"/>
          <w:sz w:val="28"/>
          <w:szCs w:val="28"/>
          <w:lang w:val="en-US" w:bidi="ar-SA"/>
        </w:rPr>
        <w:t>HAS</w:t>
      </w:r>
      <w:r w:rsidRPr="008E0493">
        <w:rPr>
          <w:rFonts w:ascii="Times New Roman" w:hAnsi="Times New Roman" w:cs="Times New Roman"/>
          <w:sz w:val="28"/>
          <w:szCs w:val="28"/>
          <w:lang w:val="en-US" w:bidi="ar-SA"/>
        </w:rPr>
        <w:t>-</w:t>
      </w:r>
      <w:r>
        <w:rPr>
          <w:rFonts w:ascii="Times New Roman" w:hAnsi="Times New Roman" w:cs="Times New Roman"/>
          <w:sz w:val="28"/>
          <w:szCs w:val="28"/>
          <w:lang w:val="en-US" w:bidi="ar-SA"/>
        </w:rPr>
        <w:t>BLED</w:t>
      </w:r>
      <w:r w:rsidRPr="008E0493">
        <w:rPr>
          <w:rFonts w:ascii="Times New Roman" w:hAnsi="Times New Roman" w:cs="Times New Roman"/>
          <w:sz w:val="28"/>
          <w:szCs w:val="28"/>
          <w:lang w:val="en-US" w:bidi="ar-SA"/>
        </w:rPr>
        <w:t xml:space="preserve"> – 1 </w:t>
      </w:r>
      <w:r>
        <w:rPr>
          <w:rFonts w:ascii="Times New Roman" w:hAnsi="Times New Roman" w:cs="Times New Roman"/>
          <w:sz w:val="28"/>
          <w:szCs w:val="28"/>
          <w:lang w:val="kk-KZ" w:bidi="ar-SA"/>
        </w:rPr>
        <w:t xml:space="preserve">балл. Артериальная гипертензия 3 степени, риск ССО 4. </w:t>
      </w:r>
    </w:p>
    <w:p w14:paraId="116985D4" w14:textId="77777777" w:rsidR="008E0493" w:rsidRPr="0011617E" w:rsidRDefault="008E0493" w:rsidP="008E0493">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Концентрации дабигатрана и апиксабана (пиковая/минимальная концентрации)</w:t>
      </w:r>
      <w:r>
        <w:rPr>
          <w:rFonts w:ascii="Times New Roman" w:hAnsi="Times New Roman" w:cs="Times New Roman"/>
          <w:sz w:val="28"/>
          <w:szCs w:val="28"/>
          <w:lang w:val="kk-KZ" w:bidi="ar-SA"/>
        </w:rPr>
        <w:t xml:space="preserve">: </w:t>
      </w:r>
    </w:p>
    <w:p w14:paraId="183FCC31" w14:textId="77777777" w:rsidR="008E0493" w:rsidRPr="0011617E" w:rsidRDefault="008E0493" w:rsidP="008E0493">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6"/>
      </w:tblGrid>
      <w:tr w:rsidR="008E0493" w14:paraId="3C091D64" w14:textId="77777777" w:rsidTr="00E41A93">
        <w:tc>
          <w:tcPr>
            <w:tcW w:w="2265" w:type="dxa"/>
          </w:tcPr>
          <w:p w14:paraId="628933CA" w14:textId="77777777" w:rsidR="008E0493" w:rsidRPr="0011617E" w:rsidRDefault="008E0493"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Дабигатран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max</w:t>
            </w:r>
          </w:p>
          <w:p w14:paraId="4494AADE"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(117-275) </w:t>
            </w:r>
            <w:r w:rsidRPr="0011617E">
              <w:rPr>
                <w:rFonts w:ascii="Times New Roman" w:hAnsi="Times New Roman" w:cs="Times New Roman"/>
                <w:b/>
                <w:bCs/>
                <w:sz w:val="24"/>
                <w:szCs w:val="24"/>
                <w:lang w:bidi="ar-SA"/>
              </w:rPr>
              <w:t>нг/мл</w:t>
            </w:r>
          </w:p>
        </w:tc>
        <w:tc>
          <w:tcPr>
            <w:tcW w:w="2265" w:type="dxa"/>
          </w:tcPr>
          <w:p w14:paraId="166BE25D"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bidi="ar-SA"/>
              </w:rPr>
              <w:t>Дабигатран С</w:t>
            </w:r>
            <w:r w:rsidRPr="009C40E7">
              <w:rPr>
                <w:rFonts w:ascii="Times New Roman" w:hAnsi="Times New Roman" w:cs="Times New Roman"/>
                <w:b/>
                <w:bCs/>
                <w:sz w:val="24"/>
                <w:szCs w:val="24"/>
                <w:vertAlign w:val="subscript"/>
                <w:lang w:val="en-US" w:bidi="ar-SA"/>
              </w:rPr>
              <w:t xml:space="preserve">min </w:t>
            </w:r>
            <w:r w:rsidRPr="0011617E">
              <w:rPr>
                <w:rFonts w:ascii="Times New Roman" w:hAnsi="Times New Roman" w:cs="Times New Roman"/>
                <w:b/>
                <w:bCs/>
                <w:sz w:val="24"/>
                <w:szCs w:val="24"/>
                <w:lang w:val="en-US" w:bidi="ar-SA"/>
              </w:rPr>
              <w:t xml:space="preserve">(61-143) </w:t>
            </w:r>
            <w:r w:rsidRPr="0011617E">
              <w:rPr>
                <w:rFonts w:ascii="Times New Roman" w:hAnsi="Times New Roman" w:cs="Times New Roman"/>
                <w:b/>
                <w:bCs/>
                <w:sz w:val="24"/>
                <w:szCs w:val="24"/>
                <w:lang w:val="kk-KZ" w:bidi="ar-SA"/>
              </w:rPr>
              <w:t>нг/мл</w:t>
            </w:r>
          </w:p>
        </w:tc>
        <w:tc>
          <w:tcPr>
            <w:tcW w:w="2265" w:type="dxa"/>
          </w:tcPr>
          <w:p w14:paraId="43D7C9D9" w14:textId="77777777" w:rsidR="008E0493" w:rsidRPr="0011617E" w:rsidRDefault="008E0493"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val="kk-KZ" w:bidi="ar-SA"/>
              </w:rPr>
              <w:t>Апиксабан С</w:t>
            </w:r>
            <w:r w:rsidRPr="0011617E">
              <w:rPr>
                <w:rFonts w:ascii="Times New Roman" w:hAnsi="Times New Roman" w:cs="Times New Roman"/>
                <w:b/>
                <w:bCs/>
                <w:sz w:val="24"/>
                <w:szCs w:val="24"/>
                <w:vertAlign w:val="subscript"/>
                <w:lang w:val="en-US" w:bidi="ar-SA"/>
              </w:rPr>
              <w:t>max</w:t>
            </w:r>
          </w:p>
          <w:p w14:paraId="48676F49"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val="en-US" w:bidi="ar-SA"/>
              </w:rPr>
              <w:t>(</w:t>
            </w:r>
            <w:r w:rsidRPr="0011617E">
              <w:rPr>
                <w:rFonts w:ascii="Times New Roman" w:hAnsi="Times New Roman" w:cs="Times New Roman"/>
                <w:b/>
                <w:bCs/>
                <w:sz w:val="24"/>
                <w:szCs w:val="24"/>
                <w:lang w:bidi="ar-SA"/>
              </w:rPr>
              <w:t>91-321</w:t>
            </w:r>
            <w:r w:rsidRPr="0011617E">
              <w:rPr>
                <w:rFonts w:ascii="Times New Roman" w:hAnsi="Times New Roman" w:cs="Times New Roman"/>
                <w:b/>
                <w:bCs/>
                <w:sz w:val="24"/>
                <w:szCs w:val="24"/>
                <w:lang w:val="en-US" w:bidi="ar-SA"/>
              </w:rPr>
              <w:t xml:space="preserve">) </w:t>
            </w:r>
            <w:r w:rsidRPr="0011617E">
              <w:rPr>
                <w:rFonts w:ascii="Times New Roman" w:hAnsi="Times New Roman" w:cs="Times New Roman"/>
                <w:b/>
                <w:bCs/>
                <w:sz w:val="24"/>
                <w:szCs w:val="24"/>
                <w:lang w:bidi="ar-SA"/>
              </w:rPr>
              <w:t>нг/мл</w:t>
            </w:r>
          </w:p>
        </w:tc>
        <w:tc>
          <w:tcPr>
            <w:tcW w:w="2266" w:type="dxa"/>
          </w:tcPr>
          <w:p w14:paraId="43251B1C" w14:textId="77777777" w:rsidR="008E0493" w:rsidRPr="0011617E" w:rsidRDefault="008E0493"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Апиксабан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min</w:t>
            </w:r>
          </w:p>
          <w:p w14:paraId="018DE7FA"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(41-230) </w:t>
            </w:r>
            <w:r w:rsidRPr="0011617E">
              <w:rPr>
                <w:rFonts w:ascii="Times New Roman" w:hAnsi="Times New Roman" w:cs="Times New Roman"/>
                <w:b/>
                <w:bCs/>
                <w:sz w:val="24"/>
                <w:szCs w:val="24"/>
                <w:lang w:bidi="ar-SA"/>
              </w:rPr>
              <w:t>нг/мл</w:t>
            </w:r>
          </w:p>
        </w:tc>
      </w:tr>
      <w:tr w:rsidR="008E0493" w14:paraId="66D0A548" w14:textId="77777777" w:rsidTr="00E41A93">
        <w:tc>
          <w:tcPr>
            <w:tcW w:w="2265" w:type="dxa"/>
          </w:tcPr>
          <w:p w14:paraId="44B94851" w14:textId="6F2E8F52"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151,17</w:t>
            </w:r>
          </w:p>
        </w:tc>
        <w:tc>
          <w:tcPr>
            <w:tcW w:w="2265" w:type="dxa"/>
          </w:tcPr>
          <w:p w14:paraId="13181934" w14:textId="21B80D51"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31</w:t>
            </w:r>
          </w:p>
        </w:tc>
        <w:tc>
          <w:tcPr>
            <w:tcW w:w="2265" w:type="dxa"/>
          </w:tcPr>
          <w:p w14:paraId="1E8BA833" w14:textId="37BF780D"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139,74</w:t>
            </w:r>
          </w:p>
        </w:tc>
        <w:tc>
          <w:tcPr>
            <w:tcW w:w="2266" w:type="dxa"/>
          </w:tcPr>
          <w:p w14:paraId="6EC06ADD" w14:textId="68798DD4"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98,6</w:t>
            </w:r>
          </w:p>
        </w:tc>
      </w:tr>
    </w:tbl>
    <w:p w14:paraId="6D61A4E1" w14:textId="77777777" w:rsidR="008E0493" w:rsidRDefault="008E0493" w:rsidP="008E0493">
      <w:pPr>
        <w:pStyle w:val="LO-normal"/>
        <w:spacing w:after="0" w:line="240" w:lineRule="auto"/>
        <w:ind w:firstLine="567"/>
        <w:jc w:val="both"/>
        <w:rPr>
          <w:rFonts w:ascii="Times New Roman" w:hAnsi="Times New Roman" w:cs="Times New Roman"/>
          <w:sz w:val="28"/>
          <w:szCs w:val="28"/>
          <w:lang w:val="en-US"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p w14:paraId="55FF30E4"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F87B08">
        <w:rPr>
          <w:rFonts w:ascii="Times New Roman" w:hAnsi="Times New Roman" w:cs="Times New Roman"/>
          <w:i/>
          <w:iCs/>
          <w:sz w:val="28"/>
          <w:szCs w:val="28"/>
          <w:lang w:bidi="ar-SA"/>
        </w:rPr>
        <w:t>Генотип</w:t>
      </w:r>
      <w:r>
        <w:rPr>
          <w:rFonts w:ascii="Times New Roman" w:hAnsi="Times New Roman" w:cs="Times New Roman"/>
          <w:sz w:val="28"/>
          <w:szCs w:val="28"/>
          <w:lang w:bidi="ar-S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350"/>
        <w:gridCol w:w="1294"/>
        <w:gridCol w:w="1295"/>
        <w:gridCol w:w="1295"/>
        <w:gridCol w:w="1295"/>
      </w:tblGrid>
      <w:tr w:rsidR="008E0493" w:rsidRPr="00F87B08" w14:paraId="2675D20D" w14:textId="77777777" w:rsidTr="00E41A93">
        <w:tc>
          <w:tcPr>
            <w:tcW w:w="1294" w:type="dxa"/>
          </w:tcPr>
          <w:p w14:paraId="3A037CE9"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32DBC791"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3483E61C"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431F913F"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ABCB1</w:t>
            </w:r>
          </w:p>
        </w:tc>
        <w:tc>
          <w:tcPr>
            <w:tcW w:w="1295" w:type="dxa"/>
          </w:tcPr>
          <w:p w14:paraId="2D13E5E5"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6F674B05"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68B5EDEF"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r>
      <w:tr w:rsidR="008E0493" w:rsidRPr="00F87B08" w14:paraId="5CF89B85" w14:textId="77777777" w:rsidTr="00E41A93">
        <w:tc>
          <w:tcPr>
            <w:tcW w:w="1294" w:type="dxa"/>
          </w:tcPr>
          <w:p w14:paraId="1108099A"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sidRPr="00F87B08">
              <w:rPr>
                <w:rFonts w:ascii="Times New Roman" w:hAnsi="Times New Roman" w:cs="Times New Roman"/>
                <w:sz w:val="24"/>
                <w:szCs w:val="24"/>
                <w:lang w:val="en-US" w:bidi="ar-SA"/>
              </w:rPr>
              <w:t>rs8192935</w:t>
            </w:r>
            <w:r>
              <w:rPr>
                <w:rFonts w:ascii="Times New Roman" w:hAnsi="Times New Roman" w:cs="Times New Roman"/>
                <w:sz w:val="24"/>
                <w:szCs w:val="24"/>
                <w:lang w:val="en-US" w:bidi="ar-SA"/>
              </w:rPr>
              <w:t xml:space="preserve"> A/G</w:t>
            </w:r>
          </w:p>
        </w:tc>
        <w:tc>
          <w:tcPr>
            <w:tcW w:w="1294" w:type="dxa"/>
          </w:tcPr>
          <w:p w14:paraId="7C651A5B"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rs2244613 G/T</w:t>
            </w:r>
          </w:p>
        </w:tc>
        <w:tc>
          <w:tcPr>
            <w:tcW w:w="1294" w:type="dxa"/>
          </w:tcPr>
          <w:p w14:paraId="4DB104DA"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rs71647871 A/G</w:t>
            </w:r>
          </w:p>
        </w:tc>
        <w:tc>
          <w:tcPr>
            <w:tcW w:w="1294" w:type="dxa"/>
          </w:tcPr>
          <w:p w14:paraId="1B13F956" w14:textId="77777777" w:rsidR="008E0493" w:rsidRPr="00F87B08"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rs4148738 C/T</w:t>
            </w:r>
          </w:p>
        </w:tc>
        <w:tc>
          <w:tcPr>
            <w:tcW w:w="1295" w:type="dxa"/>
          </w:tcPr>
          <w:p w14:paraId="68511F6C"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rs1045642 A/G</w:t>
            </w:r>
          </w:p>
        </w:tc>
        <w:tc>
          <w:tcPr>
            <w:tcW w:w="1295" w:type="dxa"/>
          </w:tcPr>
          <w:p w14:paraId="0B2F6182"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rs2032582 C/A</w:t>
            </w:r>
          </w:p>
        </w:tc>
        <w:tc>
          <w:tcPr>
            <w:tcW w:w="1295" w:type="dxa"/>
          </w:tcPr>
          <w:p w14:paraId="33BC6197"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rs1128503 A/G</w:t>
            </w:r>
          </w:p>
        </w:tc>
      </w:tr>
      <w:tr w:rsidR="008E0493" w:rsidRPr="00F87B08" w14:paraId="63E4F762" w14:textId="77777777" w:rsidTr="00E41A93">
        <w:tc>
          <w:tcPr>
            <w:tcW w:w="1294" w:type="dxa"/>
          </w:tcPr>
          <w:p w14:paraId="487329F6" w14:textId="16C38028"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A</w:t>
            </w:r>
            <w:r>
              <w:rPr>
                <w:rFonts w:ascii="Times New Roman" w:hAnsi="Times New Roman" w:cs="Times New Roman"/>
                <w:sz w:val="24"/>
                <w:szCs w:val="24"/>
                <w:lang w:bidi="ar-SA"/>
              </w:rPr>
              <w:t>А</w:t>
            </w:r>
          </w:p>
        </w:tc>
        <w:tc>
          <w:tcPr>
            <w:tcW w:w="1294" w:type="dxa"/>
          </w:tcPr>
          <w:p w14:paraId="051DAABF" w14:textId="6EB5EC34"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bidi="ar-SA"/>
              </w:rPr>
              <w:t>Т</w:t>
            </w:r>
            <w:r>
              <w:rPr>
                <w:rFonts w:ascii="Times New Roman" w:hAnsi="Times New Roman" w:cs="Times New Roman"/>
                <w:sz w:val="24"/>
                <w:szCs w:val="24"/>
                <w:lang w:val="en-US" w:bidi="ar-SA"/>
              </w:rPr>
              <w:t>T</w:t>
            </w:r>
          </w:p>
        </w:tc>
        <w:tc>
          <w:tcPr>
            <w:tcW w:w="1294" w:type="dxa"/>
          </w:tcPr>
          <w:p w14:paraId="5E2C15D6"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5C4E9246" w14:textId="555A11EB"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bidi="ar-SA"/>
              </w:rPr>
              <w:t>Т</w:t>
            </w:r>
            <w:r>
              <w:rPr>
                <w:rFonts w:ascii="Times New Roman" w:hAnsi="Times New Roman" w:cs="Times New Roman"/>
                <w:sz w:val="24"/>
                <w:szCs w:val="24"/>
                <w:lang w:val="en-US" w:bidi="ar-SA"/>
              </w:rPr>
              <w:t>T</w:t>
            </w:r>
          </w:p>
        </w:tc>
        <w:tc>
          <w:tcPr>
            <w:tcW w:w="1295" w:type="dxa"/>
          </w:tcPr>
          <w:p w14:paraId="4D4E77F9" w14:textId="6157DE0B"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5" w:type="dxa"/>
          </w:tcPr>
          <w:p w14:paraId="565D5E8D" w14:textId="6B651280"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CC</w:t>
            </w:r>
          </w:p>
        </w:tc>
        <w:tc>
          <w:tcPr>
            <w:tcW w:w="1295" w:type="dxa"/>
          </w:tcPr>
          <w:p w14:paraId="570131EB" w14:textId="12766B08"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AA</w:t>
            </w:r>
          </w:p>
        </w:tc>
      </w:tr>
    </w:tbl>
    <w:p w14:paraId="61F363D5"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p>
    <w:p w14:paraId="5149DE89" w14:textId="61FB8069" w:rsidR="008E0493" w:rsidRP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Принимаемые препараты</w:t>
      </w:r>
      <w:r>
        <w:rPr>
          <w:rFonts w:ascii="Times New Roman" w:hAnsi="Times New Roman" w:cs="Times New Roman"/>
          <w:sz w:val="28"/>
          <w:szCs w:val="28"/>
          <w:lang w:bidi="ar-SA"/>
        </w:rPr>
        <w:t>: Ксарелто 20 мг, Валодип 80/5мг.</w:t>
      </w:r>
    </w:p>
    <w:p w14:paraId="19EB06C9" w14:textId="6A07D92D"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i/>
          <w:iCs/>
          <w:sz w:val="28"/>
          <w:szCs w:val="28"/>
          <w:lang w:bidi="ar-SA"/>
        </w:rPr>
        <w:t>Через 3 месяца по данным ЧПЭХО выявлен тромбоз ушка левого предсердия</w:t>
      </w:r>
      <w:r>
        <w:rPr>
          <w:rFonts w:ascii="Times New Roman" w:hAnsi="Times New Roman" w:cs="Times New Roman"/>
          <w:sz w:val="28"/>
          <w:szCs w:val="28"/>
          <w:lang w:bidi="ar-SA"/>
        </w:rPr>
        <w:t>.</w:t>
      </w:r>
    </w:p>
    <w:p w14:paraId="68701EC4" w14:textId="3352AE47"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Рост: 165см. Вес:92кг. ИМТ:33кг/м</w:t>
      </w:r>
      <w:r w:rsidRPr="00F87B08">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ЧСС:65уд/мин. АД: 150/80мм.рт.ст. </w:t>
      </w:r>
    </w:p>
    <w:p w14:paraId="30592590" w14:textId="77777777" w:rsidR="008E0493" w:rsidRPr="009C40E7" w:rsidRDefault="008E0493" w:rsidP="008E0493">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Результаты проведенных лабораторных и инструментальных исследований.</w:t>
      </w:r>
    </w:p>
    <w:p w14:paraId="6702CF6A" w14:textId="54F92BA1"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Общий анализ крови</w:t>
      </w:r>
      <w:r>
        <w:rPr>
          <w:rFonts w:ascii="Times New Roman" w:hAnsi="Times New Roman" w:cs="Times New Roman"/>
          <w:sz w:val="28"/>
          <w:szCs w:val="28"/>
          <w:lang w:bidi="ar-SA"/>
        </w:rPr>
        <w:t xml:space="preserve"> – лейкоциты 8,29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(4,5-11), эритроциты 5,2 10</w:t>
      </w:r>
      <w:r w:rsidRPr="009C40E7">
        <w:rPr>
          <w:rFonts w:ascii="Times New Roman" w:hAnsi="Times New Roman" w:cs="Times New Roman"/>
          <w:sz w:val="28"/>
          <w:szCs w:val="28"/>
          <w:vertAlign w:val="superscript"/>
          <w:lang w:bidi="ar-SA"/>
        </w:rPr>
        <w:t>12</w:t>
      </w:r>
      <w:r>
        <w:rPr>
          <w:rFonts w:ascii="Times New Roman" w:hAnsi="Times New Roman" w:cs="Times New Roman"/>
          <w:sz w:val="28"/>
          <w:szCs w:val="28"/>
          <w:lang w:bidi="ar-SA"/>
        </w:rPr>
        <w:t>/л (3,8-5,5), гемоглобин 148 г/л (115-140), тромбоциты 166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(140-400).</w:t>
      </w:r>
    </w:p>
    <w:p w14:paraId="71DC07FF" w14:textId="5CAC614F"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Биохимический анализ крови</w:t>
      </w:r>
      <w:r>
        <w:rPr>
          <w:rFonts w:ascii="Times New Roman" w:hAnsi="Times New Roman" w:cs="Times New Roman"/>
          <w:sz w:val="28"/>
          <w:szCs w:val="28"/>
          <w:lang w:bidi="ar-SA"/>
        </w:rPr>
        <w:t xml:space="preserve"> – глюкоза 88,6 мг/дл (74-106), креатинин 0,89 мг/дл (0,5-0,9), СКФ 97,519 мл/мин/1,73м</w:t>
      </w:r>
      <w:r w:rsidRPr="009C40E7">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АЛТ 19,2 Ед/л (0-33), АСТ 21 Ед/л (0-32), холестерин общий 4,45 ммоль/л, ЛПВП 1,15ммоль/л, ЛПНП 3,43ммоль/л, триглицериды 1,09 ммоль/л, калий 4,0ммоль/л.</w:t>
      </w:r>
    </w:p>
    <w:p w14:paraId="04ED8380" w14:textId="57727EA3"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Гликогемоглобин</w:t>
      </w:r>
      <w:r>
        <w:rPr>
          <w:rFonts w:ascii="Times New Roman" w:hAnsi="Times New Roman" w:cs="Times New Roman"/>
          <w:sz w:val="28"/>
          <w:szCs w:val="28"/>
          <w:lang w:bidi="ar-SA"/>
        </w:rPr>
        <w:t xml:space="preserve"> – </w:t>
      </w:r>
      <w:r w:rsidRPr="008E0493">
        <w:rPr>
          <w:rFonts w:ascii="Times New Roman" w:hAnsi="Times New Roman" w:cs="Times New Roman"/>
          <w:sz w:val="28"/>
          <w:szCs w:val="28"/>
          <w:lang w:bidi="ar-SA"/>
        </w:rPr>
        <w:t>6,2</w:t>
      </w:r>
      <w:r>
        <w:rPr>
          <w:rFonts w:ascii="Times New Roman" w:hAnsi="Times New Roman" w:cs="Times New Roman"/>
          <w:sz w:val="28"/>
          <w:szCs w:val="28"/>
          <w:lang w:bidi="ar-SA"/>
        </w:rPr>
        <w:t>% (4,8-5,9).</w:t>
      </w:r>
    </w:p>
    <w:p w14:paraId="212BB075" w14:textId="1A6C053C"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Гормоны щитовидной железы</w:t>
      </w:r>
      <w:r>
        <w:rPr>
          <w:rFonts w:ascii="Times New Roman" w:hAnsi="Times New Roman" w:cs="Times New Roman"/>
          <w:sz w:val="28"/>
          <w:szCs w:val="28"/>
          <w:lang w:bidi="ar-SA"/>
        </w:rPr>
        <w:t xml:space="preserve"> – тиреотропный гормон 1,45нг/мл (0,27-4,2), свободный трийодтиронин (св.Т3) 3,97 пмоль/л (3,1-6,8), свободный тироксин 12,43 пмоль/л (12-22).</w:t>
      </w:r>
    </w:p>
    <w:p w14:paraId="241D44DC" w14:textId="6B108140"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Коагулограмма</w:t>
      </w:r>
      <w:r>
        <w:rPr>
          <w:rFonts w:ascii="Times New Roman" w:hAnsi="Times New Roman" w:cs="Times New Roman"/>
          <w:sz w:val="28"/>
          <w:szCs w:val="28"/>
          <w:lang w:bidi="ar-SA"/>
        </w:rPr>
        <w:t xml:space="preserve"> – протромбиновое время (ПВ) 11,9сек (9,4-12,5), протромбиновый индекс (ПТИ) 91% (70-140), МНО 1,09 (0,9-1,2), АЧТВ 33,4 сек (25,1-36,5), фибриноген 3,49 г/л (2-3,93).</w:t>
      </w:r>
    </w:p>
    <w:p w14:paraId="74CAB7A5" w14:textId="7C9EFFF3"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ФГДС</w:t>
      </w:r>
      <w:r>
        <w:rPr>
          <w:rFonts w:ascii="Times New Roman" w:hAnsi="Times New Roman" w:cs="Times New Roman"/>
          <w:sz w:val="28"/>
          <w:szCs w:val="28"/>
          <w:lang w:bidi="ar-SA"/>
        </w:rPr>
        <w:t>: поверхностный гастрит.</w:t>
      </w:r>
    </w:p>
    <w:p w14:paraId="1FF432D3" w14:textId="2C0A245F"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поступлении</w:t>
      </w:r>
      <w:r>
        <w:rPr>
          <w:rFonts w:ascii="Times New Roman" w:hAnsi="Times New Roman" w:cs="Times New Roman"/>
          <w:sz w:val="28"/>
          <w:szCs w:val="28"/>
          <w:lang w:bidi="ar-SA"/>
        </w:rPr>
        <w:t>: ритм синусовый, ЧСС 74 уд/мин, горизонтальное положение ЭОС.</w:t>
      </w:r>
    </w:p>
    <w:p w14:paraId="764E821F" w14:textId="46620D57"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 при выписке</w:t>
      </w:r>
      <w:r>
        <w:rPr>
          <w:rFonts w:ascii="Times New Roman" w:hAnsi="Times New Roman" w:cs="Times New Roman"/>
          <w:sz w:val="28"/>
          <w:szCs w:val="28"/>
          <w:lang w:bidi="ar-SA"/>
        </w:rPr>
        <w:t>: фибрилляция предсердий с ЧЖС 78 уд/мин, горизонтальное положение ЭОС.</w:t>
      </w:r>
    </w:p>
    <w:p w14:paraId="3CE2C551" w14:textId="58ABB51A"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Эхокардиография</w:t>
      </w:r>
      <w:r>
        <w:rPr>
          <w:rFonts w:ascii="Times New Roman" w:hAnsi="Times New Roman" w:cs="Times New Roman"/>
          <w:sz w:val="28"/>
          <w:szCs w:val="28"/>
          <w:lang w:bidi="ar-SA"/>
        </w:rPr>
        <w:t xml:space="preserve">: полости сердца не расширены. Диастолическая дисфункция миокарда ЛЖ по 1 типу (нарушение релаксации). Систолическая функция левого желудочка удовлетворительная (ФВ 54%). Клапанный аппарат без особенностей. </w:t>
      </w:r>
    </w:p>
    <w:p w14:paraId="59BB8077" w14:textId="211F5510"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сосудов экстракраниального бассейна</w:t>
      </w:r>
      <w:r>
        <w:rPr>
          <w:rFonts w:ascii="Times New Roman" w:hAnsi="Times New Roman" w:cs="Times New Roman"/>
          <w:i/>
          <w:iCs/>
          <w:sz w:val="28"/>
          <w:szCs w:val="28"/>
          <w:lang w:bidi="ar-SA"/>
        </w:rPr>
        <w:t>,</w:t>
      </w:r>
      <w:r w:rsidRPr="008E0493">
        <w:rPr>
          <w:rFonts w:ascii="Times New Roman" w:hAnsi="Times New Roman" w:cs="Times New Roman"/>
          <w:i/>
          <w:iCs/>
          <w:sz w:val="28"/>
          <w:szCs w:val="28"/>
          <w:lang w:bidi="ar-SA"/>
        </w:rPr>
        <w:t xml:space="preserve"> </w:t>
      </w:r>
      <w:r w:rsidRPr="009C40E7">
        <w:rPr>
          <w:rFonts w:ascii="Times New Roman" w:hAnsi="Times New Roman" w:cs="Times New Roman"/>
          <w:i/>
          <w:iCs/>
          <w:sz w:val="28"/>
          <w:szCs w:val="28"/>
          <w:lang w:bidi="ar-SA"/>
        </w:rPr>
        <w:t>артерий/вен верхних и нижних конечностей</w:t>
      </w:r>
      <w:r>
        <w:rPr>
          <w:rFonts w:ascii="Times New Roman" w:hAnsi="Times New Roman" w:cs="Times New Roman"/>
          <w:sz w:val="28"/>
          <w:szCs w:val="28"/>
          <w:lang w:bidi="ar-SA"/>
        </w:rPr>
        <w:t>: атеросклероз сонных артерий, без нарушений гемодинамики. Артерии и вены нижних конечностей проходимы.</w:t>
      </w:r>
    </w:p>
    <w:p w14:paraId="3DF903D3" w14:textId="30C1F847"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i/>
          <w:iCs/>
          <w:sz w:val="28"/>
          <w:szCs w:val="28"/>
          <w:lang w:bidi="ar-SA"/>
        </w:rPr>
        <w:t>ЧПЭХО:</w:t>
      </w:r>
      <w:r>
        <w:rPr>
          <w:rFonts w:ascii="Times New Roman" w:hAnsi="Times New Roman" w:cs="Times New Roman"/>
          <w:sz w:val="28"/>
          <w:szCs w:val="28"/>
          <w:lang w:bidi="ar-SA"/>
        </w:rPr>
        <w:t xml:space="preserve"> Тромбоз ушка левого предсердия. Недостаточность митрального клапана легкой степени.</w:t>
      </w:r>
    </w:p>
    <w:p w14:paraId="744BB1C3"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p>
    <w:p w14:paraId="7B558400"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p>
    <w:p w14:paraId="53298C42"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p>
    <w:p w14:paraId="3545AE29" w14:textId="6164596E" w:rsidR="008E0493" w:rsidRDefault="008E0493" w:rsidP="008E0493">
      <w:pPr>
        <w:pStyle w:val="LO-normal"/>
        <w:spacing w:after="0" w:line="240" w:lineRule="auto"/>
        <w:ind w:firstLine="567"/>
        <w:jc w:val="both"/>
        <w:rPr>
          <w:rFonts w:ascii="Times New Roman" w:hAnsi="Times New Roman" w:cs="Times New Roman"/>
          <w:i/>
          <w:iCs/>
          <w:sz w:val="28"/>
          <w:szCs w:val="28"/>
          <w:lang w:bidi="ar-SA"/>
        </w:rPr>
      </w:pPr>
      <w:r>
        <w:rPr>
          <w:rFonts w:ascii="Times New Roman" w:hAnsi="Times New Roman" w:cs="Times New Roman"/>
          <w:i/>
          <w:iCs/>
          <w:sz w:val="28"/>
          <w:szCs w:val="28"/>
          <w:lang w:bidi="ar-SA"/>
        </w:rPr>
        <w:t>Клинический случай №6. Пациент У, 64 года.</w:t>
      </w:r>
    </w:p>
    <w:p w14:paraId="4D372154" w14:textId="0AE96829" w:rsidR="008E0493" w:rsidRDefault="008E0493" w:rsidP="008E0493">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bidi="ar-SA"/>
        </w:rPr>
        <w:t>Диагноз:</w:t>
      </w:r>
      <w:r>
        <w:rPr>
          <w:rFonts w:ascii="Times New Roman" w:hAnsi="Times New Roman" w:cs="Times New Roman"/>
          <w:sz w:val="28"/>
          <w:szCs w:val="28"/>
          <w:lang w:bidi="ar-SA"/>
        </w:rPr>
        <w:t xml:space="preserve"> НРС. Фибрилляция предсердий, персистирующая форма. </w:t>
      </w:r>
      <w:r>
        <w:rPr>
          <w:rFonts w:ascii="Times New Roman" w:hAnsi="Times New Roman" w:cs="Times New Roman"/>
          <w:sz w:val="28"/>
          <w:szCs w:val="28"/>
          <w:lang w:val="en-US" w:bidi="ar-SA"/>
        </w:rPr>
        <w:t>EHRAII</w:t>
      </w:r>
      <w:r>
        <w:rPr>
          <w:rFonts w:ascii="Times New Roman" w:hAnsi="Times New Roman" w:cs="Times New Roman"/>
          <w:sz w:val="28"/>
          <w:szCs w:val="28"/>
          <w:lang w:bidi="ar-SA"/>
        </w:rPr>
        <w:t>а</w:t>
      </w:r>
      <w:r w:rsidRPr="00926EC0">
        <w:rPr>
          <w:rFonts w:ascii="Times New Roman" w:hAnsi="Times New Roman" w:cs="Times New Roman"/>
          <w:sz w:val="28"/>
          <w:szCs w:val="28"/>
          <w:lang w:val="en-US" w:bidi="ar-SA"/>
        </w:rPr>
        <w:t xml:space="preserve">. </w:t>
      </w:r>
      <w:r>
        <w:rPr>
          <w:rFonts w:ascii="Times New Roman" w:hAnsi="Times New Roman" w:cs="Times New Roman"/>
          <w:sz w:val="28"/>
          <w:szCs w:val="28"/>
          <w:lang w:val="en-US" w:bidi="ar-SA"/>
        </w:rPr>
        <w:t>CHA</w:t>
      </w:r>
      <w:r w:rsidRPr="00926EC0">
        <w:rPr>
          <w:rFonts w:ascii="Times New Roman" w:hAnsi="Times New Roman" w:cs="Times New Roman"/>
          <w:sz w:val="28"/>
          <w:szCs w:val="28"/>
          <w:vertAlign w:val="subscript"/>
          <w:lang w:val="en-US" w:bidi="ar-SA"/>
        </w:rPr>
        <w:t>2</w:t>
      </w:r>
      <w:r>
        <w:rPr>
          <w:rFonts w:ascii="Times New Roman" w:hAnsi="Times New Roman" w:cs="Times New Roman"/>
          <w:sz w:val="28"/>
          <w:szCs w:val="28"/>
          <w:lang w:val="en-US" w:bidi="ar-SA"/>
        </w:rPr>
        <w:t>DS</w:t>
      </w:r>
      <w:r w:rsidRPr="00926EC0">
        <w:rPr>
          <w:rFonts w:ascii="Times New Roman" w:hAnsi="Times New Roman" w:cs="Times New Roman"/>
          <w:sz w:val="28"/>
          <w:szCs w:val="28"/>
          <w:vertAlign w:val="subscript"/>
          <w:lang w:val="en-US" w:bidi="ar-SA"/>
        </w:rPr>
        <w:t>2</w:t>
      </w:r>
      <w:r w:rsidRPr="00926EC0">
        <w:rPr>
          <w:rFonts w:ascii="Times New Roman" w:hAnsi="Times New Roman" w:cs="Times New Roman"/>
          <w:sz w:val="28"/>
          <w:szCs w:val="28"/>
          <w:lang w:val="en-US" w:bidi="ar-SA"/>
        </w:rPr>
        <w:t>-</w:t>
      </w:r>
      <w:r>
        <w:rPr>
          <w:rFonts w:ascii="Times New Roman" w:hAnsi="Times New Roman" w:cs="Times New Roman"/>
          <w:sz w:val="28"/>
          <w:szCs w:val="28"/>
          <w:lang w:val="en-US" w:bidi="ar-SA"/>
        </w:rPr>
        <w:t>VA</w:t>
      </w:r>
      <w:r w:rsidRPr="00926EC0">
        <w:rPr>
          <w:rFonts w:ascii="Times New Roman" w:hAnsi="Times New Roman" w:cs="Times New Roman"/>
          <w:sz w:val="28"/>
          <w:szCs w:val="28"/>
          <w:lang w:val="en-US" w:bidi="ar-SA"/>
        </w:rPr>
        <w:t xml:space="preserve"> – 2 </w:t>
      </w:r>
      <w:r>
        <w:rPr>
          <w:rFonts w:ascii="Times New Roman" w:hAnsi="Times New Roman" w:cs="Times New Roman"/>
          <w:sz w:val="28"/>
          <w:szCs w:val="28"/>
          <w:lang w:val="kk-KZ" w:bidi="ar-SA"/>
        </w:rPr>
        <w:t xml:space="preserve">балла. </w:t>
      </w:r>
      <w:r>
        <w:rPr>
          <w:rFonts w:ascii="Times New Roman" w:hAnsi="Times New Roman" w:cs="Times New Roman"/>
          <w:sz w:val="28"/>
          <w:szCs w:val="28"/>
          <w:lang w:val="en-US" w:bidi="ar-SA"/>
        </w:rPr>
        <w:t>HAS</w:t>
      </w:r>
      <w:r w:rsidRPr="00967295">
        <w:rPr>
          <w:rFonts w:ascii="Times New Roman" w:hAnsi="Times New Roman" w:cs="Times New Roman"/>
          <w:sz w:val="28"/>
          <w:szCs w:val="28"/>
          <w:lang w:val="en-US" w:bidi="ar-SA"/>
        </w:rPr>
        <w:t>-</w:t>
      </w:r>
      <w:r>
        <w:rPr>
          <w:rFonts w:ascii="Times New Roman" w:hAnsi="Times New Roman" w:cs="Times New Roman"/>
          <w:sz w:val="28"/>
          <w:szCs w:val="28"/>
          <w:lang w:val="en-US" w:bidi="ar-SA"/>
        </w:rPr>
        <w:t>BLED</w:t>
      </w:r>
      <w:r w:rsidRPr="00967295">
        <w:rPr>
          <w:rFonts w:ascii="Times New Roman" w:hAnsi="Times New Roman" w:cs="Times New Roman"/>
          <w:sz w:val="28"/>
          <w:szCs w:val="28"/>
          <w:lang w:val="en-US" w:bidi="ar-SA"/>
        </w:rPr>
        <w:t xml:space="preserve"> – 2 </w:t>
      </w:r>
      <w:r>
        <w:rPr>
          <w:rFonts w:ascii="Times New Roman" w:hAnsi="Times New Roman" w:cs="Times New Roman"/>
          <w:sz w:val="28"/>
          <w:szCs w:val="28"/>
          <w:lang w:val="kk-KZ" w:bidi="ar-SA"/>
        </w:rPr>
        <w:t>балла. Тромб в ушке левого предсердия.</w:t>
      </w:r>
    </w:p>
    <w:p w14:paraId="2B229ECE" w14:textId="77777777" w:rsidR="008E0493" w:rsidRPr="0011617E" w:rsidRDefault="008E0493" w:rsidP="008E0493">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Концентрации дабигатрана и апиксабана (пиковая/минимальная концентрации)</w:t>
      </w:r>
      <w:r>
        <w:rPr>
          <w:rFonts w:ascii="Times New Roman" w:hAnsi="Times New Roman" w:cs="Times New Roman"/>
          <w:sz w:val="28"/>
          <w:szCs w:val="28"/>
          <w:lang w:val="kk-KZ" w:bidi="ar-SA"/>
        </w:rPr>
        <w:t xml:space="preserve">: </w:t>
      </w:r>
    </w:p>
    <w:p w14:paraId="6A32FEC1" w14:textId="77777777" w:rsidR="008E0493" w:rsidRPr="0011617E" w:rsidRDefault="008E0493" w:rsidP="008E0493">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6"/>
      </w:tblGrid>
      <w:tr w:rsidR="008E0493" w14:paraId="6CA1A159" w14:textId="77777777" w:rsidTr="00E41A93">
        <w:tc>
          <w:tcPr>
            <w:tcW w:w="2265" w:type="dxa"/>
          </w:tcPr>
          <w:p w14:paraId="41641B9D" w14:textId="77777777" w:rsidR="008E0493" w:rsidRPr="0011617E" w:rsidRDefault="008E0493"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Дабигатран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max</w:t>
            </w:r>
          </w:p>
          <w:p w14:paraId="38842649"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(117-275) </w:t>
            </w:r>
            <w:r w:rsidRPr="0011617E">
              <w:rPr>
                <w:rFonts w:ascii="Times New Roman" w:hAnsi="Times New Roman" w:cs="Times New Roman"/>
                <w:b/>
                <w:bCs/>
                <w:sz w:val="24"/>
                <w:szCs w:val="24"/>
                <w:lang w:bidi="ar-SA"/>
              </w:rPr>
              <w:t>нг/мл</w:t>
            </w:r>
          </w:p>
        </w:tc>
        <w:tc>
          <w:tcPr>
            <w:tcW w:w="2265" w:type="dxa"/>
          </w:tcPr>
          <w:p w14:paraId="40BD869A"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bidi="ar-SA"/>
              </w:rPr>
              <w:t>Дабигатран С</w:t>
            </w:r>
            <w:r w:rsidRPr="009C40E7">
              <w:rPr>
                <w:rFonts w:ascii="Times New Roman" w:hAnsi="Times New Roman" w:cs="Times New Roman"/>
                <w:b/>
                <w:bCs/>
                <w:sz w:val="24"/>
                <w:szCs w:val="24"/>
                <w:vertAlign w:val="subscript"/>
                <w:lang w:val="en-US" w:bidi="ar-SA"/>
              </w:rPr>
              <w:t xml:space="preserve">min </w:t>
            </w:r>
            <w:r w:rsidRPr="0011617E">
              <w:rPr>
                <w:rFonts w:ascii="Times New Roman" w:hAnsi="Times New Roman" w:cs="Times New Roman"/>
                <w:b/>
                <w:bCs/>
                <w:sz w:val="24"/>
                <w:szCs w:val="24"/>
                <w:lang w:val="en-US" w:bidi="ar-SA"/>
              </w:rPr>
              <w:t xml:space="preserve">(61-143) </w:t>
            </w:r>
            <w:r w:rsidRPr="0011617E">
              <w:rPr>
                <w:rFonts w:ascii="Times New Roman" w:hAnsi="Times New Roman" w:cs="Times New Roman"/>
                <w:b/>
                <w:bCs/>
                <w:sz w:val="24"/>
                <w:szCs w:val="24"/>
                <w:lang w:val="kk-KZ" w:bidi="ar-SA"/>
              </w:rPr>
              <w:t>нг/мл</w:t>
            </w:r>
          </w:p>
        </w:tc>
        <w:tc>
          <w:tcPr>
            <w:tcW w:w="2265" w:type="dxa"/>
          </w:tcPr>
          <w:p w14:paraId="41E191BF" w14:textId="77777777" w:rsidR="008E0493" w:rsidRPr="0011617E" w:rsidRDefault="008E0493"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val="kk-KZ" w:bidi="ar-SA"/>
              </w:rPr>
              <w:t>Апиксабан С</w:t>
            </w:r>
            <w:r w:rsidRPr="0011617E">
              <w:rPr>
                <w:rFonts w:ascii="Times New Roman" w:hAnsi="Times New Roman" w:cs="Times New Roman"/>
                <w:b/>
                <w:bCs/>
                <w:sz w:val="24"/>
                <w:szCs w:val="24"/>
                <w:vertAlign w:val="subscript"/>
                <w:lang w:val="en-US" w:bidi="ar-SA"/>
              </w:rPr>
              <w:t>max</w:t>
            </w:r>
          </w:p>
          <w:p w14:paraId="05A11106"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val="en-US" w:bidi="ar-SA"/>
              </w:rPr>
              <w:t>(</w:t>
            </w:r>
            <w:r w:rsidRPr="0011617E">
              <w:rPr>
                <w:rFonts w:ascii="Times New Roman" w:hAnsi="Times New Roman" w:cs="Times New Roman"/>
                <w:b/>
                <w:bCs/>
                <w:sz w:val="24"/>
                <w:szCs w:val="24"/>
                <w:lang w:bidi="ar-SA"/>
              </w:rPr>
              <w:t>91-321</w:t>
            </w:r>
            <w:r w:rsidRPr="0011617E">
              <w:rPr>
                <w:rFonts w:ascii="Times New Roman" w:hAnsi="Times New Roman" w:cs="Times New Roman"/>
                <w:b/>
                <w:bCs/>
                <w:sz w:val="24"/>
                <w:szCs w:val="24"/>
                <w:lang w:val="en-US" w:bidi="ar-SA"/>
              </w:rPr>
              <w:t xml:space="preserve">) </w:t>
            </w:r>
            <w:r w:rsidRPr="0011617E">
              <w:rPr>
                <w:rFonts w:ascii="Times New Roman" w:hAnsi="Times New Roman" w:cs="Times New Roman"/>
                <w:b/>
                <w:bCs/>
                <w:sz w:val="24"/>
                <w:szCs w:val="24"/>
                <w:lang w:bidi="ar-SA"/>
              </w:rPr>
              <w:t>нг/мл</w:t>
            </w:r>
          </w:p>
        </w:tc>
        <w:tc>
          <w:tcPr>
            <w:tcW w:w="2266" w:type="dxa"/>
          </w:tcPr>
          <w:p w14:paraId="0F16D558" w14:textId="77777777" w:rsidR="008E0493" w:rsidRPr="0011617E" w:rsidRDefault="008E0493"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Апиксабан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min</w:t>
            </w:r>
          </w:p>
          <w:p w14:paraId="7A03535A" w14:textId="77777777" w:rsidR="008E0493" w:rsidRPr="0011617E" w:rsidRDefault="008E0493"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(41-230) </w:t>
            </w:r>
            <w:r w:rsidRPr="0011617E">
              <w:rPr>
                <w:rFonts w:ascii="Times New Roman" w:hAnsi="Times New Roman" w:cs="Times New Roman"/>
                <w:b/>
                <w:bCs/>
                <w:sz w:val="24"/>
                <w:szCs w:val="24"/>
                <w:lang w:bidi="ar-SA"/>
              </w:rPr>
              <w:t>нг/мл</w:t>
            </w:r>
          </w:p>
        </w:tc>
      </w:tr>
      <w:tr w:rsidR="008E0493" w14:paraId="5C09DDB0" w14:textId="77777777" w:rsidTr="00E41A93">
        <w:tc>
          <w:tcPr>
            <w:tcW w:w="2265" w:type="dxa"/>
          </w:tcPr>
          <w:p w14:paraId="0FB7C4B4" w14:textId="5A7E89A3"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94,51</w:t>
            </w:r>
          </w:p>
        </w:tc>
        <w:tc>
          <w:tcPr>
            <w:tcW w:w="2265" w:type="dxa"/>
          </w:tcPr>
          <w:p w14:paraId="1801DA20" w14:textId="1474BA6E"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36,74</w:t>
            </w:r>
          </w:p>
        </w:tc>
        <w:tc>
          <w:tcPr>
            <w:tcW w:w="2265" w:type="dxa"/>
          </w:tcPr>
          <w:p w14:paraId="1A19C1F6" w14:textId="21F5BAA3"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sidRPr="0011617E">
              <w:rPr>
                <w:rFonts w:ascii="Times New Roman" w:hAnsi="Times New Roman" w:cs="Times New Roman"/>
                <w:sz w:val="24"/>
                <w:szCs w:val="24"/>
                <w:lang w:val="en-US" w:bidi="ar-SA"/>
              </w:rPr>
              <w:t>18</w:t>
            </w:r>
            <w:r>
              <w:rPr>
                <w:rFonts w:ascii="Times New Roman" w:hAnsi="Times New Roman" w:cs="Times New Roman"/>
                <w:sz w:val="24"/>
                <w:szCs w:val="24"/>
                <w:lang w:bidi="ar-SA"/>
              </w:rPr>
              <w:t>6,5</w:t>
            </w:r>
          </w:p>
        </w:tc>
        <w:tc>
          <w:tcPr>
            <w:tcW w:w="2266" w:type="dxa"/>
          </w:tcPr>
          <w:p w14:paraId="6932C704" w14:textId="7DB1F70C"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119,4</w:t>
            </w:r>
          </w:p>
        </w:tc>
      </w:tr>
    </w:tbl>
    <w:p w14:paraId="018A7EBC" w14:textId="77777777" w:rsidR="008E0493" w:rsidRDefault="008E0493" w:rsidP="008E0493">
      <w:pPr>
        <w:pStyle w:val="LO-normal"/>
        <w:spacing w:after="0" w:line="240" w:lineRule="auto"/>
        <w:ind w:firstLine="567"/>
        <w:jc w:val="both"/>
        <w:rPr>
          <w:rFonts w:ascii="Times New Roman" w:hAnsi="Times New Roman" w:cs="Times New Roman"/>
          <w:sz w:val="28"/>
          <w:szCs w:val="28"/>
          <w:lang w:val="en-US"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p w14:paraId="392CA4F3"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F87B08">
        <w:rPr>
          <w:rFonts w:ascii="Times New Roman" w:hAnsi="Times New Roman" w:cs="Times New Roman"/>
          <w:i/>
          <w:iCs/>
          <w:sz w:val="28"/>
          <w:szCs w:val="28"/>
          <w:lang w:bidi="ar-SA"/>
        </w:rPr>
        <w:t>Генотип</w:t>
      </w:r>
      <w:r>
        <w:rPr>
          <w:rFonts w:ascii="Times New Roman" w:hAnsi="Times New Roman" w:cs="Times New Roman"/>
          <w:sz w:val="28"/>
          <w:szCs w:val="28"/>
          <w:lang w:bidi="ar-S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350"/>
        <w:gridCol w:w="1294"/>
        <w:gridCol w:w="1295"/>
        <w:gridCol w:w="1295"/>
        <w:gridCol w:w="1295"/>
      </w:tblGrid>
      <w:tr w:rsidR="008E0493" w:rsidRPr="00F87B08" w14:paraId="2AFE9CA1" w14:textId="77777777" w:rsidTr="00E41A93">
        <w:tc>
          <w:tcPr>
            <w:tcW w:w="1294" w:type="dxa"/>
          </w:tcPr>
          <w:p w14:paraId="00C0D008"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7FF961FF"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1D318274"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0F66631A"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ABCB1</w:t>
            </w:r>
          </w:p>
        </w:tc>
        <w:tc>
          <w:tcPr>
            <w:tcW w:w="1295" w:type="dxa"/>
          </w:tcPr>
          <w:p w14:paraId="65F49072"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72564180"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721BAE67" w14:textId="77777777" w:rsidR="008E0493" w:rsidRPr="00F87B08" w:rsidRDefault="008E0493"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r>
      <w:tr w:rsidR="008E0493" w:rsidRPr="00F87B08" w14:paraId="0C2C82E8" w14:textId="77777777" w:rsidTr="00E41A93">
        <w:tc>
          <w:tcPr>
            <w:tcW w:w="1294" w:type="dxa"/>
          </w:tcPr>
          <w:p w14:paraId="04CBA608"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sidRPr="00F87B08">
              <w:rPr>
                <w:rFonts w:ascii="Times New Roman" w:hAnsi="Times New Roman" w:cs="Times New Roman"/>
                <w:sz w:val="24"/>
                <w:szCs w:val="24"/>
                <w:lang w:val="en-US" w:bidi="ar-SA"/>
              </w:rPr>
              <w:t>rs8192935</w:t>
            </w:r>
            <w:r>
              <w:rPr>
                <w:rFonts w:ascii="Times New Roman" w:hAnsi="Times New Roman" w:cs="Times New Roman"/>
                <w:sz w:val="24"/>
                <w:szCs w:val="24"/>
                <w:lang w:val="en-US" w:bidi="ar-SA"/>
              </w:rPr>
              <w:t xml:space="preserve"> A/G</w:t>
            </w:r>
          </w:p>
        </w:tc>
        <w:tc>
          <w:tcPr>
            <w:tcW w:w="1294" w:type="dxa"/>
          </w:tcPr>
          <w:p w14:paraId="13AD36B5"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rs2244613 G/T</w:t>
            </w:r>
          </w:p>
        </w:tc>
        <w:tc>
          <w:tcPr>
            <w:tcW w:w="1294" w:type="dxa"/>
          </w:tcPr>
          <w:p w14:paraId="77188143"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rs71647871 A/G</w:t>
            </w:r>
          </w:p>
        </w:tc>
        <w:tc>
          <w:tcPr>
            <w:tcW w:w="1294" w:type="dxa"/>
          </w:tcPr>
          <w:p w14:paraId="0223DA6F" w14:textId="77777777" w:rsidR="008E0493" w:rsidRPr="00F87B08"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rs4148738 C/T</w:t>
            </w:r>
          </w:p>
        </w:tc>
        <w:tc>
          <w:tcPr>
            <w:tcW w:w="1295" w:type="dxa"/>
          </w:tcPr>
          <w:p w14:paraId="347F87CD"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rs1045642 A/G</w:t>
            </w:r>
          </w:p>
        </w:tc>
        <w:tc>
          <w:tcPr>
            <w:tcW w:w="1295" w:type="dxa"/>
          </w:tcPr>
          <w:p w14:paraId="1B899526"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rs2032582 C/A</w:t>
            </w:r>
          </w:p>
        </w:tc>
        <w:tc>
          <w:tcPr>
            <w:tcW w:w="1295" w:type="dxa"/>
          </w:tcPr>
          <w:p w14:paraId="082B9CD6"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rs1128503 A/G</w:t>
            </w:r>
          </w:p>
        </w:tc>
      </w:tr>
      <w:tr w:rsidR="008E0493" w:rsidRPr="00F87B08" w14:paraId="2FA110EF" w14:textId="77777777" w:rsidTr="00E41A93">
        <w:tc>
          <w:tcPr>
            <w:tcW w:w="1294" w:type="dxa"/>
          </w:tcPr>
          <w:p w14:paraId="22A6A47F" w14:textId="7BC434CE"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A</w:t>
            </w:r>
            <w:r>
              <w:rPr>
                <w:rFonts w:ascii="Times New Roman" w:hAnsi="Times New Roman" w:cs="Times New Roman"/>
                <w:sz w:val="24"/>
                <w:szCs w:val="24"/>
                <w:lang w:bidi="ar-SA"/>
              </w:rPr>
              <w:t>А</w:t>
            </w:r>
          </w:p>
        </w:tc>
        <w:tc>
          <w:tcPr>
            <w:tcW w:w="1294" w:type="dxa"/>
          </w:tcPr>
          <w:p w14:paraId="6E016809" w14:textId="4F10993F" w:rsidR="008E0493" w:rsidRPr="008E0493" w:rsidRDefault="008E0493"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GG</w:t>
            </w:r>
          </w:p>
        </w:tc>
        <w:tc>
          <w:tcPr>
            <w:tcW w:w="1294" w:type="dxa"/>
          </w:tcPr>
          <w:p w14:paraId="4701218C" w14:textId="77777777"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1170D081" w14:textId="57A5A085"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TT</w:t>
            </w:r>
          </w:p>
        </w:tc>
        <w:tc>
          <w:tcPr>
            <w:tcW w:w="1295" w:type="dxa"/>
          </w:tcPr>
          <w:p w14:paraId="2FFB93C5" w14:textId="4A9CC64D"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5" w:type="dxa"/>
          </w:tcPr>
          <w:p w14:paraId="6160BB2A" w14:textId="2E87A51B"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CC</w:t>
            </w:r>
          </w:p>
        </w:tc>
        <w:tc>
          <w:tcPr>
            <w:tcW w:w="1295" w:type="dxa"/>
          </w:tcPr>
          <w:p w14:paraId="56F928DA" w14:textId="392E5746" w:rsidR="008E0493" w:rsidRPr="00F87B08" w:rsidRDefault="008E0493"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r>
    </w:tbl>
    <w:p w14:paraId="51135D37"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p>
    <w:p w14:paraId="6EEBF041" w14:textId="36F23B60"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Принимаемые препараты</w:t>
      </w:r>
      <w:r>
        <w:rPr>
          <w:rFonts w:ascii="Times New Roman" w:hAnsi="Times New Roman" w:cs="Times New Roman"/>
          <w:sz w:val="28"/>
          <w:szCs w:val="28"/>
          <w:lang w:bidi="ar-SA"/>
        </w:rPr>
        <w:t>:</w:t>
      </w:r>
      <w:r w:rsidRPr="008E0493">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Бисопролол</w:t>
      </w:r>
      <w:proofErr w:type="spellEnd"/>
      <w:r>
        <w:rPr>
          <w:rFonts w:ascii="Times New Roman" w:hAnsi="Times New Roman" w:cs="Times New Roman"/>
          <w:sz w:val="28"/>
          <w:szCs w:val="28"/>
          <w:lang w:bidi="ar-SA"/>
        </w:rPr>
        <w:t xml:space="preserve"> 2,5мг, </w:t>
      </w:r>
      <w:proofErr w:type="spellStart"/>
      <w:r>
        <w:rPr>
          <w:rFonts w:ascii="Times New Roman" w:hAnsi="Times New Roman" w:cs="Times New Roman"/>
          <w:sz w:val="28"/>
          <w:szCs w:val="28"/>
          <w:lang w:bidi="ar-SA"/>
        </w:rPr>
        <w:t>Варфарин</w:t>
      </w:r>
      <w:proofErr w:type="spellEnd"/>
      <w:r>
        <w:rPr>
          <w:rFonts w:ascii="Times New Roman" w:hAnsi="Times New Roman" w:cs="Times New Roman"/>
          <w:sz w:val="28"/>
          <w:szCs w:val="28"/>
          <w:lang w:bidi="ar-SA"/>
        </w:rPr>
        <w:t xml:space="preserve"> 2,5мг под контролем МНО.</w:t>
      </w:r>
    </w:p>
    <w:p w14:paraId="6C6CCF51" w14:textId="1AD00C58" w:rsidR="008E0493" w:rsidRPr="008E0493" w:rsidRDefault="008E0493" w:rsidP="008E0493">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На</w:t>
      </w:r>
      <w:r>
        <w:rPr>
          <w:rFonts w:ascii="Times New Roman" w:hAnsi="Times New Roman" w:cs="Times New Roman"/>
          <w:i/>
          <w:iCs/>
          <w:sz w:val="28"/>
          <w:szCs w:val="28"/>
          <w:lang w:bidi="ar-SA"/>
        </w:rPr>
        <w:t xml:space="preserve"> 3 месяц наблюдения был планово госпитализирован для проведения планового ЭФИ, криобаллонной изоляции устьев легочной артерии</w:t>
      </w:r>
      <w:r>
        <w:rPr>
          <w:rFonts w:ascii="Times New Roman" w:hAnsi="Times New Roman" w:cs="Times New Roman"/>
          <w:sz w:val="28"/>
          <w:szCs w:val="28"/>
          <w:lang w:bidi="ar-SA"/>
        </w:rPr>
        <w:t xml:space="preserve">. </w:t>
      </w:r>
      <w:r w:rsidRPr="008E0493">
        <w:rPr>
          <w:rFonts w:ascii="Times New Roman" w:hAnsi="Times New Roman" w:cs="Times New Roman"/>
          <w:i/>
          <w:iCs/>
          <w:sz w:val="28"/>
          <w:szCs w:val="28"/>
          <w:lang w:bidi="ar-SA"/>
        </w:rPr>
        <w:t>По данным ЧПЭХО выявлен тромбоз ушка левого предсердия.</w:t>
      </w:r>
    </w:p>
    <w:p w14:paraId="255A513C"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Рост: 156см. Вес:84кг. ИМТ:34,52кг/м</w:t>
      </w:r>
      <w:r w:rsidRPr="00F87B08">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ЧСС:70уд/мин. АД: 180/110мм.рт.ст. </w:t>
      </w:r>
    </w:p>
    <w:p w14:paraId="14EB398D" w14:textId="77777777" w:rsidR="008E0493" w:rsidRPr="009C40E7" w:rsidRDefault="008E0493" w:rsidP="008E0493">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Результаты проведенных лабораторных и инструментальных исследований.</w:t>
      </w:r>
    </w:p>
    <w:p w14:paraId="1F0B8607" w14:textId="46DC0246"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Общий анализ крови</w:t>
      </w:r>
      <w:r>
        <w:rPr>
          <w:rFonts w:ascii="Times New Roman" w:hAnsi="Times New Roman" w:cs="Times New Roman"/>
          <w:sz w:val="28"/>
          <w:szCs w:val="28"/>
          <w:lang w:bidi="ar-SA"/>
        </w:rPr>
        <w:t xml:space="preserve"> – лейкоциты 5,62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(4,5-11), эритроциты 5,4 10</w:t>
      </w:r>
      <w:r w:rsidRPr="009C40E7">
        <w:rPr>
          <w:rFonts w:ascii="Times New Roman" w:hAnsi="Times New Roman" w:cs="Times New Roman"/>
          <w:sz w:val="28"/>
          <w:szCs w:val="28"/>
          <w:vertAlign w:val="superscript"/>
          <w:lang w:bidi="ar-SA"/>
        </w:rPr>
        <w:t>12</w:t>
      </w:r>
      <w:r>
        <w:rPr>
          <w:rFonts w:ascii="Times New Roman" w:hAnsi="Times New Roman" w:cs="Times New Roman"/>
          <w:sz w:val="28"/>
          <w:szCs w:val="28"/>
          <w:lang w:bidi="ar-SA"/>
        </w:rPr>
        <w:t>/л (3,8-5,5), гемоглобин 153 г/л (115-140), тромбоциты 175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(140-400).</w:t>
      </w:r>
    </w:p>
    <w:p w14:paraId="1821900A" w14:textId="1906CF7E"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Биохимический анализ крови</w:t>
      </w:r>
      <w:r>
        <w:rPr>
          <w:rFonts w:ascii="Times New Roman" w:hAnsi="Times New Roman" w:cs="Times New Roman"/>
          <w:sz w:val="28"/>
          <w:szCs w:val="28"/>
          <w:lang w:bidi="ar-SA"/>
        </w:rPr>
        <w:t xml:space="preserve"> – глюкоза 105 мг/дл (74-106), креатинин 0,92 мг/дл (0,5-0,9), СКФ 92,55 мл/мин/1,73м</w:t>
      </w:r>
      <w:r w:rsidRPr="009C40E7">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АЛТ 28 Ед/л (0-33), АСТ 29 Ед/л (0-32), холестерин общий 2,75 ммоль/л, ЛПВП 1,15 ммоль/л, ЛПНП 1,52 ммоль/л, триглицериды 0,58 ммоль/л, калий 3,7 ммоль/л.</w:t>
      </w:r>
    </w:p>
    <w:p w14:paraId="5A9F8CC6" w14:textId="6A02A5A2"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Гормоны щитовидной железы</w:t>
      </w:r>
      <w:r>
        <w:rPr>
          <w:rFonts w:ascii="Times New Roman" w:hAnsi="Times New Roman" w:cs="Times New Roman"/>
          <w:sz w:val="28"/>
          <w:szCs w:val="28"/>
          <w:lang w:bidi="ar-SA"/>
        </w:rPr>
        <w:t xml:space="preserve"> – тиреотропный гормон 1,57нг/мл (0,27-4,2), свободный трийодтиронин (св.Т3) 3,86 пмоль/л (3,1-6,8).</w:t>
      </w:r>
    </w:p>
    <w:p w14:paraId="35E86A29" w14:textId="761EC2B3"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Коагулограмма</w:t>
      </w:r>
      <w:r>
        <w:rPr>
          <w:rFonts w:ascii="Times New Roman" w:hAnsi="Times New Roman" w:cs="Times New Roman"/>
          <w:sz w:val="28"/>
          <w:szCs w:val="28"/>
          <w:lang w:bidi="ar-SA"/>
        </w:rPr>
        <w:t xml:space="preserve"> – протромбиновое время (ПВ) 27,4 сек (9,4-12,5), протромбиновый индекс (ПТИ) 32% (70-140), МНО 2,42 (0,9-1,2), АЧТВ 39,8 сек (25,1-36,5), фибриноген 2,55 г/л (2-3,93).</w:t>
      </w:r>
    </w:p>
    <w:p w14:paraId="4341154E" w14:textId="542779B7"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ФГДС</w:t>
      </w:r>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неэрозивный</w:t>
      </w:r>
      <w:proofErr w:type="spellEnd"/>
      <w:r>
        <w:rPr>
          <w:rFonts w:ascii="Times New Roman" w:hAnsi="Times New Roman" w:cs="Times New Roman"/>
          <w:sz w:val="28"/>
          <w:szCs w:val="28"/>
          <w:lang w:bidi="ar-SA"/>
        </w:rPr>
        <w:t xml:space="preserve"> рефлюкс-эзофагит. Атрофический гастрит.</w:t>
      </w:r>
    </w:p>
    <w:p w14:paraId="32DB2329" w14:textId="5479E414"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w:t>
      </w:r>
      <w:r>
        <w:rPr>
          <w:rFonts w:ascii="Times New Roman" w:hAnsi="Times New Roman" w:cs="Times New Roman"/>
          <w:sz w:val="28"/>
          <w:szCs w:val="28"/>
          <w:lang w:bidi="ar-SA"/>
        </w:rPr>
        <w:t>: фибрилляция предсердий, ЧЖС 86 уд/мин. Нормальное положение ЭОС.</w:t>
      </w:r>
    </w:p>
    <w:p w14:paraId="12EE69E8" w14:textId="655B5109"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Эхокардиография</w:t>
      </w:r>
      <w:r>
        <w:rPr>
          <w:rFonts w:ascii="Times New Roman" w:hAnsi="Times New Roman" w:cs="Times New Roman"/>
          <w:sz w:val="28"/>
          <w:szCs w:val="28"/>
          <w:lang w:bidi="ar-SA"/>
        </w:rPr>
        <w:t xml:space="preserve">: дилатация левых отделов, правого предсердия, восходящего отдела аорты, синусов Вальсальвы, дуги аорты. Недостаточность аортального клапана легкой степени. Систолическая функция левого желудочка умеренно снижена (ФВ 50%). </w:t>
      </w:r>
      <w:proofErr w:type="spellStart"/>
      <w:r>
        <w:rPr>
          <w:rFonts w:ascii="Times New Roman" w:hAnsi="Times New Roman" w:cs="Times New Roman"/>
          <w:sz w:val="28"/>
          <w:szCs w:val="28"/>
          <w:lang w:bidi="ar-SA"/>
        </w:rPr>
        <w:t>Септальных</w:t>
      </w:r>
      <w:proofErr w:type="spellEnd"/>
      <w:r>
        <w:rPr>
          <w:rFonts w:ascii="Times New Roman" w:hAnsi="Times New Roman" w:cs="Times New Roman"/>
          <w:sz w:val="28"/>
          <w:szCs w:val="28"/>
          <w:lang w:bidi="ar-SA"/>
        </w:rPr>
        <w:t xml:space="preserve"> дефектов не выявлено. </w:t>
      </w:r>
    </w:p>
    <w:p w14:paraId="68D002AC" w14:textId="68702BD6"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сосудов экстракраниального бассейна</w:t>
      </w:r>
      <w:r>
        <w:rPr>
          <w:rFonts w:ascii="Times New Roman" w:hAnsi="Times New Roman" w:cs="Times New Roman"/>
          <w:i/>
          <w:iCs/>
          <w:sz w:val="28"/>
          <w:szCs w:val="28"/>
          <w:lang w:bidi="ar-SA"/>
        </w:rPr>
        <w:t>,</w:t>
      </w:r>
      <w:r w:rsidRPr="008E0493">
        <w:rPr>
          <w:rFonts w:ascii="Times New Roman" w:hAnsi="Times New Roman" w:cs="Times New Roman"/>
          <w:i/>
          <w:iCs/>
          <w:sz w:val="28"/>
          <w:szCs w:val="28"/>
          <w:lang w:bidi="ar-SA"/>
        </w:rPr>
        <w:t xml:space="preserve"> </w:t>
      </w:r>
      <w:r w:rsidRPr="009C40E7">
        <w:rPr>
          <w:rFonts w:ascii="Times New Roman" w:hAnsi="Times New Roman" w:cs="Times New Roman"/>
          <w:i/>
          <w:iCs/>
          <w:sz w:val="28"/>
          <w:szCs w:val="28"/>
          <w:lang w:bidi="ar-SA"/>
        </w:rPr>
        <w:t>артерий/вен верхних и нижних конечностей</w:t>
      </w:r>
      <w:r>
        <w:rPr>
          <w:rFonts w:ascii="Times New Roman" w:hAnsi="Times New Roman" w:cs="Times New Roman"/>
          <w:sz w:val="28"/>
          <w:szCs w:val="28"/>
          <w:lang w:bidi="ar-SA"/>
        </w:rPr>
        <w:t>: атеросклероз сонных артерий, артерий нижних конечностей без нарушения гемодинамики.</w:t>
      </w:r>
      <w:r>
        <w:rPr>
          <w:rFonts w:ascii="Times New Roman" w:hAnsi="Times New Roman" w:cs="Times New Roman"/>
          <w:i/>
          <w:iCs/>
          <w:sz w:val="28"/>
          <w:szCs w:val="28"/>
          <w:lang w:bidi="ar-SA"/>
        </w:rPr>
        <w:t xml:space="preserve"> </w:t>
      </w:r>
      <w:r>
        <w:rPr>
          <w:rFonts w:ascii="Times New Roman" w:hAnsi="Times New Roman" w:cs="Times New Roman"/>
          <w:sz w:val="28"/>
          <w:szCs w:val="28"/>
          <w:lang w:bidi="ar-SA"/>
        </w:rPr>
        <w:t>Вены нижних конечностей проходимы.</w:t>
      </w:r>
    </w:p>
    <w:p w14:paraId="0F06CFAD" w14:textId="4AF1B5DB" w:rsidR="008E0493" w:rsidRPr="008E0493" w:rsidRDefault="008E0493" w:rsidP="008E0493">
      <w:pPr>
        <w:pStyle w:val="LO-normal"/>
        <w:spacing w:after="0" w:line="240" w:lineRule="auto"/>
        <w:ind w:firstLine="567"/>
        <w:jc w:val="both"/>
        <w:rPr>
          <w:rFonts w:ascii="Times New Roman" w:hAnsi="Times New Roman" w:cs="Times New Roman"/>
          <w:i/>
          <w:iCs/>
          <w:sz w:val="28"/>
          <w:szCs w:val="28"/>
          <w:lang w:bidi="ar-SA"/>
        </w:rPr>
      </w:pPr>
      <w:r w:rsidRPr="008E0493">
        <w:rPr>
          <w:rFonts w:ascii="Times New Roman" w:hAnsi="Times New Roman" w:cs="Times New Roman"/>
          <w:i/>
          <w:iCs/>
          <w:sz w:val="28"/>
          <w:szCs w:val="28"/>
          <w:lang w:bidi="ar-SA"/>
        </w:rPr>
        <w:t>ЧПЭХО</w:t>
      </w:r>
      <w:r>
        <w:rPr>
          <w:rFonts w:ascii="Times New Roman" w:hAnsi="Times New Roman" w:cs="Times New Roman"/>
          <w:sz w:val="28"/>
          <w:szCs w:val="28"/>
          <w:lang w:bidi="ar-SA"/>
        </w:rPr>
        <w:t xml:space="preserve">: тромбоз ушка левого предсердия. Недостаточность аортального клапана. </w:t>
      </w:r>
    </w:p>
    <w:p w14:paraId="0F037F1E" w14:textId="684D0095" w:rsidR="008E0493" w:rsidRDefault="008E0493" w:rsidP="008E0493">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Компьютерная томография</w:t>
      </w:r>
      <w:r>
        <w:rPr>
          <w:rFonts w:ascii="Times New Roman" w:hAnsi="Times New Roman" w:cs="Times New Roman"/>
          <w:i/>
          <w:iCs/>
          <w:sz w:val="28"/>
          <w:szCs w:val="28"/>
          <w:lang w:bidi="ar-SA"/>
        </w:rPr>
        <w:t xml:space="preserve"> сердца с контрастированием</w:t>
      </w:r>
      <w:r>
        <w:rPr>
          <w:rFonts w:ascii="Times New Roman" w:hAnsi="Times New Roman" w:cs="Times New Roman"/>
          <w:sz w:val="28"/>
          <w:szCs w:val="28"/>
          <w:lang w:bidi="ar-SA"/>
        </w:rPr>
        <w:t>: признаки тромба ушка левого предсердия, дилатации левого предсердия и восходящего отдела аорты, атеросклеротических изменений коронарных артерий.</w:t>
      </w:r>
    </w:p>
    <w:p w14:paraId="6F94B850" w14:textId="77777777" w:rsidR="008E0493" w:rsidRDefault="008E0493" w:rsidP="008E0493">
      <w:pPr>
        <w:pStyle w:val="LO-normal"/>
        <w:spacing w:after="0" w:line="240" w:lineRule="auto"/>
        <w:ind w:firstLine="567"/>
        <w:jc w:val="both"/>
        <w:rPr>
          <w:rFonts w:ascii="Times New Roman" w:hAnsi="Times New Roman" w:cs="Times New Roman"/>
          <w:sz w:val="28"/>
          <w:szCs w:val="28"/>
          <w:lang w:bidi="ar-SA"/>
        </w:rPr>
      </w:pPr>
    </w:p>
    <w:p w14:paraId="08839124" w14:textId="77777777" w:rsidR="00171CCC" w:rsidRDefault="00171CCC" w:rsidP="00402B40">
      <w:pPr>
        <w:pStyle w:val="LO-normal"/>
        <w:spacing w:after="0" w:line="240" w:lineRule="auto"/>
        <w:ind w:firstLine="567"/>
        <w:jc w:val="both"/>
        <w:rPr>
          <w:rFonts w:ascii="Times New Roman" w:hAnsi="Times New Roman" w:cs="Times New Roman"/>
          <w:sz w:val="28"/>
          <w:szCs w:val="28"/>
          <w:lang w:bidi="ar-SA"/>
        </w:rPr>
      </w:pPr>
    </w:p>
    <w:p w14:paraId="1D3289CC" w14:textId="77777777" w:rsidR="00171CCC" w:rsidRDefault="00402B40" w:rsidP="00171CCC">
      <w:pPr>
        <w:pStyle w:val="LO-normal"/>
        <w:spacing w:after="0" w:line="240" w:lineRule="auto"/>
        <w:ind w:firstLine="567"/>
        <w:jc w:val="both"/>
        <w:rPr>
          <w:rFonts w:ascii="Times New Roman" w:hAnsi="Times New Roman" w:cs="Times New Roman"/>
          <w:i/>
          <w:iCs/>
          <w:sz w:val="28"/>
          <w:szCs w:val="28"/>
          <w:lang w:bidi="ar-SA"/>
        </w:rPr>
      </w:pPr>
      <w:r>
        <w:rPr>
          <w:rFonts w:ascii="Times New Roman" w:hAnsi="Times New Roman" w:cs="Times New Roman"/>
          <w:i/>
          <w:iCs/>
          <w:sz w:val="28"/>
          <w:szCs w:val="28"/>
          <w:lang w:bidi="ar-SA"/>
        </w:rPr>
        <w:t>Клинический случай №7. Пациент А, 63 года.</w:t>
      </w:r>
    </w:p>
    <w:p w14:paraId="033D0099" w14:textId="22A1331C" w:rsidR="00402B40" w:rsidRPr="00171CCC" w:rsidRDefault="00402B40" w:rsidP="00171CCC">
      <w:pPr>
        <w:pStyle w:val="LO-normal"/>
        <w:spacing w:after="0" w:line="240" w:lineRule="auto"/>
        <w:ind w:firstLine="567"/>
        <w:jc w:val="both"/>
        <w:rPr>
          <w:rFonts w:ascii="Times New Roman" w:hAnsi="Times New Roman" w:cs="Times New Roman"/>
          <w:i/>
          <w:iCs/>
          <w:sz w:val="28"/>
          <w:szCs w:val="28"/>
          <w:lang w:bidi="ar-SA"/>
        </w:rPr>
      </w:pPr>
      <w:r w:rsidRPr="0011617E">
        <w:rPr>
          <w:rFonts w:ascii="Times New Roman" w:hAnsi="Times New Roman" w:cs="Times New Roman"/>
          <w:i/>
          <w:iCs/>
          <w:sz w:val="28"/>
          <w:szCs w:val="28"/>
          <w:lang w:bidi="ar-SA"/>
        </w:rPr>
        <w:t>Диагноз:</w:t>
      </w:r>
      <w:r>
        <w:rPr>
          <w:rFonts w:ascii="Times New Roman" w:hAnsi="Times New Roman" w:cs="Times New Roman"/>
          <w:sz w:val="28"/>
          <w:szCs w:val="28"/>
          <w:lang w:bidi="ar-SA"/>
        </w:rPr>
        <w:t xml:space="preserve"> НРС. Фибрилляция предсердий, постоянная форма. </w:t>
      </w:r>
      <w:r>
        <w:rPr>
          <w:rFonts w:ascii="Times New Roman" w:hAnsi="Times New Roman" w:cs="Times New Roman"/>
          <w:sz w:val="28"/>
          <w:szCs w:val="28"/>
          <w:lang w:val="en-US" w:bidi="ar-SA"/>
        </w:rPr>
        <w:t>EHRAIII</w:t>
      </w:r>
      <w:r w:rsidRPr="00926EC0">
        <w:rPr>
          <w:rFonts w:ascii="Times New Roman" w:hAnsi="Times New Roman" w:cs="Times New Roman"/>
          <w:sz w:val="28"/>
          <w:szCs w:val="28"/>
          <w:lang w:val="en-US" w:bidi="ar-SA"/>
        </w:rPr>
        <w:t xml:space="preserve">. </w:t>
      </w:r>
      <w:r>
        <w:rPr>
          <w:rFonts w:ascii="Times New Roman" w:hAnsi="Times New Roman" w:cs="Times New Roman"/>
          <w:sz w:val="28"/>
          <w:szCs w:val="28"/>
          <w:lang w:val="en-US" w:bidi="ar-SA"/>
        </w:rPr>
        <w:t>CHA</w:t>
      </w:r>
      <w:r w:rsidRPr="00926EC0">
        <w:rPr>
          <w:rFonts w:ascii="Times New Roman" w:hAnsi="Times New Roman" w:cs="Times New Roman"/>
          <w:sz w:val="28"/>
          <w:szCs w:val="28"/>
          <w:vertAlign w:val="subscript"/>
          <w:lang w:val="en-US" w:bidi="ar-SA"/>
        </w:rPr>
        <w:t>2</w:t>
      </w:r>
      <w:r>
        <w:rPr>
          <w:rFonts w:ascii="Times New Roman" w:hAnsi="Times New Roman" w:cs="Times New Roman"/>
          <w:sz w:val="28"/>
          <w:szCs w:val="28"/>
          <w:lang w:val="en-US" w:bidi="ar-SA"/>
        </w:rPr>
        <w:t>DS</w:t>
      </w:r>
      <w:r w:rsidRPr="00926EC0">
        <w:rPr>
          <w:rFonts w:ascii="Times New Roman" w:hAnsi="Times New Roman" w:cs="Times New Roman"/>
          <w:sz w:val="28"/>
          <w:szCs w:val="28"/>
          <w:vertAlign w:val="subscript"/>
          <w:lang w:val="en-US" w:bidi="ar-SA"/>
        </w:rPr>
        <w:t>2</w:t>
      </w:r>
      <w:r w:rsidRPr="00926EC0">
        <w:rPr>
          <w:rFonts w:ascii="Times New Roman" w:hAnsi="Times New Roman" w:cs="Times New Roman"/>
          <w:sz w:val="28"/>
          <w:szCs w:val="28"/>
          <w:lang w:val="en-US" w:bidi="ar-SA"/>
        </w:rPr>
        <w:t>-</w:t>
      </w:r>
      <w:r>
        <w:rPr>
          <w:rFonts w:ascii="Times New Roman" w:hAnsi="Times New Roman" w:cs="Times New Roman"/>
          <w:sz w:val="28"/>
          <w:szCs w:val="28"/>
          <w:lang w:val="en-US" w:bidi="ar-SA"/>
        </w:rPr>
        <w:t>VA</w:t>
      </w:r>
      <w:r w:rsidRPr="00926EC0">
        <w:rPr>
          <w:rFonts w:ascii="Times New Roman" w:hAnsi="Times New Roman" w:cs="Times New Roman"/>
          <w:sz w:val="28"/>
          <w:szCs w:val="28"/>
          <w:lang w:val="en-US" w:bidi="ar-SA"/>
        </w:rPr>
        <w:t xml:space="preserve"> – 3 </w:t>
      </w:r>
      <w:r>
        <w:rPr>
          <w:rFonts w:ascii="Times New Roman" w:hAnsi="Times New Roman" w:cs="Times New Roman"/>
          <w:sz w:val="28"/>
          <w:szCs w:val="28"/>
          <w:lang w:val="kk-KZ" w:bidi="ar-SA"/>
        </w:rPr>
        <w:t xml:space="preserve">балла. </w:t>
      </w:r>
      <w:r>
        <w:rPr>
          <w:rFonts w:ascii="Times New Roman" w:hAnsi="Times New Roman" w:cs="Times New Roman"/>
          <w:sz w:val="28"/>
          <w:szCs w:val="28"/>
          <w:lang w:val="en-US" w:bidi="ar-SA"/>
        </w:rPr>
        <w:t>HAS</w:t>
      </w:r>
      <w:r w:rsidRPr="00926EC0">
        <w:rPr>
          <w:rFonts w:ascii="Times New Roman" w:hAnsi="Times New Roman" w:cs="Times New Roman"/>
          <w:sz w:val="28"/>
          <w:szCs w:val="28"/>
          <w:lang w:val="en-US" w:bidi="ar-SA"/>
        </w:rPr>
        <w:t>-</w:t>
      </w:r>
      <w:r>
        <w:rPr>
          <w:rFonts w:ascii="Times New Roman" w:hAnsi="Times New Roman" w:cs="Times New Roman"/>
          <w:sz w:val="28"/>
          <w:szCs w:val="28"/>
          <w:lang w:val="en-US" w:bidi="ar-SA"/>
        </w:rPr>
        <w:t>BLED</w:t>
      </w:r>
      <w:r w:rsidRPr="00926EC0">
        <w:rPr>
          <w:rFonts w:ascii="Times New Roman" w:hAnsi="Times New Roman" w:cs="Times New Roman"/>
          <w:sz w:val="28"/>
          <w:szCs w:val="28"/>
          <w:lang w:val="en-US" w:bidi="ar-SA"/>
        </w:rPr>
        <w:t xml:space="preserve"> – 2 </w:t>
      </w:r>
      <w:r>
        <w:rPr>
          <w:rFonts w:ascii="Times New Roman" w:hAnsi="Times New Roman" w:cs="Times New Roman"/>
          <w:sz w:val="28"/>
          <w:szCs w:val="28"/>
          <w:lang w:val="kk-KZ" w:bidi="ar-SA"/>
        </w:rPr>
        <w:t xml:space="preserve">балла. Артериальная гипертензия 3 степени, риск ССО 4. </w:t>
      </w:r>
    </w:p>
    <w:p w14:paraId="564C9C69" w14:textId="0F832A99" w:rsidR="00402B40" w:rsidRDefault="00402B40" w:rsidP="00402B40">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Операция:</w:t>
      </w:r>
      <w:r>
        <w:rPr>
          <w:rFonts w:ascii="Times New Roman" w:hAnsi="Times New Roman" w:cs="Times New Roman"/>
          <w:sz w:val="28"/>
          <w:szCs w:val="28"/>
          <w:lang w:val="kk-KZ" w:bidi="ar-SA"/>
        </w:rPr>
        <w:t xml:space="preserve"> Электрофизиологическое исследование. Криобаллонная изоляция устьев легочных вен (06.2022г.).</w:t>
      </w:r>
    </w:p>
    <w:p w14:paraId="54195624" w14:textId="77777777" w:rsidR="00402B40" w:rsidRPr="0011617E" w:rsidRDefault="00402B40" w:rsidP="00402B40">
      <w:pPr>
        <w:pStyle w:val="LO-normal"/>
        <w:spacing w:after="0" w:line="240" w:lineRule="auto"/>
        <w:ind w:firstLine="567"/>
        <w:jc w:val="both"/>
        <w:rPr>
          <w:rFonts w:ascii="Times New Roman" w:hAnsi="Times New Roman" w:cs="Times New Roman"/>
          <w:sz w:val="28"/>
          <w:szCs w:val="28"/>
          <w:lang w:val="kk-KZ" w:bidi="ar-SA"/>
        </w:rPr>
      </w:pPr>
      <w:r w:rsidRPr="0011617E">
        <w:rPr>
          <w:rFonts w:ascii="Times New Roman" w:hAnsi="Times New Roman" w:cs="Times New Roman"/>
          <w:i/>
          <w:iCs/>
          <w:sz w:val="28"/>
          <w:szCs w:val="28"/>
          <w:lang w:val="kk-KZ" w:bidi="ar-SA"/>
        </w:rPr>
        <w:t>Концентрации дабигатрана и апиксабана (пиковая/минимальная концентрации)</w:t>
      </w:r>
      <w:r>
        <w:rPr>
          <w:rFonts w:ascii="Times New Roman" w:hAnsi="Times New Roman" w:cs="Times New Roman"/>
          <w:sz w:val="28"/>
          <w:szCs w:val="28"/>
          <w:lang w:val="kk-KZ" w:bidi="ar-SA"/>
        </w:rPr>
        <w:t xml:space="preserve">: </w:t>
      </w:r>
    </w:p>
    <w:p w14:paraId="6B0A866E" w14:textId="77777777" w:rsidR="00402B40" w:rsidRPr="0011617E" w:rsidRDefault="00402B40" w:rsidP="00402B40">
      <w:pPr>
        <w:pStyle w:val="LO-normal"/>
        <w:spacing w:after="0" w:line="240" w:lineRule="auto"/>
        <w:ind w:firstLine="567"/>
        <w:jc w:val="both"/>
        <w:rPr>
          <w:rFonts w:ascii="Times New Roman" w:hAnsi="Times New Roman" w:cs="Times New Roman"/>
          <w:sz w:val="28"/>
          <w:szCs w:val="28"/>
          <w:lang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6"/>
      </w:tblGrid>
      <w:tr w:rsidR="00402B40" w14:paraId="0CE75CB3" w14:textId="77777777" w:rsidTr="00E41A93">
        <w:tc>
          <w:tcPr>
            <w:tcW w:w="2265" w:type="dxa"/>
          </w:tcPr>
          <w:p w14:paraId="0DD4249F" w14:textId="77777777" w:rsidR="00402B40" w:rsidRPr="0011617E" w:rsidRDefault="00402B40"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Дабигатран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max</w:t>
            </w:r>
          </w:p>
          <w:p w14:paraId="1E8DA894" w14:textId="77777777" w:rsidR="00402B40" w:rsidRPr="0011617E" w:rsidRDefault="00402B40"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(117-275) </w:t>
            </w:r>
            <w:r w:rsidRPr="0011617E">
              <w:rPr>
                <w:rFonts w:ascii="Times New Roman" w:hAnsi="Times New Roman" w:cs="Times New Roman"/>
                <w:b/>
                <w:bCs/>
                <w:sz w:val="24"/>
                <w:szCs w:val="24"/>
                <w:lang w:bidi="ar-SA"/>
              </w:rPr>
              <w:t>нг/мл</w:t>
            </w:r>
          </w:p>
        </w:tc>
        <w:tc>
          <w:tcPr>
            <w:tcW w:w="2265" w:type="dxa"/>
          </w:tcPr>
          <w:p w14:paraId="3B88EDD0" w14:textId="77777777" w:rsidR="00402B40" w:rsidRPr="0011617E" w:rsidRDefault="00402B40"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bidi="ar-SA"/>
              </w:rPr>
              <w:t>Дабигатран С</w:t>
            </w:r>
            <w:r w:rsidRPr="009C40E7">
              <w:rPr>
                <w:rFonts w:ascii="Times New Roman" w:hAnsi="Times New Roman" w:cs="Times New Roman"/>
                <w:b/>
                <w:bCs/>
                <w:sz w:val="24"/>
                <w:szCs w:val="24"/>
                <w:vertAlign w:val="subscript"/>
                <w:lang w:val="en-US" w:bidi="ar-SA"/>
              </w:rPr>
              <w:t xml:space="preserve">min </w:t>
            </w:r>
            <w:r w:rsidRPr="0011617E">
              <w:rPr>
                <w:rFonts w:ascii="Times New Roman" w:hAnsi="Times New Roman" w:cs="Times New Roman"/>
                <w:b/>
                <w:bCs/>
                <w:sz w:val="24"/>
                <w:szCs w:val="24"/>
                <w:lang w:val="en-US" w:bidi="ar-SA"/>
              </w:rPr>
              <w:t xml:space="preserve">(61-143) </w:t>
            </w:r>
            <w:r w:rsidRPr="0011617E">
              <w:rPr>
                <w:rFonts w:ascii="Times New Roman" w:hAnsi="Times New Roman" w:cs="Times New Roman"/>
                <w:b/>
                <w:bCs/>
                <w:sz w:val="24"/>
                <w:szCs w:val="24"/>
                <w:lang w:val="kk-KZ" w:bidi="ar-SA"/>
              </w:rPr>
              <w:t>нг/мл</w:t>
            </w:r>
          </w:p>
        </w:tc>
        <w:tc>
          <w:tcPr>
            <w:tcW w:w="2265" w:type="dxa"/>
          </w:tcPr>
          <w:p w14:paraId="0F18194F" w14:textId="77777777" w:rsidR="00402B40" w:rsidRPr="0011617E" w:rsidRDefault="00402B40"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val="kk-KZ" w:bidi="ar-SA"/>
              </w:rPr>
              <w:t>Апиксабан С</w:t>
            </w:r>
            <w:r w:rsidRPr="0011617E">
              <w:rPr>
                <w:rFonts w:ascii="Times New Roman" w:hAnsi="Times New Roman" w:cs="Times New Roman"/>
                <w:b/>
                <w:bCs/>
                <w:sz w:val="24"/>
                <w:szCs w:val="24"/>
                <w:vertAlign w:val="subscript"/>
                <w:lang w:val="en-US" w:bidi="ar-SA"/>
              </w:rPr>
              <w:t>max</w:t>
            </w:r>
          </w:p>
          <w:p w14:paraId="2A8FAFE3" w14:textId="77777777" w:rsidR="00402B40" w:rsidRPr="0011617E" w:rsidRDefault="00402B40" w:rsidP="00E41A93">
            <w:pPr>
              <w:pStyle w:val="LO-normal"/>
              <w:spacing w:after="0" w:line="240" w:lineRule="auto"/>
              <w:jc w:val="center"/>
              <w:rPr>
                <w:rFonts w:ascii="Times New Roman" w:hAnsi="Times New Roman" w:cs="Times New Roman"/>
                <w:b/>
                <w:bCs/>
                <w:sz w:val="24"/>
                <w:szCs w:val="24"/>
                <w:lang w:val="kk-KZ" w:bidi="ar-SA"/>
              </w:rPr>
            </w:pPr>
            <w:r w:rsidRPr="0011617E">
              <w:rPr>
                <w:rFonts w:ascii="Times New Roman" w:hAnsi="Times New Roman" w:cs="Times New Roman"/>
                <w:b/>
                <w:bCs/>
                <w:sz w:val="24"/>
                <w:szCs w:val="24"/>
                <w:lang w:val="en-US" w:bidi="ar-SA"/>
              </w:rPr>
              <w:t>(</w:t>
            </w:r>
            <w:r w:rsidRPr="0011617E">
              <w:rPr>
                <w:rFonts w:ascii="Times New Roman" w:hAnsi="Times New Roman" w:cs="Times New Roman"/>
                <w:b/>
                <w:bCs/>
                <w:sz w:val="24"/>
                <w:szCs w:val="24"/>
                <w:lang w:bidi="ar-SA"/>
              </w:rPr>
              <w:t>91-321</w:t>
            </w:r>
            <w:r w:rsidRPr="0011617E">
              <w:rPr>
                <w:rFonts w:ascii="Times New Roman" w:hAnsi="Times New Roman" w:cs="Times New Roman"/>
                <w:b/>
                <w:bCs/>
                <w:sz w:val="24"/>
                <w:szCs w:val="24"/>
                <w:lang w:val="en-US" w:bidi="ar-SA"/>
              </w:rPr>
              <w:t xml:space="preserve">) </w:t>
            </w:r>
            <w:r w:rsidRPr="0011617E">
              <w:rPr>
                <w:rFonts w:ascii="Times New Roman" w:hAnsi="Times New Roman" w:cs="Times New Roman"/>
                <w:b/>
                <w:bCs/>
                <w:sz w:val="24"/>
                <w:szCs w:val="24"/>
                <w:lang w:bidi="ar-SA"/>
              </w:rPr>
              <w:t>нг/мл</w:t>
            </w:r>
          </w:p>
        </w:tc>
        <w:tc>
          <w:tcPr>
            <w:tcW w:w="2266" w:type="dxa"/>
          </w:tcPr>
          <w:p w14:paraId="655B562E" w14:textId="77777777" w:rsidR="00402B40" w:rsidRPr="0011617E" w:rsidRDefault="00402B40" w:rsidP="00E41A93">
            <w:pPr>
              <w:pStyle w:val="LO-normal"/>
              <w:spacing w:after="0" w:line="240" w:lineRule="auto"/>
              <w:jc w:val="center"/>
              <w:rPr>
                <w:rFonts w:ascii="Times New Roman" w:hAnsi="Times New Roman" w:cs="Times New Roman"/>
                <w:b/>
                <w:bCs/>
                <w:sz w:val="24"/>
                <w:szCs w:val="24"/>
                <w:vertAlign w:val="subscript"/>
                <w:lang w:val="en-US" w:bidi="ar-SA"/>
              </w:rPr>
            </w:pPr>
            <w:r w:rsidRPr="0011617E">
              <w:rPr>
                <w:rFonts w:ascii="Times New Roman" w:hAnsi="Times New Roman" w:cs="Times New Roman"/>
                <w:b/>
                <w:bCs/>
                <w:sz w:val="24"/>
                <w:szCs w:val="24"/>
                <w:lang w:bidi="ar-SA"/>
              </w:rPr>
              <w:t xml:space="preserve">Апиксабан </w:t>
            </w:r>
            <w:r w:rsidRPr="0011617E">
              <w:rPr>
                <w:rFonts w:ascii="Times New Roman" w:hAnsi="Times New Roman" w:cs="Times New Roman"/>
                <w:b/>
                <w:bCs/>
                <w:sz w:val="24"/>
                <w:szCs w:val="24"/>
                <w:lang w:val="kk-KZ" w:bidi="ar-SA"/>
              </w:rPr>
              <w:t>С</w:t>
            </w:r>
            <w:r w:rsidRPr="0011617E">
              <w:rPr>
                <w:rFonts w:ascii="Times New Roman" w:hAnsi="Times New Roman" w:cs="Times New Roman"/>
                <w:b/>
                <w:bCs/>
                <w:sz w:val="24"/>
                <w:szCs w:val="24"/>
                <w:vertAlign w:val="subscript"/>
                <w:lang w:val="en-US" w:bidi="ar-SA"/>
              </w:rPr>
              <w:t>min</w:t>
            </w:r>
          </w:p>
          <w:p w14:paraId="7C05FDD2" w14:textId="77777777" w:rsidR="00402B40" w:rsidRPr="0011617E" w:rsidRDefault="00402B40" w:rsidP="00E41A93">
            <w:pPr>
              <w:pStyle w:val="LO-normal"/>
              <w:spacing w:after="0" w:line="240" w:lineRule="auto"/>
              <w:jc w:val="center"/>
              <w:rPr>
                <w:rFonts w:ascii="Times New Roman" w:hAnsi="Times New Roman" w:cs="Times New Roman"/>
                <w:b/>
                <w:bCs/>
                <w:sz w:val="24"/>
                <w:szCs w:val="24"/>
                <w:lang w:bidi="ar-SA"/>
              </w:rPr>
            </w:pPr>
            <w:r w:rsidRPr="0011617E">
              <w:rPr>
                <w:rFonts w:ascii="Times New Roman" w:hAnsi="Times New Roman" w:cs="Times New Roman"/>
                <w:b/>
                <w:bCs/>
                <w:sz w:val="24"/>
                <w:szCs w:val="24"/>
                <w:lang w:val="en-US" w:bidi="ar-SA"/>
              </w:rPr>
              <w:t xml:space="preserve">(41-230) </w:t>
            </w:r>
            <w:r w:rsidRPr="0011617E">
              <w:rPr>
                <w:rFonts w:ascii="Times New Roman" w:hAnsi="Times New Roman" w:cs="Times New Roman"/>
                <w:b/>
                <w:bCs/>
                <w:sz w:val="24"/>
                <w:szCs w:val="24"/>
                <w:lang w:bidi="ar-SA"/>
              </w:rPr>
              <w:t>нг/мл</w:t>
            </w:r>
          </w:p>
        </w:tc>
      </w:tr>
      <w:tr w:rsidR="00402B40" w14:paraId="69E0BBE1" w14:textId="77777777" w:rsidTr="00E41A93">
        <w:tc>
          <w:tcPr>
            <w:tcW w:w="2265" w:type="dxa"/>
          </w:tcPr>
          <w:p w14:paraId="22DBF8CD" w14:textId="21FDBA56" w:rsidR="00402B40" w:rsidRPr="00402B40" w:rsidRDefault="00402B40"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88,41</w:t>
            </w:r>
          </w:p>
        </w:tc>
        <w:tc>
          <w:tcPr>
            <w:tcW w:w="2265" w:type="dxa"/>
          </w:tcPr>
          <w:p w14:paraId="6BE485AB" w14:textId="324432D4" w:rsidR="00402B40" w:rsidRPr="00402B40" w:rsidRDefault="00402B40"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49,13</w:t>
            </w:r>
          </w:p>
        </w:tc>
        <w:tc>
          <w:tcPr>
            <w:tcW w:w="2265" w:type="dxa"/>
          </w:tcPr>
          <w:p w14:paraId="38E8EFFA" w14:textId="01F1ABDF" w:rsidR="00402B40" w:rsidRPr="00402B40" w:rsidRDefault="00402B40" w:rsidP="00E41A93">
            <w:pPr>
              <w:pStyle w:val="LO-normal"/>
              <w:spacing w:after="0" w:line="240" w:lineRule="auto"/>
              <w:jc w:val="center"/>
              <w:rPr>
                <w:rFonts w:ascii="Times New Roman" w:hAnsi="Times New Roman" w:cs="Times New Roman"/>
                <w:sz w:val="24"/>
                <w:szCs w:val="24"/>
                <w:lang w:bidi="ar-SA"/>
              </w:rPr>
            </w:pPr>
            <w:r w:rsidRPr="0011617E">
              <w:rPr>
                <w:rFonts w:ascii="Times New Roman" w:hAnsi="Times New Roman" w:cs="Times New Roman"/>
                <w:sz w:val="24"/>
                <w:szCs w:val="24"/>
                <w:lang w:val="en-US" w:bidi="ar-SA"/>
              </w:rPr>
              <w:t>1</w:t>
            </w:r>
            <w:r>
              <w:rPr>
                <w:rFonts w:ascii="Times New Roman" w:hAnsi="Times New Roman" w:cs="Times New Roman"/>
                <w:sz w:val="24"/>
                <w:szCs w:val="24"/>
                <w:lang w:bidi="ar-SA"/>
              </w:rPr>
              <w:t>64,9</w:t>
            </w:r>
          </w:p>
        </w:tc>
        <w:tc>
          <w:tcPr>
            <w:tcW w:w="2266" w:type="dxa"/>
          </w:tcPr>
          <w:p w14:paraId="5B4B113A" w14:textId="693C3B7E" w:rsidR="00402B40" w:rsidRPr="00402B40" w:rsidRDefault="00402B40"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bidi="ar-SA"/>
              </w:rPr>
              <w:t>92,3</w:t>
            </w:r>
          </w:p>
        </w:tc>
      </w:tr>
    </w:tbl>
    <w:p w14:paraId="6D949076" w14:textId="77777777" w:rsidR="00402B40" w:rsidRDefault="00402B40" w:rsidP="00402B40">
      <w:pPr>
        <w:pStyle w:val="LO-normal"/>
        <w:spacing w:after="0" w:line="240" w:lineRule="auto"/>
        <w:ind w:firstLine="567"/>
        <w:jc w:val="both"/>
        <w:rPr>
          <w:rFonts w:ascii="Times New Roman" w:hAnsi="Times New Roman" w:cs="Times New Roman"/>
          <w:sz w:val="28"/>
          <w:szCs w:val="28"/>
          <w:lang w:val="en-US" w:bidi="ar-SA"/>
        </w:rPr>
      </w:pP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r w:rsidRPr="0011617E">
        <w:rPr>
          <w:rFonts w:ascii="Times New Roman" w:hAnsi="Times New Roman" w:cs="Times New Roman"/>
          <w:sz w:val="28"/>
          <w:szCs w:val="28"/>
          <w:lang w:bidi="ar-SA"/>
        </w:rPr>
        <w:tab/>
      </w:r>
    </w:p>
    <w:p w14:paraId="7776E404" w14:textId="77777777"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F87B08">
        <w:rPr>
          <w:rFonts w:ascii="Times New Roman" w:hAnsi="Times New Roman" w:cs="Times New Roman"/>
          <w:i/>
          <w:iCs/>
          <w:sz w:val="28"/>
          <w:szCs w:val="28"/>
          <w:lang w:bidi="ar-SA"/>
        </w:rPr>
        <w:t>Генотип</w:t>
      </w:r>
      <w:r>
        <w:rPr>
          <w:rFonts w:ascii="Times New Roman" w:hAnsi="Times New Roman" w:cs="Times New Roman"/>
          <w:sz w:val="28"/>
          <w:szCs w:val="28"/>
          <w:lang w:bidi="ar-S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350"/>
        <w:gridCol w:w="1294"/>
        <w:gridCol w:w="1295"/>
        <w:gridCol w:w="1295"/>
        <w:gridCol w:w="1295"/>
      </w:tblGrid>
      <w:tr w:rsidR="00402B40" w:rsidRPr="00F87B08" w14:paraId="726F11E1" w14:textId="77777777" w:rsidTr="00E41A93">
        <w:tc>
          <w:tcPr>
            <w:tcW w:w="1294" w:type="dxa"/>
          </w:tcPr>
          <w:p w14:paraId="271675E6" w14:textId="77777777" w:rsidR="00402B40" w:rsidRPr="00F87B08" w:rsidRDefault="00402B40"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23B5C98E" w14:textId="77777777" w:rsidR="00402B40" w:rsidRPr="00F87B08" w:rsidRDefault="00402B40"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10020DA0" w14:textId="77777777" w:rsidR="00402B40" w:rsidRPr="00F87B08" w:rsidRDefault="00402B40"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CES1</w:t>
            </w:r>
          </w:p>
        </w:tc>
        <w:tc>
          <w:tcPr>
            <w:tcW w:w="1294" w:type="dxa"/>
          </w:tcPr>
          <w:p w14:paraId="39D18014" w14:textId="77777777" w:rsidR="00402B40" w:rsidRPr="00F87B08" w:rsidRDefault="00402B40" w:rsidP="00E41A93">
            <w:pPr>
              <w:pStyle w:val="LO-normal"/>
              <w:spacing w:after="0" w:line="240" w:lineRule="auto"/>
              <w:jc w:val="center"/>
              <w:rPr>
                <w:rFonts w:ascii="Times New Roman" w:hAnsi="Times New Roman" w:cs="Times New Roman"/>
                <w:b/>
                <w:bCs/>
                <w:sz w:val="24"/>
                <w:szCs w:val="24"/>
                <w:lang w:val="en-US" w:bidi="ar-SA"/>
              </w:rPr>
            </w:pPr>
            <w:r w:rsidRPr="00F87B08">
              <w:rPr>
                <w:rFonts w:ascii="Times New Roman" w:hAnsi="Times New Roman" w:cs="Times New Roman"/>
                <w:b/>
                <w:bCs/>
                <w:sz w:val="24"/>
                <w:szCs w:val="24"/>
                <w:lang w:val="en-US" w:bidi="ar-SA"/>
              </w:rPr>
              <w:t>ABCB1</w:t>
            </w:r>
          </w:p>
        </w:tc>
        <w:tc>
          <w:tcPr>
            <w:tcW w:w="1295" w:type="dxa"/>
          </w:tcPr>
          <w:p w14:paraId="352B47A6" w14:textId="77777777" w:rsidR="00402B40" w:rsidRPr="00F87B08" w:rsidRDefault="00402B40"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5868709D" w14:textId="77777777" w:rsidR="00402B40" w:rsidRPr="00F87B08" w:rsidRDefault="00402B40"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c>
          <w:tcPr>
            <w:tcW w:w="1295" w:type="dxa"/>
          </w:tcPr>
          <w:p w14:paraId="39B5118D" w14:textId="77777777" w:rsidR="00402B40" w:rsidRPr="00F87B08" w:rsidRDefault="00402B40" w:rsidP="00E41A93">
            <w:pPr>
              <w:pStyle w:val="LO-normal"/>
              <w:spacing w:after="0" w:line="240" w:lineRule="auto"/>
              <w:jc w:val="center"/>
              <w:rPr>
                <w:rFonts w:ascii="Times New Roman" w:hAnsi="Times New Roman" w:cs="Times New Roman"/>
                <w:b/>
                <w:bCs/>
                <w:sz w:val="24"/>
                <w:szCs w:val="24"/>
                <w:lang w:bidi="ar-SA"/>
              </w:rPr>
            </w:pPr>
            <w:r w:rsidRPr="00F87B08">
              <w:rPr>
                <w:rFonts w:ascii="Times New Roman" w:hAnsi="Times New Roman" w:cs="Times New Roman"/>
                <w:b/>
                <w:bCs/>
                <w:sz w:val="24"/>
                <w:szCs w:val="24"/>
                <w:lang w:val="en-US" w:bidi="ar-SA"/>
              </w:rPr>
              <w:t>ABCB1</w:t>
            </w:r>
          </w:p>
        </w:tc>
      </w:tr>
      <w:tr w:rsidR="00402B40" w:rsidRPr="00F87B08" w14:paraId="61E6C254" w14:textId="77777777" w:rsidTr="00E41A93">
        <w:tc>
          <w:tcPr>
            <w:tcW w:w="1294" w:type="dxa"/>
          </w:tcPr>
          <w:p w14:paraId="2A0DE5C4"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sidRPr="00F87B08">
              <w:rPr>
                <w:rFonts w:ascii="Times New Roman" w:hAnsi="Times New Roman" w:cs="Times New Roman"/>
                <w:sz w:val="24"/>
                <w:szCs w:val="24"/>
                <w:lang w:val="en-US" w:bidi="ar-SA"/>
              </w:rPr>
              <w:t>rs8192935</w:t>
            </w:r>
            <w:r>
              <w:rPr>
                <w:rFonts w:ascii="Times New Roman" w:hAnsi="Times New Roman" w:cs="Times New Roman"/>
                <w:sz w:val="24"/>
                <w:szCs w:val="24"/>
                <w:lang w:val="en-US" w:bidi="ar-SA"/>
              </w:rPr>
              <w:t xml:space="preserve"> A/G</w:t>
            </w:r>
          </w:p>
        </w:tc>
        <w:tc>
          <w:tcPr>
            <w:tcW w:w="1294" w:type="dxa"/>
          </w:tcPr>
          <w:p w14:paraId="723461CC"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rs2244613 G/T</w:t>
            </w:r>
          </w:p>
        </w:tc>
        <w:tc>
          <w:tcPr>
            <w:tcW w:w="1294" w:type="dxa"/>
          </w:tcPr>
          <w:p w14:paraId="5E98C7E4"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rs71647871 A/G</w:t>
            </w:r>
          </w:p>
        </w:tc>
        <w:tc>
          <w:tcPr>
            <w:tcW w:w="1294" w:type="dxa"/>
          </w:tcPr>
          <w:p w14:paraId="26396E8A" w14:textId="77777777" w:rsidR="00402B40" w:rsidRPr="00F87B08" w:rsidRDefault="00402B40" w:rsidP="00E41A93">
            <w:pPr>
              <w:pStyle w:val="LO-normal"/>
              <w:spacing w:after="0" w:line="240" w:lineRule="auto"/>
              <w:jc w:val="center"/>
              <w:rPr>
                <w:rFonts w:ascii="Times New Roman" w:hAnsi="Times New Roman" w:cs="Times New Roman"/>
                <w:sz w:val="24"/>
                <w:szCs w:val="24"/>
                <w:lang w:bidi="ar-SA"/>
              </w:rPr>
            </w:pPr>
            <w:r>
              <w:rPr>
                <w:rFonts w:ascii="Times New Roman" w:hAnsi="Times New Roman" w:cs="Times New Roman"/>
                <w:sz w:val="24"/>
                <w:szCs w:val="24"/>
                <w:lang w:val="en-US" w:bidi="ar-SA"/>
              </w:rPr>
              <w:t>rs4148738 C/T</w:t>
            </w:r>
          </w:p>
        </w:tc>
        <w:tc>
          <w:tcPr>
            <w:tcW w:w="1295" w:type="dxa"/>
          </w:tcPr>
          <w:p w14:paraId="04526F84"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rs1045642 A/G</w:t>
            </w:r>
          </w:p>
        </w:tc>
        <w:tc>
          <w:tcPr>
            <w:tcW w:w="1295" w:type="dxa"/>
          </w:tcPr>
          <w:p w14:paraId="698CC416"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rs2032582 C/A</w:t>
            </w:r>
          </w:p>
        </w:tc>
        <w:tc>
          <w:tcPr>
            <w:tcW w:w="1295" w:type="dxa"/>
          </w:tcPr>
          <w:p w14:paraId="584B757B"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rs1128503 A/G</w:t>
            </w:r>
          </w:p>
        </w:tc>
      </w:tr>
      <w:tr w:rsidR="00402B40" w:rsidRPr="00F87B08" w14:paraId="17A511E8" w14:textId="77777777" w:rsidTr="00E41A93">
        <w:tc>
          <w:tcPr>
            <w:tcW w:w="1294" w:type="dxa"/>
          </w:tcPr>
          <w:p w14:paraId="6CB9F7C4"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c>
          <w:tcPr>
            <w:tcW w:w="1294" w:type="dxa"/>
          </w:tcPr>
          <w:p w14:paraId="3562FF95"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GT</w:t>
            </w:r>
          </w:p>
        </w:tc>
        <w:tc>
          <w:tcPr>
            <w:tcW w:w="1294" w:type="dxa"/>
          </w:tcPr>
          <w:p w14:paraId="31F3C7D4"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4" w:type="dxa"/>
          </w:tcPr>
          <w:p w14:paraId="7045DB8A"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CT</w:t>
            </w:r>
          </w:p>
        </w:tc>
        <w:tc>
          <w:tcPr>
            <w:tcW w:w="1295" w:type="dxa"/>
          </w:tcPr>
          <w:p w14:paraId="430440EF" w14:textId="1DBB5E0D"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GG</w:t>
            </w:r>
          </w:p>
        </w:tc>
        <w:tc>
          <w:tcPr>
            <w:tcW w:w="1295" w:type="dxa"/>
          </w:tcPr>
          <w:p w14:paraId="153BD7C9" w14:textId="6EC66192"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CA</w:t>
            </w:r>
          </w:p>
        </w:tc>
        <w:tc>
          <w:tcPr>
            <w:tcW w:w="1295" w:type="dxa"/>
          </w:tcPr>
          <w:p w14:paraId="33D1EE05" w14:textId="77777777" w:rsidR="00402B40" w:rsidRPr="00F87B08" w:rsidRDefault="00402B40" w:rsidP="00E41A93">
            <w:pPr>
              <w:pStyle w:val="LO-normal"/>
              <w:spacing w:after="0" w:line="240" w:lineRule="auto"/>
              <w:jc w:val="center"/>
              <w:rPr>
                <w:rFonts w:ascii="Times New Roman" w:hAnsi="Times New Roman" w:cs="Times New Roman"/>
                <w:sz w:val="24"/>
                <w:szCs w:val="24"/>
                <w:lang w:val="en-US" w:bidi="ar-SA"/>
              </w:rPr>
            </w:pPr>
            <w:r>
              <w:rPr>
                <w:rFonts w:ascii="Times New Roman" w:hAnsi="Times New Roman" w:cs="Times New Roman"/>
                <w:sz w:val="24"/>
                <w:szCs w:val="24"/>
                <w:lang w:val="en-US" w:bidi="ar-SA"/>
              </w:rPr>
              <w:t>AG</w:t>
            </w:r>
          </w:p>
        </w:tc>
      </w:tr>
    </w:tbl>
    <w:p w14:paraId="32ACADD3" w14:textId="77777777" w:rsidR="00402B40" w:rsidRDefault="00402B40" w:rsidP="00402B40">
      <w:pPr>
        <w:pStyle w:val="LO-normal"/>
        <w:spacing w:after="0" w:line="240" w:lineRule="auto"/>
        <w:ind w:firstLine="567"/>
        <w:jc w:val="both"/>
        <w:rPr>
          <w:rFonts w:ascii="Times New Roman" w:hAnsi="Times New Roman" w:cs="Times New Roman"/>
          <w:sz w:val="28"/>
          <w:szCs w:val="28"/>
          <w:lang w:bidi="ar-SA"/>
        </w:rPr>
      </w:pPr>
    </w:p>
    <w:p w14:paraId="25954880" w14:textId="318E89B7"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Принимаемые препараты</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Бисопролол</w:t>
      </w:r>
      <w:proofErr w:type="spellEnd"/>
      <w:r>
        <w:rPr>
          <w:rFonts w:ascii="Times New Roman" w:hAnsi="Times New Roman" w:cs="Times New Roman"/>
          <w:sz w:val="28"/>
          <w:szCs w:val="28"/>
          <w:lang w:bidi="ar-SA"/>
        </w:rPr>
        <w:t xml:space="preserve"> 5 мг, временное прекращение приема Прадакса 300 мг/</w:t>
      </w:r>
      <w:proofErr w:type="spellStart"/>
      <w:r>
        <w:rPr>
          <w:rFonts w:ascii="Times New Roman" w:hAnsi="Times New Roman" w:cs="Times New Roman"/>
          <w:sz w:val="28"/>
          <w:szCs w:val="28"/>
          <w:lang w:bidi="ar-SA"/>
        </w:rPr>
        <w:t>сут</w:t>
      </w:r>
      <w:proofErr w:type="spellEnd"/>
      <w:r>
        <w:rPr>
          <w:rFonts w:ascii="Times New Roman" w:hAnsi="Times New Roman" w:cs="Times New Roman"/>
          <w:sz w:val="28"/>
          <w:szCs w:val="28"/>
          <w:lang w:bidi="ar-SA"/>
        </w:rPr>
        <w:t xml:space="preserve"> более месяца, </w:t>
      </w:r>
      <w:proofErr w:type="spellStart"/>
      <w:r>
        <w:rPr>
          <w:rFonts w:ascii="Times New Roman" w:hAnsi="Times New Roman" w:cs="Times New Roman"/>
          <w:sz w:val="28"/>
          <w:szCs w:val="28"/>
          <w:lang w:bidi="ar-SA"/>
        </w:rPr>
        <w:t>Кардиомагнил</w:t>
      </w:r>
      <w:proofErr w:type="spellEnd"/>
      <w:r>
        <w:rPr>
          <w:rFonts w:ascii="Times New Roman" w:hAnsi="Times New Roman" w:cs="Times New Roman"/>
          <w:sz w:val="28"/>
          <w:szCs w:val="28"/>
          <w:lang w:bidi="ar-SA"/>
        </w:rPr>
        <w:t xml:space="preserve"> 75мг.</w:t>
      </w:r>
    </w:p>
    <w:p w14:paraId="6B0B2FF6" w14:textId="1273B0C7"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 xml:space="preserve">На </w:t>
      </w:r>
      <w:r>
        <w:rPr>
          <w:rFonts w:ascii="Times New Roman" w:hAnsi="Times New Roman" w:cs="Times New Roman"/>
          <w:i/>
          <w:iCs/>
          <w:sz w:val="28"/>
          <w:szCs w:val="28"/>
          <w:lang w:bidi="ar-SA"/>
        </w:rPr>
        <w:t>11</w:t>
      </w:r>
      <w:r w:rsidRPr="009C40E7">
        <w:rPr>
          <w:rFonts w:ascii="Times New Roman" w:hAnsi="Times New Roman" w:cs="Times New Roman"/>
          <w:i/>
          <w:iCs/>
          <w:sz w:val="28"/>
          <w:szCs w:val="28"/>
          <w:lang w:bidi="ar-SA"/>
        </w:rPr>
        <w:t xml:space="preserve"> месяц наблюдения</w:t>
      </w:r>
      <w:r>
        <w:rPr>
          <w:rFonts w:ascii="Times New Roman" w:hAnsi="Times New Roman" w:cs="Times New Roman"/>
          <w:i/>
          <w:iCs/>
          <w:sz w:val="28"/>
          <w:szCs w:val="28"/>
          <w:lang w:bidi="ar-SA"/>
        </w:rPr>
        <w:t xml:space="preserve"> экстренно госпитализирован с ОНМК.</w:t>
      </w:r>
    </w:p>
    <w:p w14:paraId="273BEBED" w14:textId="16DF6CC2"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Рост:175см. Вес:92кг. ИМТ:30кг/м</w:t>
      </w:r>
      <w:r w:rsidRPr="00F87B08">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ЧСС:81уд/мин. АД: 130/80мм.рт.ст. </w:t>
      </w:r>
    </w:p>
    <w:p w14:paraId="40D6AACE" w14:textId="77777777" w:rsidR="00402B40" w:rsidRPr="009C40E7" w:rsidRDefault="00402B40" w:rsidP="00402B40">
      <w:pPr>
        <w:pStyle w:val="LO-normal"/>
        <w:spacing w:after="0" w:line="240" w:lineRule="auto"/>
        <w:ind w:firstLine="567"/>
        <w:jc w:val="both"/>
        <w:rPr>
          <w:rFonts w:ascii="Times New Roman" w:hAnsi="Times New Roman" w:cs="Times New Roman"/>
          <w:i/>
          <w:iCs/>
          <w:sz w:val="28"/>
          <w:szCs w:val="28"/>
          <w:lang w:bidi="ar-SA"/>
        </w:rPr>
      </w:pPr>
      <w:r w:rsidRPr="009C40E7">
        <w:rPr>
          <w:rFonts w:ascii="Times New Roman" w:hAnsi="Times New Roman" w:cs="Times New Roman"/>
          <w:i/>
          <w:iCs/>
          <w:sz w:val="28"/>
          <w:szCs w:val="28"/>
          <w:lang w:bidi="ar-SA"/>
        </w:rPr>
        <w:t>Результаты проведенных лабораторных и инструментальных исследований.</w:t>
      </w:r>
    </w:p>
    <w:p w14:paraId="06637429" w14:textId="51BB9CA6"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Общий анализ крови</w:t>
      </w:r>
      <w:r>
        <w:rPr>
          <w:rFonts w:ascii="Times New Roman" w:hAnsi="Times New Roman" w:cs="Times New Roman"/>
          <w:sz w:val="28"/>
          <w:szCs w:val="28"/>
          <w:lang w:bidi="ar-SA"/>
        </w:rPr>
        <w:t xml:space="preserve"> – лейкоциты 5,5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(4,5-11), эритроциты 4,5 10</w:t>
      </w:r>
      <w:r w:rsidRPr="009C40E7">
        <w:rPr>
          <w:rFonts w:ascii="Times New Roman" w:hAnsi="Times New Roman" w:cs="Times New Roman"/>
          <w:sz w:val="28"/>
          <w:szCs w:val="28"/>
          <w:vertAlign w:val="superscript"/>
          <w:lang w:bidi="ar-SA"/>
        </w:rPr>
        <w:t>12</w:t>
      </w:r>
      <w:r>
        <w:rPr>
          <w:rFonts w:ascii="Times New Roman" w:hAnsi="Times New Roman" w:cs="Times New Roman"/>
          <w:sz w:val="28"/>
          <w:szCs w:val="28"/>
          <w:lang w:bidi="ar-SA"/>
        </w:rPr>
        <w:t>/л (3,8-5,5), гемоглобин 130 г/л (115-140), тромбоциты 287 10</w:t>
      </w:r>
      <w:r w:rsidRPr="009C40E7">
        <w:rPr>
          <w:rFonts w:ascii="Times New Roman" w:hAnsi="Times New Roman" w:cs="Times New Roman"/>
          <w:sz w:val="28"/>
          <w:szCs w:val="28"/>
          <w:vertAlign w:val="superscript"/>
          <w:lang w:bidi="ar-SA"/>
        </w:rPr>
        <w:t>9</w:t>
      </w:r>
      <w:r>
        <w:rPr>
          <w:rFonts w:ascii="Times New Roman" w:hAnsi="Times New Roman" w:cs="Times New Roman"/>
          <w:sz w:val="28"/>
          <w:szCs w:val="28"/>
          <w:lang w:bidi="ar-SA"/>
        </w:rPr>
        <w:t>/л (140-400).</w:t>
      </w:r>
    </w:p>
    <w:p w14:paraId="306BFBC6" w14:textId="10EB0920"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Биохимический анализ крови</w:t>
      </w:r>
      <w:r>
        <w:rPr>
          <w:rFonts w:ascii="Times New Roman" w:hAnsi="Times New Roman" w:cs="Times New Roman"/>
          <w:sz w:val="28"/>
          <w:szCs w:val="28"/>
          <w:lang w:bidi="ar-SA"/>
        </w:rPr>
        <w:t xml:space="preserve"> – глюкоза 81,6 мг/дл (74-106), креатинин 1,04 мг/дл (0,5-0,9), СКФ 80,5 мл/мин/1,73м</w:t>
      </w:r>
      <w:r w:rsidRPr="009C40E7">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АЛТ 15,3 Ед/л (0-33), АСТ 24 Ед/л (0-32), холестерин общий 3,8 ммоль/л, ЛПВП 1,05ммоль/л, ЛПНП 3,14ммоль/л, триглицериды 1,68 ммоль/л, калий 4,7 ммоль/л.</w:t>
      </w:r>
    </w:p>
    <w:p w14:paraId="39A69B38" w14:textId="500340DF"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Гормоны щитовидной железы</w:t>
      </w:r>
      <w:r>
        <w:rPr>
          <w:rFonts w:ascii="Times New Roman" w:hAnsi="Times New Roman" w:cs="Times New Roman"/>
          <w:sz w:val="28"/>
          <w:szCs w:val="28"/>
          <w:lang w:bidi="ar-SA"/>
        </w:rPr>
        <w:t xml:space="preserve"> – тиреотропный гормон 1,98нг/мл (0,27-4,2), свободный трийодтиронин (св.Т3) 3,72 пмоль/л (3,1-6,8).</w:t>
      </w:r>
    </w:p>
    <w:p w14:paraId="479D8757" w14:textId="661F2399"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Коагулограмма</w:t>
      </w:r>
      <w:r>
        <w:rPr>
          <w:rFonts w:ascii="Times New Roman" w:hAnsi="Times New Roman" w:cs="Times New Roman"/>
          <w:sz w:val="28"/>
          <w:szCs w:val="28"/>
          <w:lang w:bidi="ar-SA"/>
        </w:rPr>
        <w:t xml:space="preserve"> – протромбиновое время (ПВ) 11,5сек (9,4-12,5), протромбиновый индекс (ПТИ) 96% (70-140), МНО 1,05 (0,9-1,2), АЧТВ 46,2сек (25,1-36,5), фибриноген 4,4 г/л (2-3,93).</w:t>
      </w:r>
    </w:p>
    <w:p w14:paraId="0960D64F" w14:textId="57D30F4D"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ФГДС</w:t>
      </w:r>
      <w:r>
        <w:rPr>
          <w:rFonts w:ascii="Times New Roman" w:hAnsi="Times New Roman" w:cs="Times New Roman"/>
          <w:sz w:val="28"/>
          <w:szCs w:val="28"/>
          <w:lang w:bidi="ar-SA"/>
        </w:rPr>
        <w:t xml:space="preserve">: хронический </w:t>
      </w:r>
      <w:proofErr w:type="spellStart"/>
      <w:r>
        <w:rPr>
          <w:rFonts w:ascii="Times New Roman" w:hAnsi="Times New Roman" w:cs="Times New Roman"/>
          <w:sz w:val="28"/>
          <w:szCs w:val="28"/>
          <w:lang w:bidi="ar-SA"/>
        </w:rPr>
        <w:t>неэрозивный</w:t>
      </w:r>
      <w:proofErr w:type="spellEnd"/>
      <w:r>
        <w:rPr>
          <w:rFonts w:ascii="Times New Roman" w:hAnsi="Times New Roman" w:cs="Times New Roman"/>
          <w:sz w:val="28"/>
          <w:szCs w:val="28"/>
          <w:lang w:bidi="ar-SA"/>
        </w:rPr>
        <w:t xml:space="preserve"> гастрит. </w:t>
      </w:r>
      <w:proofErr w:type="spellStart"/>
      <w:r>
        <w:rPr>
          <w:rFonts w:ascii="Times New Roman" w:hAnsi="Times New Roman" w:cs="Times New Roman"/>
          <w:sz w:val="28"/>
          <w:szCs w:val="28"/>
          <w:lang w:bidi="ar-SA"/>
        </w:rPr>
        <w:t>Эритематозная</w:t>
      </w:r>
      <w:proofErr w:type="spellEnd"/>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гастропатия</w:t>
      </w:r>
      <w:proofErr w:type="spellEnd"/>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антрального</w:t>
      </w:r>
      <w:proofErr w:type="spellEnd"/>
      <w:r>
        <w:rPr>
          <w:rFonts w:ascii="Times New Roman" w:hAnsi="Times New Roman" w:cs="Times New Roman"/>
          <w:sz w:val="28"/>
          <w:szCs w:val="28"/>
          <w:lang w:bidi="ar-SA"/>
        </w:rPr>
        <w:t xml:space="preserve"> отдела желудка.</w:t>
      </w:r>
    </w:p>
    <w:p w14:paraId="630A45B4" w14:textId="3B09612A"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ЭКГ</w:t>
      </w:r>
      <w:r>
        <w:rPr>
          <w:rFonts w:ascii="Times New Roman" w:hAnsi="Times New Roman" w:cs="Times New Roman"/>
          <w:sz w:val="28"/>
          <w:szCs w:val="28"/>
          <w:lang w:bidi="ar-SA"/>
        </w:rPr>
        <w:t>: фибрилляция предсердий, ЧЖС 70 уд/мин, ЭОС горизонтальная.</w:t>
      </w:r>
    </w:p>
    <w:p w14:paraId="35690700" w14:textId="48DE1722"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Эхокардиография</w:t>
      </w:r>
      <w:r>
        <w:rPr>
          <w:rFonts w:ascii="Times New Roman" w:hAnsi="Times New Roman" w:cs="Times New Roman"/>
          <w:sz w:val="28"/>
          <w:szCs w:val="28"/>
          <w:lang w:bidi="ar-SA"/>
        </w:rPr>
        <w:t xml:space="preserve">: Дилатация восходящего отдела аорты, левого предсердия. Гипертрофия миокарда ЛЖ. Недостаточность митрального клапана, трикуспидального клапана, аортального клапана легкой степени. Систолическая функция левого желудочка снижена (ФВ 48%). </w:t>
      </w:r>
    </w:p>
    <w:p w14:paraId="098CDF55" w14:textId="635BCE5F"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сосудов экстракраниального бассейна</w:t>
      </w:r>
      <w:r>
        <w:rPr>
          <w:rFonts w:ascii="Times New Roman" w:hAnsi="Times New Roman" w:cs="Times New Roman"/>
          <w:sz w:val="28"/>
          <w:szCs w:val="28"/>
          <w:lang w:bidi="ar-SA"/>
        </w:rPr>
        <w:t>: стеноз устья внутренней сонной артерии слева 58%.</w:t>
      </w:r>
    </w:p>
    <w:p w14:paraId="7C607DFE" w14:textId="415A12E2"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Допплерография артерий/вен верхних и нижних конечностей</w:t>
      </w:r>
      <w:r>
        <w:rPr>
          <w:rFonts w:ascii="Times New Roman" w:hAnsi="Times New Roman" w:cs="Times New Roman"/>
          <w:sz w:val="28"/>
          <w:szCs w:val="28"/>
          <w:lang w:bidi="ar-SA"/>
        </w:rPr>
        <w:t>: атеросклероз артерий нижних конечностей. Стеноз обеих общих бедренных артерий до 50%. Вены нижних конечностей проходимы.</w:t>
      </w:r>
    </w:p>
    <w:p w14:paraId="35AD0ACC" w14:textId="3752C898"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sidRPr="009C40E7">
        <w:rPr>
          <w:rFonts w:ascii="Times New Roman" w:hAnsi="Times New Roman" w:cs="Times New Roman"/>
          <w:i/>
          <w:iCs/>
          <w:sz w:val="28"/>
          <w:szCs w:val="28"/>
          <w:lang w:bidi="ar-SA"/>
        </w:rPr>
        <w:t>Магниторезонансная томография головного мозга</w:t>
      </w:r>
      <w:r>
        <w:rPr>
          <w:rFonts w:ascii="Times New Roman" w:hAnsi="Times New Roman" w:cs="Times New Roman"/>
          <w:sz w:val="28"/>
          <w:szCs w:val="28"/>
          <w:lang w:bidi="ar-SA"/>
        </w:rPr>
        <w:t>: МР картина ишемического изменения конвекситального отдела левой теменно-височной области 38х22 мм.</w:t>
      </w:r>
    </w:p>
    <w:p w14:paraId="65E6B5EB" w14:textId="77777777" w:rsidR="00402B40" w:rsidRDefault="00402B40" w:rsidP="008E0493">
      <w:pPr>
        <w:pStyle w:val="LO-normal"/>
        <w:spacing w:after="0" w:line="240" w:lineRule="auto"/>
        <w:ind w:firstLine="567"/>
        <w:jc w:val="both"/>
        <w:rPr>
          <w:rFonts w:ascii="Times New Roman" w:hAnsi="Times New Roman" w:cs="Times New Roman"/>
          <w:sz w:val="28"/>
          <w:szCs w:val="28"/>
          <w:lang w:bidi="ar-SA"/>
        </w:rPr>
      </w:pPr>
    </w:p>
    <w:p w14:paraId="379D7AF6" w14:textId="77777777" w:rsidR="00726D21" w:rsidRDefault="00726D21" w:rsidP="008E0493">
      <w:pPr>
        <w:pStyle w:val="LO-normal"/>
        <w:spacing w:after="0" w:line="240" w:lineRule="auto"/>
        <w:ind w:firstLine="567"/>
        <w:jc w:val="both"/>
        <w:rPr>
          <w:rFonts w:ascii="Times New Roman" w:hAnsi="Times New Roman" w:cs="Times New Roman"/>
          <w:sz w:val="28"/>
          <w:szCs w:val="28"/>
          <w:lang w:bidi="ar-SA"/>
        </w:rPr>
      </w:pPr>
    </w:p>
    <w:p w14:paraId="1B61E008" w14:textId="466C141C" w:rsidR="00726D21" w:rsidRPr="00726D21" w:rsidRDefault="00171CCC" w:rsidP="00726D21">
      <w:pPr>
        <w:pStyle w:val="LO-normal"/>
        <w:spacing w:after="0" w:line="240" w:lineRule="auto"/>
        <w:ind w:firstLine="567"/>
        <w:jc w:val="both"/>
        <w:rPr>
          <w:rFonts w:ascii="Times New Roman" w:hAnsi="Times New Roman" w:cs="Times New Roman"/>
          <w:b/>
          <w:bCs/>
          <w:sz w:val="28"/>
          <w:szCs w:val="28"/>
          <w:lang w:bidi="ar-SA"/>
        </w:rPr>
      </w:pPr>
      <w:r>
        <w:rPr>
          <w:rFonts w:ascii="Times New Roman" w:hAnsi="Times New Roman" w:cs="Times New Roman"/>
          <w:b/>
          <w:bCs/>
          <w:sz w:val="28"/>
          <w:szCs w:val="28"/>
          <w:lang w:bidi="ar-SA"/>
        </w:rPr>
        <w:t xml:space="preserve">3.5. </w:t>
      </w:r>
      <w:r w:rsidR="00726D21" w:rsidRPr="00726D21">
        <w:rPr>
          <w:rFonts w:ascii="Times New Roman" w:hAnsi="Times New Roman" w:cs="Times New Roman"/>
          <w:b/>
          <w:bCs/>
          <w:sz w:val="28"/>
          <w:szCs w:val="28"/>
          <w:lang w:bidi="ar-SA"/>
        </w:rPr>
        <w:t>Алгоритм персонализированного подхода</w:t>
      </w:r>
      <w:r w:rsidR="00FF535C">
        <w:rPr>
          <w:rFonts w:ascii="Times New Roman" w:hAnsi="Times New Roman" w:cs="Times New Roman"/>
          <w:b/>
          <w:bCs/>
          <w:sz w:val="28"/>
          <w:szCs w:val="28"/>
          <w:lang w:bidi="ar-SA"/>
        </w:rPr>
        <w:t xml:space="preserve"> </w:t>
      </w:r>
      <w:r w:rsidR="00726D21" w:rsidRPr="00726D21">
        <w:rPr>
          <w:rFonts w:ascii="Times New Roman" w:hAnsi="Times New Roman" w:cs="Times New Roman"/>
          <w:b/>
          <w:bCs/>
          <w:sz w:val="28"/>
          <w:szCs w:val="28"/>
          <w:lang w:bidi="ar-SA"/>
        </w:rPr>
        <w:t xml:space="preserve">для пациентов с неклапанной ФП, </w:t>
      </w:r>
      <w:r w:rsidR="00FF535C">
        <w:rPr>
          <w:rFonts w:ascii="Times New Roman" w:hAnsi="Times New Roman" w:cs="Times New Roman"/>
          <w:b/>
          <w:bCs/>
          <w:sz w:val="28"/>
          <w:szCs w:val="28"/>
          <w:lang w:bidi="ar-SA"/>
        </w:rPr>
        <w:t>принимающих</w:t>
      </w:r>
      <w:r w:rsidR="00726D21" w:rsidRPr="00726D21">
        <w:rPr>
          <w:rFonts w:ascii="Times New Roman" w:hAnsi="Times New Roman" w:cs="Times New Roman"/>
          <w:b/>
          <w:bCs/>
          <w:sz w:val="28"/>
          <w:szCs w:val="28"/>
          <w:lang w:bidi="ar-SA"/>
        </w:rPr>
        <w:t xml:space="preserve"> </w:t>
      </w:r>
      <w:r w:rsidR="00FF535C">
        <w:rPr>
          <w:rFonts w:ascii="Times New Roman" w:hAnsi="Times New Roman" w:cs="Times New Roman"/>
          <w:b/>
          <w:bCs/>
          <w:sz w:val="28"/>
          <w:szCs w:val="28"/>
          <w:lang w:bidi="ar-SA"/>
        </w:rPr>
        <w:t>прямые пероральные антикоагулянты</w:t>
      </w:r>
      <w:r w:rsidR="00726D21" w:rsidRPr="00726D21">
        <w:rPr>
          <w:rFonts w:ascii="Times New Roman" w:hAnsi="Times New Roman" w:cs="Times New Roman"/>
          <w:b/>
          <w:bCs/>
          <w:sz w:val="28"/>
          <w:szCs w:val="28"/>
          <w:lang w:bidi="ar-SA"/>
        </w:rPr>
        <w:t>.</w:t>
      </w:r>
    </w:p>
    <w:p w14:paraId="04C0633B" w14:textId="2CCF7FEB" w:rsidR="00726D21" w:rsidRDefault="00FF535C" w:rsidP="00726D21">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Учитывая результаты исследования р</w:t>
      </w:r>
      <w:r w:rsidR="00726D21">
        <w:rPr>
          <w:rFonts w:ascii="Times New Roman" w:hAnsi="Times New Roman" w:cs="Times New Roman"/>
          <w:sz w:val="28"/>
          <w:szCs w:val="28"/>
          <w:lang w:bidi="ar-SA"/>
        </w:rPr>
        <w:t>азработан алгоритм персонализированного подхода для ведения пациентов с неклапанной ФП, имеющих вероятность повторных системных эмболических и/или геморрагических осложнений на фоне приверженности к ПОАК (</w:t>
      </w:r>
      <w:r w:rsidR="00726D21" w:rsidRPr="00726D21">
        <w:rPr>
          <w:rFonts w:ascii="Times New Roman" w:hAnsi="Times New Roman" w:cs="Times New Roman"/>
          <w:color w:val="000000" w:themeColor="text1"/>
          <w:sz w:val="28"/>
          <w:szCs w:val="28"/>
          <w:lang w:bidi="ar-SA"/>
        </w:rPr>
        <w:t>рисунок 14</w:t>
      </w:r>
      <w:r w:rsidR="00726D21">
        <w:rPr>
          <w:rFonts w:ascii="Times New Roman" w:hAnsi="Times New Roman" w:cs="Times New Roman"/>
          <w:sz w:val="28"/>
          <w:szCs w:val="28"/>
          <w:lang w:bidi="ar-SA"/>
        </w:rPr>
        <w:t xml:space="preserve">). Цель данного алгоритма выявить скрытые причины неэффективности стандартной терапии и определить оптимальную тактику для каждого конкретного случая. Наш алгоритм комплексно учитывает ключевые параметры: пол, возраст, массу тела, лабораторные показатели, функциональное состояние почек и печени, концентрации ПОАК и генетические особенности метаболизма данных препаратов. </w:t>
      </w:r>
    </w:p>
    <w:p w14:paraId="63AB7BFD" w14:textId="38A4D092" w:rsidR="00726D21" w:rsidRDefault="00726D21" w:rsidP="00726D21">
      <w:pPr>
        <w:pStyle w:val="LO-normal"/>
        <w:spacing w:after="0" w:line="240" w:lineRule="auto"/>
        <w:ind w:firstLine="567"/>
        <w:jc w:val="both"/>
        <w:rPr>
          <w:rFonts w:ascii="Times New Roman" w:hAnsi="Times New Roman" w:cs="Times New Roman"/>
          <w:color w:val="000000" w:themeColor="text1"/>
          <w:sz w:val="28"/>
          <w:szCs w:val="28"/>
          <w:lang w:bidi="ar-SA"/>
        </w:rPr>
      </w:pPr>
      <w:r>
        <w:rPr>
          <w:rFonts w:ascii="Times New Roman" w:hAnsi="Times New Roman" w:cs="Times New Roman"/>
          <w:sz w:val="28"/>
          <w:szCs w:val="28"/>
          <w:lang w:bidi="ar-SA"/>
        </w:rPr>
        <w:t xml:space="preserve">Алгоритм начинается с базовой оценки пациента с неклапанной формой ФП, нуждающегося в антикоагуляции. На этом этапе обязательно рассчитываются риски по шкалам </w:t>
      </w:r>
      <w:r>
        <w:rPr>
          <w:rFonts w:ascii="Times New Roman" w:hAnsi="Times New Roman" w:cs="Times New Roman"/>
          <w:sz w:val="28"/>
          <w:szCs w:val="28"/>
          <w:lang w:val="en-US" w:bidi="ar-SA"/>
        </w:rPr>
        <w:t>CHA</w:t>
      </w:r>
      <w:r w:rsidRPr="00402B40">
        <w:rPr>
          <w:rFonts w:ascii="Times New Roman" w:hAnsi="Times New Roman" w:cs="Times New Roman"/>
          <w:sz w:val="28"/>
          <w:szCs w:val="28"/>
          <w:vertAlign w:val="subscript"/>
          <w:lang w:bidi="ar-SA"/>
        </w:rPr>
        <w:t>2</w:t>
      </w:r>
      <w:r>
        <w:rPr>
          <w:rFonts w:ascii="Times New Roman" w:hAnsi="Times New Roman" w:cs="Times New Roman"/>
          <w:sz w:val="28"/>
          <w:szCs w:val="28"/>
          <w:lang w:val="en-US" w:bidi="ar-SA"/>
        </w:rPr>
        <w:t>DS</w:t>
      </w:r>
      <w:r w:rsidRPr="00402B40">
        <w:rPr>
          <w:rFonts w:ascii="Times New Roman" w:hAnsi="Times New Roman" w:cs="Times New Roman"/>
          <w:sz w:val="28"/>
          <w:szCs w:val="28"/>
          <w:vertAlign w:val="subscript"/>
          <w:lang w:bidi="ar-SA"/>
        </w:rPr>
        <w:t>2</w:t>
      </w:r>
      <w:r w:rsidRPr="00402B40">
        <w:rPr>
          <w:rFonts w:ascii="Times New Roman" w:hAnsi="Times New Roman" w:cs="Times New Roman"/>
          <w:sz w:val="28"/>
          <w:szCs w:val="28"/>
          <w:lang w:bidi="ar-SA"/>
        </w:rPr>
        <w:t>-</w:t>
      </w:r>
      <w:r>
        <w:rPr>
          <w:rFonts w:ascii="Times New Roman" w:hAnsi="Times New Roman" w:cs="Times New Roman"/>
          <w:sz w:val="28"/>
          <w:szCs w:val="28"/>
          <w:lang w:val="en-US" w:bidi="ar-SA"/>
        </w:rPr>
        <w:t>VA</w:t>
      </w:r>
      <w:r>
        <w:rPr>
          <w:rFonts w:ascii="Times New Roman" w:hAnsi="Times New Roman" w:cs="Times New Roman"/>
          <w:sz w:val="28"/>
          <w:szCs w:val="28"/>
          <w:lang w:bidi="ar-SA"/>
        </w:rPr>
        <w:t xml:space="preserve"> и </w:t>
      </w:r>
      <w:r>
        <w:rPr>
          <w:rFonts w:ascii="Times New Roman" w:hAnsi="Times New Roman" w:cs="Times New Roman"/>
          <w:sz w:val="28"/>
          <w:szCs w:val="28"/>
          <w:lang w:val="en-US" w:bidi="ar-SA"/>
        </w:rPr>
        <w:t>HAS</w:t>
      </w:r>
      <w:r w:rsidRPr="00402B40">
        <w:rPr>
          <w:rFonts w:ascii="Times New Roman" w:hAnsi="Times New Roman" w:cs="Times New Roman"/>
          <w:sz w:val="28"/>
          <w:szCs w:val="28"/>
          <w:lang w:bidi="ar-SA"/>
        </w:rPr>
        <w:t>-</w:t>
      </w:r>
      <w:r>
        <w:rPr>
          <w:rFonts w:ascii="Times New Roman" w:hAnsi="Times New Roman" w:cs="Times New Roman"/>
          <w:sz w:val="28"/>
          <w:szCs w:val="28"/>
          <w:lang w:val="en-US" w:bidi="ar-SA"/>
        </w:rPr>
        <w:t>BLED</w:t>
      </w:r>
      <w:r>
        <w:rPr>
          <w:rFonts w:ascii="Times New Roman" w:hAnsi="Times New Roman" w:cs="Times New Roman"/>
          <w:sz w:val="28"/>
          <w:szCs w:val="28"/>
          <w:lang w:bidi="ar-SA"/>
        </w:rPr>
        <w:t>, определяется масса тела, клиренс креатинина (КК), оценивается функция печени. Следующим шагом является выбор антикоагулянта; при отсутствии противопоказаний ПОАК предпочтительны. При их назначении важен регулярный контроль функции почек. Пациентам с КК выше 60 мл/мин/1,73м</w:t>
      </w:r>
      <w:r w:rsidRPr="00402B40">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показан мониторинг креатинина, пересчет КК и переоценка рисков каждые полгода. Если КК ниже 60мл/мин/1,73м</w:t>
      </w:r>
      <w:r w:rsidRPr="00402B40">
        <w:rPr>
          <w:rFonts w:ascii="Times New Roman" w:hAnsi="Times New Roman" w:cs="Times New Roman"/>
          <w:sz w:val="28"/>
          <w:szCs w:val="28"/>
          <w:vertAlign w:val="superscript"/>
          <w:lang w:bidi="ar-SA"/>
        </w:rPr>
        <w:t>2</w:t>
      </w:r>
      <w:r>
        <w:rPr>
          <w:rFonts w:ascii="Times New Roman" w:hAnsi="Times New Roman" w:cs="Times New Roman"/>
          <w:sz w:val="28"/>
          <w:szCs w:val="28"/>
          <w:lang w:bidi="ar-SA"/>
        </w:rPr>
        <w:t xml:space="preserve">, эти параметры контролируют чаще – примерно раз в «КК/10» месяцев (например, при КК 30мл/мин – каждые 3 месяца). Обычно рутинный контроль концентрации ПОАК не требуется. Однако при развитии системной тромбоэмболии или кровотечения на фоне абсолютной приверженности к лечению ПОАК необходим углубленный анализ пациента. Сначала необходимо проверить адекватность дозы с учетом массы тела: пациенты с весом менее 50 кг или более 120 кг требуют особого внимания из-за возможных фармакокинетических сдвигов; оценить наличие и стадию хронической болезни почек или печеночной недостаточности; также провести переоценку клинических рисков, исключить модифицируемые факторы риска: неконтролируемую гипертензию, одновременный прием нестероидных противовоспалительных препаратов (НПВП) или антиагрегантов, терапию «моста» с гепарином, злоупотребление алкоголем, опасные условия труда/хобби или низкую приверженность к терапии. Необходим тщательный пересмотр всей сопутствующей терапии пациента на предмет препаратов, влияющих на </w:t>
      </w:r>
      <w:r>
        <w:rPr>
          <w:rFonts w:ascii="Times New Roman" w:hAnsi="Times New Roman" w:cs="Times New Roman"/>
          <w:sz w:val="28"/>
          <w:szCs w:val="28"/>
          <w:lang w:val="en-US" w:bidi="ar-SA"/>
        </w:rPr>
        <w:t>P</w:t>
      </w:r>
      <w:r w:rsidRPr="00402B40">
        <w:rPr>
          <w:rFonts w:ascii="Times New Roman" w:hAnsi="Times New Roman" w:cs="Times New Roman"/>
          <w:sz w:val="28"/>
          <w:szCs w:val="28"/>
          <w:lang w:bidi="ar-SA"/>
        </w:rPr>
        <w:t>-</w:t>
      </w:r>
      <w:r>
        <w:rPr>
          <w:rFonts w:ascii="Times New Roman" w:hAnsi="Times New Roman" w:cs="Times New Roman"/>
          <w:sz w:val="28"/>
          <w:szCs w:val="28"/>
          <w:lang w:val="en-US" w:bidi="ar-SA"/>
        </w:rPr>
        <w:t>gp</w:t>
      </w:r>
      <w:r>
        <w:rPr>
          <w:rFonts w:ascii="Times New Roman" w:hAnsi="Times New Roman" w:cs="Times New Roman"/>
          <w:sz w:val="28"/>
          <w:szCs w:val="28"/>
          <w:lang w:bidi="ar-SA"/>
        </w:rPr>
        <w:t>. Если все корригируемые факторы устранены, функции почек и печени стабильны, вес в норме, а осложнения рецидивируют, мы рекомендуем перейти к измерению пиковых и остаточных концентраций антикоагулянта в плазме. Стабильность терапии (разброс менее 2 сигм) позволит продолжить прием под фармакокинетическим контролем. Значительные колебания концентраций (более 2 сигм) могут указывать на возможные нарушения метаболизма или транспорта препарата, что может являться показанием для проведения фармакогенетического тестирования (</w:t>
      </w:r>
      <w:r>
        <w:rPr>
          <w:rFonts w:ascii="Times New Roman" w:hAnsi="Times New Roman" w:cs="Times New Roman"/>
          <w:sz w:val="28"/>
          <w:szCs w:val="28"/>
          <w:lang w:val="en-US" w:bidi="ar-SA"/>
        </w:rPr>
        <w:t>SNP</w:t>
      </w:r>
      <w:r w:rsidRPr="00402B40">
        <w:rPr>
          <w:rFonts w:ascii="Times New Roman" w:hAnsi="Times New Roman" w:cs="Times New Roman"/>
          <w:sz w:val="28"/>
          <w:szCs w:val="28"/>
          <w:lang w:bidi="ar-SA"/>
        </w:rPr>
        <w:t>-</w:t>
      </w:r>
      <w:r>
        <w:rPr>
          <w:rFonts w:ascii="Times New Roman" w:hAnsi="Times New Roman" w:cs="Times New Roman"/>
          <w:sz w:val="28"/>
          <w:szCs w:val="28"/>
          <w:lang w:bidi="ar-SA"/>
        </w:rPr>
        <w:t xml:space="preserve">типирования) для выявления полиморфизма в генах, влияющих на метаболизм ПОАК (например, </w:t>
      </w:r>
      <w:r>
        <w:rPr>
          <w:rFonts w:ascii="Times New Roman" w:hAnsi="Times New Roman" w:cs="Times New Roman"/>
          <w:sz w:val="28"/>
          <w:szCs w:val="28"/>
          <w:lang w:val="en-US" w:bidi="ar-SA"/>
        </w:rPr>
        <w:t>CES</w:t>
      </w:r>
      <w:r w:rsidRPr="00402B40">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ABCB</w:t>
      </w:r>
      <w:r w:rsidRPr="00402B40">
        <w:rPr>
          <w:rFonts w:ascii="Times New Roman" w:hAnsi="Times New Roman" w:cs="Times New Roman"/>
          <w:sz w:val="28"/>
          <w:szCs w:val="28"/>
          <w:lang w:bidi="ar-SA"/>
        </w:rPr>
        <w:t>1</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При отсутствии значимых генетических полиморфизмов возможно продолжение терапии под наблюдением. </w:t>
      </w:r>
      <w:r w:rsidRPr="00402B40">
        <w:rPr>
          <w:rFonts w:ascii="Times New Roman" w:hAnsi="Times New Roman" w:cs="Times New Roman"/>
          <w:color w:val="000000" w:themeColor="text1"/>
          <w:sz w:val="28"/>
          <w:szCs w:val="28"/>
          <w:lang w:bidi="ar-SA"/>
        </w:rPr>
        <w:t xml:space="preserve">Если же </w:t>
      </w:r>
      <w:r>
        <w:rPr>
          <w:rFonts w:ascii="Times New Roman" w:hAnsi="Times New Roman" w:cs="Times New Roman"/>
          <w:color w:val="000000" w:themeColor="text1"/>
          <w:sz w:val="28"/>
          <w:szCs w:val="28"/>
          <w:lang w:bidi="ar-SA"/>
        </w:rPr>
        <w:t>выявлены полиморфизмы, ассоциированные с нарушением фармакокинетики, рекомендуется сменить ПОАК или перейти на варфарин. При терапии варфарином необходим строгий контроль МНО (целевой диапазон 2,0-3,0) с поддержанием терапевтического уровня не менее чем в 70% измерений.</w:t>
      </w:r>
    </w:p>
    <w:p w14:paraId="2882E474" w14:textId="25E23CCB" w:rsidR="00726D21" w:rsidRPr="00402B40" w:rsidRDefault="00171CCC" w:rsidP="00726D21">
      <w:pPr>
        <w:pStyle w:val="LO-normal"/>
        <w:spacing w:after="0" w:line="240" w:lineRule="auto"/>
        <w:ind w:firstLine="567"/>
        <w:jc w:val="both"/>
        <w:rPr>
          <w:rFonts w:ascii="Times New Roman" w:hAnsi="Times New Roman" w:cs="Times New Roman"/>
          <w:sz w:val="28"/>
          <w:szCs w:val="28"/>
          <w:lang w:bidi="ar-SA"/>
        </w:rPr>
      </w:pPr>
      <w:r>
        <w:rPr>
          <w:rFonts w:ascii="Times New Roman" w:eastAsia="Times New Roman" w:hAnsi="Times New Roman" w:cs="Times New Roman"/>
          <w:noProof/>
          <w:sz w:val="18"/>
          <w:szCs w:val="28"/>
          <w:lang w:eastAsia="ru-RU" w:bidi="ar-SA"/>
        </w:rPr>
        <w:drawing>
          <wp:anchor distT="0" distB="0" distL="0" distR="0" simplePos="0" relativeHeight="251707392" behindDoc="0" locked="0" layoutInCell="0" allowOverlap="1" wp14:anchorId="370C02E4" wp14:editId="7A237E17">
            <wp:simplePos x="0" y="0"/>
            <wp:positionH relativeFrom="column">
              <wp:posOffset>-350222</wp:posOffset>
            </wp:positionH>
            <wp:positionV relativeFrom="paragraph">
              <wp:posOffset>261120</wp:posOffset>
            </wp:positionV>
            <wp:extent cx="6636385" cy="5492115"/>
            <wp:effectExtent l="0" t="0" r="0" b="0"/>
            <wp:wrapTopAndBottom/>
            <wp:docPr id="23" name="Shape1" descr="Изображение выглядит как текст, снимок экрана, Шрифт,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3" name="Shape1"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40"/>
                    <a:srcRect t="1310" b="3076"/>
                    <a:stretch/>
                  </pic:blipFill>
                  <pic:spPr>
                    <a:xfrm>
                      <a:off x="0" y="0"/>
                      <a:ext cx="6636385" cy="5492115"/>
                    </a:xfrm>
                    <a:prstGeom prst="rect">
                      <a:avLst/>
                    </a:prstGeom>
                    <a:ln w="0">
                      <a:noFill/>
                    </a:ln>
                  </pic:spPr>
                </pic:pic>
              </a:graphicData>
            </a:graphic>
          </wp:anchor>
        </w:drawing>
      </w:r>
    </w:p>
    <w:p w14:paraId="4F2E0C33" w14:textId="77777777" w:rsidR="00FF535C" w:rsidRDefault="00FF535C" w:rsidP="00FF535C">
      <w:pPr>
        <w:pStyle w:val="DefaultDrawingStyle"/>
        <w:rPr>
          <w:rFonts w:ascii="Times New Roman" w:eastAsia="Times New Roman" w:hAnsi="Times New Roman" w:cs="Times New Roman"/>
          <w:b/>
          <w:sz w:val="28"/>
          <w:szCs w:val="28"/>
        </w:rPr>
      </w:pPr>
      <w:r>
        <w:rPr>
          <w:rFonts w:ascii="Times New Roman" w:eastAsia="Times New Roman" w:hAnsi="Times New Roman" w:cs="Times New Roman"/>
          <w:b/>
          <w:bCs/>
          <w:sz w:val="18"/>
          <w:szCs w:val="28"/>
        </w:rPr>
        <w:t>К</w:t>
      </w:r>
      <w:r>
        <w:rPr>
          <w:rFonts w:ascii="Times New Roman" w:eastAsia="Times New Roman" w:hAnsi="Times New Roman" w:cs="Times New Roman"/>
          <w:b/>
          <w:sz w:val="18"/>
          <w:szCs w:val="28"/>
        </w:rPr>
        <w:t xml:space="preserve">К — клиренс </w:t>
      </w:r>
      <w:proofErr w:type="gramStart"/>
      <w:r>
        <w:rPr>
          <w:rFonts w:ascii="Times New Roman" w:eastAsia="Times New Roman" w:hAnsi="Times New Roman" w:cs="Times New Roman"/>
          <w:b/>
          <w:sz w:val="18"/>
          <w:szCs w:val="28"/>
        </w:rPr>
        <w:t>креатинина,  ХБП</w:t>
      </w:r>
      <w:proofErr w:type="gramEnd"/>
      <w:r>
        <w:rPr>
          <w:rFonts w:ascii="Times New Roman" w:eastAsia="Times New Roman" w:hAnsi="Times New Roman" w:cs="Times New Roman"/>
          <w:b/>
          <w:sz w:val="18"/>
          <w:szCs w:val="28"/>
        </w:rPr>
        <w:t xml:space="preserve"> — хроническая болезнь почек, ППТ — площадь поверхности тела, ПОАК — прямые оральные антикоагулянты, САД — систолическое артериальное давление, НПВС — нестероидные противовоспалительные средства, </w:t>
      </w:r>
      <w:proofErr w:type="spellStart"/>
      <w:r>
        <w:rPr>
          <w:rFonts w:ascii="Times New Roman" w:eastAsia="Times New Roman" w:hAnsi="Times New Roman" w:cs="Times New Roman"/>
          <w:b/>
          <w:sz w:val="18"/>
          <w:szCs w:val="28"/>
        </w:rPr>
        <w:t>Сmin</w:t>
      </w:r>
      <w:proofErr w:type="spellEnd"/>
      <w:r>
        <w:rPr>
          <w:rFonts w:ascii="Times New Roman" w:eastAsia="Times New Roman" w:hAnsi="Times New Roman" w:cs="Times New Roman"/>
          <w:b/>
          <w:sz w:val="18"/>
          <w:szCs w:val="28"/>
        </w:rPr>
        <w:t xml:space="preserve"> — минимальная концентрация препарата, Cmax  — максимальная концентрация препарата</w:t>
      </w:r>
    </w:p>
    <w:p w14:paraId="40830D22" w14:textId="77777777" w:rsidR="00726D21" w:rsidRDefault="00726D21" w:rsidP="00726D21">
      <w:pPr>
        <w:pStyle w:val="LO-normal"/>
        <w:spacing w:after="0" w:line="240" w:lineRule="auto"/>
        <w:ind w:firstLine="567"/>
        <w:jc w:val="both"/>
        <w:rPr>
          <w:rFonts w:ascii="Times New Roman" w:hAnsi="Times New Roman" w:cs="Times New Roman"/>
          <w:sz w:val="28"/>
          <w:szCs w:val="28"/>
          <w:lang w:bidi="ar-SA"/>
        </w:rPr>
      </w:pPr>
    </w:p>
    <w:p w14:paraId="7E9BA6C4" w14:textId="77777777" w:rsidR="00726D21" w:rsidRPr="009C40E7" w:rsidRDefault="00726D21" w:rsidP="00726D21">
      <w:pPr>
        <w:pStyle w:val="LO-normal"/>
        <w:spacing w:after="0" w:line="240" w:lineRule="auto"/>
        <w:ind w:firstLine="567"/>
        <w:jc w:val="both"/>
        <w:rPr>
          <w:rFonts w:ascii="Times New Roman" w:hAnsi="Times New Roman" w:cs="Times New Roman"/>
          <w:sz w:val="28"/>
          <w:szCs w:val="28"/>
          <w:lang w:bidi="ar-SA"/>
        </w:rPr>
      </w:pPr>
      <w:r w:rsidRPr="00FF535C">
        <w:rPr>
          <w:rFonts w:ascii="Times New Roman" w:hAnsi="Times New Roman" w:cs="Times New Roman"/>
          <w:color w:val="000000" w:themeColor="text1"/>
          <w:sz w:val="28"/>
          <w:szCs w:val="28"/>
          <w:lang w:bidi="ar-SA"/>
        </w:rPr>
        <w:t>Рисунок 14</w:t>
      </w:r>
      <w:r>
        <w:rPr>
          <w:rFonts w:ascii="Times New Roman" w:hAnsi="Times New Roman" w:cs="Times New Roman"/>
          <w:sz w:val="28"/>
          <w:szCs w:val="28"/>
          <w:lang w:bidi="ar-SA"/>
        </w:rPr>
        <w:t>. Алгоритм персонализированного подхода для ведения пациентов с неклапанной ФП, имеющих вероятность повторных системных эмболических и/или геморрагических осложнений на фоне приверженности к ПОАК.</w:t>
      </w:r>
    </w:p>
    <w:p w14:paraId="3459B01B" w14:textId="77777777" w:rsidR="00726D21" w:rsidRDefault="00726D21" w:rsidP="00726D21">
      <w:pPr>
        <w:pStyle w:val="LO-normal"/>
        <w:spacing w:after="0" w:line="240" w:lineRule="auto"/>
        <w:ind w:firstLine="567"/>
        <w:jc w:val="both"/>
        <w:rPr>
          <w:rFonts w:ascii="Times New Roman" w:hAnsi="Times New Roman" w:cs="Times New Roman"/>
          <w:sz w:val="28"/>
          <w:szCs w:val="28"/>
          <w:lang w:bidi="ar-SA"/>
        </w:rPr>
      </w:pPr>
    </w:p>
    <w:p w14:paraId="0431F149" w14:textId="3BAA0C98" w:rsidR="008E0493" w:rsidRPr="00FF535C" w:rsidRDefault="00402B40" w:rsidP="00FF535C">
      <w:pPr>
        <w:spacing w:after="160" w:line="278" w:lineRule="auto"/>
        <w:jc w:val="center"/>
        <w:textAlignment w:val="auto"/>
        <w:outlineLvl w:val="9"/>
        <w:rPr>
          <w:rFonts w:ascii="Times New Roman" w:eastAsia="Calibri" w:hAnsi="Times New Roman"/>
          <w:sz w:val="28"/>
          <w:szCs w:val="28"/>
        </w:rPr>
      </w:pPr>
      <w:r>
        <w:rPr>
          <w:rFonts w:ascii="Times New Roman" w:hAnsi="Times New Roman"/>
          <w:sz w:val="28"/>
          <w:szCs w:val="28"/>
        </w:rPr>
        <w:br w:type="page"/>
      </w:r>
      <w:r w:rsidRPr="00402B40">
        <w:rPr>
          <w:rFonts w:ascii="Times New Roman" w:hAnsi="Times New Roman"/>
          <w:b/>
          <w:bCs/>
          <w:sz w:val="28"/>
          <w:szCs w:val="28"/>
        </w:rPr>
        <w:t>ЗАКЛЮЧЕНИЕ</w:t>
      </w:r>
    </w:p>
    <w:p w14:paraId="45DB15AC" w14:textId="6B65B7CE" w:rsidR="008E0493" w:rsidRDefault="00402B40"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Снижение рисков тромбоэмболических осложнений и эффективное применение антикоагулянтной терапии у пациентов с ФП неклапанного генеза представляет собой актуальную медико-социальную проблему современного общества и здравоохранения, как в Республике Казахстан, так и в странах мирового сообщества</w:t>
      </w:r>
      <w:r w:rsidR="005D5289">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obyPH41u","properties":{"unsorted":false,"formattedCitation":"[252]","plainCitation":"[252]","noteIndex":0},"citationItems":[{"id":1820,"uris":["http://zotero.org/users/14784094/items/SWAZDWUE"],"itemData":{"id":1820,"type":"article-journal","abstract":"Введение. Фибрилляция предсердий представляет собой нарушение ритма сердца. Апиксабан - антикоагулянт прямого действия, механизм действия которого заключается в ингибировании активности фактора свертывания крови Xa. В литературе показано, что полиморфизмы генов ABCB1 являются наиболее распространенными генетическими вариантами, которые способствуют изменению пиковых и минимальных уровней лекарственных препаратов с доказанным клиническим эффектом. Цель исследования. Изучение влияния полиморфизма генов ABCB1 на концентрации апиксабана у пациентов с фибрилляцией предсердий в казахской популяции. Методы. Геномную ДНК из образцов периферической крови выделяли, используя коммерческий набор Thermo Scientific GeneJET Whole Blood Genomic DNA Purification Mini Kit (Thermo Fisher Scientific) согласно инструкции производителя. Концентрацию ДНК измеряли на спектрофотометре Nanodrop 1000. Генотипирование SNP проводили с использованием технологии TaqMan. Результаты. В данной работе не обнаружено статистически значимых различий в пиковых или минимальных концентрациях апиксабана в плазме крови с различными генотипами полиморфизмов гена ABCB1 (rs4148738, rs1045642, rs2032582, rs1128503) в казахской популяции. Выводы: Анализ влияния генетических факторов на активность ферментов, участвующих в метаболизме препарата поможет расширить возможности персонализированной медицины для индивидуализации лечения. Необходимо проведение более масштабных исследований для изучения влияния носительства полиморфизмов АВСВ1 на метаболизм апиксабана в различных этнических популяциях.\n            Introduction. Atrial fibrillation is a heart rhythm disorder. Apixaban is a direct-acting anticoagulant whose mechanism of action is to inhibit the activity of clotting factor Xa. The literature shows that polymorphisms of the ABCB1 gene are the most common genetic variants that contribute to the change in peak and trough levels of drugs with a proven clinical effect. Purpose of the study. Study of the effect of ABCB1 gene polymorphisms on apixaban concentrations in patients with atrial fibrillation in the Kazakh population. Methods. Genomic DNA was isolated from peripheral blood samples using a commercial Thermo Scientific GeneJET Whole Blood Genomic DNA Purification Mini Kit (Thermo Fisher Scientific) according to the manufacturer's instructions. DNA concentration was measured on a Nanodrop 1000 spectrophotometer. SNP genotyping was performed using TaqMan technology. Results. In this study, no statistically significant differences were found in peak or minimum concentrations of apixaban in blood plasma with different genotypes of ABCB1 gene polymorphisms (rs4148738, rs1045642, rs2032582, rs1128503) in the Kazakh population. Conclusions: Analysis of the influence of genetic factors on the activity of enzymes involved in the metabolism of the drug will help expand the possibilities of personalized medicine for individualizing treatment. It is necessary to conduct more extensive studies to study the effect of the carriage of ABCB1 polymorphisms on the metabolism of apixaban in various ethnic populations.\n            Кіріспе. Жүрекшелердің фибрилляциясы - жүрек ырғағының бұзылуы. Апиксабан тікелей әсер ететін антикоагулянт, оның әсер ету механизмі Ха ұю факторы белсенділігін тежеу болып табылады. Әдебиеттер ABCB1 гендерінің полиморфизмдері дәлелденген клиникалық әсері бар, дәрілік заттардың ең жоғары және ең төменгі деңгейлерінің өзгеруіне ықпал ететін ең көп таралған генетикалық нұсқалар болып табылатынын көрсетеді. Зерттеу мақсаты. ABCB1 гендік полиморфизмінің қазақстандық популяциядағы жүрекшелер фибрилляциясы бар науқастарда Апиксабан концентрациясына әсерін зерттеу Әдістері. Перифериялық қаннан геномдық ДНҚны бөлу өндірушінің нұсқауларына сәйкес коммерциялық Thermo Scientific GeneJET (Thermo Fisher Scientific) шағын жинағы арқылы жүзеге асты. ДНҚ концентрациясы Nanodrop 1000 спектрофотометрінде өлшенді. SNP генотипі TaqMan технологиясы арқылы орындалды. Нәтижелер. Берілген жұмыс бойынша қазақ популяциясында АВСВ1 генінің полиморфизмдері (rs4148738, rs1045642, rs2032582, rs1128503) мен қан плазмасындағы апиксабанның ең жоғары немесе ең төменгі концентрациясында статистикалық маңызды айырмашылықтар табылған жоқ. Қорытынды: Препараттың метаболизміне қатысатын ферменттердің белсенділігіне генетикалық факторлардың әсерін талдау, емдеуді жекелендіру үшін жекелендірілген медицинаның мүмкіндіктерін кеңейтуге көмектеседі. ABСВ1 полиморфизмдерін тасымалдаудың апиксабан метаболизміне әсерін зерттеу үшін әртүрлі этникалық популяцияларда ауқымды зерттеулер жүргізу қажет.","container-title":"Наука и здравоохранение","DOI":"10.34689/SH.2023.25.3.004","ISSN":"24104280","issue":"3(25)","language":"ru","page":"32-39","source":"DOI.org (Crossref)","title":"ОЦЕНКА ВЛИЯНИЯ ПОЛИМОРФИЗМА ГЕНА АВСВ1 НА ФАРМАКОКИНЕТИЧЕСКИЕ ПАРАМЕТРЫ АПИКСАБАНА В КАЗАХСКОЙ ПОПУЛЯЦИИ: EVALUATION OF THE ABСВ1 GENE POLYMORPHISMS EFFECTS ON THE АPIXABAN’S PHARMACOKINETIC PARAMETERS IN THE KAZAKH POPULATION","title-short":"ОЦЕНКА ВЛИЯНИЯ ПОЛИМОРФИЗМА ГЕНА АВСВ1 НА ФАРМАКОКИНЕТИЧЕСКИЕ ПАРАМЕТРЫ АПИКСАБАНА В КАЗАХСКОЙ ПОПУЛЯЦИИ","author":[{"family":"А.","given":"Абдрахманов"},{"family":"Е.","given":"Жолдыбаева"},{"family":"А.","given":"Шаймердинова"},{"family":"Е.","given":"Риб"},{"family":"С.","given":"Абильдинова"},{"family":"Г.","given":"Туякова"},{"family":"Ж.","given":"Сулеймен"},{"family":"М.","given":"Бекбосынова"}],"issued":{"date-parts":[["2023",6,30]]}}}],"schema":"https://github.com/citation-style-language/schema/raw/master/csl-citation.json"} </w:instrText>
      </w:r>
      <w:r w:rsidR="005D5289">
        <w:rPr>
          <w:rFonts w:ascii="Times New Roman" w:hAnsi="Times New Roman" w:cs="Times New Roman"/>
          <w:sz w:val="28"/>
          <w:szCs w:val="28"/>
          <w:lang w:bidi="ar-SA"/>
        </w:rPr>
        <w:fldChar w:fldCharType="separate"/>
      </w:r>
      <w:r w:rsidR="00AC4691">
        <w:rPr>
          <w:rFonts w:ascii="Times New Roman" w:eastAsiaTheme="minorHAnsi" w:hAnsi="Times New Roman" w:cs="Times New Roman"/>
          <w:sz w:val="28"/>
          <w:szCs w:val="24"/>
          <w:lang w:eastAsia="en-US"/>
          <w14:ligatures w14:val="standardContextual"/>
        </w:rPr>
        <w:t>[252]</w:t>
      </w:r>
      <w:r w:rsidR="005D5289">
        <w:rPr>
          <w:rFonts w:ascii="Times New Roman" w:hAnsi="Times New Roman" w:cs="Times New Roman"/>
          <w:sz w:val="28"/>
          <w:szCs w:val="28"/>
          <w:lang w:bidi="ar-SA"/>
        </w:rPr>
        <w:fldChar w:fldCharType="end"/>
      </w:r>
      <w:r>
        <w:rPr>
          <w:rFonts w:ascii="Times New Roman" w:hAnsi="Times New Roman" w:cs="Times New Roman"/>
          <w:sz w:val="28"/>
          <w:szCs w:val="28"/>
          <w:lang w:bidi="ar-SA"/>
        </w:rPr>
        <w:t xml:space="preserve">. Широкое применение ривароксабана, апиксабана, эдоксабана, дабигатрана для профилактики тромбоэмболий в кардиологии и других областях, а также их различная фармакокинетика и фармакогенетическая зависимость, требует изучения новых возможностей применения ингибиторов </w:t>
      </w:r>
      <w:proofErr w:type="gramStart"/>
      <w:r>
        <w:rPr>
          <w:rFonts w:ascii="Times New Roman" w:hAnsi="Times New Roman" w:cs="Times New Roman"/>
          <w:sz w:val="28"/>
          <w:szCs w:val="28"/>
          <w:lang w:bidi="ar-SA"/>
        </w:rPr>
        <w:t>Ха</w:t>
      </w:r>
      <w:proofErr w:type="gramEnd"/>
      <w:r>
        <w:rPr>
          <w:rFonts w:ascii="Times New Roman" w:hAnsi="Times New Roman" w:cs="Times New Roman"/>
          <w:sz w:val="28"/>
          <w:szCs w:val="28"/>
          <w:lang w:bidi="ar-SA"/>
        </w:rPr>
        <w:t xml:space="preserve"> фактора, чтобы спрогнозировать их дозировку у пациентов с высоким риском или в комбинации с другими препаратами, влияющими на их фармакокинетику.</w:t>
      </w:r>
    </w:p>
    <w:p w14:paraId="6FA5F292" w14:textId="6DEDA005" w:rsidR="00402B40" w:rsidRDefault="00402B40"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Уже известные важные генетические варианты, влияющие на фармакокинетику ривароксабана, апиксабана и эдоксабана, нуждаются в дальнейшем рассмотрении и проведении более масштабных исследований, так как отсутствие крупных исследований не дает возможность получить полную информацию о генетическом влиянии. Раскрытие механизмов генетического детерминирования чувствительности к прямым пероральным антикоагулянтам может предоставить ключи к персонализации терапии на основе специфических для пациента генетических вариантов, а также повысить эффективность и безопасность применения прямых пероральных антикоагулянтов в общей популяции, что особенно важно, если требуется длительная фармакотерапия.</w:t>
      </w:r>
    </w:p>
    <w:p w14:paraId="17F714B9" w14:textId="3900C4BC" w:rsidR="00402B40" w:rsidRDefault="00402B40"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Межрасовые и межэтнические различия в ответе на прямые пероральные антикоагулянты послужили основанием для проведения данного исследования среди казахской популяции, поскольку ранее в Казахстане подобные работы не проводились. Более того, в странах Центральной Азии, включая Казахстан, до настоящего времени отсутствуют публикации, посвящённые изучению влияния генетических полиморфизмов на фармакокинетику прямых пероральных антикоагулянтов у пациентов с неклапанной фибрилляцией предсердий. Целью нашего исследования было выявление генотипических распределений полиморфизмов, влияющих на транспорт препаратов дабигатрана/апиксабана и превращение их в активную форму у больных с неклапанной ФП, получающих антикоагулянтную терапию.</w:t>
      </w:r>
    </w:p>
    <w:p w14:paraId="66456B20" w14:textId="67101EA6" w:rsidR="00402B40" w:rsidRDefault="00402B40" w:rsidP="009C40E7">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В ходе выполнения исследования было привлечено 150 пациентов казахской национальности с подтвержденным диагнозом неклапанной фибрилляции предсердий, проходивших лечение в отделение аритмологии Национального научного кардиохирургического центра города Астана. Всем участникам исследования были проведены лабораторные и инструментальные методы обследования в соответствии с республиканскими рекомендациями по ведению пациентов с ФП. Также были определены концентрации дабигатрана и апиксабана в плазме крови. Из образцов крови выделяли ДНК, после чего выполнялось </w:t>
      </w:r>
      <w:r>
        <w:rPr>
          <w:rFonts w:ascii="Times New Roman" w:hAnsi="Times New Roman" w:cs="Times New Roman"/>
          <w:sz w:val="28"/>
          <w:szCs w:val="28"/>
          <w:lang w:val="en-US" w:bidi="ar-SA"/>
        </w:rPr>
        <w:t>SNP</w:t>
      </w:r>
      <w:r w:rsidRPr="00402B40">
        <w:rPr>
          <w:rFonts w:ascii="Times New Roman" w:hAnsi="Times New Roman" w:cs="Times New Roman"/>
          <w:sz w:val="28"/>
          <w:szCs w:val="28"/>
          <w:lang w:bidi="ar-SA"/>
        </w:rPr>
        <w:t>-</w:t>
      </w:r>
      <w:r>
        <w:rPr>
          <w:rFonts w:ascii="Times New Roman" w:hAnsi="Times New Roman" w:cs="Times New Roman"/>
          <w:sz w:val="28"/>
          <w:szCs w:val="28"/>
          <w:lang w:bidi="ar-SA"/>
        </w:rPr>
        <w:t xml:space="preserve">генотипирование. Для анализа данные были сгруппированы с учетом пола и возрастных категорий. Следовательно, мы проанализировали полиморфизмы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2032582,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1128503 </w:t>
      </w:r>
      <w:r>
        <w:rPr>
          <w:rFonts w:ascii="Times New Roman" w:hAnsi="Times New Roman" w:cs="Times New Roman"/>
          <w:sz w:val="28"/>
          <w:szCs w:val="28"/>
          <w:lang w:bidi="ar-SA"/>
        </w:rPr>
        <w:t xml:space="preserve">в генах </w:t>
      </w:r>
      <w:r>
        <w:rPr>
          <w:rFonts w:ascii="Times New Roman" w:hAnsi="Times New Roman" w:cs="Times New Roman"/>
          <w:sz w:val="28"/>
          <w:szCs w:val="28"/>
          <w:lang w:val="en-US" w:bidi="ar-SA"/>
        </w:rPr>
        <w:t>ABCB</w:t>
      </w:r>
      <w:r w:rsidRPr="00402B40">
        <w:rPr>
          <w:rFonts w:ascii="Times New Roman" w:hAnsi="Times New Roman" w:cs="Times New Roman"/>
          <w:sz w:val="28"/>
          <w:szCs w:val="28"/>
          <w:lang w:bidi="ar-SA"/>
        </w:rPr>
        <w:t xml:space="preserve">1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8192935,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2244613,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71647871 </w:t>
      </w:r>
      <w:r>
        <w:rPr>
          <w:rFonts w:ascii="Times New Roman" w:hAnsi="Times New Roman" w:cs="Times New Roman"/>
          <w:sz w:val="28"/>
          <w:szCs w:val="28"/>
          <w:lang w:val="en-US" w:bidi="ar-SA"/>
        </w:rPr>
        <w:t>CES</w:t>
      </w:r>
      <w:r w:rsidRPr="00402B40">
        <w:rPr>
          <w:rFonts w:ascii="Times New Roman" w:hAnsi="Times New Roman" w:cs="Times New Roman"/>
          <w:sz w:val="28"/>
          <w:szCs w:val="28"/>
          <w:lang w:bidi="ar-SA"/>
        </w:rPr>
        <w:t xml:space="preserve">1, </w:t>
      </w:r>
      <w:r>
        <w:rPr>
          <w:rFonts w:ascii="Times New Roman" w:hAnsi="Times New Roman" w:cs="Times New Roman"/>
          <w:sz w:val="28"/>
          <w:szCs w:val="28"/>
          <w:lang w:bidi="ar-SA"/>
        </w:rPr>
        <w:t>которые были исследованы ранее в различных популяциях при лечении дабигатраном/апиксабаном</w:t>
      </w:r>
      <w:r>
        <w:rPr>
          <w:rFonts w:ascii="Times New Roman" w:hAnsi="Times New Roman" w:cs="Times New Roman"/>
          <w:sz w:val="28"/>
          <w:szCs w:val="28"/>
          <w:lang w:bidi="ar-SA"/>
        </w:rPr>
        <w:fldChar w:fldCharType="begin"/>
      </w:r>
      <w:r w:rsidR="00AC4691">
        <w:rPr>
          <w:rFonts w:ascii="Times New Roman" w:hAnsi="Times New Roman" w:cs="Times New Roman"/>
          <w:sz w:val="28"/>
          <w:szCs w:val="28"/>
          <w:lang w:bidi="ar-SA"/>
        </w:rPr>
        <w:instrText xml:space="preserve"> ADDIN ZOTERO_ITEM CSL_CITATION {"citationID":"4VrQ61Lk","properties":{"unsorted":false,"formattedCitation":"\\super 18,127,143,200,209\\nosupersub{}","plainCitation":"18,127,143,200,209","dontUpdate":true,"noteIndex":0},"citationItems":[{"id":740,"uris":["http://zotero.org/users/14784094/items/L23HNCYG"],"itemData":{"id":740,"type":"article-journal","abstract":"Introduction: Dabigatran etexilate is given in ﬁxed doses without coagulation monitoring for the prevention of blood clots in at risk adults. A high inter-individual variability in blood concentrations of the active metabolite of dabigatran has been reported. ABCB1 and CES1 exert an important effect in the metabolism of dabigatran etexilate and allele variants at these two loci are likely to play a pivotal role.","container-title":"Thrombosis Research","DOI":"10.1016/j.thromres.2016.05.025","ISSN":"00493848","journalAbbreviation":"Thrombosis Research","language":"en","page":"1-5","source":"DOI.org (Crossref)","title":"Pharmacogenetics of dabigatran etexilate interindividual variability","volume":"144","author":[{"family":"Dimatteo","given":"Claudia"},{"family":"D'Andrea","given":"Giovanna"},{"family":"Vecchione","given":"Gennaro"},{"family":"Paoletti","given":"Oriana"},{"family":"Cappucci","given":"Filomena"},{"family":"Tiscia","given":"Giovanni Luca"},{"family":"Buono","given":"Matteo"},{"family":"Grandone","given":"Elvira"},{"family":"Testa","given":"Sophie"},{"family":"Margaglione","given":"Maurizio"}],"issued":{"date-parts":[["2016",8]]}}},{"id":742,"uris":["http://zotero.org/users/14784094/items/7Y68CG3G"],"itemData":{"id":742,"type":"article-journal","abstract":"Introduction: Difficulties in non-vitamin K anticoagulant (NOAC) administration in acute stroke can be associated with changes in pharmacokinetic parameters of NOAC such as biotransformation, distribution, and excretion. Therefore, obtaining data on pharmacokinetics of NOAC and factors that affect it may help develop algorithms for personalized use of this drug class in patients with acute cardioembolic stroke. Patients and methods: Pharmacokinetics of apixaban in patients with acute stroke was studied earlier by Kryukov et al. The present study enrolled 17 patients with cardioembolic stroke, who received 5 mg of apixaban. In order to evaluate the pharmacokinetic parameters of apixaban, venous blood samples were collected before taking 5 mg of apixaban (point 0) and 1, 2, 3, 4, 10, and 12 hours after drug intake. Blood samples were centrifuged at 3000 rpm for 15 minutes. Separate plasma was aliquoted in Eppendorf tubes and frozen at -70°C until analysis. High-performance liquid chromatography mass spectrometry analysis was used to determine apixaban plasma concentration. Genotyping was performed by real-time polymerase chain reaction. CYP3A isoenzyme group activity was evaluated by determining urinary concentration of endogenous substrate of the enzyme and its metabolite (6-β-hydroxycortisol to cortisol ratio). Statistical analysis was performed using SPSS Statistics version 20.0. The protocol of this study was reviewed and approved by the ethics committee; patients or their representatives signed an informed consent.\nResults: ABCB1 (rs1045642 and rs4148738) gene polymorphisms do not affect the pharmacokinetics of apixaban as well as CYP3A5 (rs776746) gene polymorphisms. Apixaban pharmacokinetics in groups with different genotypes did not differ statistically significantly. Correlation analysis showed no statistically significant relationship between pharmacokinetic parameters of apixaban and the metabolic activity of CYP3A.\nConclusion: Questions such as depending on genotyping results for apixaban dosing and implementation of express genotyping in clinical practice remain open for NOACs. Large population studies are required to clarify the clinical significance of genotyping for this drug class.","container-title":"Pharmacogenomics and Personalized Medicine","DOI":"10.2147/PGPM.S157111","ISSN":"1178-7066","journalAbbreviation":"PGPM","language":"en","license":"http://creativecommons.org/licenses/by-nc/3.0/","page":"43-49","source":"DOI.org (Crossref)","title":"Influence of ABCB1 and CYP3A5 gene polymorphisms on pharmacokinetics of apixaban in patients with atrial fibrillation and acute stroke","volume":"Volume 11","author":[{"family":"Kryukov","given":"Alexander Valerevich"},{"family":"Sychev","given":"Dmitry Alekseevich"},{"family":"Andreev","given":"Denis Anatolevich"},{"family":"Ryzhikova","given":"Kristina Anatolievna"},{"family":"Grishina","given":"Elena Anatolievna"},{"family":"Ryabova","given":"Anastasia Vladislavovna"},{"family":"Loskutnikov","given":"Mark Alekseevich"},{"family":"Smirnov","given":"Valeriy Valerevich"},{"family":"Konova","given":"Olga Dmitrievna"},{"family":"Matsneva","given":"Irina Andreevna"},{"family":"Bochkov","given":"Pavel Olegovich"}],"issued":{"date-parts":[["2018",3]]}}},{"id":698,"uris":["http://zotero.org/users/14784094/items/ELLID4F5"],"itemData":{"id":698,"type":"article-journal","abstract":"METHODS Data were collected from 81 Japanese patients with atrial ﬁbrillation. Pharmacogenomic data were stratiﬁed by ABCB1, ABCG2 and CYP3A5 polymorphisms. The pharmacokinetic proﬁle of apixaban was described by a one-compartment model with ﬁrst-order absorption. Population pharmacokinetic analysis was conducted using a nonlinear mixed effect modelling (NONMEM™) program.\nRESULTS The nonlinear relationship between oral clearance (CL/F) of apixaban and creatinine clearance (Ccr) was observed. The population mean of CL/F for a typical patient (Ccr value of 70 ml minÀ1) with the CYP3A5*1/*1 and ABCG2 421C/C or C/A genotypes was estimated to be 3.06 l hÀ1. When Ccr values were set to the typical value, the population mean of CL/F was 1.52 times higher in patients with the CYP3A5*1/*1 genotype compared with patients with the CYP3A5*1/*3 or *3/*3 genotype, while the population mean of CL/F was 1.49 times higher in patients with the ABCG2 421C/C or C/A genotype compared with patients with the ABCG2 421A/A genotype. However, no covariates affected the population mean of the apparent volume of distribution (Vd/F) of apixaban. The population mean of Vd/F was estimated to be 24.7 l.\nCONCLUSION The present study suggests that the ABCG2 421A/A and CYP3A5*3 genotypes and renal function are intrinsic factors affecting apixaban pharmacokinetics. These ﬁndings may provide useful information for precision medicine using apixaban, to avoid the risk of adverse reactions.","container-title":"British Journal of Clinical Pharmacology","DOI":"10.1111/bcp.13561","ISSN":"0306-5251, 1365-2125","issue":"6","journalAbbreviation":"Brit J Clinical Pharma","language":"en","license":"http://onlinelibrary.wiley.com/termsAndConditions#vor","page":"1301-1312","source":"DOI.org (Crossref)","title":"Population pharmacokinetics and pharmacogenomics of apixaban in Japanese adult patients with atrial fibrillation","volume":"84","author":[{"family":"Ueshima","given":"Satoshi"},{"family":"Hira","given":"Daiki"},{"family":"Kimura","given":"Yuuma"},{"family":"Fujii","given":"Ryo"},{"family":"Tomitsuka","given":"Chiho"},{"family":"Yamane","given":"Takuya"},{"family":"Tabuchi","given":"Yohei"},{"family":"Ozawa","given":"Tomoya"},{"family":"Itoh","given":"Hideki"},{"family":"Ohno","given":"Seiko"},{"family":"Horie","given":"Minoru"},{"family":"Terada","given":"Tomohiro"},{"family":"Katsura","given":"Toshiya"}],"issued":{"date-parts":[["2018",6]]}}},{"id":60,"uris":["http://zotero.org/users/14784094/items/PUXWU9EF"],"itemData":{"id":60,"type":"article-journal","abstract":"BACKGROUND: Non-vitamin K oral anticoagulants (NOACs) are commonly used for prophylaxis of venous thromboembolism (VTE) in orthopedic patients. Despite known safety and high potency of NOACs, potential interactions of NOACs with genetic polymorphisms are poorly understood. Dabigatran etexilate is one of the most commonly prescribed direct thrombin inhibitors for the prevention of VTE. The objectives of this study were to assess the effect of ABCB1 (rs1045642 and rs4148738) and CES1 (rs2244613) polymorphisms on dabigatran pharmacokinetics in patients after total knee arthroplasty.\nPATIENTS AND METHODS: A total of 60 patients, aged 37-81 years, who underwent surgery for knee replacement have been included in the study. VTE prophylaxis was conducted via administration of dabigatran etexilate 220 mg once daily. Genotyping for carrier state of polymorphic variants such as rs1045642 and rs4148738 of the ABCB1 gene and rs2244613 of the CES1 gene was carried out using real-time polymerase chain reaction (PCR). We also measured the peak and trough concentrations of plasma dabigatran by using high-performance liquid chromatography (HPLC).\nRESULTS: Our study revealed that TT genotype of rs1045642 polymorphism of the ABCB1 gene was associated with higher dabigatran equilibrium peak concentrations and the higher risk of bleeding than the presence of CC genotype (p&lt;0.008). There was no statistically significant genotype-dependent difference in the trough concentrations between rs1045642 and rs4148738 of the ABCB1 gene and rs2244613 of the CES1 gene.\nCONCLUSION: Our findings indicate that the polymorphisms of ABCB1 rs1045642 may have a prominent contribution to the safety of dabigatran in patients after knee surgery. Moreover, TT genotype may be associated with the higher risk of hemorrhagic complications in this population. There were no influence of polymorphism of ABCB1 rs4148738 and CES1 rs2244613 on dabigatran peak and through concentrations. Larger studies are needed to confirm our observations.","container-title":"Pharmacogenomics and Personalized Medicine","DOI":"10.2147/PGPM.S169277","ISSN":"1178-7066","journalAbbreviation":"Pharmgenomics Pers Med","language":"eng","page":"127-137","PMID":"30100750","PMCID":"PMC6064159","source":"PubMed","title":"The impact of ABCB1 (rs1045642 and rs4148738) and CES1 (rs2244613) gene polymorphisms on dabigatran equilibrium peak concentration in patients after total knee arthroplasty","volume":"11","author":[{"family":"Sychev","given":"Dmitriy Alekseevich"},{"family":"Levanov","given":"Alexander Nikolaevich"},{"family":"Shelekhova","given":"Tatiana Vladimirovna"},{"family":"Bochkov","given":"Pavel Olegovich"},{"family":"Denisenko","given":"Natalia Pavlovna"},{"family":"Ryzhikova","given":"Kristina Anatolyevna"},{"family":"Mirzaev","given":"Karin Badavievich"},{"family":"Grishina","given":"Elena Anatolyevna"},{"family":"Gavrilov","given":"Mikhail Alekseevich"},{"family":"Ramenskaya","given":"Galina Vladislavovna"},{"family":"Kozlov","given":"Aleksei Vladimirovich"},{"family":"Bogoslovsky","given":"Tanya"}],"issued":{"date-parts":[["2018"]]}}},{"id":568,"uris":["http://zotero.org/users/14784094/items/V3FY7AAI"],"itemData":{"id":568,"type":"article-journal","abstract":"The oral anticoagulant prodrug dabigatran etexilate (DABE) is sequentially metabolized by intestinal carboxylesterase 2 (CES2) and hepatic carboxylesterase 1 (CES1) to form its active metabolite dabigatran (DAB). A recent genome-wide association study reported that the CES1 single nucleotide polymorphisms (SNPs) rs2244613 and rs8192935 were associated with lower DAB plasma concentrations in the Randomized Evaluation of Long-term Anticoagulation Therapy (RE-LY) study participants. In addition, gender differences in exposure to DAB were observed in clinical studies. The aim of this study was to examine the effect of CES1 genetic polymorphisms and gender on DABE activation using several in vitro approaches. The genotypes of the CES1 SNPs rs2244613, rs8192935, and the known loss-of-function CES1 variant rs71647871 (G143E), and the activation of DABE and its intermediate metabolites M1 and M2 were determined in 104 normal human liver samples. DABE, M1, and M2 activations were found to be impaired in human livers carrying the G143E variant. However, neither rs2244613 nor rs8192935 was associated with the activation in human livers. The incubation study of DABE with supernatant fractions (S9) prepared from the G143E-transfected cells showed that the G143E is a loss-of-function variant for DABE metabolism. Moreover, hepatic CES1 activity on M2 activation was significantly higher in female liver samples than male. Our data suggest that CES1 genetic variants and gender are important contributing factors to variability in DABE activation in humans. A personalized DABE treatment approach based on patient-specific CES1 genotypes and sex may have the potential to improve the efficacy and safety of DABE pharmacotherapy.,","container-title":"Biochemical pharmacology","DOI":"10.1016/j.bcp.2016.09.003","ISSN":"0006-2952","journalAbbreviation":"Biochem Pharmacol","page":"76-84","PMID":"27614009","PMCID":"PMC5061634","source":"PubMed Central","title":"Dabigatran Etexilate Activation is Affected by the CES1 Genetic Polymorphism G143E (rs71647871) and Gender","volume":"119","author":[{"family":"Shi","given":"Jian"},{"family":"Wang","given":"Xinwen"},{"family":"Nguyen","given":"Jenny"},{"family":"Bleske","given":"Barry E."},{"family":"Liang","given":"Yan"},{"family":"Liu","given":"Li"},{"family":"Zhu","given":"Hao-Jie"}],"issued":{"date-parts":[["2016",11,1]]}}}],"schema":"https://github.com/citation-style-language/schema/raw/master/csl-citation.json"} </w:instrText>
      </w:r>
      <w:r>
        <w:rPr>
          <w:rFonts w:ascii="Times New Roman" w:hAnsi="Times New Roman" w:cs="Times New Roman"/>
          <w:sz w:val="28"/>
          <w:szCs w:val="28"/>
          <w:lang w:bidi="ar-SA"/>
        </w:rPr>
        <w:fldChar w:fldCharType="separate"/>
      </w:r>
      <w:r w:rsidR="00065623">
        <w:rPr>
          <w:rFonts w:ascii="Times New Roman" w:eastAsiaTheme="minorHAnsi" w:hAnsi="Times New Roman" w:cs="Times New Roman"/>
          <w:sz w:val="28"/>
          <w:szCs w:val="24"/>
          <w:lang w:eastAsia="en-US"/>
          <w14:ligatures w14:val="standardContextual"/>
        </w:rPr>
        <w:t>[58, 113, 184, 201, 215]</w:t>
      </w:r>
      <w:r>
        <w:rPr>
          <w:rFonts w:ascii="Times New Roman" w:hAnsi="Times New Roman" w:cs="Times New Roman"/>
          <w:sz w:val="28"/>
          <w:szCs w:val="28"/>
          <w:lang w:bidi="ar-SA"/>
        </w:rPr>
        <w:fldChar w:fldCharType="end"/>
      </w:r>
      <w:r w:rsidRPr="00926EC0">
        <w:rPr>
          <w:rFonts w:ascii="Times New Roman" w:hAnsi="Times New Roman" w:cs="Times New Roman"/>
          <w:sz w:val="28"/>
          <w:szCs w:val="28"/>
          <w:lang w:bidi="ar-SA"/>
        </w:rPr>
        <w:t xml:space="preserve">. </w:t>
      </w:r>
      <w:r>
        <w:rPr>
          <w:rFonts w:ascii="Times New Roman" w:hAnsi="Times New Roman" w:cs="Times New Roman"/>
          <w:sz w:val="28"/>
          <w:szCs w:val="28"/>
          <w:lang w:bidi="ar-SA"/>
        </w:rPr>
        <w:t>Эти полиморфизмы ранее не исследовались в казахской популяции.</w:t>
      </w:r>
    </w:p>
    <w:p w14:paraId="78B8CFF5" w14:textId="7E408523" w:rsidR="00402B40" w:rsidRDefault="00402B40" w:rsidP="00402B40">
      <w:pPr>
        <w:pStyle w:val="LO-normal"/>
        <w:spacing w:after="0" w:line="240" w:lineRule="auto"/>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Таким образом, проведенное нами исследование позволило сделать следующие </w:t>
      </w:r>
      <w:r w:rsidRPr="00402B40">
        <w:rPr>
          <w:rFonts w:ascii="Times New Roman" w:hAnsi="Times New Roman" w:cs="Times New Roman"/>
          <w:b/>
          <w:bCs/>
          <w:sz w:val="28"/>
          <w:szCs w:val="28"/>
          <w:lang w:bidi="ar-SA"/>
        </w:rPr>
        <w:t>выводы</w:t>
      </w:r>
      <w:r>
        <w:rPr>
          <w:rFonts w:ascii="Times New Roman" w:hAnsi="Times New Roman" w:cs="Times New Roman"/>
          <w:sz w:val="28"/>
          <w:szCs w:val="28"/>
          <w:lang w:bidi="ar-SA"/>
        </w:rPr>
        <w:t>:</w:t>
      </w:r>
    </w:p>
    <w:p w14:paraId="01A7D2B6" w14:textId="7EF8CFFC" w:rsidR="00402B40" w:rsidRDefault="00402B40" w:rsidP="00402B40">
      <w:pPr>
        <w:pStyle w:val="LO-normal"/>
        <w:numPr>
          <w:ilvl w:val="0"/>
          <w:numId w:val="22"/>
        </w:numPr>
        <w:spacing w:after="0" w:line="240" w:lineRule="auto"/>
        <w:ind w:left="0" w:firstLine="36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Частотное распределение аллелей </w:t>
      </w:r>
      <w:r>
        <w:rPr>
          <w:rFonts w:ascii="Times New Roman" w:hAnsi="Times New Roman" w:cs="Times New Roman"/>
          <w:sz w:val="28"/>
          <w:szCs w:val="28"/>
          <w:lang w:val="en-US" w:bidi="ar-SA"/>
        </w:rPr>
        <w:t>SNP</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CES</w:t>
      </w:r>
      <w:r w:rsidRPr="00402B40">
        <w:rPr>
          <w:rFonts w:ascii="Times New Roman" w:hAnsi="Times New Roman" w:cs="Times New Roman"/>
          <w:sz w:val="28"/>
          <w:szCs w:val="28"/>
          <w:lang w:bidi="ar-SA"/>
        </w:rPr>
        <w:t xml:space="preserve">1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8192935 (</w:t>
      </w:r>
      <w:proofErr w:type="gramStart"/>
      <w:r>
        <w:rPr>
          <w:rFonts w:ascii="Times New Roman" w:hAnsi="Times New Roman" w:cs="Times New Roman"/>
          <w:sz w:val="28"/>
          <w:szCs w:val="28"/>
          <w:lang w:val="en-US" w:bidi="ar-SA"/>
        </w:rPr>
        <w:t>A</w:t>
      </w:r>
      <w:r w:rsidRPr="00402B40">
        <w:rPr>
          <w:rFonts w:ascii="Times New Roman" w:hAnsi="Times New Roman" w:cs="Times New Roman"/>
          <w:sz w:val="28"/>
          <w:szCs w:val="28"/>
          <w:lang w:bidi="ar-SA"/>
        </w:rPr>
        <w:t>:</w:t>
      </w:r>
      <w:r>
        <w:rPr>
          <w:rFonts w:ascii="Times New Roman" w:hAnsi="Times New Roman" w:cs="Times New Roman"/>
          <w:sz w:val="28"/>
          <w:szCs w:val="28"/>
          <w:lang w:val="en-US" w:bidi="ar-SA"/>
        </w:rPr>
        <w:t>G</w:t>
      </w:r>
      <w:proofErr w:type="gramEnd"/>
      <w:r w:rsidRPr="00402B40">
        <w:rPr>
          <w:rFonts w:ascii="Times New Roman" w:hAnsi="Times New Roman" w:cs="Times New Roman"/>
          <w:sz w:val="28"/>
          <w:szCs w:val="28"/>
          <w:lang w:bidi="ar-SA"/>
        </w:rPr>
        <w:t xml:space="preserve">=0,62:0,38) </w:t>
      </w:r>
      <w:r>
        <w:rPr>
          <w:rFonts w:ascii="Times New Roman" w:hAnsi="Times New Roman" w:cs="Times New Roman"/>
          <w:sz w:val="28"/>
          <w:szCs w:val="28"/>
          <w:lang w:bidi="ar-SA"/>
        </w:rPr>
        <w:t xml:space="preserve">и АВСВ1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4148738 (</w:t>
      </w:r>
      <w:r>
        <w:rPr>
          <w:rFonts w:ascii="Times New Roman" w:hAnsi="Times New Roman" w:cs="Times New Roman"/>
          <w:sz w:val="28"/>
          <w:szCs w:val="28"/>
          <w:lang w:val="en-US" w:bidi="ar-SA"/>
        </w:rPr>
        <w:t>C</w:t>
      </w:r>
      <w:r w:rsidRPr="00402B40">
        <w:rPr>
          <w:rFonts w:ascii="Times New Roman" w:hAnsi="Times New Roman" w:cs="Times New Roman"/>
          <w:sz w:val="28"/>
          <w:szCs w:val="28"/>
          <w:lang w:bidi="ar-SA"/>
        </w:rPr>
        <w:t>:</w:t>
      </w:r>
      <w:r>
        <w:rPr>
          <w:rFonts w:ascii="Times New Roman" w:hAnsi="Times New Roman" w:cs="Times New Roman"/>
          <w:sz w:val="28"/>
          <w:szCs w:val="28"/>
          <w:lang w:val="en-US" w:bidi="ar-SA"/>
        </w:rPr>
        <w:t>T</w:t>
      </w:r>
      <w:r w:rsidRPr="00402B40">
        <w:rPr>
          <w:rFonts w:ascii="Times New Roman" w:hAnsi="Times New Roman" w:cs="Times New Roman"/>
          <w:sz w:val="28"/>
          <w:szCs w:val="28"/>
          <w:lang w:bidi="ar-SA"/>
        </w:rPr>
        <w:t xml:space="preserve">=0,43:0,57) </w:t>
      </w:r>
      <w:r>
        <w:rPr>
          <w:rFonts w:ascii="Times New Roman" w:hAnsi="Times New Roman" w:cs="Times New Roman"/>
          <w:sz w:val="28"/>
          <w:szCs w:val="28"/>
          <w:lang w:bidi="ar-SA"/>
        </w:rPr>
        <w:t>в казахстанской выборке в значительной степени соответствует показателям, характерным для азиатских (С</w:t>
      </w:r>
      <w:r w:rsidRPr="00402B40">
        <w:rPr>
          <w:rFonts w:ascii="Times New Roman" w:hAnsi="Times New Roman" w:cs="Times New Roman"/>
          <w:sz w:val="28"/>
          <w:szCs w:val="28"/>
          <w:lang w:bidi="ar-SA"/>
        </w:rPr>
        <w:t>:</w:t>
      </w:r>
      <w:r>
        <w:rPr>
          <w:rFonts w:ascii="Times New Roman" w:hAnsi="Times New Roman" w:cs="Times New Roman"/>
          <w:sz w:val="28"/>
          <w:szCs w:val="28"/>
          <w:lang w:val="en-US" w:bidi="ar-SA"/>
        </w:rPr>
        <w:t>T</w:t>
      </w:r>
      <w:r w:rsidRPr="00402B40">
        <w:rPr>
          <w:rFonts w:ascii="Times New Roman" w:hAnsi="Times New Roman" w:cs="Times New Roman"/>
          <w:sz w:val="28"/>
          <w:szCs w:val="28"/>
          <w:lang w:bidi="ar-SA"/>
        </w:rPr>
        <w:t xml:space="preserve">=0,43:0,57; </w:t>
      </w:r>
      <w:r>
        <w:rPr>
          <w:rFonts w:ascii="Times New Roman" w:hAnsi="Times New Roman" w:cs="Times New Roman"/>
          <w:sz w:val="28"/>
          <w:szCs w:val="28"/>
          <w:lang w:val="en-US" w:bidi="ar-SA"/>
        </w:rPr>
        <w:t>A</w:t>
      </w:r>
      <w:r w:rsidRPr="00402B40">
        <w:rPr>
          <w:rFonts w:ascii="Times New Roman" w:hAnsi="Times New Roman" w:cs="Times New Roman"/>
          <w:sz w:val="28"/>
          <w:szCs w:val="28"/>
          <w:lang w:bidi="ar-SA"/>
        </w:rPr>
        <w:t>:</w:t>
      </w:r>
      <w:r>
        <w:rPr>
          <w:rFonts w:ascii="Times New Roman" w:hAnsi="Times New Roman" w:cs="Times New Roman"/>
          <w:sz w:val="28"/>
          <w:szCs w:val="28"/>
          <w:lang w:val="en-US" w:bidi="ar-SA"/>
        </w:rPr>
        <w:t>G</w:t>
      </w:r>
      <w:r w:rsidRPr="00402B40">
        <w:rPr>
          <w:rFonts w:ascii="Times New Roman" w:hAnsi="Times New Roman" w:cs="Times New Roman"/>
          <w:sz w:val="28"/>
          <w:szCs w:val="28"/>
          <w:lang w:bidi="ar-SA"/>
        </w:rPr>
        <w:t>=0,63:0,37</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популяций. При этом, статистически значимых различий в распределении аллелей и генотипов между мужчинами и женщинами выявлено не было. </w:t>
      </w:r>
    </w:p>
    <w:p w14:paraId="56F0E9FC" w14:textId="0D1AF119" w:rsidR="00402B40" w:rsidRDefault="00402B40" w:rsidP="00402B40">
      <w:pPr>
        <w:pStyle w:val="LO-normal"/>
        <w:numPr>
          <w:ilvl w:val="0"/>
          <w:numId w:val="22"/>
        </w:numPr>
        <w:spacing w:after="0" w:line="240" w:lineRule="auto"/>
        <w:ind w:left="0" w:firstLine="36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Индивидуальная вариабельность концентраций дабигатрана этексилата и апиксабана не выходила за пределы стандартного отклонения, описанного в мировых мета-анализах; у женщин зарегистрированы статистически значимо более высокие значения </w:t>
      </w:r>
      <w:r>
        <w:rPr>
          <w:rFonts w:ascii="Times New Roman" w:hAnsi="Times New Roman" w:cs="Times New Roman"/>
          <w:sz w:val="28"/>
          <w:szCs w:val="28"/>
          <w:lang w:val="en-US" w:bidi="ar-SA"/>
        </w:rPr>
        <w:t>C</w:t>
      </w:r>
      <w:r w:rsidRPr="00402B40">
        <w:rPr>
          <w:rFonts w:ascii="Times New Roman" w:hAnsi="Times New Roman" w:cs="Times New Roman"/>
          <w:sz w:val="28"/>
          <w:szCs w:val="28"/>
          <w:vertAlign w:val="subscript"/>
          <w:lang w:val="en-US" w:bidi="ar-SA"/>
        </w:rPr>
        <w:t>max</w:t>
      </w:r>
      <w:r w:rsidRPr="00402B40">
        <w:rPr>
          <w:rFonts w:ascii="Times New Roman" w:hAnsi="Times New Roman" w:cs="Times New Roman"/>
          <w:sz w:val="28"/>
          <w:szCs w:val="28"/>
          <w:lang w:bidi="ar-SA"/>
        </w:rPr>
        <w:t xml:space="preserve"> (+32,8%)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C</w:t>
      </w:r>
      <w:r w:rsidRPr="00402B40">
        <w:rPr>
          <w:rFonts w:ascii="Times New Roman" w:hAnsi="Times New Roman" w:cs="Times New Roman"/>
          <w:sz w:val="28"/>
          <w:szCs w:val="28"/>
          <w:vertAlign w:val="subscript"/>
          <w:lang w:val="en-US" w:bidi="ar-SA"/>
        </w:rPr>
        <w:t>min</w:t>
      </w:r>
      <w:r w:rsidRPr="00402B40">
        <w:rPr>
          <w:rFonts w:ascii="Times New Roman" w:hAnsi="Times New Roman" w:cs="Times New Roman"/>
          <w:sz w:val="28"/>
          <w:szCs w:val="28"/>
          <w:lang w:bidi="ar-SA"/>
        </w:rPr>
        <w:t xml:space="preserve"> (+29,2%) </w:t>
      </w:r>
      <w:r>
        <w:rPr>
          <w:rFonts w:ascii="Times New Roman" w:hAnsi="Times New Roman" w:cs="Times New Roman"/>
          <w:sz w:val="28"/>
          <w:szCs w:val="28"/>
          <w:lang w:bidi="ar-SA"/>
        </w:rPr>
        <w:t>дабигатрана по сравнению с мужчинами (</w:t>
      </w:r>
      <w:r>
        <w:rPr>
          <w:rFonts w:ascii="Times New Roman" w:hAnsi="Times New Roman" w:cs="Times New Roman"/>
          <w:sz w:val="28"/>
          <w:szCs w:val="28"/>
          <w:lang w:val="en-US" w:bidi="ar-SA"/>
        </w:rPr>
        <w:t>p</w:t>
      </w:r>
      <w:r w:rsidRPr="00402B40">
        <w:rPr>
          <w:rFonts w:ascii="Times New Roman" w:hAnsi="Times New Roman" w:cs="Times New Roman"/>
          <w:sz w:val="28"/>
          <w:szCs w:val="28"/>
          <w:lang w:bidi="ar-SA"/>
        </w:rPr>
        <w:t>&lt;0,01</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а также минимальная концентрация апиксабана у женщин была достоверно выше на 23% чем у мужчин (р=0,01). У пациентов старше 65 лет минимальная концентрация дабигатрана превышала аналогичный показатель у пациентов младше 65 лет на 11,2% (р=0.05), в то время как при приеме апиксабана у пациентов </w:t>
      </w:r>
      <w:r>
        <w:rPr>
          <w:rFonts w:ascii="Times New Roman" w:hAnsi="Times New Roman" w:cs="Times New Roman"/>
          <w:sz w:val="28"/>
          <w:szCs w:val="28"/>
          <w:lang w:bidi="ar-SA"/>
        </w:rPr>
        <w:sym w:font="Symbol" w:char="F0B3"/>
      </w:r>
      <w:r>
        <w:rPr>
          <w:rFonts w:ascii="Times New Roman" w:hAnsi="Times New Roman" w:cs="Times New Roman"/>
          <w:sz w:val="28"/>
          <w:szCs w:val="28"/>
          <w:lang w:bidi="ar-SA"/>
        </w:rPr>
        <w:t xml:space="preserve">65 лет пиковая и минимальная концентрации апиксабана были статистически значимо выше на 15,6% и 23,3% соответственно по сравнению с пациентами </w:t>
      </w:r>
      <w:r w:rsidRPr="00402B40">
        <w:rPr>
          <w:rFonts w:ascii="Times New Roman" w:hAnsi="Times New Roman" w:cs="Times New Roman"/>
          <w:sz w:val="28"/>
          <w:szCs w:val="28"/>
          <w:lang w:bidi="ar-SA"/>
        </w:rPr>
        <w:t>&lt;65</w:t>
      </w:r>
      <w:r>
        <w:rPr>
          <w:rFonts w:ascii="Times New Roman" w:hAnsi="Times New Roman" w:cs="Times New Roman"/>
          <w:sz w:val="28"/>
          <w:szCs w:val="28"/>
          <w:lang w:bidi="ar-SA"/>
        </w:rPr>
        <w:t>лет (</w:t>
      </w:r>
      <w:r>
        <w:rPr>
          <w:rFonts w:ascii="Times New Roman" w:hAnsi="Times New Roman" w:cs="Times New Roman"/>
          <w:sz w:val="28"/>
          <w:szCs w:val="28"/>
          <w:lang w:val="en-US" w:bidi="ar-SA"/>
        </w:rPr>
        <w:t>p</w:t>
      </w:r>
      <w:r w:rsidRPr="00402B40">
        <w:rPr>
          <w:rFonts w:ascii="Times New Roman" w:hAnsi="Times New Roman" w:cs="Times New Roman"/>
          <w:sz w:val="28"/>
          <w:szCs w:val="28"/>
          <w:lang w:bidi="ar-SA"/>
        </w:rPr>
        <w:t>&lt;</w:t>
      </w:r>
      <w:r>
        <w:rPr>
          <w:rFonts w:ascii="Times New Roman" w:hAnsi="Times New Roman" w:cs="Times New Roman"/>
          <w:sz w:val="28"/>
          <w:szCs w:val="28"/>
          <w:lang w:bidi="ar-SA"/>
        </w:rPr>
        <w:t>0,05).</w:t>
      </w:r>
    </w:p>
    <w:p w14:paraId="5D69AAA3" w14:textId="5DA20FEA" w:rsidR="00402B40" w:rsidRPr="00402B40" w:rsidRDefault="00402B40" w:rsidP="00402B40">
      <w:pPr>
        <w:pStyle w:val="LO-normal"/>
        <w:numPr>
          <w:ilvl w:val="0"/>
          <w:numId w:val="22"/>
        </w:numPr>
        <w:spacing w:after="0" w:line="240" w:lineRule="auto"/>
        <w:ind w:left="0" w:firstLine="360"/>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Проведенный линейный регрессионный анализ позволил установить, что полиморфизм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 xml:space="preserve">в гене </w:t>
      </w:r>
      <w:r>
        <w:rPr>
          <w:rFonts w:ascii="Times New Roman" w:hAnsi="Times New Roman" w:cs="Times New Roman"/>
          <w:sz w:val="28"/>
          <w:szCs w:val="28"/>
          <w:lang w:val="en-US" w:bidi="ar-SA"/>
        </w:rPr>
        <w:t>CES</w:t>
      </w:r>
      <w:r w:rsidRPr="00402B40">
        <w:rPr>
          <w:rFonts w:ascii="Times New Roman" w:hAnsi="Times New Roman" w:cs="Times New Roman"/>
          <w:sz w:val="28"/>
          <w:szCs w:val="28"/>
          <w:lang w:bidi="ar-SA"/>
        </w:rPr>
        <w:t>1 (95</w:t>
      </w:r>
      <w:r>
        <w:rPr>
          <w:rFonts w:ascii="Times New Roman" w:hAnsi="Times New Roman" w:cs="Times New Roman"/>
          <w:sz w:val="28"/>
          <w:szCs w:val="28"/>
          <w:lang w:bidi="ar-SA"/>
        </w:rPr>
        <w:t>% доверительный интервал: 0,26-47,7; р=0,048</w:t>
      </w:r>
      <w:r w:rsidRPr="00402B40">
        <w:rPr>
          <w:rFonts w:ascii="Times New Roman" w:hAnsi="Times New Roman" w:cs="Times New Roman"/>
          <w:sz w:val="28"/>
          <w:szCs w:val="28"/>
          <w:lang w:bidi="ar-SA"/>
        </w:rPr>
        <w:t>)</w:t>
      </w:r>
      <w:r>
        <w:rPr>
          <w:rFonts w:ascii="Times New Roman" w:hAnsi="Times New Roman" w:cs="Times New Roman"/>
          <w:sz w:val="28"/>
          <w:szCs w:val="28"/>
          <w:lang w:bidi="ar-SA"/>
        </w:rPr>
        <w:t xml:space="preserve">, пол пациента (95% ДИ: 1,52-56,1; р=0,039), а также уровень АЧТВ (95% ДИ: 0,64-4,47; р=0,009) статистически достоверно связаны с максимальной концентрацией дабигатрана в плазме крови. В свою очередь, для минимальной концентрации этого препарата значимыми независимыми детерминантами выступили тот же полиморфизм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8192935 </w:t>
      </w:r>
      <w:r>
        <w:rPr>
          <w:rFonts w:ascii="Times New Roman" w:hAnsi="Times New Roman" w:cs="Times New Roman"/>
          <w:sz w:val="28"/>
          <w:szCs w:val="28"/>
          <w:lang w:bidi="ar-SA"/>
        </w:rPr>
        <w:t xml:space="preserve">в </w:t>
      </w:r>
      <w:r>
        <w:rPr>
          <w:rFonts w:ascii="Times New Roman" w:hAnsi="Times New Roman" w:cs="Times New Roman"/>
          <w:sz w:val="28"/>
          <w:szCs w:val="28"/>
          <w:lang w:val="en-US" w:bidi="ar-SA"/>
        </w:rPr>
        <w:t>CES</w:t>
      </w:r>
      <w:r w:rsidRPr="00402B40">
        <w:rPr>
          <w:rFonts w:ascii="Times New Roman" w:hAnsi="Times New Roman" w:cs="Times New Roman"/>
          <w:sz w:val="28"/>
          <w:szCs w:val="28"/>
          <w:lang w:bidi="ar-SA"/>
        </w:rPr>
        <w:t xml:space="preserve">1 (95% </w:t>
      </w:r>
      <w:r>
        <w:rPr>
          <w:rFonts w:ascii="Times New Roman" w:hAnsi="Times New Roman" w:cs="Times New Roman"/>
          <w:sz w:val="28"/>
          <w:szCs w:val="28"/>
          <w:lang w:bidi="ar-SA"/>
        </w:rPr>
        <w:t>ДИ: 0,91-24,7, р=0,035</w:t>
      </w:r>
      <w:r w:rsidRPr="00402B40">
        <w:rPr>
          <w:rFonts w:ascii="Times New Roman" w:hAnsi="Times New Roman" w:cs="Times New Roman"/>
          <w:sz w:val="28"/>
          <w:szCs w:val="28"/>
          <w:lang w:bidi="ar-SA"/>
        </w:rPr>
        <w:t>)</w:t>
      </w:r>
      <w:r>
        <w:rPr>
          <w:rFonts w:ascii="Times New Roman" w:hAnsi="Times New Roman" w:cs="Times New Roman"/>
          <w:sz w:val="28"/>
          <w:szCs w:val="28"/>
          <w:lang w:bidi="ar-SA"/>
        </w:rPr>
        <w:t xml:space="preserve">, индекс массы тела (95% ДИ: - 4,05 до 0,67; р=0,007) и уровень АЧТВ (95% ДИ: 0,84-2,76; р=0,001). Таким образом, результаты нашего анализа свидетельствуют о том, что указанные переменные могут рассматриваться в качестве независимых предикторов как пиковых, так и минимальных концентраций дабигатрана в плазме крови. Исследование связи между генотипами гена АВСВ1 и уровнем апиксабана в плазме крови в казахской популяции с фибрилляцией предсердий не выявило статистически значимых корреляций. В частности, анализ полиморфизмов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4148738,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1045642,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2032582 </w:t>
      </w:r>
      <w:r>
        <w:rPr>
          <w:rFonts w:ascii="Times New Roman" w:hAnsi="Times New Roman" w:cs="Times New Roman"/>
          <w:sz w:val="28"/>
          <w:szCs w:val="28"/>
          <w:lang w:bidi="ar-SA"/>
        </w:rPr>
        <w:t xml:space="preserve">и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1128503 </w:t>
      </w:r>
      <w:r>
        <w:rPr>
          <w:rFonts w:ascii="Times New Roman" w:hAnsi="Times New Roman" w:cs="Times New Roman"/>
          <w:sz w:val="28"/>
          <w:szCs w:val="28"/>
          <w:lang w:bidi="ar-SA"/>
        </w:rPr>
        <w:t>гена АВСВ1 не продемонстрировал существенных различий в максимальных или минимальных концентрациях апиксабана в плазме в зависимости от генотипа. Указанные варианты не были определены в качестве значимых факторов, влияющих на плазменные уровни препарата (р</w:t>
      </w:r>
      <w:r w:rsidRPr="00402B40">
        <w:rPr>
          <w:rFonts w:ascii="Times New Roman" w:hAnsi="Times New Roman" w:cs="Times New Roman"/>
          <w:sz w:val="28"/>
          <w:szCs w:val="28"/>
          <w:lang w:bidi="ar-SA"/>
        </w:rPr>
        <w:t>&gt;0,05</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w:t>
      </w:r>
    </w:p>
    <w:p w14:paraId="74F524BB" w14:textId="2A27196C" w:rsidR="00402B40" w:rsidRPr="00402B40" w:rsidRDefault="00402B40" w:rsidP="00402B40">
      <w:pPr>
        <w:pStyle w:val="LO-normal"/>
        <w:numPr>
          <w:ilvl w:val="0"/>
          <w:numId w:val="22"/>
        </w:numPr>
        <w:spacing w:after="0" w:line="240" w:lineRule="auto"/>
        <w:ind w:left="0" w:firstLine="360"/>
        <w:jc w:val="both"/>
        <w:rPr>
          <w:rFonts w:ascii="Times New Roman" w:hAnsi="Times New Roman" w:cs="Times New Roman"/>
          <w:sz w:val="28"/>
          <w:szCs w:val="28"/>
          <w:lang w:bidi="ar-SA"/>
        </w:rPr>
      </w:pPr>
      <w:r w:rsidRPr="00402B40">
        <w:rPr>
          <w:rFonts w:ascii="Times New Roman" w:hAnsi="Times New Roman" w:cs="Times New Roman"/>
          <w:sz w:val="28"/>
          <w:szCs w:val="28"/>
          <w:lang w:bidi="ar-SA"/>
        </w:rPr>
        <w:t>У семерых пациентов</w:t>
      </w:r>
      <w:r>
        <w:rPr>
          <w:rFonts w:ascii="Times New Roman" w:hAnsi="Times New Roman" w:cs="Times New Roman"/>
          <w:sz w:val="28"/>
          <w:szCs w:val="28"/>
          <w:lang w:bidi="ar-SA"/>
        </w:rPr>
        <w:t xml:space="preserve"> (6,0%) </w:t>
      </w:r>
      <w:r w:rsidRPr="00402B40">
        <w:rPr>
          <w:rFonts w:ascii="Times New Roman" w:hAnsi="Times New Roman" w:cs="Times New Roman"/>
          <w:sz w:val="28"/>
          <w:szCs w:val="28"/>
          <w:lang w:bidi="ar-SA"/>
        </w:rPr>
        <w:t>из</w:t>
      </w:r>
      <w:r>
        <w:rPr>
          <w:rFonts w:ascii="Times New Roman" w:hAnsi="Times New Roman" w:cs="Times New Roman"/>
          <w:sz w:val="28"/>
          <w:szCs w:val="28"/>
          <w:lang w:bidi="ar-SA"/>
        </w:rPr>
        <w:t xml:space="preserve"> 116 </w:t>
      </w:r>
      <w:r w:rsidRPr="00402B40">
        <w:rPr>
          <w:rFonts w:ascii="Times New Roman" w:hAnsi="Times New Roman" w:cs="Times New Roman"/>
          <w:sz w:val="28"/>
          <w:szCs w:val="28"/>
          <w:lang w:bidi="ar-SA"/>
        </w:rPr>
        <w:t>в течение 36 месяцев наблюдения были выявлены</w:t>
      </w:r>
      <w:r>
        <w:rPr>
          <w:rFonts w:ascii="Times New Roman" w:hAnsi="Times New Roman" w:cs="Times New Roman"/>
          <w:sz w:val="28"/>
          <w:szCs w:val="28"/>
          <w:lang w:bidi="ar-SA"/>
        </w:rPr>
        <w:t xml:space="preserve"> семь </w:t>
      </w:r>
      <w:r w:rsidRPr="00402B40">
        <w:rPr>
          <w:rFonts w:ascii="Times New Roman" w:hAnsi="Times New Roman" w:cs="Times New Roman"/>
          <w:sz w:val="28"/>
          <w:szCs w:val="28"/>
          <w:lang w:bidi="ar-SA"/>
        </w:rPr>
        <w:t>системных</w:t>
      </w:r>
      <w:r>
        <w:rPr>
          <w:rFonts w:ascii="Times New Roman" w:hAnsi="Times New Roman" w:cs="Times New Roman"/>
          <w:sz w:val="28"/>
          <w:szCs w:val="28"/>
          <w:lang w:bidi="ar-SA"/>
        </w:rPr>
        <w:t xml:space="preserve"> эмболических </w:t>
      </w:r>
      <w:r w:rsidRPr="00402B40">
        <w:rPr>
          <w:rFonts w:ascii="Times New Roman" w:hAnsi="Times New Roman" w:cs="Times New Roman"/>
          <w:sz w:val="28"/>
          <w:szCs w:val="28"/>
          <w:lang w:bidi="ar-SA"/>
        </w:rPr>
        <w:t>событий</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что соответствует</w:t>
      </w:r>
      <w:r>
        <w:rPr>
          <w:rFonts w:ascii="Times New Roman" w:hAnsi="Times New Roman" w:cs="Times New Roman"/>
          <w:sz w:val="28"/>
          <w:szCs w:val="28"/>
          <w:lang w:bidi="ar-SA"/>
        </w:rPr>
        <w:t xml:space="preserve"> кумулятивной частоте 6,0%. </w:t>
      </w:r>
      <w:r w:rsidRPr="00402B40">
        <w:rPr>
          <w:rFonts w:ascii="Times New Roman" w:hAnsi="Times New Roman" w:cs="Times New Roman"/>
          <w:sz w:val="28"/>
          <w:szCs w:val="28"/>
          <w:lang w:bidi="ar-SA"/>
        </w:rPr>
        <w:t>Среди пациентов с вариабельной минимальной концентрацией</w:t>
      </w:r>
      <w:r>
        <w:rPr>
          <w:rFonts w:ascii="Times New Roman" w:hAnsi="Times New Roman" w:cs="Times New Roman"/>
          <w:sz w:val="28"/>
          <w:szCs w:val="28"/>
          <w:lang w:bidi="ar-SA"/>
        </w:rPr>
        <w:t xml:space="preserve"> дабигатрана (</w:t>
      </w:r>
      <w:r>
        <w:rPr>
          <w:rFonts w:ascii="Times New Roman" w:hAnsi="Times New Roman" w:cs="Times New Roman"/>
          <w:sz w:val="28"/>
          <w:szCs w:val="28"/>
          <w:lang w:val="en-US" w:bidi="ar-SA"/>
        </w:rPr>
        <w:t>n</w:t>
      </w:r>
      <w:r w:rsidRPr="00402B40">
        <w:rPr>
          <w:rFonts w:ascii="Times New Roman" w:hAnsi="Times New Roman" w:cs="Times New Roman"/>
          <w:sz w:val="28"/>
          <w:szCs w:val="28"/>
          <w:lang w:bidi="ar-SA"/>
        </w:rPr>
        <w:t>=22</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тромбоэмболические </w:t>
      </w:r>
      <w:r w:rsidR="00AE548C">
        <w:rPr>
          <w:rFonts w:ascii="Times New Roman" w:hAnsi="Times New Roman" w:cs="Times New Roman"/>
          <w:sz w:val="28"/>
          <w:szCs w:val="28"/>
          <w:lang w:bidi="ar-SA"/>
        </w:rPr>
        <w:t>о</w:t>
      </w:r>
      <w:r w:rsidRPr="00402B40">
        <w:rPr>
          <w:rFonts w:ascii="Times New Roman" w:hAnsi="Times New Roman" w:cs="Times New Roman"/>
          <w:sz w:val="28"/>
          <w:szCs w:val="28"/>
          <w:lang w:bidi="ar-SA"/>
        </w:rPr>
        <w:t>сложнения развились у 3 пациентов</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что соответствует кумулятивной частоте</w:t>
      </w:r>
      <w:r>
        <w:rPr>
          <w:rFonts w:ascii="Times New Roman" w:hAnsi="Times New Roman" w:cs="Times New Roman"/>
          <w:sz w:val="28"/>
          <w:szCs w:val="28"/>
          <w:lang w:bidi="ar-SA"/>
        </w:rPr>
        <w:t xml:space="preserve"> 13,6%. </w:t>
      </w:r>
      <w:r w:rsidRPr="00402B40">
        <w:rPr>
          <w:rFonts w:ascii="Times New Roman" w:hAnsi="Times New Roman" w:cs="Times New Roman"/>
          <w:sz w:val="28"/>
          <w:szCs w:val="28"/>
          <w:lang w:bidi="ar-SA"/>
        </w:rPr>
        <w:t>Среди этих 3 пациентов</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с су</w:t>
      </w:r>
      <w:r>
        <w:rPr>
          <w:rFonts w:ascii="Times New Roman" w:hAnsi="Times New Roman" w:cs="Times New Roman"/>
          <w:sz w:val="28"/>
          <w:szCs w:val="28"/>
          <w:lang w:bidi="ar-SA"/>
        </w:rPr>
        <w:t xml:space="preserve">бтерапевтическими </w:t>
      </w:r>
      <w:r w:rsidRPr="00402B40">
        <w:rPr>
          <w:rFonts w:ascii="Times New Roman" w:hAnsi="Times New Roman" w:cs="Times New Roman"/>
          <w:sz w:val="28"/>
          <w:szCs w:val="28"/>
          <w:lang w:bidi="ar-SA"/>
        </w:rPr>
        <w:t>минимальный концентрациями</w:t>
      </w:r>
      <w:r>
        <w:rPr>
          <w:rFonts w:ascii="Times New Roman" w:hAnsi="Times New Roman" w:cs="Times New Roman"/>
          <w:sz w:val="28"/>
          <w:szCs w:val="28"/>
          <w:lang w:bidi="ar-SA"/>
        </w:rPr>
        <w:t xml:space="preserve"> дабигатрана аллели </w:t>
      </w:r>
      <w:r w:rsidRPr="00402B40">
        <w:rPr>
          <w:rFonts w:ascii="Times New Roman" w:hAnsi="Times New Roman" w:cs="Times New Roman"/>
          <w:sz w:val="28"/>
          <w:szCs w:val="28"/>
          <w:lang w:bidi="ar-SA"/>
        </w:rPr>
        <w:t xml:space="preserve">полиморфизма </w:t>
      </w:r>
      <w:r>
        <w:rPr>
          <w:rFonts w:ascii="Times New Roman" w:hAnsi="Times New Roman" w:cs="Times New Roman"/>
          <w:sz w:val="28"/>
          <w:szCs w:val="28"/>
          <w:lang w:val="en-US" w:bidi="ar-SA"/>
        </w:rPr>
        <w:t>rs</w:t>
      </w:r>
      <w:r w:rsidRPr="00402B40">
        <w:rPr>
          <w:rFonts w:ascii="Times New Roman" w:hAnsi="Times New Roman" w:cs="Times New Roman"/>
          <w:sz w:val="28"/>
          <w:szCs w:val="28"/>
          <w:lang w:bidi="ar-SA"/>
        </w:rPr>
        <w:t xml:space="preserve">8192935 гена </w:t>
      </w:r>
      <w:r>
        <w:rPr>
          <w:rFonts w:ascii="Times New Roman" w:hAnsi="Times New Roman" w:cs="Times New Roman"/>
          <w:sz w:val="28"/>
          <w:szCs w:val="28"/>
          <w:lang w:val="en-US" w:bidi="ar-SA"/>
        </w:rPr>
        <w:t>CES</w:t>
      </w:r>
      <w:r w:rsidRPr="00402B40">
        <w:rPr>
          <w:rFonts w:ascii="Times New Roman" w:hAnsi="Times New Roman" w:cs="Times New Roman"/>
          <w:sz w:val="28"/>
          <w:szCs w:val="28"/>
          <w:lang w:bidi="ar-SA"/>
        </w:rPr>
        <w:t>1 распределялись следующим образом</w:t>
      </w:r>
      <w:r>
        <w:rPr>
          <w:rFonts w:ascii="Times New Roman" w:hAnsi="Times New Roman" w:cs="Times New Roman"/>
          <w:sz w:val="28"/>
          <w:szCs w:val="28"/>
          <w:lang w:bidi="ar-SA"/>
        </w:rPr>
        <w:t>: АА</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2 </w:t>
      </w:r>
      <w:r w:rsidRPr="00402B40">
        <w:rPr>
          <w:rFonts w:ascii="Times New Roman" w:hAnsi="Times New Roman" w:cs="Times New Roman"/>
          <w:sz w:val="28"/>
          <w:szCs w:val="28"/>
          <w:lang w:bidi="ar-SA"/>
        </w:rPr>
        <w:t>пациента</w:t>
      </w:r>
      <w:r>
        <w:rPr>
          <w:rFonts w:ascii="Times New Roman" w:hAnsi="Times New Roman" w:cs="Times New Roman"/>
          <w:sz w:val="28"/>
          <w:szCs w:val="28"/>
          <w:lang w:bidi="ar-SA"/>
        </w:rPr>
        <w:t xml:space="preserve">, </w:t>
      </w:r>
      <w:r>
        <w:rPr>
          <w:rFonts w:ascii="Times New Roman" w:hAnsi="Times New Roman" w:cs="Times New Roman"/>
          <w:sz w:val="28"/>
          <w:szCs w:val="28"/>
          <w:lang w:val="en-US" w:bidi="ar-SA"/>
        </w:rPr>
        <w:t>AG</w:t>
      </w:r>
      <w:r w:rsidRPr="00402B40">
        <w:rPr>
          <w:rFonts w:ascii="Times New Roman" w:hAnsi="Times New Roman" w:cs="Times New Roman"/>
          <w:sz w:val="28"/>
          <w:szCs w:val="28"/>
          <w:lang w:bidi="ar-SA"/>
        </w:rPr>
        <w:t xml:space="preserve"> - 1 пациент.</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Статистически значимые связи между аллелями полиморфизма и тромбоэмболическими событиями не выявлено вследствие малого числа клинических случаев и недостаточной статистической мощности анализа.</w:t>
      </w:r>
    </w:p>
    <w:p w14:paraId="6A51E98F" w14:textId="2425CBDF" w:rsidR="00402B40" w:rsidRDefault="00402B40" w:rsidP="00402B40">
      <w:pPr>
        <w:pStyle w:val="LO-normal"/>
        <w:numPr>
          <w:ilvl w:val="0"/>
          <w:numId w:val="22"/>
        </w:numPr>
        <w:spacing w:after="0" w:line="240" w:lineRule="auto"/>
        <w:ind w:left="0" w:firstLine="360"/>
        <w:jc w:val="both"/>
        <w:rPr>
          <w:rFonts w:ascii="Times New Roman" w:hAnsi="Times New Roman" w:cs="Times New Roman"/>
          <w:sz w:val="28"/>
          <w:szCs w:val="28"/>
          <w:lang w:bidi="ar-SA"/>
        </w:rPr>
      </w:pPr>
      <w:r w:rsidRPr="00402B40">
        <w:rPr>
          <w:rFonts w:ascii="Times New Roman" w:hAnsi="Times New Roman" w:cs="Times New Roman"/>
          <w:sz w:val="28"/>
          <w:szCs w:val="28"/>
          <w:lang w:bidi="ar-SA"/>
        </w:rPr>
        <w:t>Применение алгоритма персонализированного подхода для ведения пациентов с неклапанной фибрилляцией предсердий</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принимающих</w:t>
      </w:r>
      <w:r>
        <w:rPr>
          <w:rFonts w:ascii="Times New Roman" w:hAnsi="Times New Roman" w:cs="Times New Roman"/>
          <w:sz w:val="28"/>
          <w:szCs w:val="28"/>
          <w:lang w:bidi="ar-SA"/>
        </w:rPr>
        <w:t xml:space="preserve"> дабигатрана этексилат или апиксабан, и имеющих п</w:t>
      </w:r>
      <w:r w:rsidRPr="00402B40">
        <w:rPr>
          <w:rFonts w:ascii="Times New Roman" w:hAnsi="Times New Roman" w:cs="Times New Roman"/>
          <w:sz w:val="28"/>
          <w:szCs w:val="28"/>
          <w:lang w:bidi="ar-SA"/>
        </w:rPr>
        <w:t>овторные системные эмб</w:t>
      </w:r>
      <w:r>
        <w:rPr>
          <w:rFonts w:ascii="Times New Roman" w:hAnsi="Times New Roman" w:cs="Times New Roman"/>
          <w:sz w:val="28"/>
          <w:szCs w:val="28"/>
          <w:lang w:bidi="ar-SA"/>
        </w:rPr>
        <w:t>олические и/или геморрагические о</w:t>
      </w:r>
      <w:r w:rsidRPr="00402B40">
        <w:rPr>
          <w:rFonts w:ascii="Times New Roman" w:hAnsi="Times New Roman" w:cs="Times New Roman"/>
          <w:sz w:val="28"/>
          <w:szCs w:val="28"/>
          <w:lang w:bidi="ar-SA"/>
        </w:rPr>
        <w:t>сложнения</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позволит проводить персонализированную коррекцию антикоагулянтной терапии у сложной категории пациентов и учитывать факторы</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недоступные при стандартной схеме ведения</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тем самым повышая безопасность и клиническую эффективность лечения</w:t>
      </w:r>
      <w:r>
        <w:rPr>
          <w:rFonts w:ascii="Times New Roman" w:hAnsi="Times New Roman" w:cs="Times New Roman"/>
          <w:sz w:val="28"/>
          <w:szCs w:val="28"/>
          <w:lang w:bidi="ar-SA"/>
        </w:rPr>
        <w:t>.</w:t>
      </w:r>
    </w:p>
    <w:p w14:paraId="10C8D71F" w14:textId="77777777" w:rsidR="00402B40" w:rsidRDefault="00402B40" w:rsidP="00402B40">
      <w:pPr>
        <w:pStyle w:val="LO-normal"/>
        <w:spacing w:after="0" w:line="240" w:lineRule="auto"/>
        <w:jc w:val="both"/>
        <w:rPr>
          <w:rFonts w:ascii="Times New Roman" w:hAnsi="Times New Roman" w:cs="Times New Roman"/>
          <w:sz w:val="28"/>
          <w:szCs w:val="28"/>
          <w:lang w:bidi="ar-SA"/>
        </w:rPr>
      </w:pPr>
    </w:p>
    <w:p w14:paraId="6011B56B" w14:textId="4997733C" w:rsidR="00402B40" w:rsidRPr="00402B40" w:rsidRDefault="00402B40" w:rsidP="00402B40">
      <w:pPr>
        <w:pStyle w:val="LO-normal"/>
        <w:spacing w:after="0" w:line="240" w:lineRule="auto"/>
        <w:ind w:firstLine="567"/>
        <w:jc w:val="both"/>
        <w:rPr>
          <w:rFonts w:ascii="Times New Roman" w:hAnsi="Times New Roman" w:cs="Times New Roman"/>
          <w:b/>
          <w:bCs/>
          <w:sz w:val="28"/>
          <w:szCs w:val="28"/>
          <w:lang w:bidi="ar-SA"/>
        </w:rPr>
      </w:pPr>
      <w:r w:rsidRPr="00402B40">
        <w:rPr>
          <w:rFonts w:ascii="Times New Roman" w:hAnsi="Times New Roman" w:cs="Times New Roman"/>
          <w:b/>
          <w:bCs/>
          <w:sz w:val="28"/>
          <w:szCs w:val="28"/>
          <w:lang w:bidi="ar-SA"/>
        </w:rPr>
        <w:t>Практические рекомендации:</w:t>
      </w:r>
    </w:p>
    <w:p w14:paraId="17A8C40A" w14:textId="76F80A07" w:rsidR="00402B40" w:rsidRDefault="00402B40" w:rsidP="00402B40">
      <w:pPr>
        <w:pStyle w:val="LO-normal"/>
        <w:numPr>
          <w:ilvl w:val="0"/>
          <w:numId w:val="23"/>
        </w:numPr>
        <w:spacing w:after="0" w:line="240" w:lineRule="auto"/>
        <w:ind w:left="0" w:firstLine="284"/>
        <w:jc w:val="both"/>
        <w:rPr>
          <w:rFonts w:ascii="Times New Roman" w:hAnsi="Times New Roman" w:cs="Times New Roman"/>
          <w:sz w:val="28"/>
          <w:szCs w:val="28"/>
          <w:lang w:bidi="ar-SA"/>
        </w:rPr>
      </w:pPr>
      <w:r w:rsidRPr="00402B40">
        <w:rPr>
          <w:rFonts w:ascii="Times New Roman" w:hAnsi="Times New Roman" w:cs="Times New Roman"/>
          <w:sz w:val="28"/>
          <w:szCs w:val="28"/>
          <w:lang w:bidi="ar-SA"/>
        </w:rPr>
        <w:t xml:space="preserve"> </w:t>
      </w:r>
      <w:r>
        <w:rPr>
          <w:rFonts w:ascii="Times New Roman" w:hAnsi="Times New Roman" w:cs="Times New Roman"/>
          <w:sz w:val="28"/>
          <w:szCs w:val="28"/>
          <w:lang w:bidi="ar-SA"/>
        </w:rPr>
        <w:t>У</w:t>
      </w:r>
      <w:r w:rsidRPr="00402B40">
        <w:rPr>
          <w:rFonts w:ascii="Times New Roman" w:hAnsi="Times New Roman" w:cs="Times New Roman"/>
          <w:sz w:val="28"/>
          <w:szCs w:val="28"/>
          <w:lang w:bidi="ar-SA"/>
        </w:rPr>
        <w:t xml:space="preserve"> пациентов с н</w:t>
      </w:r>
      <w:r>
        <w:rPr>
          <w:rFonts w:ascii="Times New Roman" w:hAnsi="Times New Roman" w:cs="Times New Roman"/>
          <w:sz w:val="28"/>
          <w:szCs w:val="28"/>
          <w:lang w:bidi="ar-SA"/>
        </w:rPr>
        <w:t>е</w:t>
      </w:r>
      <w:r w:rsidRPr="00402B40">
        <w:rPr>
          <w:rFonts w:ascii="Times New Roman" w:hAnsi="Times New Roman" w:cs="Times New Roman"/>
          <w:sz w:val="28"/>
          <w:szCs w:val="28"/>
          <w:lang w:bidi="ar-SA"/>
        </w:rPr>
        <w:t>клапанной фибрилляцией пре</w:t>
      </w:r>
      <w:r>
        <w:rPr>
          <w:rFonts w:ascii="Times New Roman" w:hAnsi="Times New Roman" w:cs="Times New Roman"/>
          <w:sz w:val="28"/>
          <w:szCs w:val="28"/>
          <w:lang w:bidi="ar-SA"/>
        </w:rPr>
        <w:t>дсердий</w:t>
      </w:r>
      <w:r w:rsidRPr="00402B40">
        <w:rPr>
          <w:rFonts w:ascii="Times New Roman" w:hAnsi="Times New Roman" w:cs="Times New Roman"/>
          <w:sz w:val="28"/>
          <w:szCs w:val="28"/>
          <w:lang w:bidi="ar-SA"/>
        </w:rPr>
        <w:t xml:space="preserve"> после </w:t>
      </w:r>
      <w:r>
        <w:rPr>
          <w:rFonts w:ascii="Times New Roman" w:hAnsi="Times New Roman" w:cs="Times New Roman"/>
          <w:sz w:val="28"/>
          <w:szCs w:val="28"/>
          <w:lang w:bidi="ar-SA"/>
        </w:rPr>
        <w:t>первого</w:t>
      </w:r>
      <w:r w:rsidRPr="00402B40">
        <w:rPr>
          <w:rFonts w:ascii="Times New Roman" w:hAnsi="Times New Roman" w:cs="Times New Roman"/>
          <w:sz w:val="28"/>
          <w:szCs w:val="28"/>
          <w:lang w:bidi="ar-SA"/>
        </w:rPr>
        <w:t xml:space="preserve"> эпизода системного эмб</w:t>
      </w:r>
      <w:r>
        <w:rPr>
          <w:rFonts w:ascii="Times New Roman" w:hAnsi="Times New Roman" w:cs="Times New Roman"/>
          <w:sz w:val="28"/>
          <w:szCs w:val="28"/>
          <w:lang w:bidi="ar-SA"/>
        </w:rPr>
        <w:t>оли</w:t>
      </w:r>
      <w:r w:rsidRPr="00402B40">
        <w:rPr>
          <w:rFonts w:ascii="Times New Roman" w:hAnsi="Times New Roman" w:cs="Times New Roman"/>
          <w:sz w:val="28"/>
          <w:szCs w:val="28"/>
          <w:lang w:bidi="ar-SA"/>
        </w:rPr>
        <w:t>ческого и</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или геморрагического осложнения на фоне приема прямых пероральных антикоагулянтов при сохраненной приверженности</w:t>
      </w:r>
      <w:r>
        <w:rPr>
          <w:rFonts w:ascii="Times New Roman" w:hAnsi="Times New Roman" w:cs="Times New Roman"/>
          <w:sz w:val="28"/>
          <w:szCs w:val="28"/>
          <w:lang w:bidi="ar-SA"/>
        </w:rPr>
        <w:t xml:space="preserve"> т</w:t>
      </w:r>
      <w:r w:rsidRPr="00402B40">
        <w:rPr>
          <w:rFonts w:ascii="Times New Roman" w:hAnsi="Times New Roman" w:cs="Times New Roman"/>
          <w:sz w:val="28"/>
          <w:szCs w:val="28"/>
          <w:lang w:bidi="ar-SA"/>
        </w:rPr>
        <w:t>ерапии рекомендуется использование предложенного алгоритма</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включающего ключевые клинические и лабораторные параметры пациента </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пол</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возраст</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масса тела</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функция почек и печени</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а также концентрация</w:t>
      </w:r>
      <w:r>
        <w:rPr>
          <w:rFonts w:ascii="Times New Roman" w:hAnsi="Times New Roman" w:cs="Times New Roman"/>
          <w:sz w:val="28"/>
          <w:szCs w:val="28"/>
          <w:lang w:bidi="ar-SA"/>
        </w:rPr>
        <w:t xml:space="preserve"> ПОАК </w:t>
      </w:r>
      <w:r w:rsidRPr="00402B40">
        <w:rPr>
          <w:rFonts w:ascii="Times New Roman" w:hAnsi="Times New Roman" w:cs="Times New Roman"/>
          <w:sz w:val="28"/>
          <w:szCs w:val="28"/>
          <w:lang w:bidi="ar-SA"/>
        </w:rPr>
        <w:t>и индивидуальные генетические особенности метаболизма данных препаратов</w:t>
      </w:r>
      <w:r>
        <w:rPr>
          <w:rFonts w:ascii="Times New Roman" w:hAnsi="Times New Roman" w:cs="Times New Roman"/>
          <w:sz w:val="28"/>
          <w:szCs w:val="28"/>
          <w:lang w:bidi="ar-SA"/>
        </w:rPr>
        <w:t>.</w:t>
      </w:r>
    </w:p>
    <w:p w14:paraId="5DA21ADD" w14:textId="329BD64E" w:rsidR="00402B40" w:rsidRDefault="00402B40" w:rsidP="00402B40">
      <w:pPr>
        <w:pStyle w:val="LO-normal"/>
        <w:numPr>
          <w:ilvl w:val="0"/>
          <w:numId w:val="23"/>
        </w:numPr>
        <w:spacing w:after="0" w:line="240" w:lineRule="auto"/>
        <w:ind w:left="0" w:firstLine="284"/>
        <w:jc w:val="both"/>
        <w:rPr>
          <w:rFonts w:ascii="Times New Roman" w:hAnsi="Times New Roman" w:cs="Times New Roman"/>
          <w:sz w:val="28"/>
          <w:szCs w:val="28"/>
          <w:lang w:bidi="ar-SA"/>
        </w:rPr>
      </w:pPr>
      <w:r w:rsidRPr="00402B40">
        <w:rPr>
          <w:rFonts w:ascii="Times New Roman" w:hAnsi="Times New Roman" w:cs="Times New Roman"/>
          <w:sz w:val="28"/>
          <w:szCs w:val="28"/>
          <w:lang w:bidi="ar-SA"/>
        </w:rPr>
        <w:t xml:space="preserve">Фармакогенетическая часть алгоритма </w:t>
      </w:r>
      <w:r>
        <w:rPr>
          <w:rFonts w:ascii="Times New Roman" w:hAnsi="Times New Roman" w:cs="Times New Roman"/>
          <w:sz w:val="28"/>
          <w:szCs w:val="28"/>
          <w:lang w:bidi="ar-SA"/>
        </w:rPr>
        <w:t>валидирована</w:t>
      </w:r>
      <w:r w:rsidRPr="00402B40">
        <w:rPr>
          <w:rFonts w:ascii="Times New Roman" w:hAnsi="Times New Roman" w:cs="Times New Roman"/>
          <w:sz w:val="28"/>
          <w:szCs w:val="28"/>
          <w:lang w:bidi="ar-SA"/>
        </w:rPr>
        <w:t xml:space="preserve"> только для пациентов</w:t>
      </w:r>
      <w:r>
        <w:rPr>
          <w:rFonts w:ascii="Times New Roman" w:hAnsi="Times New Roman" w:cs="Times New Roman"/>
          <w:sz w:val="28"/>
          <w:szCs w:val="28"/>
          <w:lang w:bidi="ar-SA"/>
        </w:rPr>
        <w:t>,</w:t>
      </w:r>
      <w:r w:rsidRPr="00402B40">
        <w:rPr>
          <w:rFonts w:ascii="Times New Roman" w:hAnsi="Times New Roman" w:cs="Times New Roman"/>
          <w:sz w:val="28"/>
          <w:szCs w:val="28"/>
          <w:lang w:bidi="ar-SA"/>
        </w:rPr>
        <w:t xml:space="preserve"> получающих</w:t>
      </w:r>
      <w:r>
        <w:rPr>
          <w:rFonts w:ascii="Times New Roman" w:hAnsi="Times New Roman" w:cs="Times New Roman"/>
          <w:sz w:val="28"/>
          <w:szCs w:val="28"/>
          <w:lang w:bidi="ar-SA"/>
        </w:rPr>
        <w:t xml:space="preserve"> дабигатран и апиксабан; </w:t>
      </w:r>
      <w:r w:rsidRPr="00402B40">
        <w:rPr>
          <w:rFonts w:ascii="Times New Roman" w:hAnsi="Times New Roman" w:cs="Times New Roman"/>
          <w:sz w:val="28"/>
          <w:szCs w:val="28"/>
          <w:lang w:bidi="ar-SA"/>
        </w:rPr>
        <w:t>для других</w:t>
      </w:r>
      <w:r>
        <w:rPr>
          <w:rFonts w:ascii="Times New Roman" w:hAnsi="Times New Roman" w:cs="Times New Roman"/>
          <w:sz w:val="28"/>
          <w:szCs w:val="28"/>
          <w:lang w:bidi="ar-SA"/>
        </w:rPr>
        <w:t xml:space="preserve"> ПОАК, </w:t>
      </w:r>
      <w:r w:rsidRPr="00402B40">
        <w:rPr>
          <w:rFonts w:ascii="Times New Roman" w:hAnsi="Times New Roman" w:cs="Times New Roman"/>
          <w:sz w:val="28"/>
          <w:szCs w:val="28"/>
          <w:lang w:bidi="ar-SA"/>
        </w:rPr>
        <w:t xml:space="preserve">зарегистрированных в </w:t>
      </w:r>
      <w:r>
        <w:rPr>
          <w:rFonts w:ascii="Times New Roman" w:hAnsi="Times New Roman" w:cs="Times New Roman"/>
          <w:sz w:val="28"/>
          <w:szCs w:val="28"/>
          <w:lang w:bidi="ar-SA"/>
        </w:rPr>
        <w:t>Р</w:t>
      </w:r>
      <w:r w:rsidRPr="00402B40">
        <w:rPr>
          <w:rFonts w:ascii="Times New Roman" w:hAnsi="Times New Roman" w:cs="Times New Roman"/>
          <w:sz w:val="28"/>
          <w:szCs w:val="28"/>
          <w:lang w:bidi="ar-SA"/>
        </w:rPr>
        <w:t>еспублике Казахстан</w:t>
      </w:r>
      <w:r>
        <w:rPr>
          <w:rFonts w:ascii="Times New Roman" w:hAnsi="Times New Roman" w:cs="Times New Roman"/>
          <w:sz w:val="28"/>
          <w:szCs w:val="28"/>
          <w:lang w:bidi="ar-SA"/>
        </w:rPr>
        <w:t xml:space="preserve">, </w:t>
      </w:r>
      <w:r w:rsidRPr="00402B40">
        <w:rPr>
          <w:rFonts w:ascii="Times New Roman" w:hAnsi="Times New Roman" w:cs="Times New Roman"/>
          <w:sz w:val="28"/>
          <w:szCs w:val="28"/>
          <w:lang w:bidi="ar-SA"/>
        </w:rPr>
        <w:t>требуются дальнейшие исследования</w:t>
      </w:r>
      <w:r>
        <w:rPr>
          <w:rFonts w:ascii="Times New Roman" w:hAnsi="Times New Roman" w:cs="Times New Roman"/>
          <w:sz w:val="28"/>
          <w:szCs w:val="28"/>
          <w:lang w:bidi="ar-SA"/>
        </w:rPr>
        <w:t>.</w:t>
      </w:r>
    </w:p>
    <w:p w14:paraId="27825DC9" w14:textId="77777777" w:rsidR="00402B40" w:rsidRDefault="00402B40" w:rsidP="009C40E7">
      <w:pPr>
        <w:pStyle w:val="LO-normal"/>
        <w:spacing w:after="0" w:line="240" w:lineRule="auto"/>
        <w:ind w:firstLine="567"/>
        <w:jc w:val="both"/>
        <w:rPr>
          <w:rFonts w:ascii="Times New Roman" w:hAnsi="Times New Roman" w:cs="Times New Roman"/>
          <w:sz w:val="28"/>
          <w:szCs w:val="28"/>
          <w:lang w:bidi="ar-SA"/>
        </w:rPr>
      </w:pPr>
    </w:p>
    <w:p w14:paraId="7D2B99CE" w14:textId="77777777" w:rsidR="00402B40" w:rsidRDefault="00402B40" w:rsidP="009C40E7">
      <w:pPr>
        <w:pStyle w:val="LO-normal"/>
        <w:spacing w:after="0" w:line="240" w:lineRule="auto"/>
        <w:ind w:firstLine="567"/>
        <w:jc w:val="both"/>
        <w:rPr>
          <w:rFonts w:ascii="Times New Roman" w:hAnsi="Times New Roman" w:cs="Times New Roman"/>
          <w:sz w:val="28"/>
          <w:szCs w:val="28"/>
          <w:lang w:bidi="ar-SA"/>
        </w:rPr>
      </w:pPr>
    </w:p>
    <w:p w14:paraId="18729C92"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4CC80E81"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28A58F9E" w14:textId="77777777" w:rsidR="009C40E7" w:rsidRDefault="009C40E7" w:rsidP="009C40E7">
      <w:pPr>
        <w:pStyle w:val="LO-normal"/>
        <w:spacing w:after="0" w:line="240" w:lineRule="auto"/>
        <w:ind w:firstLine="567"/>
        <w:jc w:val="both"/>
        <w:rPr>
          <w:rFonts w:ascii="Times New Roman" w:hAnsi="Times New Roman" w:cs="Times New Roman"/>
          <w:sz w:val="28"/>
          <w:szCs w:val="28"/>
          <w:lang w:bidi="ar-SA"/>
        </w:rPr>
      </w:pPr>
    </w:p>
    <w:p w14:paraId="37EF6EBA" w14:textId="77777777" w:rsidR="00EE4DC9" w:rsidRDefault="00EE4DC9" w:rsidP="009C40E7">
      <w:pPr>
        <w:pStyle w:val="LO-normal"/>
        <w:spacing w:after="0" w:line="240" w:lineRule="auto"/>
        <w:ind w:firstLine="567"/>
        <w:jc w:val="both"/>
        <w:rPr>
          <w:rFonts w:ascii="Times New Roman" w:hAnsi="Times New Roman" w:cs="Times New Roman"/>
          <w:sz w:val="28"/>
          <w:szCs w:val="28"/>
          <w:lang w:bidi="ar-SA"/>
        </w:rPr>
      </w:pPr>
    </w:p>
    <w:p w14:paraId="45A81FC8" w14:textId="77777777" w:rsidR="00EE4DC9" w:rsidRDefault="00EE4DC9" w:rsidP="009C40E7">
      <w:pPr>
        <w:pStyle w:val="LO-normal"/>
        <w:spacing w:after="0" w:line="240" w:lineRule="auto"/>
        <w:ind w:firstLine="567"/>
        <w:jc w:val="both"/>
        <w:rPr>
          <w:rFonts w:ascii="Times New Roman" w:hAnsi="Times New Roman" w:cs="Times New Roman"/>
          <w:sz w:val="28"/>
          <w:szCs w:val="28"/>
          <w:lang w:bidi="ar-SA"/>
        </w:rPr>
      </w:pPr>
    </w:p>
    <w:p w14:paraId="467B3246" w14:textId="7F447D5E" w:rsidR="00EE4DC9" w:rsidRDefault="00EE4DC9">
      <w:pPr>
        <w:spacing w:after="160" w:line="278" w:lineRule="auto"/>
        <w:textAlignment w:val="auto"/>
        <w:outlineLvl w:val="9"/>
        <w:rPr>
          <w:rFonts w:ascii="Times New Roman" w:eastAsia="Calibri" w:hAnsi="Times New Roman"/>
          <w:sz w:val="28"/>
          <w:szCs w:val="28"/>
        </w:rPr>
      </w:pPr>
      <w:r>
        <w:rPr>
          <w:rFonts w:ascii="Times New Roman" w:hAnsi="Times New Roman"/>
          <w:sz w:val="28"/>
          <w:szCs w:val="28"/>
        </w:rPr>
        <w:br w:type="page"/>
      </w:r>
    </w:p>
    <w:p w14:paraId="018A8C78" w14:textId="73E05F67" w:rsidR="00EE4DC9" w:rsidRDefault="00EE4DC9" w:rsidP="00EE4DC9">
      <w:pPr>
        <w:pStyle w:val="LO-normal"/>
        <w:spacing w:after="0" w:line="240" w:lineRule="auto"/>
        <w:ind w:firstLine="567"/>
        <w:jc w:val="center"/>
        <w:rPr>
          <w:rFonts w:ascii="Times New Roman" w:eastAsia="Times New Roman" w:hAnsi="Times New Roman" w:cs="Times New Roman"/>
          <w:b/>
          <w:color w:val="000000"/>
          <w:sz w:val="28"/>
          <w:szCs w:val="28"/>
          <w:lang w:val="en-US"/>
        </w:rPr>
      </w:pPr>
      <w:r w:rsidRPr="000A55E4">
        <w:rPr>
          <w:rFonts w:ascii="Times New Roman" w:eastAsia="Times New Roman" w:hAnsi="Times New Roman" w:cs="Times New Roman"/>
          <w:b/>
          <w:color w:val="000000"/>
          <w:sz w:val="28"/>
          <w:szCs w:val="28"/>
        </w:rPr>
        <w:t>СПИСОК</w:t>
      </w:r>
      <w:r w:rsidRPr="00AC4691">
        <w:rPr>
          <w:rFonts w:ascii="Times New Roman" w:eastAsia="Times New Roman" w:hAnsi="Times New Roman" w:cs="Times New Roman"/>
          <w:b/>
          <w:color w:val="000000"/>
          <w:sz w:val="28"/>
          <w:szCs w:val="28"/>
        </w:rPr>
        <w:t xml:space="preserve"> </w:t>
      </w:r>
      <w:r w:rsidRPr="000A55E4">
        <w:rPr>
          <w:rFonts w:ascii="Times New Roman" w:eastAsia="Times New Roman" w:hAnsi="Times New Roman" w:cs="Times New Roman"/>
          <w:b/>
          <w:color w:val="000000"/>
          <w:sz w:val="28"/>
          <w:szCs w:val="28"/>
        </w:rPr>
        <w:t>ИСПОЛЬЗОВАННЫХ</w:t>
      </w:r>
      <w:r w:rsidRPr="00AC4691">
        <w:rPr>
          <w:rFonts w:ascii="Times New Roman" w:eastAsia="Times New Roman" w:hAnsi="Times New Roman" w:cs="Times New Roman"/>
          <w:b/>
          <w:color w:val="000000"/>
          <w:sz w:val="28"/>
          <w:szCs w:val="28"/>
        </w:rPr>
        <w:t xml:space="preserve"> </w:t>
      </w:r>
      <w:r w:rsidRPr="000A55E4">
        <w:rPr>
          <w:rFonts w:ascii="Times New Roman" w:eastAsia="Times New Roman" w:hAnsi="Times New Roman" w:cs="Times New Roman"/>
          <w:b/>
          <w:color w:val="000000"/>
          <w:sz w:val="28"/>
          <w:szCs w:val="28"/>
        </w:rPr>
        <w:t>ИСТОЧНИКОВ</w:t>
      </w:r>
    </w:p>
    <w:p w14:paraId="5B104BD3" w14:textId="7A74EB65"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rPr>
        <w:fldChar w:fldCharType="begin"/>
      </w:r>
      <w:r>
        <w:rPr>
          <w:rFonts w:ascii="Times New Roman" w:hAnsi="Times New Roman"/>
          <w:color w:val="000000" w:themeColor="text1"/>
          <w:sz w:val="28"/>
          <w:szCs w:val="28"/>
          <w:lang w:val="en-US"/>
        </w:rPr>
        <w:instrText xml:space="preserve"> ADDIN ZOTERO_BIBL {"uncited":[],"omitted":[],"custom":[]} CSL_BIBLIOGRAPHY </w:instrText>
      </w:r>
      <w:r w:rsidRPr="0003764E">
        <w:rPr>
          <w:rFonts w:ascii="Times New Roman" w:hAnsi="Times New Roman"/>
          <w:color w:val="000000" w:themeColor="text1"/>
          <w:sz w:val="28"/>
          <w:szCs w:val="28"/>
        </w:rPr>
        <w:fldChar w:fldCharType="separate"/>
      </w:r>
      <w:r w:rsidRPr="00F74148">
        <w:rPr>
          <w:rFonts w:ascii="Times New Roman" w:hAnsi="Times New Roman"/>
          <w:color w:val="000000" w:themeColor="text1"/>
          <w:sz w:val="28"/>
          <w:szCs w:val="28"/>
          <w:lang w:val="en-US" w:eastAsia="en-US"/>
        </w:rPr>
        <w:t>1.</w:t>
      </w:r>
      <w:r w:rsidRPr="00F74148">
        <w:rPr>
          <w:rFonts w:ascii="Times New Roman" w:hAnsi="Times New Roman"/>
          <w:color w:val="000000" w:themeColor="text1"/>
          <w:sz w:val="28"/>
          <w:szCs w:val="28"/>
          <w:lang w:val="en-US" w:eastAsia="en-US"/>
        </w:rPr>
        <w:tab/>
        <w:t>Stewart S.</w:t>
      </w:r>
      <w:r>
        <w:rPr>
          <w:rFonts w:ascii="Times New Roman" w:hAnsi="Times New Roman"/>
          <w:color w:val="000000" w:themeColor="text1"/>
          <w:sz w:val="28"/>
          <w:szCs w:val="28"/>
          <w:lang w:val="en-US" w:eastAsia="en-US"/>
        </w:rPr>
        <w:t>,</w:t>
      </w:r>
      <w:r w:rsidRPr="00CC66D3">
        <w:rPr>
          <w:rStyle w:val="20"/>
          <w:rFonts w:ascii="Helvetica Neue" w:hAnsi="Helvetica Neue"/>
          <w:color w:val="333333"/>
          <w:sz w:val="26"/>
          <w:szCs w:val="26"/>
          <w:lang w:val="en-US"/>
        </w:rPr>
        <w:t xml:space="preserve"> </w:t>
      </w:r>
      <w:r w:rsidRPr="00CC66D3">
        <w:rPr>
          <w:rStyle w:val="nlm-surname"/>
          <w:rFonts w:ascii="Times New Roman" w:hAnsi="Times New Roman"/>
          <w:sz w:val="28"/>
          <w:szCs w:val="28"/>
          <w:lang w:val="en-US"/>
        </w:rPr>
        <w:t>Hart</w:t>
      </w:r>
      <w:r w:rsidRPr="00CC66D3">
        <w:rPr>
          <w:rStyle w:val="apple-converted-space"/>
          <w:rFonts w:ascii="Times New Roman" w:hAnsi="Times New Roman"/>
          <w:sz w:val="28"/>
          <w:szCs w:val="28"/>
          <w:lang w:val="en-US"/>
        </w:rPr>
        <w:t> </w:t>
      </w:r>
      <w:r w:rsidRPr="00CC66D3">
        <w:rPr>
          <w:rStyle w:val="highwire-citation-author"/>
          <w:rFonts w:ascii="Times New Roman" w:hAnsi="Times New Roman"/>
          <w:sz w:val="28"/>
          <w:szCs w:val="28"/>
          <w:lang w:val="en-US"/>
        </w:rPr>
        <w:t>C.L.</w:t>
      </w:r>
      <w:r w:rsidRPr="00CC66D3">
        <w:rPr>
          <w:rFonts w:ascii="Times New Roman" w:hAnsi="Times New Roman"/>
          <w:sz w:val="28"/>
          <w:szCs w:val="28"/>
          <w:shd w:val="clear" w:color="auto" w:fill="FFFFFF"/>
          <w:lang w:val="en-US"/>
        </w:rPr>
        <w:t>,</w:t>
      </w:r>
      <w:r w:rsidRPr="00CC66D3">
        <w:rPr>
          <w:rStyle w:val="apple-converted-space"/>
          <w:rFonts w:ascii="Times New Roman" w:hAnsi="Times New Roman"/>
          <w:sz w:val="28"/>
          <w:szCs w:val="28"/>
          <w:shd w:val="clear" w:color="auto" w:fill="FFFFFF"/>
          <w:lang w:val="en-US"/>
        </w:rPr>
        <w:t> </w:t>
      </w:r>
      <w:r w:rsidRPr="00CC66D3">
        <w:rPr>
          <w:rStyle w:val="nlm-surname"/>
          <w:rFonts w:ascii="Times New Roman" w:hAnsi="Times New Roman"/>
          <w:sz w:val="28"/>
          <w:szCs w:val="28"/>
          <w:lang w:val="en-US"/>
        </w:rPr>
        <w:t>Hole</w:t>
      </w:r>
      <w:r w:rsidRPr="00CC66D3">
        <w:rPr>
          <w:rStyle w:val="apple-converted-space"/>
          <w:rFonts w:ascii="Times New Roman" w:hAnsi="Times New Roman"/>
          <w:sz w:val="28"/>
          <w:szCs w:val="28"/>
          <w:lang w:val="en-US"/>
        </w:rPr>
        <w:t> </w:t>
      </w:r>
      <w:r w:rsidRPr="00CC66D3">
        <w:rPr>
          <w:rStyle w:val="highwire-citation-author"/>
          <w:rFonts w:ascii="Times New Roman" w:hAnsi="Times New Roman"/>
          <w:sz w:val="28"/>
          <w:szCs w:val="28"/>
          <w:lang w:val="en-US"/>
        </w:rPr>
        <w:t>D.J.</w:t>
      </w:r>
      <w:r w:rsidRPr="00CC66D3">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Population prevalence, incidence, and predictors of atrial fibrillation in the Renfrew/Paisley study // Heart. </w:t>
      </w:r>
      <w:r w:rsidRPr="00967295">
        <w:rPr>
          <w:rFonts w:ascii="Times New Roman" w:hAnsi="Times New Roman"/>
          <w:color w:val="000000" w:themeColor="text1"/>
          <w:sz w:val="28"/>
          <w:szCs w:val="28"/>
          <w:lang w:eastAsia="en-US"/>
        </w:rPr>
        <w:t xml:space="preserve">2001.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eastAsia="en-US"/>
        </w:rPr>
        <w:t>.86, №5</w:t>
      </w:r>
      <w:r w:rsidRPr="00F74148">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516–521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eastAsia="en-US"/>
        </w:rPr>
        <w:t>.</w:t>
      </w:r>
    </w:p>
    <w:p w14:paraId="1B39C7AE"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2.</w:t>
      </w:r>
      <w:r w:rsidRPr="0003764E">
        <w:rPr>
          <w:rFonts w:ascii="Times New Roman" w:hAnsi="Times New Roman"/>
          <w:color w:val="000000" w:themeColor="text1"/>
          <w:sz w:val="28"/>
          <w:szCs w:val="28"/>
          <w:lang w:eastAsia="en-US"/>
        </w:rPr>
        <w:tab/>
      </w:r>
      <w:r w:rsidRPr="008933D3">
        <w:rPr>
          <w:rFonts w:ascii="Times New Roman" w:hAnsi="Times New Roman"/>
          <w:sz w:val="28"/>
          <w:szCs w:val="28"/>
        </w:rPr>
        <w:t xml:space="preserve">Сердечная Е.В., Юрьева С.В., Татарский Б.А., </w:t>
      </w:r>
      <w:r>
        <w:rPr>
          <w:rFonts w:ascii="Times New Roman" w:hAnsi="Times New Roman"/>
          <w:sz w:val="28"/>
          <w:szCs w:val="28"/>
        </w:rPr>
        <w:t>и др.</w:t>
      </w:r>
      <w:r w:rsidRPr="008933D3">
        <w:rPr>
          <w:rFonts w:ascii="Times New Roman" w:hAnsi="Times New Roman"/>
          <w:sz w:val="28"/>
          <w:szCs w:val="28"/>
        </w:rPr>
        <w:t xml:space="preserve"> Эпидемиология фибрилляции предсердий</w:t>
      </w:r>
      <w:r>
        <w:rPr>
          <w:rFonts w:ascii="Times New Roman" w:hAnsi="Times New Roman"/>
          <w:sz w:val="28"/>
          <w:szCs w:val="28"/>
        </w:rPr>
        <w:t>//</w:t>
      </w:r>
      <w:r w:rsidRPr="008933D3">
        <w:rPr>
          <w:rFonts w:ascii="Times New Roman" w:hAnsi="Times New Roman"/>
          <w:sz w:val="28"/>
          <w:szCs w:val="28"/>
        </w:rPr>
        <w:t xml:space="preserve"> Экология человека, </w:t>
      </w:r>
      <w:r>
        <w:rPr>
          <w:rFonts w:ascii="Times New Roman" w:hAnsi="Times New Roman"/>
          <w:sz w:val="28"/>
          <w:szCs w:val="28"/>
        </w:rPr>
        <w:t>2006. №11</w:t>
      </w:r>
      <w:r w:rsidRPr="00F74148">
        <w:rPr>
          <w:rFonts w:ascii="Times New Roman" w:hAnsi="Times New Roman"/>
          <w:sz w:val="28"/>
          <w:szCs w:val="28"/>
        </w:rPr>
        <w:t>,</w:t>
      </w:r>
      <w:r w:rsidRPr="008933D3">
        <w:rPr>
          <w:rFonts w:ascii="Times New Roman" w:hAnsi="Times New Roman"/>
          <w:sz w:val="28"/>
          <w:szCs w:val="28"/>
        </w:rPr>
        <w:t xml:space="preserve"> 48-52</w:t>
      </w:r>
      <w:r>
        <w:rPr>
          <w:rFonts w:ascii="Times New Roman" w:hAnsi="Times New Roman"/>
          <w:sz w:val="28"/>
          <w:szCs w:val="28"/>
        </w:rPr>
        <w:t>с</w:t>
      </w:r>
      <w:r w:rsidRPr="008933D3">
        <w:rPr>
          <w:rFonts w:ascii="Times New Roman" w:hAnsi="Times New Roman"/>
          <w:sz w:val="28"/>
          <w:szCs w:val="28"/>
          <w:lang w:eastAsia="en-US"/>
        </w:rPr>
        <w:t>.</w:t>
      </w:r>
    </w:p>
    <w:p w14:paraId="12AE1284"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3.</w:t>
      </w:r>
      <w:r w:rsidRPr="0003764E">
        <w:rPr>
          <w:rFonts w:ascii="Times New Roman" w:hAnsi="Times New Roman"/>
          <w:color w:val="000000" w:themeColor="text1"/>
          <w:sz w:val="28"/>
          <w:szCs w:val="28"/>
          <w:lang w:eastAsia="en-US"/>
        </w:rPr>
        <w:tab/>
      </w:r>
      <w:r w:rsidRPr="008933D3">
        <w:rPr>
          <w:rFonts w:ascii="Times New Roman" w:hAnsi="Times New Roman"/>
          <w:sz w:val="28"/>
          <w:szCs w:val="28"/>
        </w:rPr>
        <w:t>Ибраева А.Т. Влияние фибрилляции предсердий на развитие ишемического инсульта</w:t>
      </w:r>
      <w:r>
        <w:rPr>
          <w:rFonts w:ascii="Times New Roman" w:hAnsi="Times New Roman"/>
          <w:sz w:val="28"/>
          <w:szCs w:val="28"/>
          <w:lang w:val="kk-KZ"/>
        </w:rPr>
        <w:t xml:space="preserve"> //</w:t>
      </w:r>
      <w:r w:rsidRPr="008933D3">
        <w:rPr>
          <w:rFonts w:ascii="Times New Roman" w:hAnsi="Times New Roman"/>
          <w:sz w:val="28"/>
          <w:szCs w:val="28"/>
        </w:rPr>
        <w:t xml:space="preserve"> Вестник науки, 2024. </w:t>
      </w:r>
      <w:r>
        <w:rPr>
          <w:rFonts w:ascii="Times New Roman" w:hAnsi="Times New Roman"/>
          <w:sz w:val="28"/>
          <w:szCs w:val="28"/>
          <w:lang w:val="en-US"/>
        </w:rPr>
        <w:t>T</w:t>
      </w:r>
      <w:r w:rsidRPr="008933D3">
        <w:rPr>
          <w:rFonts w:ascii="Times New Roman" w:hAnsi="Times New Roman"/>
          <w:sz w:val="28"/>
          <w:szCs w:val="28"/>
        </w:rPr>
        <w:t>.3</w:t>
      </w:r>
      <w:r>
        <w:rPr>
          <w:rFonts w:ascii="Times New Roman" w:hAnsi="Times New Roman"/>
          <w:sz w:val="28"/>
          <w:szCs w:val="28"/>
        </w:rPr>
        <w:t>,</w:t>
      </w:r>
      <w:r w:rsidRPr="008933D3">
        <w:rPr>
          <w:rFonts w:ascii="Times New Roman" w:hAnsi="Times New Roman"/>
          <w:sz w:val="28"/>
          <w:szCs w:val="28"/>
        </w:rPr>
        <w:t xml:space="preserve"> </w:t>
      </w:r>
      <w:r>
        <w:rPr>
          <w:rFonts w:ascii="Times New Roman" w:hAnsi="Times New Roman"/>
          <w:sz w:val="28"/>
          <w:szCs w:val="28"/>
        </w:rPr>
        <w:t>№</w:t>
      </w:r>
      <w:r w:rsidRPr="008933D3">
        <w:rPr>
          <w:rFonts w:ascii="Times New Roman" w:hAnsi="Times New Roman"/>
          <w:sz w:val="28"/>
          <w:szCs w:val="28"/>
        </w:rPr>
        <w:t>5 (74), 1450-1455</w:t>
      </w:r>
      <w:r>
        <w:rPr>
          <w:rFonts w:ascii="Times New Roman" w:hAnsi="Times New Roman"/>
          <w:sz w:val="28"/>
          <w:szCs w:val="28"/>
          <w:lang w:val="en-US"/>
        </w:rPr>
        <w:t>c</w:t>
      </w:r>
      <w:r w:rsidRPr="008933D3">
        <w:rPr>
          <w:rFonts w:ascii="Times New Roman" w:hAnsi="Times New Roman"/>
          <w:sz w:val="28"/>
          <w:szCs w:val="28"/>
        </w:rPr>
        <w:t>.</w:t>
      </w:r>
    </w:p>
    <w:p w14:paraId="3B08FD30" w14:textId="77777777" w:rsidR="00AC4691" w:rsidRPr="00CC66D3"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eastAsia="en-US"/>
        </w:rPr>
        <w:t>4.</w:t>
      </w:r>
      <w:r w:rsidRPr="0003764E">
        <w:rPr>
          <w:rFonts w:ascii="Times New Roman" w:hAnsi="Times New Roman"/>
          <w:color w:val="000000" w:themeColor="text1"/>
          <w:sz w:val="28"/>
          <w:szCs w:val="28"/>
          <w:lang w:eastAsia="en-US"/>
        </w:rPr>
        <w:tab/>
      </w:r>
      <w:r w:rsidRPr="00086339">
        <w:rPr>
          <w:rFonts w:ascii="Times New Roman" w:hAnsi="Times New Roman"/>
          <w:sz w:val="28"/>
          <w:szCs w:val="28"/>
        </w:rPr>
        <w:t xml:space="preserve">Артанова Е.Л., Шварц Ю.Г. Контроль за антикоагулянтной терапией и качество жизни больных с фибрилляцией предсердий (обзор)// Саратовский научно-медицинский журнал, </w:t>
      </w:r>
      <w:r>
        <w:rPr>
          <w:rFonts w:ascii="Times New Roman" w:hAnsi="Times New Roman"/>
          <w:sz w:val="28"/>
          <w:szCs w:val="28"/>
        </w:rPr>
        <w:t>2012. Т</w:t>
      </w:r>
      <w:r w:rsidRPr="00CC66D3">
        <w:rPr>
          <w:rFonts w:ascii="Times New Roman" w:hAnsi="Times New Roman"/>
          <w:sz w:val="28"/>
          <w:szCs w:val="28"/>
          <w:lang w:val="en-US"/>
        </w:rPr>
        <w:t>.8, №2, 258-265</w:t>
      </w:r>
      <w:r>
        <w:rPr>
          <w:rFonts w:ascii="Times New Roman" w:hAnsi="Times New Roman"/>
          <w:sz w:val="28"/>
          <w:szCs w:val="28"/>
        </w:rPr>
        <w:t>с</w:t>
      </w:r>
      <w:r w:rsidRPr="00CC66D3">
        <w:rPr>
          <w:rFonts w:ascii="Times New Roman" w:hAnsi="Times New Roman"/>
          <w:sz w:val="28"/>
          <w:szCs w:val="28"/>
          <w:lang w:val="en-US"/>
        </w:rPr>
        <w:t>.</w:t>
      </w:r>
    </w:p>
    <w:p w14:paraId="62E5ECDB" w14:textId="37D418DF"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w:t>
      </w:r>
      <w:r w:rsidRPr="0003764E">
        <w:rPr>
          <w:rFonts w:ascii="Times New Roman" w:hAnsi="Times New Roman"/>
          <w:color w:val="000000" w:themeColor="text1"/>
          <w:sz w:val="28"/>
          <w:szCs w:val="28"/>
          <w:lang w:val="en-US" w:eastAsia="en-US"/>
        </w:rPr>
        <w:tab/>
        <w:t>Tlegenova Z.</w:t>
      </w:r>
      <w:r>
        <w:rPr>
          <w:rFonts w:ascii="Times New Roman" w:hAnsi="Times New Roman"/>
          <w:color w:val="000000" w:themeColor="text1"/>
          <w:sz w:val="28"/>
          <w:szCs w:val="28"/>
          <w:lang w:val="en-US" w:eastAsia="en-US"/>
        </w:rPr>
        <w:t>, Kudaiberdieva G., Zholdin B., et al.</w:t>
      </w:r>
      <w:r w:rsidRPr="0003764E">
        <w:rPr>
          <w:rFonts w:ascii="Times New Roman" w:hAnsi="Times New Roman"/>
          <w:color w:val="000000" w:themeColor="text1"/>
          <w:sz w:val="28"/>
          <w:szCs w:val="28"/>
          <w:lang w:val="en-US" w:eastAsia="en-US"/>
        </w:rPr>
        <w:t xml:space="preserve"> Screening for atrial fibrillation // J</w:t>
      </w:r>
      <w:r>
        <w:rPr>
          <w:rFonts w:ascii="Times New Roman" w:hAnsi="Times New Roman"/>
          <w:color w:val="000000" w:themeColor="text1"/>
          <w:sz w:val="28"/>
          <w:szCs w:val="28"/>
          <w:lang w:val="en-US" w:eastAsia="en-US"/>
        </w:rPr>
        <w:t>ournal of Clinical Medicine of Kazakhstan</w:t>
      </w:r>
      <w:r w:rsidRPr="0003764E">
        <w:rPr>
          <w:rFonts w:ascii="Times New Roman" w:hAnsi="Times New Roman"/>
          <w:color w:val="000000" w:themeColor="text1"/>
          <w:sz w:val="28"/>
          <w:szCs w:val="28"/>
          <w:lang w:val="en-US" w:eastAsia="en-US"/>
        </w:rPr>
        <w:t xml:space="preserve">, 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.1, № 47</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18–24</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29BC8645" w14:textId="06A121FA" w:rsidR="00AC4691" w:rsidRPr="0003764E" w:rsidRDefault="00AC4691" w:rsidP="00AC4691">
      <w:pPr>
        <w:pStyle w:val="af4"/>
        <w:jc w:val="both"/>
        <w:rPr>
          <w:rFonts w:ascii="Times New Roman" w:hAnsi="Times New Roman"/>
          <w:color w:val="000000" w:themeColor="text1"/>
          <w:sz w:val="28"/>
          <w:szCs w:val="28"/>
          <w:lang w:val="en-US" w:eastAsia="en-US"/>
        </w:rPr>
      </w:pPr>
      <w:r w:rsidRPr="00967295">
        <w:rPr>
          <w:rFonts w:ascii="Times New Roman" w:hAnsi="Times New Roman"/>
          <w:color w:val="000000" w:themeColor="text1"/>
          <w:sz w:val="28"/>
          <w:szCs w:val="28"/>
          <w:lang w:val="en-US" w:eastAsia="en-US"/>
        </w:rPr>
        <w:t>6.</w:t>
      </w:r>
      <w:r w:rsidRPr="00967295">
        <w:rPr>
          <w:rFonts w:ascii="Times New Roman" w:hAnsi="Times New Roman"/>
          <w:color w:val="000000" w:themeColor="text1"/>
          <w:sz w:val="28"/>
          <w:szCs w:val="28"/>
          <w:lang w:val="en-US" w:eastAsia="en-US"/>
        </w:rPr>
        <w:tab/>
        <w:t>Skirdenko Y.P.</w:t>
      </w:r>
      <w:r>
        <w:rPr>
          <w:rFonts w:ascii="Times New Roman" w:hAnsi="Times New Roman"/>
          <w:color w:val="000000" w:themeColor="text1"/>
          <w:sz w:val="28"/>
          <w:szCs w:val="28"/>
          <w:lang w:val="en-US" w:eastAsia="en-US"/>
        </w:rPr>
        <w:t xml:space="preserve">, Nikolayev N.A., Livzan N.A. et al. </w:t>
      </w:r>
      <w:r w:rsidRPr="0003764E">
        <w:rPr>
          <w:rFonts w:ascii="Times New Roman" w:hAnsi="Times New Roman"/>
          <w:color w:val="000000" w:themeColor="text1"/>
          <w:sz w:val="28"/>
          <w:szCs w:val="28"/>
          <w:lang w:val="en-US" w:eastAsia="en-US"/>
        </w:rPr>
        <w:t>Anticoagulant Therapy for Atrial Fibrillation in Real Practice: Problems and Prospects:2//Annals of the Russian academy of medical sciences</w:t>
      </w:r>
      <w:r>
        <w:rPr>
          <w:rFonts w:ascii="Times New Roman" w:hAnsi="Times New Roman"/>
          <w:color w:val="000000" w:themeColor="text1"/>
          <w:sz w:val="28"/>
          <w:szCs w:val="28"/>
          <w:lang w:val="kk-KZ" w:eastAsia="en-US"/>
        </w:rPr>
        <w:t xml:space="preserve">, </w:t>
      </w:r>
      <w:r w:rsidRPr="0003764E">
        <w:rPr>
          <w:rFonts w:ascii="Times New Roman" w:hAnsi="Times New Roman"/>
          <w:color w:val="000000" w:themeColor="text1"/>
          <w:sz w:val="28"/>
          <w:szCs w:val="28"/>
          <w:lang w:val="en-US" w:eastAsia="en-US"/>
        </w:rPr>
        <w:t xml:space="preserve">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74,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98–107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077D072" w14:textId="7BB049F2" w:rsidR="00AC4691" w:rsidRPr="00181EA4"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7.</w:t>
      </w:r>
      <w:r w:rsidRPr="0003764E">
        <w:rPr>
          <w:rFonts w:ascii="Times New Roman" w:hAnsi="Times New Roman"/>
          <w:color w:val="000000" w:themeColor="text1"/>
          <w:sz w:val="28"/>
          <w:szCs w:val="28"/>
          <w:lang w:val="en-US" w:eastAsia="en-US"/>
        </w:rPr>
        <w:tab/>
        <w:t>Lip G.</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181EA4">
        <w:rPr>
          <w:rFonts w:ascii="Times New Roman" w:hAnsi="Times New Roman"/>
          <w:color w:val="212121"/>
          <w:sz w:val="28"/>
          <w:szCs w:val="28"/>
          <w:shd w:val="clear" w:color="auto" w:fill="FFFFFF"/>
          <w:lang w:val="en-US"/>
        </w:rPr>
        <w:t>Gue Y., Zhang J.</w:t>
      </w:r>
      <w:r w:rsidRPr="00181EA4">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Stroke prevention in atrial fibrillation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//Trends in Cardiovascular Medicine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181EA4">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181EA4">
        <w:rPr>
          <w:rFonts w:ascii="Times New Roman" w:hAnsi="Times New Roman"/>
          <w:color w:val="000000" w:themeColor="text1"/>
          <w:sz w:val="28"/>
          <w:szCs w:val="28"/>
          <w:lang w:eastAsia="en-US"/>
        </w:rPr>
        <w:t>. 32, № 8,</w:t>
      </w:r>
      <w:r>
        <w:rPr>
          <w:rFonts w:ascii="Times New Roman" w:hAnsi="Times New Roman"/>
          <w:color w:val="000000" w:themeColor="text1"/>
          <w:sz w:val="28"/>
          <w:szCs w:val="28"/>
          <w:lang w:val="en-US" w:eastAsia="en-US"/>
        </w:rPr>
        <w:t xml:space="preserve"> </w:t>
      </w:r>
      <w:r w:rsidRPr="00181EA4">
        <w:rPr>
          <w:rFonts w:ascii="Times New Roman" w:hAnsi="Times New Roman"/>
          <w:color w:val="000000" w:themeColor="text1"/>
          <w:sz w:val="28"/>
          <w:szCs w:val="28"/>
          <w:lang w:eastAsia="en-US"/>
        </w:rPr>
        <w:t>501–510</w:t>
      </w:r>
      <w:r>
        <w:rPr>
          <w:rFonts w:ascii="Times New Roman" w:hAnsi="Times New Roman"/>
          <w:color w:val="000000" w:themeColor="text1"/>
          <w:sz w:val="28"/>
          <w:szCs w:val="28"/>
          <w:lang w:val="en-US" w:eastAsia="en-US"/>
        </w:rPr>
        <w:t>p</w:t>
      </w:r>
      <w:r w:rsidRPr="00181EA4">
        <w:rPr>
          <w:rFonts w:ascii="Times New Roman" w:hAnsi="Times New Roman"/>
          <w:color w:val="000000" w:themeColor="text1"/>
          <w:sz w:val="28"/>
          <w:szCs w:val="28"/>
          <w:lang w:eastAsia="en-US"/>
        </w:rPr>
        <w:t>.</w:t>
      </w:r>
    </w:p>
    <w:p w14:paraId="4F8474EA"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8.</w:t>
      </w:r>
      <w:r w:rsidRPr="0003764E">
        <w:rPr>
          <w:rFonts w:ascii="Times New Roman" w:hAnsi="Times New Roman"/>
          <w:color w:val="000000" w:themeColor="text1"/>
          <w:sz w:val="28"/>
          <w:szCs w:val="28"/>
          <w:lang w:eastAsia="en-US"/>
        </w:rPr>
        <w:tab/>
      </w:r>
      <w:r w:rsidRPr="00181EA4">
        <w:rPr>
          <w:rFonts w:ascii="Times New Roman" w:hAnsi="Times New Roman"/>
          <w:sz w:val="28"/>
          <w:szCs w:val="28"/>
        </w:rPr>
        <w:t>Петров В.И., Герасименко А.С., Горбатенко В.С.,</w:t>
      </w:r>
      <w:r>
        <w:rPr>
          <w:rFonts w:ascii="Times New Roman" w:hAnsi="Times New Roman"/>
          <w:sz w:val="28"/>
          <w:szCs w:val="28"/>
        </w:rPr>
        <w:t xml:space="preserve"> и др</w:t>
      </w:r>
      <w:r w:rsidRPr="00181EA4">
        <w:rPr>
          <w:rFonts w:ascii="Times New Roman" w:hAnsi="Times New Roman"/>
          <w:sz w:val="28"/>
          <w:szCs w:val="28"/>
        </w:rPr>
        <w:t xml:space="preserve">. </w:t>
      </w:r>
      <w:r>
        <w:rPr>
          <w:rFonts w:ascii="Times New Roman" w:hAnsi="Times New Roman"/>
          <w:sz w:val="28"/>
          <w:szCs w:val="28"/>
        </w:rPr>
        <w:t xml:space="preserve">Фармакодинамика оральных антикоагулянтов у больных с фибрилляцией предсердий в остром периоде ишемического инсульта // </w:t>
      </w:r>
      <w:r w:rsidRPr="00181EA4">
        <w:rPr>
          <w:rFonts w:ascii="Times New Roman" w:hAnsi="Times New Roman"/>
          <w:sz w:val="28"/>
          <w:szCs w:val="28"/>
        </w:rPr>
        <w:t>Фармация и фармакология, 2020</w:t>
      </w:r>
      <w:r>
        <w:rPr>
          <w:rFonts w:ascii="Times New Roman" w:hAnsi="Times New Roman"/>
          <w:sz w:val="28"/>
          <w:szCs w:val="28"/>
          <w:lang w:val="kk-KZ"/>
        </w:rPr>
        <w:t xml:space="preserve">. </w:t>
      </w:r>
      <w:r>
        <w:rPr>
          <w:rFonts w:ascii="Times New Roman" w:hAnsi="Times New Roman"/>
          <w:sz w:val="28"/>
          <w:szCs w:val="28"/>
        </w:rPr>
        <w:t>Т.</w:t>
      </w:r>
      <w:r w:rsidRPr="00181EA4">
        <w:rPr>
          <w:rFonts w:ascii="Times New Roman" w:hAnsi="Times New Roman"/>
          <w:sz w:val="28"/>
          <w:szCs w:val="28"/>
        </w:rPr>
        <w:t xml:space="preserve">8, </w:t>
      </w:r>
      <w:r>
        <w:rPr>
          <w:rFonts w:ascii="Times New Roman" w:hAnsi="Times New Roman"/>
          <w:sz w:val="28"/>
          <w:szCs w:val="28"/>
        </w:rPr>
        <w:t>№</w:t>
      </w:r>
      <w:r w:rsidRPr="00181EA4">
        <w:rPr>
          <w:rFonts w:ascii="Times New Roman" w:hAnsi="Times New Roman"/>
          <w:sz w:val="28"/>
          <w:szCs w:val="28"/>
        </w:rPr>
        <w:t>4, 222-232</w:t>
      </w:r>
      <w:r>
        <w:rPr>
          <w:rFonts w:ascii="Times New Roman" w:hAnsi="Times New Roman"/>
          <w:sz w:val="28"/>
          <w:szCs w:val="28"/>
          <w:lang w:val="kk-KZ"/>
        </w:rPr>
        <w:t>с</w:t>
      </w:r>
      <w:r w:rsidRPr="00181EA4">
        <w:rPr>
          <w:rFonts w:ascii="Times New Roman" w:hAnsi="Times New Roman"/>
          <w:sz w:val="28"/>
          <w:szCs w:val="28"/>
        </w:rPr>
        <w:t>.</w:t>
      </w:r>
    </w:p>
    <w:p w14:paraId="27860422" w14:textId="77777777" w:rsidR="00AC4691" w:rsidRPr="004C25EA"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eastAsia="en-US"/>
        </w:rPr>
        <w:t>9.</w:t>
      </w:r>
      <w:r w:rsidRPr="0003764E">
        <w:rPr>
          <w:rFonts w:ascii="Times New Roman" w:hAnsi="Times New Roman"/>
          <w:color w:val="000000" w:themeColor="text1"/>
          <w:sz w:val="28"/>
          <w:szCs w:val="28"/>
          <w:lang w:eastAsia="en-US"/>
        </w:rPr>
        <w:tab/>
      </w:r>
      <w:r w:rsidRPr="004C25EA">
        <w:rPr>
          <w:rFonts w:ascii="Times New Roman" w:hAnsi="Times New Roman"/>
          <w:sz w:val="28"/>
          <w:szCs w:val="28"/>
        </w:rPr>
        <w:t>Айдарканова</w:t>
      </w:r>
      <w:r>
        <w:rPr>
          <w:rFonts w:ascii="Times New Roman" w:hAnsi="Times New Roman"/>
          <w:sz w:val="28"/>
          <w:szCs w:val="28"/>
          <w:lang w:val="kk-KZ"/>
        </w:rPr>
        <w:t xml:space="preserve"> </w:t>
      </w:r>
      <w:r w:rsidRPr="004C25EA">
        <w:rPr>
          <w:rFonts w:ascii="Times New Roman" w:hAnsi="Times New Roman"/>
          <w:sz w:val="28"/>
          <w:szCs w:val="28"/>
        </w:rPr>
        <w:t xml:space="preserve">К.К., </w:t>
      </w:r>
      <w:r>
        <w:rPr>
          <w:rFonts w:ascii="Times New Roman" w:hAnsi="Times New Roman"/>
          <w:sz w:val="28"/>
          <w:szCs w:val="28"/>
          <w:lang w:val="kk-KZ"/>
        </w:rPr>
        <w:t>Мусатаева</w:t>
      </w:r>
      <w:r w:rsidRPr="004C25EA">
        <w:rPr>
          <w:rFonts w:ascii="Times New Roman" w:hAnsi="Times New Roman"/>
          <w:sz w:val="28"/>
          <w:szCs w:val="28"/>
        </w:rPr>
        <w:t xml:space="preserve"> А.А.</w:t>
      </w:r>
      <w:r>
        <w:rPr>
          <w:rFonts w:ascii="Times New Roman" w:hAnsi="Times New Roman"/>
          <w:sz w:val="28"/>
          <w:szCs w:val="28"/>
          <w:lang w:val="kk-KZ"/>
        </w:rPr>
        <w:t xml:space="preserve"> Роль</w:t>
      </w:r>
      <w:r w:rsidRPr="004C25EA">
        <w:rPr>
          <w:rFonts w:ascii="Times New Roman" w:hAnsi="Times New Roman"/>
          <w:sz w:val="28"/>
          <w:szCs w:val="28"/>
        </w:rPr>
        <w:t xml:space="preserve"> фибрилляции предсердий на </w:t>
      </w:r>
      <w:r>
        <w:rPr>
          <w:rFonts w:ascii="Times New Roman" w:hAnsi="Times New Roman"/>
          <w:sz w:val="28"/>
          <w:szCs w:val="28"/>
        </w:rPr>
        <w:t>исход инсульта//</w:t>
      </w:r>
      <w:r w:rsidRPr="004C25EA">
        <w:rPr>
          <w:rFonts w:ascii="Times New Roman" w:hAnsi="Times New Roman"/>
          <w:sz w:val="28"/>
          <w:szCs w:val="28"/>
        </w:rPr>
        <w:t xml:space="preserve"> Вестник науки,</w:t>
      </w:r>
      <w:r>
        <w:rPr>
          <w:rFonts w:ascii="Times New Roman" w:hAnsi="Times New Roman"/>
          <w:sz w:val="28"/>
          <w:szCs w:val="28"/>
        </w:rPr>
        <w:t xml:space="preserve"> 2024. Том</w:t>
      </w:r>
      <w:r w:rsidRPr="004C25EA">
        <w:rPr>
          <w:rFonts w:ascii="Times New Roman" w:hAnsi="Times New Roman"/>
          <w:sz w:val="28"/>
          <w:szCs w:val="28"/>
          <w:lang w:val="en-US"/>
        </w:rPr>
        <w:t xml:space="preserve"> 3, №5 (74), 1430-1435</w:t>
      </w:r>
      <w:r>
        <w:rPr>
          <w:rFonts w:ascii="Times New Roman" w:hAnsi="Times New Roman"/>
          <w:sz w:val="28"/>
          <w:szCs w:val="28"/>
        </w:rPr>
        <w:t>с</w:t>
      </w:r>
      <w:r w:rsidRPr="004C25EA">
        <w:rPr>
          <w:rFonts w:ascii="Times New Roman" w:hAnsi="Times New Roman"/>
          <w:sz w:val="28"/>
          <w:szCs w:val="28"/>
          <w:lang w:val="en-US"/>
        </w:rPr>
        <w:t>.</w:t>
      </w:r>
    </w:p>
    <w:p w14:paraId="5B595EFF"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10.</w:t>
      </w:r>
      <w:r w:rsidRPr="0003764E">
        <w:rPr>
          <w:rFonts w:ascii="Times New Roman" w:hAnsi="Times New Roman"/>
          <w:color w:val="000000" w:themeColor="text1"/>
          <w:sz w:val="28"/>
          <w:szCs w:val="28"/>
          <w:lang w:val="en-US" w:eastAsia="en-US"/>
        </w:rPr>
        <w:tab/>
        <w:t xml:space="preserve">Satybaldyeva M. A., Reshetnyak T. M. </w:t>
      </w:r>
      <w:r>
        <w:rPr>
          <w:rFonts w:ascii="Times New Roman" w:hAnsi="Times New Roman"/>
          <w:color w:val="000000" w:themeColor="text1"/>
          <w:sz w:val="28"/>
          <w:szCs w:val="28"/>
          <w:lang w:val="en-US" w:eastAsia="en-US"/>
        </w:rPr>
        <w:t>New oral anticoagulants in the therapy of antiphospholipid syndrome</w:t>
      </w:r>
      <w:r w:rsidRPr="0003764E">
        <w:rPr>
          <w:rFonts w:ascii="Times New Roman" w:hAnsi="Times New Roman"/>
          <w:color w:val="000000" w:themeColor="text1"/>
          <w:sz w:val="28"/>
          <w:szCs w:val="28"/>
          <w:lang w:val="en-US" w:eastAsia="en-US"/>
        </w:rPr>
        <w:t xml:space="preserve"> // Rheumatology Science and Practice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4C25EA">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4C25EA">
        <w:rPr>
          <w:rFonts w:ascii="Times New Roman" w:hAnsi="Times New Roman"/>
          <w:color w:val="000000" w:themeColor="text1"/>
          <w:sz w:val="28"/>
          <w:szCs w:val="28"/>
          <w:lang w:eastAsia="en-US"/>
        </w:rPr>
        <w:t>.</w:t>
      </w:r>
      <w:r w:rsidRPr="0003764E">
        <w:rPr>
          <w:rFonts w:ascii="Times New Roman" w:hAnsi="Times New Roman"/>
          <w:color w:val="000000" w:themeColor="text1"/>
          <w:sz w:val="28"/>
          <w:szCs w:val="28"/>
          <w:lang w:eastAsia="en-US"/>
        </w:rPr>
        <w:t>54, № 2.</w:t>
      </w:r>
      <w:r w:rsidRPr="004C25EA">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219–226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eastAsia="en-US"/>
        </w:rPr>
        <w:t>.</w:t>
      </w:r>
    </w:p>
    <w:p w14:paraId="0E9E43E4"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11.</w:t>
      </w:r>
      <w:r w:rsidRPr="0003764E">
        <w:rPr>
          <w:rFonts w:ascii="Times New Roman" w:hAnsi="Times New Roman"/>
          <w:color w:val="000000" w:themeColor="text1"/>
          <w:sz w:val="28"/>
          <w:szCs w:val="28"/>
          <w:lang w:eastAsia="en-US"/>
        </w:rPr>
        <w:tab/>
      </w:r>
      <w:r w:rsidRPr="00234069">
        <w:rPr>
          <w:rFonts w:ascii="Times New Roman" w:hAnsi="Times New Roman"/>
          <w:sz w:val="28"/>
          <w:szCs w:val="28"/>
        </w:rPr>
        <w:t>Калинина Н. Современная антикоагулянтная терапия при фибрилляции предсердий</w:t>
      </w:r>
      <w:r>
        <w:rPr>
          <w:rFonts w:ascii="Times New Roman" w:hAnsi="Times New Roman"/>
          <w:sz w:val="28"/>
          <w:szCs w:val="28"/>
        </w:rPr>
        <w:t xml:space="preserve"> //</w:t>
      </w:r>
      <w:r w:rsidRPr="00234069">
        <w:rPr>
          <w:rFonts w:ascii="Times New Roman" w:hAnsi="Times New Roman"/>
          <w:sz w:val="28"/>
          <w:szCs w:val="28"/>
        </w:rPr>
        <w:t xml:space="preserve"> Ремедиум. Журнал о российском рынке лекарств и медицинской технике, 2020. </w:t>
      </w:r>
      <w:r>
        <w:rPr>
          <w:rFonts w:ascii="Times New Roman" w:hAnsi="Times New Roman"/>
          <w:sz w:val="28"/>
          <w:szCs w:val="28"/>
        </w:rPr>
        <w:t>№</w:t>
      </w:r>
      <w:r w:rsidRPr="00234069">
        <w:rPr>
          <w:rFonts w:ascii="Times New Roman" w:hAnsi="Times New Roman"/>
          <w:sz w:val="28"/>
          <w:szCs w:val="28"/>
        </w:rPr>
        <w:t>11-12, 28-30</w:t>
      </w:r>
      <w:r>
        <w:rPr>
          <w:rFonts w:ascii="Times New Roman" w:hAnsi="Times New Roman"/>
          <w:sz w:val="28"/>
          <w:szCs w:val="28"/>
        </w:rPr>
        <w:t>с</w:t>
      </w:r>
      <w:r w:rsidRPr="00234069">
        <w:rPr>
          <w:rFonts w:ascii="Times New Roman" w:hAnsi="Times New Roman"/>
          <w:sz w:val="28"/>
          <w:szCs w:val="28"/>
        </w:rPr>
        <w:t>.</w:t>
      </w:r>
    </w:p>
    <w:p w14:paraId="689F40D7" w14:textId="77777777" w:rsidR="00AC4691" w:rsidRPr="00234069" w:rsidRDefault="00AC4691" w:rsidP="00AC4691">
      <w:pPr>
        <w:pStyle w:val="af4"/>
        <w:jc w:val="both"/>
        <w:rPr>
          <w:rFonts w:ascii="Times New Roman" w:hAnsi="Times New Roman"/>
          <w:sz w:val="28"/>
          <w:szCs w:val="28"/>
          <w:lang w:eastAsia="en-US"/>
        </w:rPr>
      </w:pPr>
      <w:r w:rsidRPr="0003764E">
        <w:rPr>
          <w:rFonts w:ascii="Times New Roman" w:hAnsi="Times New Roman"/>
          <w:color w:val="000000" w:themeColor="text1"/>
          <w:sz w:val="28"/>
          <w:szCs w:val="28"/>
          <w:lang w:eastAsia="en-US"/>
        </w:rPr>
        <w:t>12.</w:t>
      </w:r>
      <w:r w:rsidRPr="0003764E">
        <w:rPr>
          <w:rFonts w:ascii="Times New Roman" w:hAnsi="Times New Roman"/>
          <w:color w:val="000000" w:themeColor="text1"/>
          <w:sz w:val="28"/>
          <w:szCs w:val="28"/>
          <w:lang w:eastAsia="en-US"/>
        </w:rPr>
        <w:tab/>
      </w:r>
      <w:r w:rsidRPr="00234069">
        <w:rPr>
          <w:rFonts w:ascii="Times New Roman" w:hAnsi="Times New Roman"/>
          <w:sz w:val="28"/>
          <w:szCs w:val="28"/>
        </w:rPr>
        <w:t>Канорский С</w:t>
      </w:r>
      <w:r>
        <w:rPr>
          <w:rFonts w:ascii="Times New Roman" w:hAnsi="Times New Roman"/>
          <w:sz w:val="28"/>
          <w:szCs w:val="28"/>
        </w:rPr>
        <w:t>.Г.</w:t>
      </w:r>
      <w:r w:rsidRPr="00234069">
        <w:rPr>
          <w:rFonts w:ascii="Times New Roman" w:hAnsi="Times New Roman"/>
          <w:sz w:val="28"/>
          <w:szCs w:val="28"/>
        </w:rPr>
        <w:t>,</w:t>
      </w:r>
      <w:r>
        <w:rPr>
          <w:rFonts w:ascii="Times New Roman" w:hAnsi="Times New Roman"/>
          <w:sz w:val="28"/>
          <w:szCs w:val="28"/>
        </w:rPr>
        <w:t xml:space="preserve"> </w:t>
      </w:r>
      <w:r w:rsidRPr="00234069">
        <w:rPr>
          <w:rFonts w:ascii="Times New Roman" w:hAnsi="Times New Roman"/>
          <w:sz w:val="28"/>
          <w:szCs w:val="28"/>
        </w:rPr>
        <w:t>Полищук Л.</w:t>
      </w:r>
      <w:r>
        <w:rPr>
          <w:rFonts w:ascii="Times New Roman" w:hAnsi="Times New Roman"/>
          <w:sz w:val="28"/>
          <w:szCs w:val="28"/>
        </w:rPr>
        <w:t>В. Пациент-ориентированное лечение фибрилляции предсердий //</w:t>
      </w:r>
      <w:r w:rsidRPr="00234069">
        <w:rPr>
          <w:rFonts w:ascii="Times New Roman" w:hAnsi="Times New Roman"/>
          <w:sz w:val="28"/>
          <w:szCs w:val="28"/>
        </w:rPr>
        <w:t xml:space="preserve"> Международный журнал сердца и сосудистых заболеваний,</w:t>
      </w:r>
      <w:r>
        <w:rPr>
          <w:rFonts w:ascii="Times New Roman" w:hAnsi="Times New Roman"/>
          <w:sz w:val="28"/>
          <w:szCs w:val="28"/>
        </w:rPr>
        <w:t xml:space="preserve"> 2020.</w:t>
      </w:r>
      <w:r w:rsidRPr="00234069">
        <w:rPr>
          <w:rFonts w:ascii="Times New Roman" w:hAnsi="Times New Roman"/>
          <w:sz w:val="28"/>
          <w:szCs w:val="28"/>
        </w:rPr>
        <w:t xml:space="preserve"> </w:t>
      </w:r>
      <w:r>
        <w:rPr>
          <w:rFonts w:ascii="Times New Roman" w:hAnsi="Times New Roman"/>
          <w:sz w:val="28"/>
          <w:szCs w:val="28"/>
        </w:rPr>
        <w:t>Т.</w:t>
      </w:r>
      <w:r w:rsidRPr="00234069">
        <w:rPr>
          <w:rFonts w:ascii="Times New Roman" w:hAnsi="Times New Roman"/>
          <w:sz w:val="28"/>
          <w:szCs w:val="28"/>
        </w:rPr>
        <w:t xml:space="preserve"> 8, </w:t>
      </w:r>
      <w:r>
        <w:rPr>
          <w:rFonts w:ascii="Times New Roman" w:hAnsi="Times New Roman"/>
          <w:sz w:val="28"/>
          <w:szCs w:val="28"/>
        </w:rPr>
        <w:t>№</w:t>
      </w:r>
      <w:r w:rsidRPr="00234069">
        <w:rPr>
          <w:rFonts w:ascii="Times New Roman" w:hAnsi="Times New Roman"/>
          <w:sz w:val="28"/>
          <w:szCs w:val="28"/>
        </w:rPr>
        <w:t xml:space="preserve"> 28, 47-56</w:t>
      </w:r>
      <w:r>
        <w:rPr>
          <w:rFonts w:ascii="Times New Roman" w:hAnsi="Times New Roman"/>
          <w:sz w:val="28"/>
          <w:szCs w:val="28"/>
        </w:rPr>
        <w:t>с</w:t>
      </w:r>
      <w:r w:rsidRPr="00234069">
        <w:rPr>
          <w:rFonts w:ascii="Times New Roman" w:hAnsi="Times New Roman"/>
          <w:sz w:val="28"/>
          <w:szCs w:val="28"/>
        </w:rPr>
        <w:t xml:space="preserve">. </w:t>
      </w:r>
    </w:p>
    <w:p w14:paraId="40876F18"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13.</w:t>
      </w:r>
      <w:r w:rsidRPr="0003764E">
        <w:rPr>
          <w:rFonts w:ascii="Times New Roman" w:hAnsi="Times New Roman"/>
          <w:color w:val="000000" w:themeColor="text1"/>
          <w:sz w:val="28"/>
          <w:szCs w:val="28"/>
          <w:lang w:eastAsia="en-US"/>
        </w:rPr>
        <w:tab/>
      </w:r>
      <w:r w:rsidRPr="00234069">
        <w:rPr>
          <w:rFonts w:ascii="Times New Roman" w:hAnsi="Times New Roman"/>
          <w:sz w:val="28"/>
          <w:szCs w:val="28"/>
        </w:rPr>
        <w:t>Скирденко Ю.П., Николаев Н.А. Алгоритм выбора антикоагулянта для больных фибрилляцией предсердий</w:t>
      </w:r>
      <w:r>
        <w:rPr>
          <w:rFonts w:ascii="Times New Roman" w:hAnsi="Times New Roman"/>
          <w:sz w:val="28"/>
          <w:szCs w:val="28"/>
        </w:rPr>
        <w:t xml:space="preserve"> //</w:t>
      </w:r>
      <w:r w:rsidRPr="00234069">
        <w:rPr>
          <w:rFonts w:ascii="Times New Roman" w:hAnsi="Times New Roman"/>
          <w:sz w:val="28"/>
          <w:szCs w:val="28"/>
        </w:rPr>
        <w:t xml:space="preserve"> Рациональная фармакотерапия в кардиологии,</w:t>
      </w:r>
      <w:r>
        <w:rPr>
          <w:rFonts w:ascii="Times New Roman" w:hAnsi="Times New Roman"/>
          <w:sz w:val="28"/>
          <w:szCs w:val="28"/>
        </w:rPr>
        <w:t xml:space="preserve"> 2020,</w:t>
      </w:r>
      <w:r w:rsidRPr="00234069">
        <w:rPr>
          <w:rFonts w:ascii="Times New Roman" w:hAnsi="Times New Roman"/>
          <w:sz w:val="28"/>
          <w:szCs w:val="28"/>
        </w:rPr>
        <w:t xml:space="preserve">  </w:t>
      </w:r>
      <w:r>
        <w:rPr>
          <w:rFonts w:ascii="Times New Roman" w:hAnsi="Times New Roman"/>
          <w:sz w:val="28"/>
          <w:szCs w:val="28"/>
        </w:rPr>
        <w:t>Т.</w:t>
      </w:r>
      <w:r w:rsidRPr="00234069">
        <w:rPr>
          <w:rFonts w:ascii="Times New Roman" w:hAnsi="Times New Roman"/>
          <w:sz w:val="28"/>
          <w:szCs w:val="28"/>
        </w:rPr>
        <w:t xml:space="preserve">16, </w:t>
      </w:r>
      <w:r>
        <w:rPr>
          <w:rFonts w:ascii="Times New Roman" w:hAnsi="Times New Roman"/>
          <w:sz w:val="28"/>
          <w:szCs w:val="28"/>
        </w:rPr>
        <w:t>№</w:t>
      </w:r>
      <w:r w:rsidRPr="00234069">
        <w:rPr>
          <w:rFonts w:ascii="Times New Roman" w:hAnsi="Times New Roman"/>
          <w:sz w:val="28"/>
          <w:szCs w:val="28"/>
        </w:rPr>
        <w:t>2, 199-205</w:t>
      </w:r>
      <w:r>
        <w:rPr>
          <w:rFonts w:ascii="Times New Roman" w:hAnsi="Times New Roman"/>
          <w:sz w:val="28"/>
          <w:szCs w:val="28"/>
        </w:rPr>
        <w:t>с</w:t>
      </w:r>
      <w:r w:rsidRPr="00234069">
        <w:rPr>
          <w:rFonts w:ascii="Times New Roman" w:hAnsi="Times New Roman"/>
          <w:sz w:val="28"/>
          <w:szCs w:val="28"/>
        </w:rPr>
        <w:t>.</w:t>
      </w:r>
    </w:p>
    <w:p w14:paraId="26BDB048"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w:t>
      </w:r>
      <w:r w:rsidRPr="0003764E">
        <w:rPr>
          <w:rFonts w:ascii="Times New Roman" w:hAnsi="Times New Roman"/>
          <w:color w:val="000000" w:themeColor="text1"/>
          <w:sz w:val="28"/>
          <w:szCs w:val="28"/>
          <w:lang w:val="en-US" w:eastAsia="en-US"/>
        </w:rPr>
        <w:tab/>
        <w:t>Kanuri S.H., Kreutz R.P. Pharmacogenomics of Novel Direct Oral Anticoagulants: Newly Identified Genes and Genetic Variants // J</w:t>
      </w:r>
      <w:r>
        <w:rPr>
          <w:rFonts w:ascii="Times New Roman" w:hAnsi="Times New Roman"/>
          <w:color w:val="000000" w:themeColor="text1"/>
          <w:sz w:val="28"/>
          <w:szCs w:val="28"/>
          <w:lang w:val="en-US" w:eastAsia="en-US"/>
        </w:rPr>
        <w:t>ournal of</w:t>
      </w:r>
      <w:r w:rsidRPr="0003764E">
        <w:rPr>
          <w:rFonts w:ascii="Times New Roman" w:hAnsi="Times New Roman"/>
          <w:color w:val="000000" w:themeColor="text1"/>
          <w:sz w:val="28"/>
          <w:szCs w:val="28"/>
          <w:lang w:val="en-US" w:eastAsia="en-US"/>
        </w:rPr>
        <w:t xml:space="preserve"> Pers</w:t>
      </w:r>
      <w:r>
        <w:rPr>
          <w:rFonts w:ascii="Times New Roman" w:hAnsi="Times New Roman"/>
          <w:color w:val="000000" w:themeColor="text1"/>
          <w:sz w:val="28"/>
          <w:szCs w:val="28"/>
          <w:lang w:val="en-US" w:eastAsia="en-US"/>
        </w:rPr>
        <w:t>onalized</w:t>
      </w:r>
      <w:r w:rsidRPr="0003764E">
        <w:rPr>
          <w:rFonts w:ascii="Times New Roman" w:hAnsi="Times New Roman"/>
          <w:color w:val="000000" w:themeColor="text1"/>
          <w:sz w:val="28"/>
          <w:szCs w:val="28"/>
          <w:lang w:val="en-US" w:eastAsia="en-US"/>
        </w:rPr>
        <w:t xml:space="preserve"> Med</w:t>
      </w:r>
      <w:r>
        <w:rPr>
          <w:rFonts w:ascii="Times New Roman" w:hAnsi="Times New Roman"/>
          <w:color w:val="000000" w:themeColor="text1"/>
          <w:sz w:val="28"/>
          <w:szCs w:val="28"/>
          <w:lang w:val="en-US" w:eastAsia="en-US"/>
        </w:rPr>
        <w:t xml:space="preserve">icine, </w:t>
      </w:r>
      <w:r w:rsidRPr="0003764E">
        <w:rPr>
          <w:rFonts w:ascii="Times New Roman" w:hAnsi="Times New Roman"/>
          <w:color w:val="000000" w:themeColor="text1"/>
          <w:sz w:val="28"/>
          <w:szCs w:val="28"/>
          <w:lang w:val="en-US" w:eastAsia="en-US"/>
        </w:rPr>
        <w:t xml:space="preserve">2019.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.9, № 1</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7</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56207559"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967295">
        <w:rPr>
          <w:rFonts w:ascii="Times New Roman" w:hAnsi="Times New Roman"/>
          <w:color w:val="000000" w:themeColor="text1"/>
          <w:sz w:val="28"/>
          <w:szCs w:val="28"/>
          <w:lang w:val="en-US" w:eastAsia="en-US"/>
        </w:rPr>
        <w:t>15.</w:t>
      </w:r>
      <w:r w:rsidRPr="00967295">
        <w:rPr>
          <w:rFonts w:ascii="Times New Roman" w:hAnsi="Times New Roman"/>
          <w:color w:val="000000" w:themeColor="text1"/>
          <w:sz w:val="28"/>
          <w:szCs w:val="28"/>
          <w:lang w:val="en-US" w:eastAsia="en-US"/>
        </w:rPr>
        <w:tab/>
        <w:t>Shnayder N.A.</w:t>
      </w:r>
      <w:r>
        <w:rPr>
          <w:rFonts w:ascii="Times New Roman" w:hAnsi="Times New Roman"/>
          <w:color w:val="000000" w:themeColor="text1"/>
          <w:sz w:val="28"/>
          <w:szCs w:val="28"/>
          <w:lang w:val="en-US" w:eastAsia="en-US"/>
        </w:rPr>
        <w:t>, Petrova M.M., Shesternya P.A.</w:t>
      </w:r>
      <w:r w:rsidRPr="00967295">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Using Pharmacogenetics of Direct Oral Anticoagulants to Predict Changes in Their Pharmacokinetics and the Risk of Adverse Drug Reactions // Biomedicines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.9, № 5</w:t>
      </w:r>
      <w:r>
        <w:rPr>
          <w:rFonts w:ascii="Times New Roman" w:hAnsi="Times New Roman"/>
          <w:color w:val="000000" w:themeColor="text1"/>
          <w:sz w:val="28"/>
          <w:szCs w:val="28"/>
          <w:lang w:val="en-US" w:eastAsia="en-US"/>
        </w:rPr>
        <w:t>,</w:t>
      </w:r>
      <w:r w:rsidRPr="00967295">
        <w:rPr>
          <w:rFonts w:ascii="Times New Roman" w:hAnsi="Times New Roman"/>
          <w:color w:val="000000" w:themeColor="text1"/>
          <w:sz w:val="28"/>
          <w:szCs w:val="28"/>
          <w:lang w:val="en-US" w:eastAsia="en-US"/>
        </w:rPr>
        <w:t xml:space="preserve"> 451</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3642C43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w:t>
      </w:r>
      <w:r w:rsidRPr="0003764E">
        <w:rPr>
          <w:rFonts w:ascii="Times New Roman" w:hAnsi="Times New Roman"/>
          <w:color w:val="000000" w:themeColor="text1"/>
          <w:sz w:val="28"/>
          <w:szCs w:val="28"/>
          <w:lang w:val="en-US" w:eastAsia="en-US"/>
        </w:rPr>
        <w:tab/>
        <w:t>Raymond J.</w:t>
      </w:r>
      <w:r>
        <w:rPr>
          <w:rFonts w:ascii="Times New Roman" w:hAnsi="Times New Roman"/>
          <w:color w:val="000000" w:themeColor="text1"/>
          <w:sz w:val="28"/>
          <w:szCs w:val="28"/>
          <w:lang w:val="en-US" w:eastAsia="en-US"/>
        </w:rPr>
        <w:t>, Imbert L., Cousin T. et al.</w:t>
      </w:r>
      <w:r w:rsidRPr="0003764E">
        <w:rPr>
          <w:rFonts w:ascii="Times New Roman" w:hAnsi="Times New Roman"/>
          <w:color w:val="000000" w:themeColor="text1"/>
          <w:sz w:val="28"/>
          <w:szCs w:val="28"/>
          <w:lang w:val="en-US" w:eastAsia="en-US"/>
        </w:rPr>
        <w:t xml:space="preserve"> Pharmacogenetics of Direct Oral Anticoagulants: A Systematic Review //</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J</w:t>
      </w:r>
      <w:r>
        <w:rPr>
          <w:rFonts w:ascii="Times New Roman" w:hAnsi="Times New Roman"/>
          <w:color w:val="000000" w:themeColor="text1"/>
          <w:sz w:val="28"/>
          <w:szCs w:val="28"/>
          <w:lang w:val="en-US" w:eastAsia="en-US"/>
        </w:rPr>
        <w:t>ournal of</w:t>
      </w:r>
      <w:r w:rsidRPr="0003764E">
        <w:rPr>
          <w:rFonts w:ascii="Times New Roman" w:hAnsi="Times New Roman"/>
          <w:color w:val="000000" w:themeColor="text1"/>
          <w:sz w:val="28"/>
          <w:szCs w:val="28"/>
          <w:lang w:val="en-US" w:eastAsia="en-US"/>
        </w:rPr>
        <w:t xml:space="preserve"> Pers</w:t>
      </w:r>
      <w:r>
        <w:rPr>
          <w:rFonts w:ascii="Times New Roman" w:hAnsi="Times New Roman"/>
          <w:color w:val="000000" w:themeColor="text1"/>
          <w:sz w:val="28"/>
          <w:szCs w:val="28"/>
          <w:lang w:val="en-US" w:eastAsia="en-US"/>
        </w:rPr>
        <w:t>onalized</w:t>
      </w:r>
      <w:r w:rsidRPr="0003764E">
        <w:rPr>
          <w:rFonts w:ascii="Times New Roman" w:hAnsi="Times New Roman"/>
          <w:color w:val="000000" w:themeColor="text1"/>
          <w:sz w:val="28"/>
          <w:szCs w:val="28"/>
          <w:lang w:val="en-US" w:eastAsia="en-US"/>
        </w:rPr>
        <w:t xml:space="preserve"> Med</w:t>
      </w:r>
      <w:r>
        <w:rPr>
          <w:rFonts w:ascii="Times New Roman" w:hAnsi="Times New Roman"/>
          <w:color w:val="000000" w:themeColor="text1"/>
          <w:sz w:val="28"/>
          <w:szCs w:val="28"/>
          <w:lang w:val="en-US" w:eastAsia="en-US"/>
        </w:rPr>
        <w:t>icine,</w:t>
      </w:r>
      <w:r w:rsidRPr="0003764E">
        <w:rPr>
          <w:rFonts w:ascii="Times New Roman" w:hAnsi="Times New Roman"/>
          <w:color w:val="000000" w:themeColor="text1"/>
          <w:sz w:val="28"/>
          <w:szCs w:val="28"/>
          <w:lang w:val="en-US" w:eastAsia="en-US"/>
        </w:rPr>
        <w:t xml:space="preserve"> 2021.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xml:space="preserve">.11, № 1. </w:t>
      </w:r>
      <w:r w:rsidRPr="0003764E">
        <w:rPr>
          <w:rFonts w:ascii="Times New Roman" w:hAnsi="Times New Roman"/>
          <w:color w:val="000000" w:themeColor="text1"/>
          <w:sz w:val="28"/>
          <w:szCs w:val="28"/>
          <w:lang w:val="en-US" w:eastAsia="en-US"/>
        </w:rPr>
        <w:t>37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A6DD5C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w:t>
      </w:r>
      <w:r w:rsidRPr="0003764E">
        <w:rPr>
          <w:rFonts w:ascii="Times New Roman" w:hAnsi="Times New Roman"/>
          <w:color w:val="000000" w:themeColor="text1"/>
          <w:sz w:val="28"/>
          <w:szCs w:val="28"/>
          <w:lang w:val="en-US" w:eastAsia="en-US"/>
        </w:rPr>
        <w:tab/>
        <w:t xml:space="preserve">Lenoir C. </w:t>
      </w:r>
      <w:r w:rsidRPr="00C02BF6">
        <w:rPr>
          <w:rFonts w:ascii="Times New Roman" w:hAnsi="Times New Roman"/>
          <w:sz w:val="28"/>
          <w:szCs w:val="28"/>
          <w:shd w:val="clear" w:color="auto" w:fill="FFFFFF"/>
          <w:lang w:val="en-US"/>
        </w:rPr>
        <w:t>Terrier, J.; Gloor, Y.</w:t>
      </w:r>
      <w:r>
        <w:rPr>
          <w:rFonts w:ascii="Times New Roman" w:hAnsi="Times New Roman"/>
          <w:sz w:val="28"/>
          <w:szCs w:val="28"/>
          <w:shd w:val="clear" w:color="auto" w:fill="FFFFFF"/>
          <w:lang w:val="en-US"/>
        </w:rPr>
        <w:t xml:space="preserve"> at al.</w:t>
      </w:r>
      <w:r w:rsidRPr="00C02BF6">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Impact of the Genotype and Phenotype of CYP3A and P-gp on the Apixaban and Rivaroxaban Exposure in a Real-World Setting // J</w:t>
      </w:r>
      <w:r>
        <w:rPr>
          <w:rFonts w:ascii="Times New Roman" w:hAnsi="Times New Roman"/>
          <w:color w:val="000000" w:themeColor="text1"/>
          <w:sz w:val="28"/>
          <w:szCs w:val="28"/>
          <w:lang w:val="en-US" w:eastAsia="en-US"/>
        </w:rPr>
        <w:t>ournal of</w:t>
      </w:r>
      <w:r w:rsidRPr="0003764E">
        <w:rPr>
          <w:rFonts w:ascii="Times New Roman" w:hAnsi="Times New Roman"/>
          <w:color w:val="000000" w:themeColor="text1"/>
          <w:sz w:val="28"/>
          <w:szCs w:val="28"/>
          <w:lang w:val="en-US" w:eastAsia="en-US"/>
        </w:rPr>
        <w:t xml:space="preserve"> Pers</w:t>
      </w:r>
      <w:r>
        <w:rPr>
          <w:rFonts w:ascii="Times New Roman" w:hAnsi="Times New Roman"/>
          <w:color w:val="000000" w:themeColor="text1"/>
          <w:sz w:val="28"/>
          <w:szCs w:val="28"/>
          <w:lang w:val="en-US" w:eastAsia="en-US"/>
        </w:rPr>
        <w:t>onalized</w:t>
      </w:r>
      <w:r w:rsidRPr="0003764E">
        <w:rPr>
          <w:rFonts w:ascii="Times New Roman" w:hAnsi="Times New Roman"/>
          <w:color w:val="000000" w:themeColor="text1"/>
          <w:sz w:val="28"/>
          <w:szCs w:val="28"/>
          <w:lang w:val="en-US" w:eastAsia="en-US"/>
        </w:rPr>
        <w:t xml:space="preserve"> Med</w:t>
      </w:r>
      <w:r>
        <w:rPr>
          <w:rFonts w:ascii="Times New Roman" w:hAnsi="Times New Roman"/>
          <w:color w:val="000000" w:themeColor="text1"/>
          <w:sz w:val="28"/>
          <w:szCs w:val="28"/>
          <w:lang w:val="en-US" w:eastAsia="en-US"/>
        </w:rPr>
        <w:t>icine,</w:t>
      </w:r>
      <w:r w:rsidRPr="0003764E">
        <w:rPr>
          <w:rFonts w:ascii="Times New Roman" w:hAnsi="Times New Roman"/>
          <w:color w:val="000000" w:themeColor="text1"/>
          <w:sz w:val="28"/>
          <w:szCs w:val="28"/>
          <w:lang w:val="en-US" w:eastAsia="en-US"/>
        </w:rPr>
        <w:t xml:space="preserve"> 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.12, № 4</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526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2B034A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w:t>
      </w:r>
      <w:r w:rsidRPr="0003764E">
        <w:rPr>
          <w:rFonts w:ascii="Times New Roman" w:hAnsi="Times New Roman"/>
          <w:color w:val="000000" w:themeColor="text1"/>
          <w:sz w:val="28"/>
          <w:szCs w:val="28"/>
          <w:lang w:val="en-US" w:eastAsia="en-US"/>
        </w:rPr>
        <w:tab/>
        <w:t>Dimatteo C.</w:t>
      </w:r>
      <w:r>
        <w:rPr>
          <w:rFonts w:ascii="Times New Roman" w:hAnsi="Times New Roman"/>
          <w:color w:val="000000" w:themeColor="text1"/>
          <w:sz w:val="28"/>
          <w:szCs w:val="28"/>
          <w:lang w:val="en-US" w:eastAsia="en-US"/>
        </w:rPr>
        <w:t xml:space="preserve">, </w:t>
      </w:r>
      <w:r w:rsidRPr="00C02BF6">
        <w:rPr>
          <w:rFonts w:ascii="Times New Roman" w:hAnsi="Times New Roman"/>
          <w:color w:val="000000" w:themeColor="text1"/>
          <w:sz w:val="28"/>
          <w:szCs w:val="28"/>
          <w:lang w:val="en-US" w:eastAsia="en-US"/>
        </w:rPr>
        <w:t>D'Andrea</w:t>
      </w:r>
      <w:r>
        <w:rPr>
          <w:rFonts w:ascii="Times New Roman" w:hAnsi="Times New Roman"/>
          <w:color w:val="000000" w:themeColor="text1"/>
          <w:sz w:val="28"/>
          <w:szCs w:val="28"/>
          <w:lang w:val="en-US" w:eastAsia="en-US"/>
        </w:rPr>
        <w:t xml:space="preserve"> G.,</w:t>
      </w:r>
      <w:r w:rsidRPr="00C02BF6">
        <w:rPr>
          <w:lang w:val="en-US"/>
        </w:rPr>
        <w:t xml:space="preserve"> </w:t>
      </w:r>
      <w:r w:rsidRPr="00C02BF6">
        <w:rPr>
          <w:rFonts w:ascii="Times New Roman" w:hAnsi="Times New Roman"/>
          <w:color w:val="000000" w:themeColor="text1"/>
          <w:sz w:val="28"/>
          <w:szCs w:val="28"/>
          <w:lang w:val="en-US" w:eastAsia="en-US"/>
        </w:rPr>
        <w:t>Vecchione</w:t>
      </w:r>
      <w:r>
        <w:rPr>
          <w:rFonts w:ascii="Times New Roman" w:hAnsi="Times New Roman"/>
          <w:color w:val="000000" w:themeColor="text1"/>
          <w:sz w:val="28"/>
          <w:szCs w:val="28"/>
          <w:lang w:val="en-US" w:eastAsia="en-US"/>
        </w:rPr>
        <w:t xml:space="preserve"> G. et al.</w:t>
      </w:r>
      <w:r w:rsidRPr="0003764E">
        <w:rPr>
          <w:rFonts w:ascii="Times New Roman" w:hAnsi="Times New Roman"/>
          <w:color w:val="000000" w:themeColor="text1"/>
          <w:sz w:val="28"/>
          <w:szCs w:val="28"/>
          <w:lang w:val="en-US" w:eastAsia="en-US"/>
        </w:rPr>
        <w:t xml:space="preserve"> Pharmacogenetics of dabigatran etexilate interindividual variability // Thrombosis Research</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.144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 1–5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CE0A4F6"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w:t>
      </w:r>
      <w:r w:rsidRPr="0003764E">
        <w:rPr>
          <w:rFonts w:ascii="Times New Roman" w:hAnsi="Times New Roman"/>
          <w:color w:val="000000" w:themeColor="text1"/>
          <w:sz w:val="28"/>
          <w:szCs w:val="28"/>
          <w:lang w:val="en-US" w:eastAsia="en-US"/>
        </w:rPr>
        <w:tab/>
        <w:t>Paré G.</w:t>
      </w:r>
      <w:r>
        <w:rPr>
          <w:rFonts w:ascii="Times New Roman" w:hAnsi="Times New Roman"/>
          <w:color w:val="000000" w:themeColor="text1"/>
          <w:sz w:val="28"/>
          <w:szCs w:val="28"/>
          <w:lang w:val="en-US" w:eastAsia="en-US"/>
        </w:rPr>
        <w:t xml:space="preserve">, </w:t>
      </w:r>
      <w:r w:rsidRPr="00C02BF6">
        <w:rPr>
          <w:rFonts w:ascii="Times New Roman" w:hAnsi="Times New Roman"/>
          <w:color w:val="000000" w:themeColor="text1"/>
          <w:sz w:val="28"/>
          <w:szCs w:val="28"/>
          <w:lang w:val="en-US" w:eastAsia="en-US"/>
        </w:rPr>
        <w:t>Eriksson</w:t>
      </w:r>
      <w:r>
        <w:rPr>
          <w:rFonts w:ascii="Times New Roman" w:hAnsi="Times New Roman"/>
          <w:color w:val="000000" w:themeColor="text1"/>
          <w:sz w:val="28"/>
          <w:szCs w:val="28"/>
          <w:lang w:val="en-US" w:eastAsia="en-US"/>
        </w:rPr>
        <w:t xml:space="preserve"> N., Lehr T. et al.</w:t>
      </w:r>
      <w:r w:rsidRPr="0003764E">
        <w:rPr>
          <w:rFonts w:ascii="Times New Roman" w:hAnsi="Times New Roman"/>
          <w:color w:val="000000" w:themeColor="text1"/>
          <w:sz w:val="28"/>
          <w:szCs w:val="28"/>
          <w:lang w:val="en-US" w:eastAsia="en-US"/>
        </w:rPr>
        <w:t xml:space="preserve"> Genetic Determinants of Dabigatran Plasma Levels and Their Relation to Bleeding // Circulation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.127, №13.  1404–1412</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3125575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w:t>
      </w:r>
      <w:r w:rsidRPr="0003764E">
        <w:rPr>
          <w:rFonts w:ascii="Times New Roman" w:hAnsi="Times New Roman"/>
          <w:color w:val="000000" w:themeColor="text1"/>
          <w:sz w:val="28"/>
          <w:szCs w:val="28"/>
          <w:lang w:val="en-US" w:eastAsia="en-US"/>
        </w:rPr>
        <w:tab/>
        <w:t>Gouin‐Thibault I.</w:t>
      </w:r>
      <w:r>
        <w:rPr>
          <w:rFonts w:ascii="Times New Roman" w:hAnsi="Times New Roman"/>
          <w:color w:val="000000" w:themeColor="text1"/>
          <w:sz w:val="28"/>
          <w:szCs w:val="28"/>
          <w:lang w:val="en-US" w:eastAsia="en-US"/>
        </w:rPr>
        <w:t xml:space="preserve">, </w:t>
      </w:r>
      <w:r w:rsidRPr="00C02BF6">
        <w:rPr>
          <w:rFonts w:ascii="Times New Roman" w:hAnsi="Times New Roman"/>
          <w:color w:val="000000" w:themeColor="text1"/>
          <w:sz w:val="28"/>
          <w:szCs w:val="28"/>
          <w:lang w:val="en-US" w:eastAsia="en-US"/>
        </w:rPr>
        <w:t xml:space="preserve">Delavenne </w:t>
      </w:r>
      <w:r>
        <w:rPr>
          <w:rFonts w:ascii="Times New Roman" w:hAnsi="Times New Roman"/>
          <w:color w:val="000000" w:themeColor="text1"/>
          <w:sz w:val="28"/>
          <w:szCs w:val="28"/>
          <w:lang w:val="en-US" w:eastAsia="en-US"/>
        </w:rPr>
        <w:t xml:space="preserve">X., Blanchard A. et al. </w:t>
      </w:r>
      <w:r w:rsidRPr="0003764E">
        <w:rPr>
          <w:rFonts w:ascii="Times New Roman" w:hAnsi="Times New Roman"/>
          <w:color w:val="000000" w:themeColor="text1"/>
          <w:sz w:val="28"/>
          <w:szCs w:val="28"/>
          <w:lang w:val="en-US" w:eastAsia="en-US"/>
        </w:rPr>
        <w:t xml:space="preserve">Interindividual variability in dabigatran and rivaroxaban exposure: contribution of ABCB1 genetic polymorphisms and interaction with clarithromycin // Journal of Thrombosis and Haemostasis. Elsevier, 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.15,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273–283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094ACFB"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w:t>
      </w:r>
      <w:r w:rsidRPr="0003764E">
        <w:rPr>
          <w:rFonts w:ascii="Times New Roman" w:hAnsi="Times New Roman"/>
          <w:color w:val="000000" w:themeColor="text1"/>
          <w:sz w:val="28"/>
          <w:szCs w:val="28"/>
          <w:lang w:val="en-US" w:eastAsia="en-US"/>
        </w:rPr>
        <w:tab/>
      </w:r>
      <w:r w:rsidRPr="001A46AE">
        <w:rPr>
          <w:rFonts w:ascii="Times New Roman" w:hAnsi="Times New Roman"/>
          <w:sz w:val="28"/>
          <w:szCs w:val="28"/>
          <w:shd w:val="clear" w:color="auto" w:fill="FFFFFF"/>
          <w:lang w:val="en-US"/>
        </w:rPr>
        <w:t>Yoon, H.-Y.</w:t>
      </w:r>
      <w:r>
        <w:rPr>
          <w:rFonts w:ascii="Times New Roman" w:hAnsi="Times New Roman"/>
          <w:sz w:val="28"/>
          <w:szCs w:val="28"/>
          <w:shd w:val="clear" w:color="auto" w:fill="FFFFFF"/>
          <w:lang w:val="en-US"/>
        </w:rPr>
        <w:t>,</w:t>
      </w:r>
      <w:r w:rsidRPr="001A46AE">
        <w:rPr>
          <w:rFonts w:ascii="Times New Roman" w:hAnsi="Times New Roman"/>
          <w:sz w:val="28"/>
          <w:szCs w:val="28"/>
          <w:shd w:val="clear" w:color="auto" w:fill="FFFFFF"/>
          <w:lang w:val="en-US"/>
        </w:rPr>
        <w:t xml:space="preserve"> Song, T.-J.</w:t>
      </w:r>
      <w:r>
        <w:rPr>
          <w:rFonts w:ascii="Times New Roman" w:hAnsi="Times New Roman"/>
          <w:sz w:val="28"/>
          <w:szCs w:val="28"/>
          <w:shd w:val="clear" w:color="auto" w:fill="FFFFFF"/>
          <w:lang w:val="en-US"/>
        </w:rPr>
        <w:t>,</w:t>
      </w:r>
      <w:r w:rsidRPr="001A46AE">
        <w:rPr>
          <w:rFonts w:ascii="Times New Roman" w:hAnsi="Times New Roman"/>
          <w:sz w:val="28"/>
          <w:szCs w:val="28"/>
          <w:shd w:val="clear" w:color="auto" w:fill="FFFFFF"/>
          <w:lang w:val="en-US"/>
        </w:rPr>
        <w:t xml:space="preserve"> Yee, J.</w:t>
      </w:r>
      <w:r w:rsidRPr="001A46AE">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Association between Genetic Polymorphisms and Bleeding in Patients on Direct Oral Anticoagulants // Pharmaceutics</w:t>
      </w:r>
      <w:r w:rsidRPr="001A46AE">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.14, № 9</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1889</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62BCBCC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w:t>
      </w:r>
      <w:r w:rsidRPr="0003764E">
        <w:rPr>
          <w:rFonts w:ascii="Times New Roman" w:hAnsi="Times New Roman"/>
          <w:color w:val="000000" w:themeColor="text1"/>
          <w:sz w:val="28"/>
          <w:szCs w:val="28"/>
          <w:lang w:val="en-US" w:eastAsia="en-US"/>
        </w:rPr>
        <w:tab/>
        <w:t xml:space="preserve">Kryukov A.V., Sychev D.A., Tereshchenko O.V. </w:t>
      </w:r>
      <w:r>
        <w:rPr>
          <w:rFonts w:ascii="Times New Roman" w:hAnsi="Times New Roman"/>
          <w:color w:val="000000" w:themeColor="text1"/>
          <w:sz w:val="28"/>
          <w:szCs w:val="28"/>
          <w:lang w:val="en-US" w:eastAsia="en-US"/>
        </w:rPr>
        <w:t xml:space="preserve">Pharmacogenetic aspects of new oral anticoagulants application </w:t>
      </w:r>
      <w:r w:rsidRPr="0003764E">
        <w:rPr>
          <w:rFonts w:ascii="Times New Roman" w:hAnsi="Times New Roman"/>
          <w:color w:val="000000" w:themeColor="text1"/>
          <w:sz w:val="28"/>
          <w:szCs w:val="28"/>
          <w:lang w:val="en-US" w:eastAsia="en-US"/>
        </w:rPr>
        <w:t xml:space="preserve">// </w:t>
      </w:r>
      <w:r w:rsidRPr="001A46AE">
        <w:rPr>
          <w:rFonts w:ascii="Times New Roman" w:hAnsi="Times New Roman"/>
          <w:color w:val="000000" w:themeColor="text1"/>
          <w:sz w:val="28"/>
          <w:szCs w:val="28"/>
          <w:lang w:val="en-US" w:eastAsia="en-US"/>
        </w:rPr>
        <w:t>Rational Pharmacotherapy in Cardiology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1</w:t>
      </w:r>
      <w:r w:rsidRPr="0003764E">
        <w:rPr>
          <w:rFonts w:ascii="Times New Roman" w:hAnsi="Times New Roman"/>
          <w:color w:val="000000" w:themeColor="text1"/>
          <w:sz w:val="28"/>
          <w:szCs w:val="28"/>
          <w:lang w:val="en-US" w:eastAsia="en-US"/>
        </w:rPr>
        <w:t>3,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416–421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DA2DC7B"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w:t>
      </w:r>
      <w:r w:rsidRPr="0003764E">
        <w:rPr>
          <w:rFonts w:ascii="Times New Roman" w:hAnsi="Times New Roman"/>
          <w:color w:val="000000" w:themeColor="text1"/>
          <w:sz w:val="28"/>
          <w:szCs w:val="28"/>
          <w:lang w:val="en-US" w:eastAsia="en-US"/>
        </w:rPr>
        <w:tab/>
        <w:t>Ji Q.</w:t>
      </w:r>
      <w:r>
        <w:rPr>
          <w:rFonts w:ascii="Times New Roman" w:hAnsi="Times New Roman"/>
          <w:color w:val="000000" w:themeColor="text1"/>
          <w:sz w:val="28"/>
          <w:szCs w:val="28"/>
          <w:lang w:val="en-US" w:eastAsia="en-US"/>
        </w:rPr>
        <w:t xml:space="preserve">, </w:t>
      </w:r>
      <w:r w:rsidRPr="009A6B35">
        <w:rPr>
          <w:rFonts w:ascii="Times New Roman" w:hAnsi="Times New Roman"/>
          <w:sz w:val="28"/>
          <w:szCs w:val="28"/>
          <w:shd w:val="clear" w:color="auto" w:fill="FFFFFF"/>
          <w:lang w:val="en-US"/>
        </w:rPr>
        <w:t>Zhang</w:t>
      </w:r>
      <w:r w:rsidRPr="009A6B35">
        <w:rPr>
          <w:rStyle w:val="apple-converted-space"/>
          <w:rFonts w:ascii="Times New Roman" w:hAnsi="Times New Roman"/>
          <w:sz w:val="28"/>
          <w:szCs w:val="28"/>
          <w:shd w:val="clear" w:color="auto" w:fill="FFFFFF"/>
          <w:lang w:val="en-US"/>
        </w:rPr>
        <w:t> </w:t>
      </w:r>
      <w:r w:rsidRPr="009A6B35">
        <w:rPr>
          <w:rFonts w:ascii="Times New Roman" w:hAnsi="Times New Roman"/>
          <w:sz w:val="28"/>
          <w:szCs w:val="28"/>
          <w:shd w:val="clear" w:color="auto" w:fill="FFFFFF"/>
          <w:lang w:val="en-US"/>
        </w:rPr>
        <w:t>C., Xu</w:t>
      </w:r>
      <w:r w:rsidRPr="009A6B35">
        <w:rPr>
          <w:rStyle w:val="apple-converted-space"/>
          <w:rFonts w:ascii="Times New Roman" w:hAnsi="Times New Roman"/>
          <w:sz w:val="28"/>
          <w:szCs w:val="28"/>
          <w:shd w:val="clear" w:color="auto" w:fill="FFFFFF"/>
          <w:lang w:val="en-US"/>
        </w:rPr>
        <w:t> </w:t>
      </w:r>
      <w:r w:rsidRPr="009A6B35">
        <w:rPr>
          <w:rFonts w:ascii="Times New Roman" w:hAnsi="Times New Roman"/>
          <w:sz w:val="28"/>
          <w:szCs w:val="28"/>
          <w:shd w:val="clear" w:color="auto" w:fill="FFFFFF"/>
          <w:lang w:val="en-US"/>
        </w:rPr>
        <w:t>Q., et al.</w:t>
      </w:r>
      <w:r w:rsidRPr="0003764E">
        <w:rPr>
          <w:rFonts w:ascii="Times New Roman" w:hAnsi="Times New Roman"/>
          <w:color w:val="000000" w:themeColor="text1"/>
          <w:sz w:val="28"/>
          <w:szCs w:val="28"/>
          <w:lang w:val="en-US" w:eastAsia="en-US"/>
        </w:rPr>
        <w:t xml:space="preserve"> The impact of </w:t>
      </w:r>
      <w:r w:rsidRPr="0003764E">
        <w:rPr>
          <w:rFonts w:ascii="Times New Roman" w:hAnsi="Times New Roman"/>
          <w:i/>
          <w:iCs/>
          <w:color w:val="000000" w:themeColor="text1"/>
          <w:sz w:val="28"/>
          <w:szCs w:val="28"/>
          <w:lang w:val="en-US" w:eastAsia="en-US"/>
        </w:rPr>
        <w:t>ABCB1</w:t>
      </w:r>
      <w:r w:rsidRPr="0003764E">
        <w:rPr>
          <w:rFonts w:ascii="Times New Roman" w:hAnsi="Times New Roman"/>
          <w:color w:val="000000" w:themeColor="text1"/>
          <w:sz w:val="28"/>
          <w:szCs w:val="28"/>
          <w:lang w:val="en-US" w:eastAsia="en-US"/>
        </w:rPr>
        <w:t xml:space="preserve"> and </w:t>
      </w:r>
      <w:r w:rsidRPr="0003764E">
        <w:rPr>
          <w:rFonts w:ascii="Times New Roman" w:hAnsi="Times New Roman"/>
          <w:i/>
          <w:iCs/>
          <w:color w:val="000000" w:themeColor="text1"/>
          <w:sz w:val="28"/>
          <w:szCs w:val="28"/>
          <w:lang w:val="en-US" w:eastAsia="en-US"/>
        </w:rPr>
        <w:t>CES1</w:t>
      </w:r>
      <w:r w:rsidRPr="0003764E">
        <w:rPr>
          <w:rFonts w:ascii="Times New Roman" w:hAnsi="Times New Roman"/>
          <w:color w:val="000000" w:themeColor="text1"/>
          <w:sz w:val="28"/>
          <w:szCs w:val="28"/>
          <w:lang w:val="en-US" w:eastAsia="en-US"/>
        </w:rPr>
        <w:t xml:space="preserve"> polymorphisms on dabigatran pharmacokinetics and pharmacodynamics in patients with atrial fibrillation // Brit</w:t>
      </w:r>
      <w:r>
        <w:rPr>
          <w:rFonts w:ascii="Times New Roman" w:hAnsi="Times New Roman"/>
          <w:color w:val="000000" w:themeColor="text1"/>
          <w:sz w:val="28"/>
          <w:szCs w:val="28"/>
          <w:lang w:val="en-US" w:eastAsia="en-US"/>
        </w:rPr>
        <w:t>ish</w:t>
      </w:r>
      <w:r w:rsidRPr="0003764E">
        <w:rPr>
          <w:rFonts w:ascii="Times New Roman" w:hAnsi="Times New Roman"/>
          <w:color w:val="000000" w:themeColor="text1"/>
          <w:sz w:val="28"/>
          <w:szCs w:val="28"/>
          <w:lang w:val="en-US" w:eastAsia="en-US"/>
        </w:rPr>
        <w:t xml:space="preserve"> J</w:t>
      </w:r>
      <w:r>
        <w:rPr>
          <w:rFonts w:ascii="Times New Roman" w:hAnsi="Times New Roman"/>
          <w:color w:val="000000" w:themeColor="text1"/>
          <w:sz w:val="28"/>
          <w:szCs w:val="28"/>
          <w:lang w:val="en-US" w:eastAsia="en-US"/>
        </w:rPr>
        <w:t>ournal of</w:t>
      </w:r>
      <w:r w:rsidRPr="0003764E">
        <w:rPr>
          <w:rFonts w:ascii="Times New Roman" w:hAnsi="Times New Roman"/>
          <w:color w:val="000000" w:themeColor="text1"/>
          <w:sz w:val="28"/>
          <w:szCs w:val="28"/>
          <w:lang w:val="en-US" w:eastAsia="en-US"/>
        </w:rPr>
        <w:t xml:space="preserve"> Clinical Pharma</w:t>
      </w:r>
      <w:r>
        <w:rPr>
          <w:rFonts w:ascii="Times New Roman" w:hAnsi="Times New Roman"/>
          <w:color w:val="000000" w:themeColor="text1"/>
          <w:sz w:val="28"/>
          <w:szCs w:val="28"/>
          <w:lang w:val="en-US" w:eastAsia="en-US"/>
        </w:rPr>
        <w:t>cology,</w:t>
      </w:r>
      <w:r w:rsidRPr="0003764E">
        <w:rPr>
          <w:rFonts w:ascii="Times New Roman" w:hAnsi="Times New Roman"/>
          <w:color w:val="000000" w:themeColor="text1"/>
          <w:sz w:val="28"/>
          <w:szCs w:val="28"/>
          <w:lang w:val="en-US" w:eastAsia="en-US"/>
        </w:rPr>
        <w:t xml:space="preserve"> 2021.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87, № 5. 2247–2255</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6BF15D35" w14:textId="77777777" w:rsidR="00AC4691" w:rsidRPr="00790EA4"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24.</w:t>
      </w:r>
      <w:r w:rsidRPr="0003764E">
        <w:rPr>
          <w:rFonts w:ascii="Times New Roman" w:hAnsi="Times New Roman"/>
          <w:color w:val="000000" w:themeColor="text1"/>
          <w:sz w:val="28"/>
          <w:szCs w:val="28"/>
          <w:lang w:val="en-US" w:eastAsia="en-US"/>
        </w:rPr>
        <w:tab/>
        <w:t>Hindricks G.</w:t>
      </w:r>
      <w:r>
        <w:rPr>
          <w:rFonts w:ascii="Times New Roman" w:hAnsi="Times New Roman"/>
          <w:color w:val="000000" w:themeColor="text1"/>
          <w:sz w:val="28"/>
          <w:szCs w:val="28"/>
          <w:lang w:val="en-US" w:eastAsia="en-US"/>
        </w:rPr>
        <w:t xml:space="preserve">, </w:t>
      </w:r>
      <w:r w:rsidRPr="009A6B35">
        <w:rPr>
          <w:rFonts w:ascii="Times New Roman" w:hAnsi="Times New Roman"/>
          <w:color w:val="000000" w:themeColor="text1"/>
          <w:sz w:val="28"/>
          <w:szCs w:val="28"/>
          <w:lang w:val="en-US" w:eastAsia="en-US"/>
        </w:rPr>
        <w:t>Potpara</w:t>
      </w:r>
      <w:r>
        <w:rPr>
          <w:rFonts w:ascii="Times New Roman" w:hAnsi="Times New Roman"/>
          <w:color w:val="000000" w:themeColor="text1"/>
          <w:sz w:val="28"/>
          <w:szCs w:val="28"/>
          <w:lang w:val="en-US" w:eastAsia="en-US"/>
        </w:rPr>
        <w:t xml:space="preserve"> T., Dagres N. et al.</w:t>
      </w:r>
      <w:r w:rsidRPr="0003764E">
        <w:rPr>
          <w:rFonts w:ascii="Times New Roman" w:hAnsi="Times New Roman"/>
          <w:color w:val="000000" w:themeColor="text1"/>
          <w:sz w:val="28"/>
          <w:szCs w:val="28"/>
          <w:lang w:val="en-US" w:eastAsia="en-US"/>
        </w:rPr>
        <w:t xml:space="preserve"> 2020 ESC Guidelines for the diagnosis and management of atrial fibrillation developed in collaboration with the European Association for Cardio-Thoracic Surgery (EACTS) // European Heart Journal</w:t>
      </w:r>
      <w:r>
        <w:rPr>
          <w:rFonts w:ascii="Times New Roman" w:hAnsi="Times New Roman"/>
          <w:color w:val="000000" w:themeColor="text1"/>
          <w:sz w:val="28"/>
          <w:szCs w:val="28"/>
          <w:lang w:val="en-US" w:eastAsia="en-US"/>
        </w:rPr>
        <w:t xml:space="preserve">, </w:t>
      </w:r>
      <w:r w:rsidRPr="009A6B35">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790EA4">
        <w:rPr>
          <w:rFonts w:ascii="Times New Roman" w:hAnsi="Times New Roman"/>
          <w:color w:val="000000" w:themeColor="text1"/>
          <w:sz w:val="28"/>
          <w:szCs w:val="28"/>
          <w:lang w:eastAsia="en-US"/>
        </w:rPr>
        <w:t>. 42, № 5, 373–498</w:t>
      </w:r>
      <w:r>
        <w:rPr>
          <w:rFonts w:ascii="Times New Roman" w:hAnsi="Times New Roman"/>
          <w:color w:val="000000" w:themeColor="text1"/>
          <w:sz w:val="28"/>
          <w:szCs w:val="28"/>
          <w:lang w:val="en-US" w:eastAsia="en-US"/>
        </w:rPr>
        <w:t>p</w:t>
      </w:r>
      <w:r w:rsidRPr="00790EA4">
        <w:rPr>
          <w:rFonts w:ascii="Times New Roman" w:hAnsi="Times New Roman"/>
          <w:color w:val="000000" w:themeColor="text1"/>
          <w:sz w:val="28"/>
          <w:szCs w:val="28"/>
          <w:lang w:eastAsia="en-US"/>
        </w:rPr>
        <w:t>.</w:t>
      </w:r>
    </w:p>
    <w:p w14:paraId="2591A421" w14:textId="77777777" w:rsidR="00AC4691" w:rsidRPr="009A6B35" w:rsidRDefault="00AC4691" w:rsidP="00AC4691">
      <w:pPr>
        <w:pStyle w:val="af4"/>
        <w:jc w:val="both"/>
        <w:rPr>
          <w:rFonts w:ascii="Times New Roman" w:hAnsi="Times New Roman"/>
          <w:sz w:val="28"/>
          <w:szCs w:val="28"/>
          <w:lang w:val="en-US" w:eastAsia="en-US"/>
        </w:rPr>
      </w:pPr>
      <w:r w:rsidRPr="0003764E">
        <w:rPr>
          <w:rFonts w:ascii="Times New Roman" w:hAnsi="Times New Roman"/>
          <w:color w:val="000000" w:themeColor="text1"/>
          <w:sz w:val="28"/>
          <w:szCs w:val="28"/>
          <w:lang w:eastAsia="en-US"/>
        </w:rPr>
        <w:t>25.</w:t>
      </w:r>
      <w:r w:rsidRPr="0003764E">
        <w:rPr>
          <w:rFonts w:ascii="Times New Roman" w:hAnsi="Times New Roman"/>
          <w:color w:val="000000" w:themeColor="text1"/>
          <w:sz w:val="28"/>
          <w:szCs w:val="28"/>
          <w:lang w:eastAsia="en-US"/>
        </w:rPr>
        <w:tab/>
      </w:r>
      <w:r w:rsidRPr="009A6B35">
        <w:rPr>
          <w:rFonts w:ascii="Times New Roman" w:hAnsi="Times New Roman"/>
          <w:sz w:val="28"/>
          <w:szCs w:val="28"/>
        </w:rPr>
        <w:t xml:space="preserve">Понасенко А.В., Синицкий М.Ю., Хуторная М.В. </w:t>
      </w:r>
      <w:r>
        <w:rPr>
          <w:rFonts w:ascii="Times New Roman" w:hAnsi="Times New Roman"/>
          <w:sz w:val="28"/>
          <w:szCs w:val="28"/>
        </w:rPr>
        <w:t xml:space="preserve">Молекулярно-генетические маркеры фибрилляции предсердий // </w:t>
      </w:r>
      <w:r w:rsidRPr="009A6B35">
        <w:rPr>
          <w:rFonts w:ascii="Times New Roman" w:hAnsi="Times New Roman"/>
          <w:sz w:val="28"/>
          <w:szCs w:val="28"/>
        </w:rPr>
        <w:t xml:space="preserve">Бюллетень сибирской медицины, </w:t>
      </w:r>
      <w:r>
        <w:rPr>
          <w:rFonts w:ascii="Times New Roman" w:hAnsi="Times New Roman"/>
          <w:sz w:val="28"/>
          <w:szCs w:val="28"/>
        </w:rPr>
        <w:t>2020. Т</w:t>
      </w:r>
      <w:r w:rsidRPr="009A6B35">
        <w:rPr>
          <w:rFonts w:ascii="Times New Roman" w:hAnsi="Times New Roman"/>
          <w:sz w:val="28"/>
          <w:szCs w:val="28"/>
          <w:lang w:val="en-US"/>
        </w:rPr>
        <w:t>.19, №1, 180-189</w:t>
      </w:r>
      <w:r>
        <w:rPr>
          <w:rFonts w:ascii="Times New Roman" w:hAnsi="Times New Roman"/>
          <w:sz w:val="28"/>
          <w:szCs w:val="28"/>
        </w:rPr>
        <w:t>с</w:t>
      </w:r>
      <w:r w:rsidRPr="009A6B35">
        <w:rPr>
          <w:rFonts w:ascii="Times New Roman" w:hAnsi="Times New Roman"/>
          <w:sz w:val="28"/>
          <w:szCs w:val="28"/>
          <w:lang w:val="en-US"/>
        </w:rPr>
        <w:t>.</w:t>
      </w:r>
      <w:r w:rsidRPr="009A6B35">
        <w:rPr>
          <w:rFonts w:ascii="Times New Roman" w:hAnsi="Times New Roman"/>
          <w:sz w:val="28"/>
          <w:szCs w:val="28"/>
          <w:lang w:val="en-US" w:eastAsia="en-US"/>
        </w:rPr>
        <w:t xml:space="preserve"> </w:t>
      </w:r>
    </w:p>
    <w:p w14:paraId="5F5252CA"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26.</w:t>
      </w:r>
      <w:r w:rsidRPr="0003764E">
        <w:rPr>
          <w:rFonts w:ascii="Times New Roman" w:hAnsi="Times New Roman"/>
          <w:color w:val="000000" w:themeColor="text1"/>
          <w:sz w:val="28"/>
          <w:szCs w:val="28"/>
          <w:lang w:val="en-US" w:eastAsia="en-US"/>
        </w:rPr>
        <w:tab/>
        <w:t>Wilkinson C.</w:t>
      </w:r>
      <w:r>
        <w:rPr>
          <w:rFonts w:ascii="Times New Roman" w:hAnsi="Times New Roman"/>
          <w:color w:val="000000" w:themeColor="text1"/>
          <w:sz w:val="28"/>
          <w:szCs w:val="28"/>
          <w:lang w:val="en-US" w:eastAsia="en-US"/>
        </w:rPr>
        <w:t xml:space="preserve">, </w:t>
      </w:r>
      <w:r w:rsidRPr="009A6B35">
        <w:rPr>
          <w:rFonts w:ascii="Times New Roman" w:hAnsi="Times New Roman"/>
          <w:color w:val="000000" w:themeColor="text1"/>
          <w:sz w:val="28"/>
          <w:szCs w:val="28"/>
          <w:lang w:val="en-US" w:eastAsia="en-US"/>
        </w:rPr>
        <w:t xml:space="preserve">Todd </w:t>
      </w:r>
      <w:r>
        <w:rPr>
          <w:rFonts w:ascii="Times New Roman" w:hAnsi="Times New Roman"/>
          <w:color w:val="000000" w:themeColor="text1"/>
          <w:sz w:val="28"/>
          <w:szCs w:val="28"/>
          <w:lang w:val="en-US" w:eastAsia="en-US"/>
        </w:rPr>
        <w:t xml:space="preserve">O., Clegg A. et al. </w:t>
      </w:r>
      <w:r w:rsidRPr="0003764E">
        <w:rPr>
          <w:rFonts w:ascii="Times New Roman" w:hAnsi="Times New Roman"/>
          <w:color w:val="000000" w:themeColor="text1"/>
          <w:sz w:val="28"/>
          <w:szCs w:val="28"/>
          <w:lang w:val="en-US" w:eastAsia="en-US"/>
        </w:rPr>
        <w:t>Management of atrial fibrillation for older people with frailty: a systematic review and meta-analysis // Age and Ageing</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2019.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.48, № 2. 196–203</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743EF03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27.</w:t>
      </w:r>
      <w:r w:rsidRPr="0003764E">
        <w:rPr>
          <w:rFonts w:ascii="Times New Roman" w:hAnsi="Times New Roman"/>
          <w:color w:val="000000" w:themeColor="text1"/>
          <w:sz w:val="28"/>
          <w:szCs w:val="28"/>
          <w:lang w:val="en-US" w:eastAsia="en-US"/>
        </w:rPr>
        <w:tab/>
        <w:t>Taizhanova D.</w:t>
      </w:r>
      <w:r>
        <w:rPr>
          <w:rFonts w:ascii="Times New Roman" w:hAnsi="Times New Roman"/>
          <w:color w:val="000000" w:themeColor="text1"/>
          <w:sz w:val="28"/>
          <w:szCs w:val="28"/>
          <w:lang w:val="en-US" w:eastAsia="en-US"/>
        </w:rPr>
        <w:t xml:space="preserve">, Bazarova N., Zholdybayeva E. et al. </w:t>
      </w:r>
      <w:r w:rsidRPr="0003764E">
        <w:rPr>
          <w:rFonts w:ascii="Times New Roman" w:hAnsi="Times New Roman"/>
          <w:color w:val="000000" w:themeColor="text1"/>
          <w:sz w:val="28"/>
          <w:szCs w:val="28"/>
          <w:lang w:val="en-US" w:eastAsia="en-US"/>
        </w:rPr>
        <w:t xml:space="preserve">Association of gene polymorphism at atrial fibrillation: A literature review // </w:t>
      </w:r>
      <w:r w:rsidRPr="009A6B35">
        <w:rPr>
          <w:rFonts w:ascii="Times New Roman" w:hAnsi="Times New Roman"/>
          <w:color w:val="000000" w:themeColor="text1"/>
          <w:sz w:val="28"/>
          <w:szCs w:val="28"/>
          <w:lang w:val="en-US" w:eastAsia="en-US"/>
        </w:rPr>
        <w:t>Journal of Clinical Medicine of Kazakhstan</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.18,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19–22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D91555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28.</w:t>
      </w:r>
      <w:r w:rsidRPr="0003764E">
        <w:rPr>
          <w:rFonts w:ascii="Times New Roman" w:hAnsi="Times New Roman"/>
          <w:color w:val="000000" w:themeColor="text1"/>
          <w:sz w:val="28"/>
          <w:szCs w:val="28"/>
          <w:lang w:val="en-US" w:eastAsia="en-US"/>
        </w:rPr>
        <w:tab/>
        <w:t>Lip G.</w:t>
      </w:r>
      <w:r>
        <w:rPr>
          <w:rFonts w:ascii="Times New Roman" w:hAnsi="Times New Roman"/>
          <w:color w:val="000000" w:themeColor="text1"/>
          <w:sz w:val="28"/>
          <w:szCs w:val="28"/>
          <w:lang w:val="en-US" w:eastAsia="en-US"/>
        </w:rPr>
        <w:t xml:space="preserve">, </w:t>
      </w:r>
      <w:r w:rsidRPr="00D2394E">
        <w:rPr>
          <w:rFonts w:ascii="Times New Roman" w:hAnsi="Times New Roman"/>
          <w:sz w:val="28"/>
          <w:szCs w:val="28"/>
          <w:shd w:val="clear" w:color="auto" w:fill="FFFFFF"/>
          <w:lang w:val="en-US"/>
        </w:rPr>
        <w:t>Proietti M., Potpara T. et al.</w:t>
      </w:r>
      <w:r w:rsidRPr="0003764E">
        <w:rPr>
          <w:rFonts w:ascii="Times New Roman" w:hAnsi="Times New Roman"/>
          <w:color w:val="000000" w:themeColor="text1"/>
          <w:sz w:val="28"/>
          <w:szCs w:val="28"/>
          <w:lang w:val="en-US" w:eastAsia="en-US"/>
        </w:rPr>
        <w:t xml:space="preserve"> Atrial fibrillation and stroke prevention: 25 years of research at EP Europace journal // Europace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25, №</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226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B84378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29.</w:t>
      </w:r>
      <w:r w:rsidRPr="0003764E">
        <w:rPr>
          <w:rFonts w:ascii="Times New Roman" w:hAnsi="Times New Roman"/>
          <w:color w:val="000000" w:themeColor="text1"/>
          <w:sz w:val="28"/>
          <w:szCs w:val="28"/>
          <w:lang w:val="en-US" w:eastAsia="en-US"/>
        </w:rPr>
        <w:tab/>
        <w:t>Kornej J.</w:t>
      </w:r>
      <w:r>
        <w:rPr>
          <w:rFonts w:ascii="Times New Roman" w:hAnsi="Times New Roman"/>
          <w:color w:val="000000" w:themeColor="text1"/>
          <w:sz w:val="28"/>
          <w:szCs w:val="28"/>
          <w:lang w:val="en-US" w:eastAsia="en-US"/>
        </w:rPr>
        <w:t xml:space="preserve">, </w:t>
      </w:r>
      <w:r w:rsidRPr="00D2394E">
        <w:rPr>
          <w:rFonts w:ascii="Times New Roman" w:hAnsi="Times New Roman"/>
          <w:color w:val="000000" w:themeColor="text1"/>
          <w:sz w:val="28"/>
          <w:szCs w:val="28"/>
          <w:lang w:val="en-US" w:eastAsia="en-US"/>
        </w:rPr>
        <w:t>Börschel</w:t>
      </w:r>
      <w:r>
        <w:rPr>
          <w:rFonts w:ascii="Times New Roman" w:hAnsi="Times New Roman"/>
          <w:color w:val="000000" w:themeColor="text1"/>
          <w:sz w:val="28"/>
          <w:szCs w:val="28"/>
          <w:lang w:val="en-US" w:eastAsia="en-US"/>
        </w:rPr>
        <w:t xml:space="preserve"> C., Benjamin E., et al.</w:t>
      </w:r>
      <w:r w:rsidRPr="0003764E">
        <w:rPr>
          <w:rFonts w:ascii="Times New Roman" w:hAnsi="Times New Roman"/>
          <w:color w:val="000000" w:themeColor="text1"/>
          <w:sz w:val="28"/>
          <w:szCs w:val="28"/>
          <w:lang w:val="en-US" w:eastAsia="en-US"/>
        </w:rPr>
        <w:t xml:space="preserve"> Epidemiology of Atrial Fibrillation in the 21st Century // Circulation Research. American Heart Association, 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127,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4–20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A53547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30.</w:t>
      </w:r>
      <w:r w:rsidRPr="0003764E">
        <w:rPr>
          <w:rFonts w:ascii="Times New Roman" w:hAnsi="Times New Roman"/>
          <w:color w:val="000000" w:themeColor="text1"/>
          <w:sz w:val="28"/>
          <w:szCs w:val="28"/>
          <w:lang w:val="en-US" w:eastAsia="en-US"/>
        </w:rPr>
        <w:tab/>
        <w:t>Sankaranarayanan R.</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D2394E">
        <w:rPr>
          <w:rFonts w:ascii="Times New Roman" w:hAnsi="Times New Roman"/>
          <w:color w:val="000000" w:themeColor="text1"/>
          <w:sz w:val="28"/>
          <w:szCs w:val="28"/>
          <w:lang w:val="en-US" w:eastAsia="en-US"/>
        </w:rPr>
        <w:t>Kirkwood</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G., Dibb K. et al. </w:t>
      </w:r>
      <w:r w:rsidRPr="0003764E">
        <w:rPr>
          <w:rFonts w:ascii="Times New Roman" w:hAnsi="Times New Roman"/>
          <w:color w:val="000000" w:themeColor="text1"/>
          <w:sz w:val="28"/>
          <w:szCs w:val="28"/>
          <w:lang w:val="en-US" w:eastAsia="en-US"/>
        </w:rPr>
        <w:t xml:space="preserve">Comparison of Atrial Fibrillation in the Young versus That in the Elderly: A Review // </w:t>
      </w:r>
      <w:r w:rsidRPr="00D2394E">
        <w:rPr>
          <w:rFonts w:ascii="Times New Roman" w:hAnsi="Times New Roman"/>
          <w:color w:val="000000" w:themeColor="text1"/>
          <w:sz w:val="28"/>
          <w:szCs w:val="28"/>
          <w:lang w:val="en-US" w:eastAsia="en-US"/>
        </w:rPr>
        <w:t>Cardiology Research and Practice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.2013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 976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9DB4C7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31.</w:t>
      </w:r>
      <w:r w:rsidRPr="0003764E">
        <w:rPr>
          <w:rFonts w:ascii="Times New Roman" w:hAnsi="Times New Roman"/>
          <w:color w:val="000000" w:themeColor="text1"/>
          <w:sz w:val="28"/>
          <w:szCs w:val="28"/>
          <w:lang w:val="en-US" w:eastAsia="en-US"/>
        </w:rPr>
        <w:tab/>
        <w:t>Aggarwal N.</w:t>
      </w:r>
      <w:r>
        <w:rPr>
          <w:rFonts w:ascii="Times New Roman" w:hAnsi="Times New Roman"/>
          <w:color w:val="000000" w:themeColor="text1"/>
          <w:sz w:val="28"/>
          <w:szCs w:val="28"/>
          <w:lang w:val="en-US" w:eastAsia="en-US"/>
        </w:rPr>
        <w:t xml:space="preserve">, </w:t>
      </w:r>
      <w:r w:rsidRPr="00D2394E">
        <w:rPr>
          <w:rFonts w:ascii="Times New Roman" w:hAnsi="Times New Roman"/>
          <w:color w:val="000000" w:themeColor="text1"/>
          <w:sz w:val="28"/>
          <w:szCs w:val="28"/>
          <w:lang w:val="en-US" w:eastAsia="en-US"/>
        </w:rPr>
        <w:t>Selvendran</w:t>
      </w:r>
      <w:r>
        <w:rPr>
          <w:rFonts w:ascii="Times New Roman" w:hAnsi="Times New Roman"/>
          <w:color w:val="000000" w:themeColor="text1"/>
          <w:sz w:val="28"/>
          <w:szCs w:val="28"/>
          <w:lang w:val="en-US" w:eastAsia="en-US"/>
        </w:rPr>
        <w:t xml:space="preserve"> S., Raphael C. et al.</w:t>
      </w:r>
      <w:r w:rsidRPr="0003764E">
        <w:rPr>
          <w:rFonts w:ascii="Times New Roman" w:hAnsi="Times New Roman"/>
          <w:color w:val="000000" w:themeColor="text1"/>
          <w:sz w:val="28"/>
          <w:szCs w:val="28"/>
          <w:lang w:val="en-US" w:eastAsia="en-US"/>
        </w:rPr>
        <w:t xml:space="preserve"> Atrial Fibrillation in the Young: A Neurologist’s Nightmare // </w:t>
      </w:r>
      <w:r w:rsidRPr="00D2394E">
        <w:rPr>
          <w:rFonts w:ascii="Times New Roman" w:hAnsi="Times New Roman"/>
          <w:color w:val="000000" w:themeColor="text1"/>
          <w:sz w:val="28"/>
          <w:szCs w:val="28"/>
          <w:lang w:val="en-US" w:eastAsia="en-US"/>
        </w:rPr>
        <w:t>Neurology Research International</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2015. </w:t>
      </w:r>
      <w:r>
        <w:rPr>
          <w:rFonts w:ascii="Times New Roman" w:hAnsi="Times New Roman"/>
          <w:color w:val="000000" w:themeColor="text1"/>
          <w:sz w:val="28"/>
          <w:szCs w:val="28"/>
          <w:lang w:val="en-US" w:eastAsia="en-US"/>
        </w:rPr>
        <w:t>352-</w:t>
      </w:r>
      <w:r w:rsidRPr="0003764E">
        <w:rPr>
          <w:rFonts w:ascii="Times New Roman" w:hAnsi="Times New Roman"/>
          <w:color w:val="000000" w:themeColor="text1"/>
          <w:sz w:val="28"/>
          <w:szCs w:val="28"/>
          <w:lang w:val="en-US" w:eastAsia="en-US"/>
        </w:rPr>
        <w:t>374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D10594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32.</w:t>
      </w:r>
      <w:r w:rsidRPr="0003764E">
        <w:rPr>
          <w:rFonts w:ascii="Times New Roman" w:hAnsi="Times New Roman"/>
          <w:color w:val="000000" w:themeColor="text1"/>
          <w:sz w:val="28"/>
          <w:szCs w:val="28"/>
          <w:lang w:val="en-US" w:eastAsia="en-US"/>
        </w:rPr>
        <w:tab/>
        <w:t>Lip G.</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Kakar P., Watson T.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Atrial fibrillation—the growing epidemic // Heart</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93, № 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542–543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73DC48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33.</w:t>
      </w:r>
      <w:r w:rsidRPr="0003764E">
        <w:rPr>
          <w:rFonts w:ascii="Times New Roman" w:hAnsi="Times New Roman"/>
          <w:color w:val="000000" w:themeColor="text1"/>
          <w:sz w:val="28"/>
          <w:szCs w:val="28"/>
          <w:lang w:val="en-US" w:eastAsia="en-US"/>
        </w:rPr>
        <w:tab/>
        <w:t>Li H.</w:t>
      </w:r>
      <w:r>
        <w:rPr>
          <w:rFonts w:ascii="Times New Roman" w:hAnsi="Times New Roman"/>
          <w:color w:val="000000" w:themeColor="text1"/>
          <w:sz w:val="28"/>
          <w:szCs w:val="28"/>
          <w:lang w:val="en-US" w:eastAsia="en-US"/>
        </w:rPr>
        <w:t xml:space="preserve">, Song X., </w:t>
      </w:r>
      <w:r w:rsidRPr="00D2394E">
        <w:rPr>
          <w:rFonts w:ascii="Times New Roman" w:hAnsi="Times New Roman"/>
          <w:color w:val="000000" w:themeColor="text1"/>
          <w:sz w:val="28"/>
          <w:szCs w:val="28"/>
          <w:lang w:val="en-US" w:eastAsia="en-US"/>
        </w:rPr>
        <w:t>Liang</w:t>
      </w:r>
      <w:r>
        <w:rPr>
          <w:rFonts w:ascii="Times New Roman" w:hAnsi="Times New Roman"/>
          <w:color w:val="000000" w:themeColor="text1"/>
          <w:sz w:val="28"/>
          <w:szCs w:val="28"/>
          <w:lang w:val="en-US" w:eastAsia="en-US"/>
        </w:rPr>
        <w:t xml:space="preserve"> Y. et al.</w:t>
      </w:r>
      <w:r w:rsidRPr="0003764E">
        <w:rPr>
          <w:rFonts w:ascii="Times New Roman" w:hAnsi="Times New Roman"/>
          <w:color w:val="000000" w:themeColor="text1"/>
          <w:sz w:val="28"/>
          <w:szCs w:val="28"/>
          <w:lang w:val="en-US" w:eastAsia="en-US"/>
        </w:rPr>
        <w:t xml:space="preserve"> Global, regional, and national burden of disease study of atrial fibrillation/flutter, 1990–2019: results from a global burden of disease study, 2019 // BMC Public Health. 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22,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7A9FAE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34.</w:t>
      </w:r>
      <w:r w:rsidRPr="0003764E">
        <w:rPr>
          <w:rFonts w:ascii="Times New Roman" w:hAnsi="Times New Roman"/>
          <w:color w:val="000000" w:themeColor="text1"/>
          <w:sz w:val="28"/>
          <w:szCs w:val="28"/>
          <w:lang w:val="en-US" w:eastAsia="en-US"/>
        </w:rPr>
        <w:tab/>
        <w:t>Lin D.S.</w:t>
      </w:r>
      <w:r>
        <w:rPr>
          <w:rFonts w:ascii="Times New Roman" w:hAnsi="Times New Roman"/>
          <w:color w:val="000000" w:themeColor="text1"/>
          <w:sz w:val="28"/>
          <w:szCs w:val="28"/>
          <w:lang w:val="en-US" w:eastAsia="en-US"/>
        </w:rPr>
        <w:t xml:space="preserve">, </w:t>
      </w:r>
      <w:r w:rsidRPr="002C3DA4">
        <w:rPr>
          <w:rFonts w:ascii="Times New Roman" w:hAnsi="Times New Roman"/>
          <w:sz w:val="28"/>
          <w:szCs w:val="28"/>
          <w:shd w:val="clear" w:color="auto" w:fill="FFFFFF"/>
          <w:lang w:val="en-US"/>
        </w:rPr>
        <w:t>Lo H.Y., Huang K.C.</w:t>
      </w:r>
      <w:r>
        <w:rPr>
          <w:rFonts w:ascii="Times New Roman" w:hAnsi="Times New Roman"/>
          <w:sz w:val="28"/>
          <w:szCs w:val="28"/>
          <w:shd w:val="clear" w:color="auto" w:fill="FFFFFF"/>
          <w:lang w:val="en-US"/>
        </w:rPr>
        <w:t xml:space="preserve"> </w:t>
      </w:r>
      <w:r w:rsidRPr="002C3DA4">
        <w:rPr>
          <w:rFonts w:ascii="Times New Roman" w:hAnsi="Times New Roman"/>
          <w:sz w:val="28"/>
          <w:szCs w:val="28"/>
          <w:shd w:val="clear" w:color="auto" w:fill="FFFFFF"/>
          <w:lang w:val="en-US"/>
        </w:rPr>
        <w:t>et al.</w:t>
      </w:r>
      <w:r>
        <w:rPr>
          <w:rFonts w:ascii="Times New Roman" w:hAnsi="Times New Roman"/>
          <w:sz w:val="28"/>
          <w:szCs w:val="28"/>
          <w:shd w:val="clear" w:color="auto" w:fill="FFFFFF"/>
          <w:lang w:val="en-US"/>
        </w:rPr>
        <w:t xml:space="preserve"> </w:t>
      </w:r>
      <w:r w:rsidRPr="0003764E">
        <w:rPr>
          <w:rFonts w:ascii="Times New Roman" w:hAnsi="Times New Roman"/>
          <w:color w:val="000000" w:themeColor="text1"/>
          <w:sz w:val="28"/>
          <w:szCs w:val="28"/>
          <w:lang w:val="en-US" w:eastAsia="en-US"/>
        </w:rPr>
        <w:t>Efficacy and Safety of Direct Oral Anticoagulants for Stroke Prevention in Older Patients With Atrial Fibrillation: A Network Meta‐Analysis of Randomized Controlled Trials //</w:t>
      </w:r>
      <w:r>
        <w:rPr>
          <w:rFonts w:ascii="Times New Roman" w:hAnsi="Times New Roman"/>
          <w:color w:val="000000" w:themeColor="text1"/>
          <w:sz w:val="28"/>
          <w:szCs w:val="28"/>
          <w:lang w:val="en-US" w:eastAsia="en-US"/>
        </w:rPr>
        <w:t xml:space="preserve"> </w:t>
      </w:r>
      <w:r w:rsidRPr="002C3DA4">
        <w:rPr>
          <w:rFonts w:ascii="Times New Roman" w:hAnsi="Times New Roman"/>
          <w:color w:val="000000" w:themeColor="text1"/>
          <w:sz w:val="28"/>
          <w:szCs w:val="28"/>
          <w:lang w:val="en-US" w:eastAsia="en-US"/>
        </w:rPr>
        <w:t>Journal of the American Heart Association: Cardiovascular and Cerebrovascular Disease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 № 23. e030380.</w:t>
      </w:r>
    </w:p>
    <w:p w14:paraId="6F0BA491" w14:textId="77777777" w:rsidR="00AC4691" w:rsidRPr="00AC4691" w:rsidRDefault="00AC4691" w:rsidP="00AC4691">
      <w:pPr>
        <w:pStyle w:val="af4"/>
        <w:jc w:val="both"/>
        <w:rPr>
          <w:rFonts w:ascii="Times New Roman" w:hAnsi="Times New Roman"/>
          <w:color w:val="000000" w:themeColor="text1"/>
          <w:sz w:val="28"/>
          <w:szCs w:val="28"/>
          <w:lang w:val="en-US" w:eastAsia="en-US"/>
        </w:rPr>
      </w:pPr>
      <w:r w:rsidRPr="00454F41">
        <w:rPr>
          <w:rFonts w:ascii="Times New Roman" w:hAnsi="Times New Roman"/>
          <w:color w:val="000000" w:themeColor="text1"/>
          <w:sz w:val="28"/>
          <w:szCs w:val="28"/>
          <w:lang w:val="en-US" w:eastAsia="en-US"/>
        </w:rPr>
        <w:t>35.</w:t>
      </w:r>
      <w:r w:rsidRPr="00454F41">
        <w:rPr>
          <w:rFonts w:ascii="Times New Roman" w:hAnsi="Times New Roman"/>
          <w:color w:val="000000" w:themeColor="text1"/>
          <w:sz w:val="28"/>
          <w:szCs w:val="28"/>
          <w:lang w:val="en-US" w:eastAsia="en-US"/>
        </w:rPr>
        <w:tab/>
      </w:r>
      <w:r w:rsidRPr="00790EA4">
        <w:rPr>
          <w:rFonts w:ascii="Times New Roman" w:hAnsi="Times New Roman"/>
          <w:sz w:val="28"/>
          <w:szCs w:val="28"/>
        </w:rPr>
        <w:t>Тлегенова</w:t>
      </w:r>
      <w:r w:rsidRPr="00454F41">
        <w:rPr>
          <w:rFonts w:ascii="Times New Roman" w:hAnsi="Times New Roman"/>
          <w:sz w:val="28"/>
          <w:szCs w:val="28"/>
          <w:lang w:val="en-US"/>
        </w:rPr>
        <w:t xml:space="preserve"> </w:t>
      </w:r>
      <w:r w:rsidRPr="00790EA4">
        <w:rPr>
          <w:rFonts w:ascii="Times New Roman" w:hAnsi="Times New Roman"/>
          <w:sz w:val="28"/>
          <w:szCs w:val="28"/>
        </w:rPr>
        <w:t>Ж</w:t>
      </w:r>
      <w:r w:rsidRPr="00454F41">
        <w:rPr>
          <w:rFonts w:ascii="Times New Roman" w:hAnsi="Times New Roman"/>
          <w:sz w:val="28"/>
          <w:szCs w:val="28"/>
          <w:lang w:val="en-US"/>
        </w:rPr>
        <w:t>.</w:t>
      </w:r>
      <w:r w:rsidRPr="00790EA4">
        <w:rPr>
          <w:rFonts w:ascii="Times New Roman" w:hAnsi="Times New Roman"/>
          <w:sz w:val="28"/>
          <w:szCs w:val="28"/>
        </w:rPr>
        <w:t>Ш</w:t>
      </w:r>
      <w:r w:rsidRPr="00454F41">
        <w:rPr>
          <w:rFonts w:ascii="Times New Roman" w:hAnsi="Times New Roman"/>
          <w:sz w:val="28"/>
          <w:szCs w:val="28"/>
          <w:lang w:val="en-US"/>
        </w:rPr>
        <w:t xml:space="preserve">., </w:t>
      </w:r>
      <w:r w:rsidRPr="00790EA4">
        <w:rPr>
          <w:rFonts w:ascii="Times New Roman" w:hAnsi="Times New Roman"/>
          <w:sz w:val="28"/>
          <w:szCs w:val="28"/>
        </w:rPr>
        <w:t>Кудайбердиева</w:t>
      </w:r>
      <w:r w:rsidRPr="00454F41">
        <w:rPr>
          <w:rFonts w:ascii="Times New Roman" w:hAnsi="Times New Roman"/>
          <w:sz w:val="28"/>
          <w:szCs w:val="28"/>
          <w:lang w:val="en-US"/>
        </w:rPr>
        <w:t xml:space="preserve"> </w:t>
      </w:r>
      <w:r w:rsidRPr="00790EA4">
        <w:rPr>
          <w:rFonts w:ascii="Times New Roman" w:hAnsi="Times New Roman"/>
          <w:sz w:val="28"/>
          <w:szCs w:val="28"/>
        </w:rPr>
        <w:t>Г</w:t>
      </w:r>
      <w:r w:rsidRPr="00454F41">
        <w:rPr>
          <w:rFonts w:ascii="Times New Roman" w:hAnsi="Times New Roman"/>
          <w:sz w:val="28"/>
          <w:szCs w:val="28"/>
          <w:lang w:val="en-US"/>
        </w:rPr>
        <w:t>.</w:t>
      </w:r>
      <w:r w:rsidRPr="00790EA4">
        <w:rPr>
          <w:rFonts w:ascii="Times New Roman" w:hAnsi="Times New Roman"/>
          <w:sz w:val="28"/>
          <w:szCs w:val="28"/>
        </w:rPr>
        <w:t>З</w:t>
      </w:r>
      <w:r w:rsidRPr="00454F41">
        <w:rPr>
          <w:rFonts w:ascii="Times New Roman" w:hAnsi="Times New Roman"/>
          <w:sz w:val="28"/>
          <w:szCs w:val="28"/>
          <w:lang w:val="en-US"/>
        </w:rPr>
        <w:t xml:space="preserve">., </w:t>
      </w:r>
      <w:r w:rsidRPr="00790EA4">
        <w:rPr>
          <w:rFonts w:ascii="Times New Roman" w:hAnsi="Times New Roman"/>
          <w:sz w:val="28"/>
          <w:szCs w:val="28"/>
        </w:rPr>
        <w:t>Жолдин</w:t>
      </w:r>
      <w:r w:rsidRPr="00454F41">
        <w:rPr>
          <w:rFonts w:ascii="Times New Roman" w:hAnsi="Times New Roman"/>
          <w:sz w:val="28"/>
          <w:szCs w:val="28"/>
          <w:lang w:val="en-US"/>
        </w:rPr>
        <w:t xml:space="preserve"> </w:t>
      </w:r>
      <w:r w:rsidRPr="00790EA4">
        <w:rPr>
          <w:rFonts w:ascii="Times New Roman" w:hAnsi="Times New Roman"/>
          <w:sz w:val="28"/>
          <w:szCs w:val="28"/>
        </w:rPr>
        <w:t>Б</w:t>
      </w:r>
      <w:r w:rsidRPr="00454F41">
        <w:rPr>
          <w:rFonts w:ascii="Times New Roman" w:hAnsi="Times New Roman"/>
          <w:sz w:val="28"/>
          <w:szCs w:val="28"/>
          <w:lang w:val="en-US"/>
        </w:rPr>
        <w:t>.</w:t>
      </w:r>
      <w:r w:rsidRPr="00790EA4">
        <w:rPr>
          <w:rFonts w:ascii="Times New Roman" w:hAnsi="Times New Roman"/>
          <w:sz w:val="28"/>
          <w:szCs w:val="28"/>
        </w:rPr>
        <w:t>К</w:t>
      </w:r>
      <w:r w:rsidRPr="00454F41">
        <w:rPr>
          <w:rFonts w:ascii="Times New Roman" w:hAnsi="Times New Roman"/>
          <w:sz w:val="28"/>
          <w:szCs w:val="28"/>
          <w:lang w:val="en-US"/>
        </w:rPr>
        <w:t xml:space="preserve">., </w:t>
      </w:r>
      <w:r w:rsidRPr="00790EA4">
        <w:rPr>
          <w:rFonts w:ascii="Times New Roman" w:hAnsi="Times New Roman"/>
          <w:sz w:val="28"/>
          <w:szCs w:val="28"/>
        </w:rPr>
        <w:t>и</w:t>
      </w:r>
      <w:r w:rsidRPr="00454F41">
        <w:rPr>
          <w:rFonts w:ascii="Times New Roman" w:hAnsi="Times New Roman"/>
          <w:sz w:val="28"/>
          <w:szCs w:val="28"/>
          <w:lang w:val="en-US"/>
        </w:rPr>
        <w:t xml:space="preserve"> </w:t>
      </w:r>
      <w:r w:rsidRPr="00790EA4">
        <w:rPr>
          <w:rFonts w:ascii="Times New Roman" w:hAnsi="Times New Roman"/>
          <w:sz w:val="28"/>
          <w:szCs w:val="28"/>
        </w:rPr>
        <w:t>др</w:t>
      </w:r>
      <w:r w:rsidRPr="00454F41">
        <w:rPr>
          <w:rFonts w:ascii="Times New Roman" w:hAnsi="Times New Roman"/>
          <w:sz w:val="28"/>
          <w:szCs w:val="28"/>
          <w:lang w:val="en-US"/>
        </w:rPr>
        <w:t>.</w:t>
      </w:r>
      <w:r w:rsidRPr="00454F41">
        <w:rPr>
          <w:rFonts w:ascii="Arial" w:hAnsi="Arial" w:cs="Arial"/>
          <w:color w:val="FFFFFF"/>
          <w:sz w:val="18"/>
          <w:szCs w:val="18"/>
          <w:lang w:val="en-US"/>
        </w:rPr>
        <w:t xml:space="preserve"> </w:t>
      </w:r>
      <w:r w:rsidRPr="0003764E">
        <w:rPr>
          <w:rFonts w:ascii="Times New Roman" w:hAnsi="Times New Roman"/>
          <w:color w:val="000000" w:themeColor="text1"/>
          <w:sz w:val="28"/>
          <w:szCs w:val="28"/>
          <w:lang w:eastAsia="en-US"/>
        </w:rPr>
        <w:t>Скрининг</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на</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фибрилляцию</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предсердий</w:t>
      </w:r>
      <w:r w:rsidRPr="00AC4691">
        <w:rPr>
          <w:rFonts w:ascii="Times New Roman" w:hAnsi="Times New Roman"/>
          <w:color w:val="000000" w:themeColor="text1"/>
          <w:sz w:val="28"/>
          <w:szCs w:val="28"/>
          <w:lang w:eastAsia="en-US"/>
        </w:rPr>
        <w:t xml:space="preserve">: 1 (47) // </w:t>
      </w:r>
      <w:r w:rsidRPr="0003764E">
        <w:rPr>
          <w:rFonts w:ascii="Times New Roman" w:hAnsi="Times New Roman"/>
          <w:color w:val="000000" w:themeColor="text1"/>
          <w:sz w:val="28"/>
          <w:szCs w:val="28"/>
          <w:lang w:val="en-US" w:eastAsia="en-US"/>
        </w:rPr>
        <w:t>Journal</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val="en-US" w:eastAsia="en-US"/>
        </w:rPr>
        <w:t>of</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val="en-US" w:eastAsia="en-US"/>
        </w:rPr>
        <w:t>Clinical</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val="en-US" w:eastAsia="en-US"/>
        </w:rPr>
        <w:t>Medicine</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val="en-US" w:eastAsia="en-US"/>
        </w:rPr>
        <w:t>of</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val="en-US" w:eastAsia="en-US"/>
        </w:rPr>
        <w:t>Kazakhstan</w:t>
      </w:r>
      <w:r w:rsidRPr="00AC469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 xml:space="preserve">Республика Казахстан, Астана: Акционерное общество «Национальный научный медицинский центр», 2018. </w:t>
      </w:r>
      <w:r w:rsidRPr="00AC4691">
        <w:rPr>
          <w:rFonts w:ascii="Times New Roman" w:hAnsi="Times New Roman"/>
          <w:color w:val="000000" w:themeColor="text1"/>
          <w:sz w:val="28"/>
          <w:szCs w:val="28"/>
          <w:lang w:val="en-US" w:eastAsia="en-US"/>
        </w:rPr>
        <w:t>№ 1 (47), 18–24</w:t>
      </w:r>
      <w:r>
        <w:rPr>
          <w:rFonts w:ascii="Times New Roman" w:hAnsi="Times New Roman"/>
          <w:color w:val="000000" w:themeColor="text1"/>
          <w:sz w:val="28"/>
          <w:szCs w:val="28"/>
          <w:lang w:eastAsia="en-US"/>
        </w:rPr>
        <w:t>с</w:t>
      </w:r>
      <w:r w:rsidRPr="00AC4691">
        <w:rPr>
          <w:rFonts w:ascii="Times New Roman" w:hAnsi="Times New Roman"/>
          <w:color w:val="000000" w:themeColor="text1"/>
          <w:sz w:val="28"/>
          <w:szCs w:val="28"/>
          <w:lang w:val="en-US" w:eastAsia="en-US"/>
        </w:rPr>
        <w:t>.</w:t>
      </w:r>
    </w:p>
    <w:p w14:paraId="2CB54C68"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36.</w:t>
      </w:r>
      <w:r w:rsidRPr="0003764E">
        <w:rPr>
          <w:rFonts w:ascii="Times New Roman" w:hAnsi="Times New Roman"/>
          <w:color w:val="000000" w:themeColor="text1"/>
          <w:sz w:val="28"/>
          <w:szCs w:val="28"/>
          <w:lang w:val="en-US" w:eastAsia="en-US"/>
        </w:rPr>
        <w:tab/>
        <w:t>Lip G.</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Nielsen P. B. Should Patients With Atrial Fibrillation and 1 Stroke Risk Factor (CHA2DS2-VASc Score 1 in Men, 2 in Women) Be Anticoagulated? // Circulation. </w:t>
      </w:r>
      <w:r w:rsidRPr="00967295">
        <w:rPr>
          <w:rFonts w:ascii="Times New Roman" w:hAnsi="Times New Roman"/>
          <w:color w:val="000000" w:themeColor="text1"/>
          <w:sz w:val="28"/>
          <w:szCs w:val="28"/>
          <w:lang w:val="en-US" w:eastAsia="en-US"/>
        </w:rPr>
        <w:t xml:space="preserve">American Heart Association, 2016.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133, № 15</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1498–1503</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424103AE"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37.</w:t>
      </w:r>
      <w:r w:rsidRPr="0003764E">
        <w:rPr>
          <w:rFonts w:ascii="Times New Roman" w:hAnsi="Times New Roman"/>
          <w:color w:val="000000" w:themeColor="text1"/>
          <w:sz w:val="28"/>
          <w:szCs w:val="28"/>
          <w:lang w:val="en-US" w:eastAsia="en-US"/>
        </w:rPr>
        <w:tab/>
      </w:r>
      <w:r w:rsidRPr="00D558C4">
        <w:rPr>
          <w:rFonts w:ascii="Times New Roman" w:hAnsi="Times New Roman"/>
          <w:sz w:val="28"/>
          <w:szCs w:val="28"/>
          <w:lang w:val="en-US" w:eastAsia="en-US"/>
        </w:rPr>
        <w:t>Son, M. K.</w:t>
      </w:r>
      <w:r>
        <w:rPr>
          <w:rFonts w:ascii="Times New Roman" w:hAnsi="Times New Roman"/>
          <w:sz w:val="28"/>
          <w:szCs w:val="28"/>
          <w:lang w:val="en-US" w:eastAsia="en-US"/>
        </w:rPr>
        <w:t>,</w:t>
      </w:r>
      <w:r w:rsidRPr="00D558C4">
        <w:rPr>
          <w:rFonts w:ascii="Times New Roman" w:hAnsi="Times New Roman"/>
          <w:sz w:val="28"/>
          <w:szCs w:val="28"/>
          <w:lang w:val="en-US" w:eastAsia="en-US"/>
        </w:rPr>
        <w:t xml:space="preserve"> Lim N.-K.</w:t>
      </w:r>
      <w:r>
        <w:rPr>
          <w:rFonts w:ascii="Times New Roman" w:hAnsi="Times New Roman"/>
          <w:sz w:val="28"/>
          <w:szCs w:val="28"/>
          <w:lang w:val="en-US" w:eastAsia="en-US"/>
        </w:rPr>
        <w:t>,</w:t>
      </w:r>
      <w:r w:rsidRPr="00D558C4">
        <w:rPr>
          <w:rFonts w:ascii="Times New Roman" w:hAnsi="Times New Roman"/>
          <w:sz w:val="28"/>
          <w:szCs w:val="28"/>
          <w:lang w:val="en-US" w:eastAsia="en-US"/>
        </w:rPr>
        <w:t xml:space="preserve"> Kim, H. W.</w:t>
      </w:r>
      <w:r>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Risk of ischemic stroke after atrial fibrillation diagnosis: A national sample cohort // PLoS One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2017.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xml:space="preserve">.12, № 6. </w:t>
      </w:r>
      <w:r w:rsidRPr="0003764E">
        <w:rPr>
          <w:rFonts w:ascii="Times New Roman" w:hAnsi="Times New Roman"/>
          <w:color w:val="000000" w:themeColor="text1"/>
          <w:sz w:val="28"/>
          <w:szCs w:val="28"/>
          <w:lang w:val="en-US" w:eastAsia="en-US"/>
        </w:rPr>
        <w:t>e0179687.</w:t>
      </w:r>
    </w:p>
    <w:p w14:paraId="5336F22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38.</w:t>
      </w:r>
      <w:r w:rsidRPr="0003764E">
        <w:rPr>
          <w:rFonts w:ascii="Times New Roman" w:hAnsi="Times New Roman"/>
          <w:color w:val="000000" w:themeColor="text1"/>
          <w:sz w:val="28"/>
          <w:szCs w:val="28"/>
          <w:lang w:val="en-US" w:eastAsia="en-US"/>
        </w:rPr>
        <w:tab/>
        <w:t xml:space="preserve">Hart R.G., Pearce L.A., Aguilar M.I. Meta-analysis: antithrombotic therapy to prevent stroke in patients who have nonvalvular atrial fibrillation // </w:t>
      </w:r>
      <w:r w:rsidRPr="00C32353">
        <w:rPr>
          <w:rFonts w:ascii="Times New Roman" w:hAnsi="Times New Roman"/>
          <w:color w:val="000000" w:themeColor="text1"/>
          <w:sz w:val="28"/>
          <w:szCs w:val="28"/>
          <w:lang w:val="en-US" w:eastAsia="en-US"/>
        </w:rPr>
        <w:t>Annals of Internal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146, № 12. 857–867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DF4374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39.</w:t>
      </w:r>
      <w:r w:rsidRPr="0003764E">
        <w:rPr>
          <w:rFonts w:ascii="Times New Roman" w:hAnsi="Times New Roman"/>
          <w:color w:val="000000" w:themeColor="text1"/>
          <w:sz w:val="28"/>
          <w:szCs w:val="28"/>
          <w:lang w:val="en-US" w:eastAsia="en-US"/>
        </w:rPr>
        <w:tab/>
      </w:r>
      <w:r>
        <w:rPr>
          <w:rFonts w:ascii="Times New Roman" w:hAnsi="Times New Roman"/>
          <w:color w:val="000000" w:themeColor="text1"/>
          <w:sz w:val="28"/>
          <w:szCs w:val="28"/>
          <w:lang w:val="en-US" w:eastAsia="en-US"/>
        </w:rPr>
        <w:t>A</w:t>
      </w:r>
      <w:r w:rsidRPr="00A21A7F">
        <w:rPr>
          <w:rFonts w:ascii="Times New Roman" w:hAnsi="Times New Roman"/>
          <w:sz w:val="28"/>
          <w:szCs w:val="28"/>
          <w:lang w:val="en-US" w:eastAsia="en-US"/>
        </w:rPr>
        <w:t>hmad, O.</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Farooqi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H.A.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Ahmed I.</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Temporal Trends in Mortality Related to Stroke and Atrial Fibrillation in the United States: A 21-Year Retrospective Analysis of CDC-WONDER Database // Clinical Cardiology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.47, № 12. e70058.</w:t>
      </w:r>
    </w:p>
    <w:p w14:paraId="1CFA783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40.</w:t>
      </w:r>
      <w:r w:rsidRPr="0003764E">
        <w:rPr>
          <w:rFonts w:ascii="Times New Roman" w:hAnsi="Times New Roman"/>
          <w:color w:val="000000" w:themeColor="text1"/>
          <w:sz w:val="28"/>
          <w:szCs w:val="28"/>
          <w:lang w:val="en-US" w:eastAsia="en-US"/>
        </w:rPr>
        <w:tab/>
        <w:t>Sussman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Menzin J.</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 xml:space="preserve"> Lin I</w:t>
      </w:r>
      <w:r>
        <w:rPr>
          <w:rFonts w:ascii="Times New Roman" w:hAnsi="Times New Roman"/>
          <w:sz w:val="28"/>
          <w:szCs w:val="28"/>
          <w:lang w:val="en-US" w:eastAsia="en-US"/>
        </w:rPr>
        <w:t>. et al.</w:t>
      </w:r>
      <w:r w:rsidRPr="0003764E">
        <w:rPr>
          <w:rFonts w:ascii="Times New Roman" w:hAnsi="Times New Roman"/>
          <w:color w:val="000000" w:themeColor="text1"/>
          <w:sz w:val="28"/>
          <w:szCs w:val="28"/>
          <w:lang w:val="en-US" w:eastAsia="en-US"/>
        </w:rPr>
        <w:t xml:space="preserve"> Impact of Atrial Fibrillation on Stroke‐Related Healthcare Costs // </w:t>
      </w:r>
      <w:r w:rsidRPr="00C32353">
        <w:rPr>
          <w:rFonts w:ascii="Times New Roman" w:hAnsi="Times New Roman"/>
          <w:color w:val="000000" w:themeColor="text1"/>
          <w:sz w:val="28"/>
          <w:szCs w:val="28"/>
          <w:lang w:val="en-US" w:eastAsia="en-US"/>
        </w:rPr>
        <w:t>Journal of the American Heart Association: Cardiovascular and Cerebrovascular Disease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.2, № 6. e000479.</w:t>
      </w:r>
    </w:p>
    <w:p w14:paraId="4FE2976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41.</w:t>
      </w:r>
      <w:r w:rsidRPr="0003764E">
        <w:rPr>
          <w:rFonts w:ascii="Times New Roman" w:hAnsi="Times New Roman"/>
          <w:color w:val="000000" w:themeColor="text1"/>
          <w:sz w:val="28"/>
          <w:szCs w:val="28"/>
          <w:lang w:val="en-US" w:eastAsia="en-US"/>
        </w:rPr>
        <w:tab/>
        <w:t>Bai Y.</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Wang Y.-L.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Shantsila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The Global Burden of Atrial Fibrillation and Stroke: A Systematic Review of the Clinical Epidemiology of Atrial Fibrillation in Asia // Chest</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2017. </w:t>
      </w:r>
      <w:r>
        <w:rPr>
          <w:rFonts w:ascii="Times New Roman" w:hAnsi="Times New Roman"/>
          <w:color w:val="000000" w:themeColor="text1"/>
          <w:sz w:val="28"/>
          <w:szCs w:val="28"/>
          <w:lang w:val="en-US" w:eastAsia="en-US"/>
        </w:rPr>
        <w:t xml:space="preserve"> Vol</w:t>
      </w:r>
      <w:r w:rsidRPr="0003764E">
        <w:rPr>
          <w:rFonts w:ascii="Times New Roman" w:hAnsi="Times New Roman"/>
          <w:color w:val="000000" w:themeColor="text1"/>
          <w:sz w:val="28"/>
          <w:szCs w:val="28"/>
          <w:lang w:val="en-US" w:eastAsia="en-US"/>
        </w:rPr>
        <w:t>. 152,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810–820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2D6C71F"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42.</w:t>
      </w:r>
      <w:r w:rsidRPr="0003764E">
        <w:rPr>
          <w:rFonts w:ascii="Times New Roman" w:hAnsi="Times New Roman"/>
          <w:color w:val="000000" w:themeColor="text1"/>
          <w:sz w:val="28"/>
          <w:szCs w:val="28"/>
          <w:lang w:val="en-US" w:eastAsia="en-US"/>
        </w:rPr>
        <w:tab/>
        <w:t>Goel D.</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Gupta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R.</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Keshri T.</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Prevalence of atrial fibrillation in acute ischemic stroke patients: A hospital-based study from India // Brain Circ</w:t>
      </w:r>
      <w:r>
        <w:rPr>
          <w:rFonts w:ascii="Times New Roman" w:hAnsi="Times New Roman"/>
          <w:color w:val="000000" w:themeColor="text1"/>
          <w:sz w:val="28"/>
          <w:szCs w:val="28"/>
          <w:lang w:val="en-US" w:eastAsia="en-US"/>
        </w:rPr>
        <w:t>ulation,</w:t>
      </w:r>
      <w:r w:rsidRPr="0003764E">
        <w:rPr>
          <w:rFonts w:ascii="Times New Roman" w:hAnsi="Times New Roman"/>
          <w:color w:val="000000" w:themeColor="text1"/>
          <w:sz w:val="28"/>
          <w:szCs w:val="28"/>
          <w:lang w:val="en-US" w:eastAsia="en-US"/>
        </w:rPr>
        <w:t xml:space="preserve"> 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6,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19–25</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44A1CA6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C32353">
        <w:rPr>
          <w:rFonts w:ascii="Times New Roman" w:hAnsi="Times New Roman"/>
          <w:color w:val="000000" w:themeColor="text1"/>
          <w:sz w:val="28"/>
          <w:szCs w:val="28"/>
          <w:lang w:val="en-US" w:eastAsia="en-US"/>
        </w:rPr>
        <w:t>43.</w:t>
      </w:r>
      <w:r w:rsidRPr="00C32353">
        <w:rPr>
          <w:rFonts w:ascii="Times New Roman" w:hAnsi="Times New Roman"/>
          <w:color w:val="000000" w:themeColor="text1"/>
          <w:sz w:val="28"/>
          <w:szCs w:val="28"/>
          <w:lang w:val="en-US" w:eastAsia="en-US"/>
        </w:rPr>
        <w:tab/>
      </w:r>
      <w:r w:rsidRPr="00967295">
        <w:rPr>
          <w:rFonts w:ascii="Times New Roman" w:hAnsi="Times New Roman"/>
          <w:color w:val="000000" w:themeColor="text1"/>
          <w:sz w:val="28"/>
          <w:szCs w:val="28"/>
          <w:lang w:val="en-US" w:eastAsia="en-US"/>
        </w:rPr>
        <w:t>Skirdenko</w:t>
      </w:r>
      <w:r w:rsidRPr="00C32353">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Y</w:t>
      </w:r>
      <w:r w:rsidRPr="00C32353">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P</w:t>
      </w:r>
      <w:r w:rsidRPr="00C32353">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Nikolaev N. 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 xml:space="preserve">Livzan, M. </w:t>
      </w:r>
      <w:r w:rsidRPr="00D558C4">
        <w:rPr>
          <w:rFonts w:ascii="Times New Roman" w:hAnsi="Times New Roman"/>
          <w:sz w:val="28"/>
          <w:szCs w:val="28"/>
          <w:lang w:eastAsia="en-US"/>
        </w:rPr>
        <w:t>А</w:t>
      </w:r>
      <w:r w:rsidRPr="00A21A7F">
        <w:rPr>
          <w:rFonts w:ascii="Times New Roman" w:hAnsi="Times New Roman"/>
          <w:sz w:val="28"/>
          <w:szCs w:val="28"/>
          <w:lang w:val="en-US" w:eastAsia="en-US"/>
        </w:rPr>
        <w:t>.</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Anticoagulant Therapy for Atrial Fibrillation in Real Practice: Problems and Prospects // Annals RAMS. 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74, № 2</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98–107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DDE989A"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44.</w:t>
      </w:r>
      <w:r w:rsidRPr="0003764E">
        <w:rPr>
          <w:rFonts w:ascii="Times New Roman" w:hAnsi="Times New Roman"/>
          <w:color w:val="000000" w:themeColor="text1"/>
          <w:sz w:val="28"/>
          <w:szCs w:val="28"/>
          <w:lang w:val="en-US" w:eastAsia="en-US"/>
        </w:rPr>
        <w:tab/>
        <w:t>Wagstaff A.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Overvad T. F.</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Lip, G.Y.</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Is female sex a risk factor for stroke and thromboembolism in patients with atrial fibrillation? A systematic review and meta-analysis // QJM: An International Journal of Medicine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 xml:space="preserve">2014.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107, № 12</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955–967</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2F9114D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45.</w:t>
      </w:r>
      <w:r w:rsidRPr="0003764E">
        <w:rPr>
          <w:rFonts w:ascii="Times New Roman" w:hAnsi="Times New Roman"/>
          <w:color w:val="000000" w:themeColor="text1"/>
          <w:sz w:val="28"/>
          <w:szCs w:val="28"/>
          <w:lang w:val="en-US" w:eastAsia="en-US"/>
        </w:rPr>
        <w:tab/>
        <w:t>Samim D.</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Choffat D.</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 xml:space="preserve"> Vollenweider P.</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Prevalence of atrial fibrillation // Herz. 2023.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48,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48–54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BD9BEEB"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46.</w:t>
      </w:r>
      <w:r w:rsidRPr="0003764E">
        <w:rPr>
          <w:rFonts w:ascii="Times New Roman" w:hAnsi="Times New Roman"/>
          <w:color w:val="000000" w:themeColor="text1"/>
          <w:sz w:val="28"/>
          <w:szCs w:val="28"/>
          <w:lang w:val="en-US" w:eastAsia="en-US"/>
        </w:rPr>
        <w:tab/>
        <w:t xml:space="preserve">Wolf P. A., Abbott R. D., Kannel W.B. Atrial fibrillation as an independent risk factor for stroke: the Framingham Study // Stroke. </w:t>
      </w:r>
      <w:r w:rsidRPr="00967295">
        <w:rPr>
          <w:rFonts w:ascii="Times New Roman" w:hAnsi="Times New Roman"/>
          <w:color w:val="000000" w:themeColor="text1"/>
          <w:sz w:val="28"/>
          <w:szCs w:val="28"/>
          <w:lang w:val="en-US" w:eastAsia="en-US"/>
        </w:rPr>
        <w:t xml:space="preserve">American Heart Association, 1991.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22, № 8</w:t>
      </w:r>
      <w:r>
        <w:rPr>
          <w:rFonts w:ascii="Times New Roman" w:hAnsi="Times New Roman"/>
          <w:color w:val="000000" w:themeColor="text1"/>
          <w:sz w:val="28"/>
          <w:szCs w:val="28"/>
          <w:lang w:val="en-US" w:eastAsia="en-US"/>
        </w:rPr>
        <w:t>,</w:t>
      </w:r>
      <w:r w:rsidRPr="00967295">
        <w:rPr>
          <w:rFonts w:ascii="Times New Roman" w:hAnsi="Times New Roman"/>
          <w:color w:val="000000" w:themeColor="text1"/>
          <w:sz w:val="28"/>
          <w:szCs w:val="28"/>
          <w:lang w:val="en-US" w:eastAsia="en-US"/>
        </w:rPr>
        <w:t xml:space="preserve"> 983–988</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1B7E216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47.</w:t>
      </w:r>
      <w:r w:rsidRPr="0003764E">
        <w:rPr>
          <w:rFonts w:ascii="Times New Roman" w:hAnsi="Times New Roman"/>
          <w:color w:val="000000" w:themeColor="text1"/>
          <w:sz w:val="28"/>
          <w:szCs w:val="28"/>
          <w:lang w:val="en-US" w:eastAsia="en-US"/>
        </w:rPr>
        <w:tab/>
        <w:t>Gage B. F.</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Waterman A.D.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Shannon, W.</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Validation of clinical classification schemes for predicting stroke: results from the National Registry of Atrial Fibrillation // JAMA</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2001.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xml:space="preserve">. 285, № 22. </w:t>
      </w:r>
      <w:r w:rsidRPr="0003764E">
        <w:rPr>
          <w:rFonts w:ascii="Times New Roman" w:hAnsi="Times New Roman"/>
          <w:color w:val="000000" w:themeColor="text1"/>
          <w:sz w:val="28"/>
          <w:szCs w:val="28"/>
          <w:lang w:val="en-US" w:eastAsia="en-US"/>
        </w:rPr>
        <w:t>2864–2870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0D432C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48.</w:t>
      </w:r>
      <w:r w:rsidRPr="0003764E">
        <w:rPr>
          <w:rFonts w:ascii="Times New Roman" w:hAnsi="Times New Roman"/>
          <w:color w:val="000000" w:themeColor="text1"/>
          <w:sz w:val="28"/>
          <w:szCs w:val="28"/>
          <w:lang w:val="en-US" w:eastAsia="en-US"/>
        </w:rPr>
        <w:tab/>
        <w:t>Nielsen P. B.</w:t>
      </w:r>
      <w:r>
        <w:rPr>
          <w:rFonts w:ascii="Times New Roman" w:hAnsi="Times New Roman"/>
          <w:color w:val="000000" w:themeColor="text1"/>
          <w:sz w:val="28"/>
          <w:szCs w:val="28"/>
          <w:lang w:val="en-US" w:eastAsia="en-US"/>
        </w:rPr>
        <w:t>,</w:t>
      </w:r>
      <w:r w:rsidRPr="00A21A7F">
        <w:rPr>
          <w:rFonts w:ascii="Times New Roman" w:hAnsi="Times New Roman"/>
          <w:sz w:val="28"/>
          <w:szCs w:val="28"/>
          <w:lang w:val="en-US" w:eastAsia="en-US"/>
        </w:rPr>
        <w:t>Skjøth F.</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Overvad T.F.</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Female Sex Is a Risk Modifier Rather Than a Risk Factor for Stroke in Atrial Fibrillation: Should We Use a CHA2DS2-VA Score Rather Than CHA2DS2-VASc? // Circulation</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137, № 8</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832–840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7ACC545"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49.</w:t>
      </w:r>
      <w:r w:rsidRPr="0003764E">
        <w:rPr>
          <w:rFonts w:ascii="Times New Roman" w:hAnsi="Times New Roman"/>
          <w:color w:val="000000" w:themeColor="text1"/>
          <w:sz w:val="28"/>
          <w:szCs w:val="28"/>
          <w:lang w:val="en-US" w:eastAsia="en-US"/>
        </w:rPr>
        <w:tab/>
        <w:t>Aspberg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Chang 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Atterman A.</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Comparison of the ATRIA, CHADS2, and CHA2DS2-VASc stroke risk scores in predicting ischaemic stroke in a large Swedish cohort of patients with atrial fibrillation // Eur</w:t>
      </w:r>
      <w:r>
        <w:rPr>
          <w:rFonts w:ascii="Times New Roman" w:hAnsi="Times New Roman"/>
          <w:color w:val="000000" w:themeColor="text1"/>
          <w:sz w:val="28"/>
          <w:szCs w:val="28"/>
          <w:lang w:val="en-US" w:eastAsia="en-US"/>
        </w:rPr>
        <w:t>opean</w:t>
      </w:r>
      <w:r w:rsidRPr="0003764E">
        <w:rPr>
          <w:rFonts w:ascii="Times New Roman" w:hAnsi="Times New Roman"/>
          <w:color w:val="000000" w:themeColor="text1"/>
          <w:sz w:val="28"/>
          <w:szCs w:val="28"/>
          <w:lang w:val="en-US" w:eastAsia="en-US"/>
        </w:rPr>
        <w:t xml:space="preserve"> Heart J</w:t>
      </w:r>
      <w:r>
        <w:rPr>
          <w:rFonts w:ascii="Times New Roman" w:hAnsi="Times New Roman"/>
          <w:color w:val="000000" w:themeColor="text1"/>
          <w:sz w:val="28"/>
          <w:szCs w:val="28"/>
          <w:lang w:val="en-US" w:eastAsia="en-US"/>
        </w:rPr>
        <w:t>ournal,</w:t>
      </w:r>
      <w:r w:rsidRPr="0003764E">
        <w:rPr>
          <w:rFonts w:ascii="Times New Roman" w:hAnsi="Times New Roman"/>
          <w:color w:val="000000" w:themeColor="text1"/>
          <w:sz w:val="28"/>
          <w:szCs w:val="28"/>
          <w:lang w:val="en-US" w:eastAsia="en-US"/>
        </w:rPr>
        <w:t xml:space="preserv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37, № 42</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3203–3210</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3A18E51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50.</w:t>
      </w:r>
      <w:r w:rsidRPr="0003764E">
        <w:rPr>
          <w:rFonts w:ascii="Times New Roman" w:hAnsi="Times New Roman"/>
          <w:color w:val="000000" w:themeColor="text1"/>
          <w:sz w:val="28"/>
          <w:szCs w:val="28"/>
          <w:lang w:val="en-US" w:eastAsia="en-US"/>
        </w:rPr>
        <w:tab/>
        <w:t>Chao T.-F.</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Liu C.-J.</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Tuan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T.-C.</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Comparisons of CHADS2 and CHA2DS2-VASc scores for stroke risk stratification in atrial fibrillation: Which scoring system should be used for Asians? // Heart Rhythm</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46–53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81AB63E"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51.</w:t>
      </w:r>
      <w:r w:rsidRPr="0003764E">
        <w:rPr>
          <w:rFonts w:ascii="Times New Roman" w:hAnsi="Times New Roman"/>
          <w:color w:val="000000" w:themeColor="text1"/>
          <w:sz w:val="28"/>
          <w:szCs w:val="28"/>
          <w:lang w:val="en-US" w:eastAsia="en-US"/>
        </w:rPr>
        <w:tab/>
        <w:t>Yoshizawa R.</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Komatsu</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Kunugita F.</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Comparison of the CHADS2, CHA2DS2-VASc and R2CHADS2 Scores in Japanese Patients with Non-valvular Paroxysmal Atrial Fibrillation Not Receiving Anticoagulation Therapy // Intern</w:t>
      </w:r>
      <w:r>
        <w:rPr>
          <w:rFonts w:ascii="Times New Roman" w:hAnsi="Times New Roman"/>
          <w:color w:val="000000" w:themeColor="text1"/>
          <w:sz w:val="28"/>
          <w:szCs w:val="28"/>
          <w:lang w:val="en-US" w:eastAsia="en-US"/>
        </w:rPr>
        <w:t>al</w:t>
      </w:r>
      <w:r w:rsidRPr="0003764E">
        <w:rPr>
          <w:rFonts w:ascii="Times New Roman" w:hAnsi="Times New Roman"/>
          <w:color w:val="000000" w:themeColor="text1"/>
          <w:sz w:val="28"/>
          <w:szCs w:val="28"/>
          <w:lang w:val="en-US" w:eastAsia="en-US"/>
        </w:rPr>
        <w:t xml:space="preserve"> Med</w:t>
      </w:r>
      <w:r>
        <w:rPr>
          <w:rFonts w:ascii="Times New Roman" w:hAnsi="Times New Roman"/>
          <w:color w:val="000000" w:themeColor="text1"/>
          <w:sz w:val="28"/>
          <w:szCs w:val="28"/>
          <w:lang w:val="en-US" w:eastAsia="en-US"/>
        </w:rPr>
        <w:t>icine,</w:t>
      </w:r>
      <w:r w:rsidRPr="0003764E">
        <w:rPr>
          <w:rFonts w:ascii="Times New Roman" w:hAnsi="Times New Roman"/>
          <w:color w:val="000000" w:themeColor="text1"/>
          <w:sz w:val="28"/>
          <w:szCs w:val="28"/>
          <w:lang w:val="en-US" w:eastAsia="en-US"/>
        </w:rPr>
        <w:t xml:space="preserve"> 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56, № 21</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2827–2836</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63CE5C8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52.</w:t>
      </w:r>
      <w:r w:rsidRPr="0003764E">
        <w:rPr>
          <w:rFonts w:ascii="Times New Roman" w:hAnsi="Times New Roman"/>
          <w:color w:val="000000" w:themeColor="text1"/>
          <w:sz w:val="28"/>
          <w:szCs w:val="28"/>
          <w:lang w:val="en-US" w:eastAsia="en-US"/>
        </w:rPr>
        <w:tab/>
        <w:t>Van Gelder I.C.</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Rienstra 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Bunting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K.V.</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2024 ESC Guidelines for the management of atrial fibrillation developed in collaboration with the European Association for Cardio-Thoracic Surgery (EACTS) // European Heart Journal</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45, № 36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3314–3414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EBFEE5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53.</w:t>
      </w:r>
      <w:r w:rsidRPr="0003764E">
        <w:rPr>
          <w:rFonts w:ascii="Times New Roman" w:hAnsi="Times New Roman"/>
          <w:color w:val="000000" w:themeColor="text1"/>
          <w:sz w:val="28"/>
          <w:szCs w:val="28"/>
          <w:lang w:val="en-US" w:eastAsia="en-US"/>
        </w:rPr>
        <w:tab/>
        <w:t>Inoue K.</w:t>
      </w:r>
      <w:r>
        <w:rPr>
          <w:rFonts w:ascii="Times New Roman" w:hAnsi="Times New Roman"/>
          <w:color w:val="000000" w:themeColor="text1"/>
          <w:sz w:val="28"/>
          <w:szCs w:val="28"/>
          <w:lang w:val="en-US" w:eastAsia="en-US"/>
        </w:rPr>
        <w:t>,</w:t>
      </w:r>
      <w:r w:rsidRPr="00D16FB0">
        <w:rPr>
          <w:rFonts w:ascii="Times New Roman" w:hAnsi="Times New Roman"/>
          <w:sz w:val="28"/>
          <w:szCs w:val="28"/>
          <w:lang w:val="en-US" w:eastAsia="en-US"/>
        </w:rPr>
        <w:t xml:space="preserve"> </w:t>
      </w:r>
      <w:r w:rsidRPr="00A21A7F">
        <w:rPr>
          <w:rFonts w:ascii="Times New Roman" w:hAnsi="Times New Roman"/>
          <w:sz w:val="28"/>
          <w:szCs w:val="28"/>
          <w:lang w:val="en-US" w:eastAsia="en-US"/>
        </w:rPr>
        <w:t>Hirao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Aonuma K.</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HAS-BLED score as a predictor of bleeding complications from catheter ablation of atrial fibrillation: A subanalysis of the Japanese Anti-Coagulation Regimen Exploration in AF Catheter Ablation Registries // Journal of Cardiology. Elsevier, 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75,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82–89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426ACB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54.</w:t>
      </w:r>
      <w:r w:rsidRPr="0003764E">
        <w:rPr>
          <w:rFonts w:ascii="Times New Roman" w:hAnsi="Times New Roman"/>
          <w:color w:val="000000" w:themeColor="text1"/>
          <w:sz w:val="28"/>
          <w:szCs w:val="28"/>
          <w:lang w:val="en-US" w:eastAsia="en-US"/>
        </w:rPr>
        <w:tab/>
        <w:t>Chang G.</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Xie Q.</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Ma L.</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Accuracy of HAS‐BLED and other bleeding risk assessment tools in predicting major bleeding events in atrial fibrillation: A network meta‐analysis // Journal of Thrombosis and Haemostasis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18,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791–801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ABD862E"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55.</w:t>
      </w:r>
      <w:r w:rsidRPr="0003764E">
        <w:rPr>
          <w:rFonts w:ascii="Times New Roman" w:hAnsi="Times New Roman"/>
          <w:color w:val="000000" w:themeColor="text1"/>
          <w:sz w:val="28"/>
          <w:szCs w:val="28"/>
          <w:lang w:val="en-US" w:eastAsia="en-US"/>
        </w:rPr>
        <w:tab/>
        <w:t>Gao X.</w:t>
      </w:r>
      <w:r>
        <w:rPr>
          <w:rFonts w:ascii="Times New Roman" w:hAnsi="Times New Roman"/>
          <w:color w:val="000000" w:themeColor="text1"/>
          <w:sz w:val="28"/>
          <w:szCs w:val="28"/>
          <w:lang w:val="en-US" w:eastAsia="en-US"/>
        </w:rPr>
        <w:t>,</w:t>
      </w:r>
      <w:r w:rsidRPr="00D16FB0">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Cai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X.</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Yang Y</w:t>
      </w:r>
      <w:r>
        <w:rPr>
          <w:rFonts w:ascii="Times New Roman" w:hAnsi="Times New Roman"/>
          <w:sz w:val="28"/>
          <w:szCs w:val="28"/>
          <w:lang w:val="en-US" w:eastAsia="en-US"/>
        </w:rPr>
        <w:t>.</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Diagnostic Accuracy of the HAS-BLED Bleeding Score in VKA- or DOAC-Treated Patients With Atrial Fibrillation: A Systematic Review and Meta-Analysis // </w:t>
      </w:r>
      <w:r w:rsidRPr="00D16FB0">
        <w:rPr>
          <w:rFonts w:ascii="Times New Roman" w:hAnsi="Times New Roman"/>
          <w:color w:val="000000" w:themeColor="text1"/>
          <w:sz w:val="28"/>
          <w:szCs w:val="28"/>
          <w:lang w:val="en-US" w:eastAsia="en-US"/>
        </w:rPr>
        <w:t>Frontiers in Cardiovascular Medicine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w:t>
      </w:r>
      <w:r>
        <w:rPr>
          <w:rFonts w:ascii="Times New Roman" w:hAnsi="Times New Roman"/>
          <w:color w:val="000000" w:themeColor="text1"/>
          <w:sz w:val="28"/>
          <w:szCs w:val="28"/>
          <w:lang w:val="en-US" w:eastAsia="en-US"/>
        </w:rPr>
        <w:t>,</w:t>
      </w:r>
      <w:r w:rsidRPr="00967295">
        <w:rPr>
          <w:rFonts w:ascii="Times New Roman" w:hAnsi="Times New Roman"/>
          <w:color w:val="000000" w:themeColor="text1"/>
          <w:sz w:val="28"/>
          <w:szCs w:val="28"/>
          <w:lang w:val="en-US" w:eastAsia="en-US"/>
        </w:rPr>
        <w:t xml:space="preserve"> 757087.</w:t>
      </w:r>
    </w:p>
    <w:p w14:paraId="53D18367" w14:textId="77777777" w:rsidR="00AC4691" w:rsidRPr="00454F41" w:rsidRDefault="00AC4691" w:rsidP="00AC4691">
      <w:pPr>
        <w:pStyle w:val="af4"/>
        <w:jc w:val="both"/>
        <w:rPr>
          <w:rFonts w:ascii="Times New Roman" w:hAnsi="Times New Roman"/>
          <w:color w:val="000000" w:themeColor="text1"/>
          <w:sz w:val="28"/>
          <w:szCs w:val="28"/>
          <w:lang w:eastAsia="en-US"/>
        </w:rPr>
      </w:pPr>
      <w:r w:rsidRPr="00D16FB0">
        <w:rPr>
          <w:rFonts w:ascii="Times New Roman" w:hAnsi="Times New Roman"/>
          <w:color w:val="000000" w:themeColor="text1"/>
          <w:sz w:val="28"/>
          <w:szCs w:val="28"/>
          <w:lang w:val="en-US" w:eastAsia="en-US"/>
        </w:rPr>
        <w:t>56.</w:t>
      </w:r>
      <w:r w:rsidRPr="00D16FB0">
        <w:rPr>
          <w:rFonts w:ascii="Times New Roman" w:hAnsi="Times New Roman"/>
          <w:color w:val="000000" w:themeColor="text1"/>
          <w:sz w:val="28"/>
          <w:szCs w:val="28"/>
          <w:lang w:val="en-US" w:eastAsia="en-US"/>
        </w:rPr>
        <w:tab/>
      </w:r>
      <w:r w:rsidRPr="00967295">
        <w:rPr>
          <w:rFonts w:ascii="Times New Roman" w:hAnsi="Times New Roman"/>
          <w:color w:val="000000" w:themeColor="text1"/>
          <w:sz w:val="28"/>
          <w:szCs w:val="28"/>
          <w:lang w:val="en-US" w:eastAsia="en-US"/>
        </w:rPr>
        <w:t>Chiang</w:t>
      </w:r>
      <w:r w:rsidRPr="00D16FB0">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C</w:t>
      </w:r>
      <w:r w:rsidRPr="00D16FB0">
        <w:rPr>
          <w:rFonts w:ascii="Times New Roman" w:hAnsi="Times New Roman"/>
          <w:color w:val="000000" w:themeColor="text1"/>
          <w:sz w:val="28"/>
          <w:szCs w:val="28"/>
          <w:lang w:val="en-US" w:eastAsia="en-US"/>
        </w:rPr>
        <w:t>.-</w:t>
      </w:r>
      <w:r w:rsidRPr="00967295">
        <w:rPr>
          <w:rFonts w:ascii="Times New Roman" w:hAnsi="Times New Roman"/>
          <w:color w:val="000000" w:themeColor="text1"/>
          <w:sz w:val="28"/>
          <w:szCs w:val="28"/>
          <w:lang w:val="en-US" w:eastAsia="en-US"/>
        </w:rPr>
        <w:t>E</w:t>
      </w:r>
      <w:r w:rsidRPr="00D16FB0">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Chao T.-F.</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Choi E.-K.</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D16FB0">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Stroke Prevention in Atrial Fibrillation: A Scientific Statement of JACC: Asia (Part 2) // JACC Asia</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454F41">
        <w:rPr>
          <w:rFonts w:ascii="Times New Roman" w:hAnsi="Times New Roman"/>
          <w:color w:val="000000" w:themeColor="text1"/>
          <w:sz w:val="28"/>
          <w:szCs w:val="28"/>
          <w:lang w:eastAsia="en-US"/>
        </w:rPr>
        <w:t>. 2, № 5. 519–537</w:t>
      </w:r>
      <w:r>
        <w:rPr>
          <w:rFonts w:ascii="Times New Roman" w:hAnsi="Times New Roman"/>
          <w:color w:val="000000" w:themeColor="text1"/>
          <w:sz w:val="28"/>
          <w:szCs w:val="28"/>
          <w:lang w:val="en-US" w:eastAsia="en-US"/>
        </w:rPr>
        <w:t>p</w:t>
      </w:r>
      <w:r w:rsidRPr="00454F41">
        <w:rPr>
          <w:rFonts w:ascii="Times New Roman" w:hAnsi="Times New Roman"/>
          <w:color w:val="000000" w:themeColor="text1"/>
          <w:sz w:val="28"/>
          <w:szCs w:val="28"/>
          <w:lang w:eastAsia="en-US"/>
        </w:rPr>
        <w:t>.</w:t>
      </w:r>
    </w:p>
    <w:p w14:paraId="27AAE774"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D16FB0">
        <w:rPr>
          <w:rFonts w:ascii="Times New Roman" w:hAnsi="Times New Roman"/>
          <w:color w:val="000000" w:themeColor="text1"/>
          <w:sz w:val="28"/>
          <w:szCs w:val="28"/>
          <w:lang w:eastAsia="en-US"/>
        </w:rPr>
        <w:t>57.</w:t>
      </w:r>
      <w:r w:rsidRPr="00D16FB0">
        <w:rPr>
          <w:rFonts w:ascii="Times New Roman" w:hAnsi="Times New Roman"/>
          <w:color w:val="000000" w:themeColor="text1"/>
          <w:sz w:val="28"/>
          <w:szCs w:val="28"/>
          <w:lang w:eastAsia="en-US"/>
        </w:rPr>
        <w:tab/>
      </w:r>
      <w:r w:rsidRPr="00D16FB0">
        <w:rPr>
          <w:rFonts w:ascii="Times New Roman" w:hAnsi="Times New Roman"/>
          <w:sz w:val="28"/>
          <w:szCs w:val="28"/>
          <w:shd w:val="clear" w:color="auto" w:fill="FFFFFF"/>
        </w:rPr>
        <w:t xml:space="preserve">Крюков А.В., Сычев Д.А., Савельева М.И., </w:t>
      </w:r>
      <w:r>
        <w:rPr>
          <w:rFonts w:ascii="Times New Roman" w:hAnsi="Times New Roman"/>
          <w:sz w:val="28"/>
          <w:szCs w:val="28"/>
          <w:shd w:val="clear" w:color="auto" w:fill="FFFFFF"/>
        </w:rPr>
        <w:t>и др</w:t>
      </w:r>
      <w:r w:rsidRPr="00D16FB0">
        <w:rPr>
          <w:rFonts w:ascii="Times New Roman" w:hAnsi="Times New Roman"/>
          <w:sz w:val="28"/>
          <w:szCs w:val="28"/>
          <w:shd w:val="clear" w:color="auto" w:fill="FFFFFF"/>
        </w:rPr>
        <w:t xml:space="preserve">. Перспективы персонализации применения новых оральных антикоагулянтов у пациентов с фибрилляцией предсердий на основе оценки фармакокинетики // </w:t>
      </w:r>
      <w:r w:rsidRPr="00D16FB0">
        <w:rPr>
          <w:rFonts w:ascii="Times New Roman" w:hAnsi="Times New Roman"/>
          <w:sz w:val="28"/>
          <w:szCs w:val="28"/>
          <w:shd w:val="clear" w:color="auto" w:fill="FFFFFF"/>
          <w:lang w:val="en-US"/>
        </w:rPr>
        <w:t>Consilium</w:t>
      </w:r>
      <w:r w:rsidRPr="00D16FB0">
        <w:rPr>
          <w:rFonts w:ascii="Times New Roman" w:hAnsi="Times New Roman"/>
          <w:sz w:val="28"/>
          <w:szCs w:val="28"/>
          <w:shd w:val="clear" w:color="auto" w:fill="FFFFFF"/>
        </w:rPr>
        <w:t xml:space="preserve"> </w:t>
      </w:r>
      <w:r w:rsidRPr="00D16FB0">
        <w:rPr>
          <w:rFonts w:ascii="Times New Roman" w:hAnsi="Times New Roman"/>
          <w:sz w:val="28"/>
          <w:szCs w:val="28"/>
          <w:shd w:val="clear" w:color="auto" w:fill="FFFFFF"/>
          <w:lang w:val="en-US"/>
        </w:rPr>
        <w:t>Medicum</w:t>
      </w:r>
      <w:r>
        <w:rPr>
          <w:rFonts w:ascii="Times New Roman" w:hAnsi="Times New Roman"/>
          <w:sz w:val="28"/>
          <w:szCs w:val="28"/>
          <w:shd w:val="clear" w:color="auto" w:fill="FFFFFF"/>
        </w:rPr>
        <w:t>, 2</w:t>
      </w:r>
      <w:r w:rsidRPr="00D16FB0">
        <w:rPr>
          <w:rFonts w:ascii="Times New Roman" w:hAnsi="Times New Roman"/>
          <w:sz w:val="28"/>
          <w:szCs w:val="28"/>
          <w:shd w:val="clear" w:color="auto" w:fill="FFFFFF"/>
        </w:rPr>
        <w:t xml:space="preserve">015. </w:t>
      </w:r>
      <w:r>
        <w:rPr>
          <w:rFonts w:ascii="Times New Roman" w:hAnsi="Times New Roman"/>
          <w:sz w:val="28"/>
          <w:szCs w:val="28"/>
          <w:shd w:val="clear" w:color="auto" w:fill="FFFFFF"/>
        </w:rPr>
        <w:t>Т</w:t>
      </w:r>
      <w:r w:rsidRPr="00454F41">
        <w:rPr>
          <w:rFonts w:ascii="Times New Roman" w:hAnsi="Times New Roman"/>
          <w:sz w:val="28"/>
          <w:szCs w:val="28"/>
          <w:shd w:val="clear" w:color="auto" w:fill="FFFFFF"/>
          <w:lang w:val="en-US"/>
        </w:rPr>
        <w:t>.17, №1, 41-43</w:t>
      </w:r>
      <w:r>
        <w:rPr>
          <w:rFonts w:ascii="Times New Roman" w:hAnsi="Times New Roman"/>
          <w:sz w:val="28"/>
          <w:szCs w:val="28"/>
          <w:shd w:val="clear" w:color="auto" w:fill="FFFFFF"/>
        </w:rPr>
        <w:t>с</w:t>
      </w:r>
      <w:r w:rsidRPr="00454F41">
        <w:rPr>
          <w:rFonts w:ascii="Times New Roman" w:hAnsi="Times New Roman"/>
          <w:sz w:val="28"/>
          <w:szCs w:val="28"/>
          <w:shd w:val="clear" w:color="auto" w:fill="FFFFFF"/>
          <w:lang w:val="en-US"/>
        </w:rPr>
        <w:t>.</w:t>
      </w:r>
      <w:r w:rsidRPr="00454F41">
        <w:rPr>
          <w:rFonts w:ascii="Times New Roman" w:hAnsi="Times New Roman"/>
          <w:sz w:val="28"/>
          <w:szCs w:val="28"/>
          <w:lang w:val="en-US" w:eastAsia="en-US"/>
        </w:rPr>
        <w:t xml:space="preserve"> </w:t>
      </w:r>
    </w:p>
    <w:p w14:paraId="627E093B" w14:textId="77777777" w:rsidR="00AC4691" w:rsidRPr="007178B2"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58.</w:t>
      </w:r>
      <w:r w:rsidRPr="0003764E">
        <w:rPr>
          <w:rFonts w:ascii="Times New Roman" w:hAnsi="Times New Roman"/>
          <w:color w:val="000000" w:themeColor="text1"/>
          <w:sz w:val="28"/>
          <w:szCs w:val="28"/>
          <w:lang w:val="en-US" w:eastAsia="en-US"/>
        </w:rPr>
        <w:tab/>
      </w:r>
      <w:r w:rsidRPr="00D16FB0">
        <w:rPr>
          <w:rFonts w:ascii="Times New Roman" w:hAnsi="Times New Roman"/>
          <w:sz w:val="28"/>
          <w:szCs w:val="28"/>
          <w:shd w:val="clear" w:color="auto" w:fill="FFFFFF"/>
          <w:lang w:val="en-US"/>
        </w:rPr>
        <w:t>Foody J</w:t>
      </w:r>
      <w:r>
        <w:rPr>
          <w:rFonts w:ascii="Times New Roman" w:hAnsi="Times New Roman"/>
          <w:sz w:val="28"/>
          <w:szCs w:val="28"/>
          <w:shd w:val="clear" w:color="auto" w:fill="FFFFFF"/>
          <w:lang w:val="en-US"/>
        </w:rPr>
        <w:t>.</w:t>
      </w:r>
      <w:r w:rsidRPr="00D16FB0">
        <w:rPr>
          <w:rFonts w:ascii="Times New Roman" w:hAnsi="Times New Roman"/>
          <w:sz w:val="28"/>
          <w:szCs w:val="28"/>
          <w:shd w:val="clear" w:color="auto" w:fill="FFFFFF"/>
          <w:lang w:val="en-US"/>
        </w:rPr>
        <w:t xml:space="preserve">M. Reducing the risk of stroke in elderly patients with non-valvular atrial fibrillation: a practical guide for clinicians. </w:t>
      </w:r>
      <w:r w:rsidRPr="007178B2">
        <w:rPr>
          <w:rFonts w:ascii="Times New Roman" w:hAnsi="Times New Roman"/>
          <w:sz w:val="28"/>
          <w:szCs w:val="28"/>
          <w:shd w:val="clear" w:color="auto" w:fill="FFFFFF"/>
          <w:lang w:val="en-US"/>
        </w:rPr>
        <w:t>Clin</w:t>
      </w:r>
      <w:r>
        <w:rPr>
          <w:rFonts w:ascii="Times New Roman" w:hAnsi="Times New Roman"/>
          <w:sz w:val="28"/>
          <w:szCs w:val="28"/>
          <w:shd w:val="clear" w:color="auto" w:fill="FFFFFF"/>
          <w:lang w:val="en-US"/>
        </w:rPr>
        <w:t>ical</w:t>
      </w:r>
      <w:r w:rsidRPr="007178B2">
        <w:rPr>
          <w:rFonts w:ascii="Times New Roman" w:hAnsi="Times New Roman"/>
          <w:sz w:val="28"/>
          <w:szCs w:val="28"/>
          <w:shd w:val="clear" w:color="auto" w:fill="FFFFFF"/>
          <w:lang w:val="en-US"/>
        </w:rPr>
        <w:t xml:space="preserve"> Interv</w:t>
      </w:r>
      <w:r>
        <w:rPr>
          <w:rFonts w:ascii="Times New Roman" w:hAnsi="Times New Roman"/>
          <w:sz w:val="28"/>
          <w:szCs w:val="28"/>
          <w:shd w:val="clear" w:color="auto" w:fill="FFFFFF"/>
          <w:lang w:val="en-US"/>
        </w:rPr>
        <w:t>entions in</w:t>
      </w:r>
      <w:r w:rsidRPr="007178B2">
        <w:rPr>
          <w:rFonts w:ascii="Times New Roman" w:hAnsi="Times New Roman"/>
          <w:sz w:val="28"/>
          <w:szCs w:val="28"/>
          <w:shd w:val="clear" w:color="auto" w:fill="FFFFFF"/>
          <w:lang w:val="en-US"/>
        </w:rPr>
        <w:t xml:space="preserve"> Aging</w:t>
      </w:r>
      <w:r>
        <w:rPr>
          <w:rFonts w:ascii="Times New Roman" w:hAnsi="Times New Roman"/>
          <w:sz w:val="28"/>
          <w:szCs w:val="28"/>
          <w:shd w:val="clear" w:color="auto" w:fill="FFFFFF"/>
          <w:lang w:val="en-US"/>
        </w:rPr>
        <w:t xml:space="preserve">, </w:t>
      </w:r>
      <w:r w:rsidRPr="007178B2">
        <w:rPr>
          <w:rFonts w:ascii="Times New Roman" w:hAnsi="Times New Roman"/>
          <w:sz w:val="28"/>
          <w:szCs w:val="28"/>
          <w:shd w:val="clear" w:color="auto" w:fill="FFFFFF"/>
          <w:lang w:val="en-US"/>
        </w:rPr>
        <w:t>2017</w:t>
      </w:r>
      <w:r>
        <w:rPr>
          <w:rFonts w:ascii="Times New Roman" w:hAnsi="Times New Roman"/>
          <w:sz w:val="28"/>
          <w:szCs w:val="28"/>
          <w:shd w:val="clear" w:color="auto" w:fill="FFFFFF"/>
          <w:lang w:val="en-US"/>
        </w:rPr>
        <w:t xml:space="preserve"> </w:t>
      </w:r>
      <w:r w:rsidRPr="007178B2">
        <w:rPr>
          <w:rFonts w:ascii="Times New Roman" w:hAnsi="Times New Roman"/>
          <w:sz w:val="28"/>
          <w:szCs w:val="28"/>
          <w:shd w:val="clear" w:color="auto" w:fill="FFFFFF"/>
          <w:lang w:val="en-US"/>
        </w:rPr>
        <w:t>Jan 23;</w:t>
      </w:r>
      <w:r>
        <w:rPr>
          <w:rFonts w:ascii="Times New Roman" w:hAnsi="Times New Roman"/>
          <w:sz w:val="28"/>
          <w:szCs w:val="28"/>
          <w:shd w:val="clear" w:color="auto" w:fill="FFFFFF"/>
          <w:lang w:val="en-US"/>
        </w:rPr>
        <w:t xml:space="preserve"> </w:t>
      </w:r>
      <w:r w:rsidRPr="007178B2">
        <w:rPr>
          <w:rFonts w:ascii="Times New Roman" w:hAnsi="Times New Roman"/>
          <w:sz w:val="28"/>
          <w:szCs w:val="28"/>
          <w:shd w:val="clear" w:color="auto" w:fill="FFFFFF"/>
          <w:lang w:val="en-US"/>
        </w:rPr>
        <w:t>№12, 175-187</w:t>
      </w:r>
      <w:r>
        <w:rPr>
          <w:rFonts w:ascii="Times New Roman" w:hAnsi="Times New Roman"/>
          <w:sz w:val="28"/>
          <w:szCs w:val="28"/>
          <w:shd w:val="clear" w:color="auto" w:fill="FFFFFF"/>
        </w:rPr>
        <w:t>р</w:t>
      </w:r>
      <w:r w:rsidRPr="007178B2">
        <w:rPr>
          <w:rFonts w:ascii="Times New Roman" w:hAnsi="Times New Roman"/>
          <w:color w:val="000000" w:themeColor="text1"/>
          <w:sz w:val="28"/>
          <w:szCs w:val="28"/>
          <w:lang w:val="en-US" w:eastAsia="en-US"/>
        </w:rPr>
        <w:t>.</w:t>
      </w:r>
    </w:p>
    <w:p w14:paraId="18351033"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59.</w:t>
      </w:r>
      <w:r w:rsidRPr="0003764E">
        <w:rPr>
          <w:rFonts w:ascii="Times New Roman" w:hAnsi="Times New Roman"/>
          <w:color w:val="000000" w:themeColor="text1"/>
          <w:sz w:val="28"/>
          <w:szCs w:val="28"/>
          <w:lang w:val="en-US" w:eastAsia="en-US"/>
        </w:rPr>
        <w:tab/>
        <w:t>Connolly S.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Ezekowitz</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Yusuf S.</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Dabigatran versus Warfarin in Patients with Atrial Fibrillation // </w:t>
      </w:r>
      <w:r w:rsidRPr="007178B2">
        <w:rPr>
          <w:rFonts w:ascii="Times New Roman" w:hAnsi="Times New Roman"/>
          <w:color w:val="000000" w:themeColor="text1"/>
          <w:sz w:val="28"/>
          <w:szCs w:val="28"/>
          <w:lang w:val="en-US" w:eastAsia="en-US"/>
        </w:rPr>
        <w:t>New England Journal of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361, № 12</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1139–1151</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46BB405B"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7178B2">
        <w:rPr>
          <w:rFonts w:ascii="Times New Roman" w:hAnsi="Times New Roman"/>
          <w:color w:val="000000" w:themeColor="text1"/>
          <w:sz w:val="28"/>
          <w:szCs w:val="28"/>
          <w:lang w:val="en-US" w:eastAsia="en-US"/>
        </w:rPr>
        <w:t>60.</w:t>
      </w:r>
      <w:r w:rsidRPr="007178B2">
        <w:rPr>
          <w:rFonts w:ascii="Times New Roman" w:hAnsi="Times New Roman"/>
          <w:color w:val="000000" w:themeColor="text1"/>
          <w:sz w:val="28"/>
          <w:szCs w:val="28"/>
          <w:lang w:val="en-US" w:eastAsia="en-US"/>
        </w:rPr>
        <w:tab/>
      </w:r>
      <w:r w:rsidRPr="00967295">
        <w:rPr>
          <w:rFonts w:ascii="Times New Roman" w:hAnsi="Times New Roman"/>
          <w:color w:val="000000" w:themeColor="text1"/>
          <w:sz w:val="28"/>
          <w:szCs w:val="28"/>
          <w:lang w:val="en-US" w:eastAsia="en-US"/>
        </w:rPr>
        <w:t>Patel</w:t>
      </w:r>
      <w:r w:rsidRPr="007178B2">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M</w:t>
      </w:r>
      <w:r w:rsidRPr="007178B2">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R</w:t>
      </w:r>
      <w:r w:rsidRPr="007178B2">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Mahaffey K.W.</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Garg J.</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7178B2">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Rivaroxaban versus Warfarin in Nonvalvular Atrial Fibrillation // New England Journal of Medicine. Massachusetts Medical Society, 2011.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365, № 10</w:t>
      </w:r>
      <w:r>
        <w:rPr>
          <w:rFonts w:ascii="Times New Roman" w:hAnsi="Times New Roman"/>
          <w:color w:val="000000" w:themeColor="text1"/>
          <w:sz w:val="28"/>
          <w:szCs w:val="28"/>
          <w:lang w:val="en-US" w:eastAsia="en-US"/>
        </w:rPr>
        <w:t>,</w:t>
      </w:r>
      <w:r w:rsidRPr="00967295">
        <w:rPr>
          <w:rFonts w:ascii="Times New Roman" w:hAnsi="Times New Roman"/>
          <w:color w:val="000000" w:themeColor="text1"/>
          <w:sz w:val="28"/>
          <w:szCs w:val="28"/>
          <w:lang w:val="en-US" w:eastAsia="en-US"/>
        </w:rPr>
        <w:t xml:space="preserve"> 883–891</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18A0B602"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7178B2">
        <w:rPr>
          <w:rFonts w:ascii="Times New Roman" w:hAnsi="Times New Roman"/>
          <w:color w:val="000000" w:themeColor="text1"/>
          <w:sz w:val="28"/>
          <w:szCs w:val="28"/>
          <w:lang w:val="en-US" w:eastAsia="en-US"/>
        </w:rPr>
        <w:t>61.</w:t>
      </w:r>
      <w:r w:rsidRPr="007178B2">
        <w:rPr>
          <w:rFonts w:ascii="Times New Roman" w:hAnsi="Times New Roman"/>
          <w:color w:val="000000" w:themeColor="text1"/>
          <w:sz w:val="28"/>
          <w:szCs w:val="28"/>
          <w:lang w:val="en-US" w:eastAsia="en-US"/>
        </w:rPr>
        <w:tab/>
      </w:r>
      <w:r w:rsidRPr="00967295">
        <w:rPr>
          <w:rFonts w:ascii="Times New Roman" w:hAnsi="Times New Roman"/>
          <w:color w:val="000000" w:themeColor="text1"/>
          <w:sz w:val="28"/>
          <w:szCs w:val="28"/>
          <w:lang w:val="en-US" w:eastAsia="en-US"/>
        </w:rPr>
        <w:t>Giugliano</w:t>
      </w:r>
      <w:r w:rsidRPr="007178B2">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R</w:t>
      </w:r>
      <w:r w:rsidRPr="007178B2">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P</w:t>
      </w:r>
      <w:r w:rsidRPr="007178B2">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Ruff C.T.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Braunwald E.</w:t>
      </w:r>
      <w:r w:rsidRPr="007178B2">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7178B2">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Edoxaban versus warfarin in patients with atrial fibrillation //</w:t>
      </w:r>
      <w:r>
        <w:rPr>
          <w:rFonts w:ascii="Times New Roman" w:hAnsi="Times New Roman"/>
          <w:color w:val="000000" w:themeColor="text1"/>
          <w:sz w:val="28"/>
          <w:szCs w:val="28"/>
          <w:lang w:val="en-US" w:eastAsia="en-US"/>
        </w:rPr>
        <w:t xml:space="preserve"> </w:t>
      </w:r>
      <w:r w:rsidRPr="007178B2">
        <w:rPr>
          <w:rFonts w:ascii="Times New Roman" w:hAnsi="Times New Roman"/>
          <w:color w:val="000000" w:themeColor="text1"/>
          <w:sz w:val="28"/>
          <w:szCs w:val="28"/>
          <w:lang w:val="en-US" w:eastAsia="en-US"/>
        </w:rPr>
        <w:t>New England Journal of Medicine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369, № 22</w:t>
      </w:r>
      <w:r>
        <w:rPr>
          <w:rFonts w:ascii="Times New Roman" w:hAnsi="Times New Roman"/>
          <w:color w:val="000000" w:themeColor="text1"/>
          <w:sz w:val="28"/>
          <w:szCs w:val="28"/>
          <w:lang w:val="en-US" w:eastAsia="en-US"/>
        </w:rPr>
        <w:t>,</w:t>
      </w:r>
      <w:r w:rsidRPr="00967295">
        <w:rPr>
          <w:rFonts w:ascii="Times New Roman" w:hAnsi="Times New Roman"/>
          <w:color w:val="000000" w:themeColor="text1"/>
          <w:sz w:val="28"/>
          <w:szCs w:val="28"/>
          <w:lang w:val="en-US" w:eastAsia="en-US"/>
        </w:rPr>
        <w:t xml:space="preserve"> 2093–2104</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6873211F"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62.</w:t>
      </w:r>
      <w:r w:rsidRPr="0003764E">
        <w:rPr>
          <w:rFonts w:ascii="Times New Roman" w:hAnsi="Times New Roman"/>
          <w:color w:val="000000" w:themeColor="text1"/>
          <w:sz w:val="28"/>
          <w:szCs w:val="28"/>
          <w:lang w:val="en-US" w:eastAsia="en-US"/>
        </w:rPr>
        <w:tab/>
        <w:t xml:space="preserve">Kaba R. A., Ahmed O., Cannie D. ENGAGE AF: Effective anticoagulation with factor Xa in next generation treatment of atrial fibrillation // </w:t>
      </w:r>
      <w:r w:rsidRPr="007178B2">
        <w:rPr>
          <w:rFonts w:ascii="Times New Roman" w:hAnsi="Times New Roman"/>
          <w:color w:val="000000" w:themeColor="text1"/>
          <w:sz w:val="28"/>
          <w:szCs w:val="28"/>
          <w:lang w:val="en-US" w:eastAsia="en-US"/>
        </w:rPr>
        <w:t>Global Cardiology Science &amp; Practice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2013, № 4</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354–356</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23CA9D85"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63.</w:t>
      </w:r>
      <w:r w:rsidRPr="0003764E">
        <w:rPr>
          <w:rFonts w:ascii="Times New Roman" w:hAnsi="Times New Roman"/>
          <w:color w:val="000000" w:themeColor="text1"/>
          <w:sz w:val="28"/>
          <w:szCs w:val="28"/>
          <w:lang w:val="en-US" w:eastAsia="en-US"/>
        </w:rPr>
        <w:tab/>
        <w:t>Granger C. B.</w:t>
      </w:r>
      <w:r>
        <w:rPr>
          <w:rFonts w:ascii="Times New Roman" w:hAnsi="Times New Roman"/>
          <w:color w:val="000000" w:themeColor="text1"/>
          <w:sz w:val="28"/>
          <w:szCs w:val="28"/>
          <w:lang w:val="en-US" w:eastAsia="en-US"/>
        </w:rPr>
        <w:t>,</w:t>
      </w:r>
      <w:r w:rsidRPr="007178B2">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Alexander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 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McMurray J. J. </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Apixaban versus Warfarin in Patients with Atrial Fibrillation // New England Journal of Medicine. Massachusetts Medical Society, 2011.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365, № 11</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981–992</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2F09C97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64.</w:t>
      </w:r>
      <w:r w:rsidRPr="0003764E">
        <w:rPr>
          <w:rFonts w:ascii="Times New Roman" w:hAnsi="Times New Roman"/>
          <w:color w:val="000000" w:themeColor="text1"/>
          <w:sz w:val="28"/>
          <w:szCs w:val="28"/>
          <w:lang w:val="en-US" w:eastAsia="en-US"/>
        </w:rPr>
        <w:tab/>
        <w:t xml:space="preserve">Miceli G., Ciaccio A. M., Tuttolomondo A. Challenges and Opportunities of Direct Oral Anticoagulant (DOAC) Therapy in Complex Clinical Scenarios: A Comprehensive Review and Practical Guide: 9 // Journal of Clinical Medicine. Multidisciplinary Digital Publishing Institute, 2025.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 № 9</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2914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581AA8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65.</w:t>
      </w:r>
      <w:r w:rsidRPr="0003764E">
        <w:rPr>
          <w:rFonts w:ascii="Times New Roman" w:hAnsi="Times New Roman"/>
          <w:color w:val="000000" w:themeColor="text1"/>
          <w:sz w:val="28"/>
          <w:szCs w:val="28"/>
          <w:lang w:val="en-US" w:eastAsia="en-US"/>
        </w:rPr>
        <w:tab/>
        <w:t>Lucà F.</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Colivicchi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F.</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Oliva F.</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Management of oral anticoagulant therapy after intracranial hemorrhage in patients with atrial fibrillation // </w:t>
      </w:r>
      <w:r w:rsidRPr="007178B2">
        <w:rPr>
          <w:rFonts w:ascii="Times New Roman" w:hAnsi="Times New Roman"/>
          <w:color w:val="000000" w:themeColor="text1"/>
          <w:sz w:val="28"/>
          <w:szCs w:val="28"/>
          <w:lang w:val="en-US" w:eastAsia="en-US"/>
        </w:rPr>
        <w:t>Frontiers in Cardiovascular Medicine</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10.</w:t>
      </w:r>
    </w:p>
    <w:p w14:paraId="7A77B28A"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66.</w:t>
      </w:r>
      <w:r w:rsidRPr="0003764E">
        <w:rPr>
          <w:rFonts w:ascii="Times New Roman" w:hAnsi="Times New Roman"/>
          <w:color w:val="000000" w:themeColor="text1"/>
          <w:sz w:val="28"/>
          <w:szCs w:val="28"/>
          <w:lang w:val="en-US" w:eastAsia="en-US"/>
        </w:rPr>
        <w:tab/>
        <w:t>Huma H.</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Rawat 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Kaur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Comparison of Effectiveness and Safety of Apixaban, Dabigatran, and Rivaroxaban in Patients With Valvular Atrial Fibrillation: A Network Meta-Analysis of Randomized-Control Trials and Observational Studies // Cureus</w:t>
      </w:r>
      <w:r>
        <w:rPr>
          <w:rFonts w:ascii="Times New Roman" w:hAnsi="Times New Roman"/>
          <w:color w:val="000000" w:themeColor="text1"/>
          <w:sz w:val="28"/>
          <w:szCs w:val="28"/>
          <w:lang w:val="en-US" w:eastAsia="en-US"/>
        </w:rPr>
        <w:t>, 2024</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16, № 4. </w:t>
      </w:r>
      <w:r w:rsidRPr="00967295">
        <w:rPr>
          <w:rFonts w:ascii="Times New Roman" w:hAnsi="Times New Roman"/>
          <w:color w:val="000000" w:themeColor="text1"/>
          <w:sz w:val="28"/>
          <w:szCs w:val="28"/>
          <w:lang w:val="en-US" w:eastAsia="en-US"/>
        </w:rPr>
        <w:t>e57656.</w:t>
      </w:r>
    </w:p>
    <w:p w14:paraId="5D094C7F"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67.</w:t>
      </w:r>
      <w:r w:rsidRPr="0003764E">
        <w:rPr>
          <w:rFonts w:ascii="Times New Roman" w:hAnsi="Times New Roman"/>
          <w:color w:val="000000" w:themeColor="text1"/>
          <w:sz w:val="28"/>
          <w:szCs w:val="28"/>
          <w:lang w:val="en-US" w:eastAsia="en-US"/>
        </w:rPr>
        <w:tab/>
        <w:t xml:space="preserve">Scridon A., Balan A.I. Challenges of Anticoagulant Therapy in Atrial Fibrillation—Focus on Gastrointestinal Bleeding // </w:t>
      </w:r>
      <w:r w:rsidRPr="003968C4">
        <w:rPr>
          <w:rFonts w:ascii="Times New Roman" w:hAnsi="Times New Roman"/>
          <w:color w:val="000000" w:themeColor="text1"/>
          <w:sz w:val="28"/>
          <w:szCs w:val="28"/>
          <w:lang w:val="en-US" w:eastAsia="en-US"/>
        </w:rPr>
        <w:t>International Journal of Molecular Sciences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24, № 8</w:t>
      </w:r>
      <w:r>
        <w:rPr>
          <w:rFonts w:ascii="Times New Roman" w:hAnsi="Times New Roman"/>
          <w:color w:val="000000" w:themeColor="text1"/>
          <w:sz w:val="28"/>
          <w:szCs w:val="28"/>
          <w:lang w:val="en-US" w:eastAsia="en-US"/>
        </w:rPr>
        <w:t>,</w:t>
      </w:r>
      <w:r w:rsidRPr="00967295">
        <w:rPr>
          <w:rFonts w:ascii="Times New Roman" w:hAnsi="Times New Roman"/>
          <w:color w:val="000000" w:themeColor="text1"/>
          <w:sz w:val="28"/>
          <w:szCs w:val="28"/>
          <w:lang w:val="en-US" w:eastAsia="en-US"/>
        </w:rPr>
        <w:t xml:space="preserve"> 6879</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48C8816C" w14:textId="77777777" w:rsidR="00AC4691" w:rsidRPr="003968C4"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68.</w:t>
      </w:r>
      <w:r w:rsidRPr="0003764E">
        <w:rPr>
          <w:rFonts w:ascii="Times New Roman" w:hAnsi="Times New Roman"/>
          <w:color w:val="000000" w:themeColor="text1"/>
          <w:sz w:val="28"/>
          <w:szCs w:val="28"/>
          <w:lang w:val="en-US" w:eastAsia="en-US"/>
        </w:rPr>
        <w:tab/>
        <w:t xml:space="preserve">Jacobs L.G. Warfarin pharmacology, clinical management, and evaluation of hemorrhagic risk for the elderly // </w:t>
      </w:r>
      <w:r w:rsidRPr="003968C4">
        <w:rPr>
          <w:rFonts w:ascii="Times New Roman" w:hAnsi="Times New Roman"/>
          <w:color w:val="000000" w:themeColor="text1"/>
          <w:sz w:val="28"/>
          <w:szCs w:val="28"/>
          <w:lang w:val="en-US" w:eastAsia="en-US"/>
        </w:rPr>
        <w:t>Cardiology Clinics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eastAsia="en-US"/>
        </w:rPr>
        <w:t>. 26, № 2</w:t>
      </w:r>
      <w:r w:rsidRPr="003968C4">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157–167</w:t>
      </w:r>
      <w:r>
        <w:rPr>
          <w:rFonts w:ascii="Times New Roman" w:hAnsi="Times New Roman"/>
          <w:color w:val="000000" w:themeColor="text1"/>
          <w:sz w:val="28"/>
          <w:szCs w:val="28"/>
          <w:lang w:val="en-US" w:eastAsia="en-US"/>
        </w:rPr>
        <w:t>p</w:t>
      </w:r>
      <w:r w:rsidRPr="003968C4">
        <w:rPr>
          <w:rFonts w:ascii="Times New Roman" w:hAnsi="Times New Roman"/>
          <w:color w:val="000000" w:themeColor="text1"/>
          <w:sz w:val="28"/>
          <w:szCs w:val="28"/>
          <w:lang w:eastAsia="en-US"/>
        </w:rPr>
        <w:t>.</w:t>
      </w:r>
    </w:p>
    <w:p w14:paraId="4F19EB8B"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69.</w:t>
      </w:r>
      <w:r w:rsidRPr="0003764E">
        <w:rPr>
          <w:rFonts w:ascii="Times New Roman" w:hAnsi="Times New Roman"/>
          <w:color w:val="000000" w:themeColor="text1"/>
          <w:sz w:val="28"/>
          <w:szCs w:val="28"/>
          <w:lang w:eastAsia="en-US"/>
        </w:rPr>
        <w:tab/>
        <w:t xml:space="preserve">Алексеевна М.О., Николаевна С.М., Александровна Б.Г. </w:t>
      </w:r>
      <w:r>
        <w:rPr>
          <w:rFonts w:ascii="Times New Roman" w:hAnsi="Times New Roman"/>
          <w:color w:val="000000" w:themeColor="text1"/>
          <w:sz w:val="28"/>
          <w:szCs w:val="28"/>
          <w:lang w:eastAsia="en-US"/>
        </w:rPr>
        <w:t xml:space="preserve">Фармакогенетика варфарина: современное состояние вопроса </w:t>
      </w:r>
      <w:r w:rsidRPr="0003764E">
        <w:rPr>
          <w:rFonts w:ascii="Times New Roman" w:hAnsi="Times New Roman"/>
          <w:color w:val="000000" w:themeColor="text1"/>
          <w:sz w:val="28"/>
          <w:szCs w:val="28"/>
          <w:lang w:eastAsia="en-US"/>
        </w:rPr>
        <w:t>// Consilium Medicum, 2019. Т. 21, № 10. 74–78</w:t>
      </w:r>
      <w:r>
        <w:rPr>
          <w:rFonts w:ascii="Times New Roman" w:hAnsi="Times New Roman"/>
          <w:color w:val="000000" w:themeColor="text1"/>
          <w:sz w:val="28"/>
          <w:szCs w:val="28"/>
          <w:lang w:eastAsia="en-US"/>
        </w:rPr>
        <w:t>с</w:t>
      </w:r>
      <w:r w:rsidRPr="0003764E">
        <w:rPr>
          <w:rFonts w:ascii="Times New Roman" w:hAnsi="Times New Roman"/>
          <w:color w:val="000000" w:themeColor="text1"/>
          <w:sz w:val="28"/>
          <w:szCs w:val="28"/>
          <w:lang w:eastAsia="en-US"/>
        </w:rPr>
        <w:t>.</w:t>
      </w:r>
    </w:p>
    <w:p w14:paraId="306E0F22" w14:textId="77777777" w:rsidR="00AC4691" w:rsidRPr="00C801CC"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70.</w:t>
      </w:r>
      <w:r w:rsidRPr="0003764E">
        <w:rPr>
          <w:rFonts w:ascii="Times New Roman" w:hAnsi="Times New Roman"/>
          <w:color w:val="000000" w:themeColor="text1"/>
          <w:sz w:val="28"/>
          <w:szCs w:val="28"/>
          <w:lang w:eastAsia="en-US"/>
        </w:rPr>
        <w:tab/>
      </w:r>
      <w:r w:rsidRPr="003968C4">
        <w:rPr>
          <w:rFonts w:ascii="Times New Roman" w:hAnsi="Times New Roman"/>
          <w:sz w:val="28"/>
          <w:szCs w:val="28"/>
        </w:rPr>
        <w:t>Кропачева Е.С.</w:t>
      </w:r>
      <w:r>
        <w:rPr>
          <w:rFonts w:ascii="Times New Roman" w:hAnsi="Times New Roman"/>
          <w:sz w:val="28"/>
          <w:szCs w:val="28"/>
        </w:rPr>
        <w:t xml:space="preserve"> </w:t>
      </w:r>
      <w:r w:rsidRPr="0003764E">
        <w:rPr>
          <w:rFonts w:ascii="Times New Roman" w:hAnsi="Times New Roman"/>
          <w:color w:val="000000" w:themeColor="text1"/>
          <w:sz w:val="28"/>
          <w:szCs w:val="28"/>
          <w:lang w:eastAsia="en-US"/>
        </w:rPr>
        <w:t>Фармакогенетика варфарина // Атеротромбоз</w:t>
      </w:r>
      <w:r w:rsidRPr="00C801CC">
        <w:rPr>
          <w:rFonts w:ascii="Times New Roman" w:hAnsi="Times New Roman"/>
          <w:color w:val="000000" w:themeColor="text1"/>
          <w:sz w:val="28"/>
          <w:szCs w:val="28"/>
          <w:lang w:eastAsia="en-US"/>
        </w:rPr>
        <w:t>, 2015. № 1</w:t>
      </w:r>
      <w:r>
        <w:rPr>
          <w:rFonts w:ascii="Times New Roman" w:hAnsi="Times New Roman"/>
          <w:color w:val="000000" w:themeColor="text1"/>
          <w:sz w:val="28"/>
          <w:szCs w:val="28"/>
          <w:lang w:eastAsia="en-US"/>
        </w:rPr>
        <w:t>,</w:t>
      </w:r>
      <w:r w:rsidRPr="00C801CC">
        <w:rPr>
          <w:rFonts w:ascii="Times New Roman" w:hAnsi="Times New Roman"/>
          <w:color w:val="000000" w:themeColor="text1"/>
          <w:sz w:val="28"/>
          <w:szCs w:val="28"/>
          <w:lang w:eastAsia="en-US"/>
        </w:rPr>
        <w:t xml:space="preserve"> 107–111</w:t>
      </w:r>
      <w:r>
        <w:rPr>
          <w:rFonts w:ascii="Times New Roman" w:hAnsi="Times New Roman"/>
          <w:color w:val="000000" w:themeColor="text1"/>
          <w:sz w:val="28"/>
          <w:szCs w:val="28"/>
          <w:lang w:eastAsia="en-US"/>
        </w:rPr>
        <w:t>с</w:t>
      </w:r>
      <w:r w:rsidRPr="00C801CC">
        <w:rPr>
          <w:rFonts w:ascii="Times New Roman" w:hAnsi="Times New Roman"/>
          <w:color w:val="000000" w:themeColor="text1"/>
          <w:sz w:val="28"/>
          <w:szCs w:val="28"/>
          <w:lang w:eastAsia="en-US"/>
        </w:rPr>
        <w:t>.</w:t>
      </w:r>
    </w:p>
    <w:p w14:paraId="09476AD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454F41">
        <w:rPr>
          <w:rFonts w:ascii="Times New Roman" w:hAnsi="Times New Roman"/>
          <w:color w:val="000000" w:themeColor="text1"/>
          <w:sz w:val="28"/>
          <w:szCs w:val="28"/>
          <w:lang w:eastAsia="en-US"/>
        </w:rPr>
        <w:t>71.</w:t>
      </w:r>
      <w:r w:rsidRPr="00454F41">
        <w:rPr>
          <w:rFonts w:ascii="Times New Roman" w:hAnsi="Times New Roman"/>
          <w:color w:val="000000" w:themeColor="text1"/>
          <w:sz w:val="28"/>
          <w:szCs w:val="28"/>
          <w:lang w:eastAsia="en-US"/>
        </w:rPr>
        <w:tab/>
      </w:r>
      <w:r w:rsidRPr="0003764E">
        <w:rPr>
          <w:rFonts w:ascii="Times New Roman" w:hAnsi="Times New Roman"/>
          <w:color w:val="000000" w:themeColor="text1"/>
          <w:sz w:val="28"/>
          <w:szCs w:val="28"/>
          <w:lang w:val="en-US" w:eastAsia="en-US"/>
        </w:rPr>
        <w:t>Hansen</w:t>
      </w:r>
      <w:r w:rsidRPr="00454F41">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val="en-US" w:eastAsia="en-US"/>
        </w:rPr>
        <w:t>P</w:t>
      </w:r>
      <w:r w:rsidRPr="00454F41">
        <w:rPr>
          <w:rFonts w:ascii="Times New Roman" w:hAnsi="Times New Roman"/>
          <w:color w:val="000000" w:themeColor="text1"/>
          <w:sz w:val="28"/>
          <w:szCs w:val="28"/>
          <w:lang w:eastAsia="en-US"/>
        </w:rPr>
        <w:t>.</w:t>
      </w:r>
      <w:r w:rsidRPr="0003764E">
        <w:rPr>
          <w:rFonts w:ascii="Times New Roman" w:hAnsi="Times New Roman"/>
          <w:color w:val="000000" w:themeColor="text1"/>
          <w:sz w:val="28"/>
          <w:szCs w:val="28"/>
          <w:lang w:val="en-US" w:eastAsia="en-US"/>
        </w:rPr>
        <w:t>W</w:t>
      </w:r>
      <w:r w:rsidRPr="00454F41">
        <w:rPr>
          <w:rFonts w:ascii="Times New Roman" w:hAnsi="Times New Roman"/>
          <w:color w:val="000000" w:themeColor="text1"/>
          <w:sz w:val="28"/>
          <w:szCs w:val="28"/>
          <w:lang w:eastAsia="en-US"/>
        </w:rPr>
        <w:t xml:space="preserve">., </w:t>
      </w:r>
      <w:r w:rsidRPr="00A21A7F">
        <w:rPr>
          <w:rFonts w:ascii="Times New Roman" w:hAnsi="Times New Roman"/>
          <w:sz w:val="28"/>
          <w:szCs w:val="28"/>
          <w:lang w:val="en-US" w:eastAsia="en-US"/>
        </w:rPr>
        <w:t>Sehested</w:t>
      </w:r>
      <w:r w:rsidRPr="00454F41">
        <w:rPr>
          <w:rFonts w:ascii="Times New Roman" w:hAnsi="Times New Roman"/>
          <w:sz w:val="28"/>
          <w:szCs w:val="28"/>
          <w:lang w:eastAsia="en-US"/>
        </w:rPr>
        <w:t xml:space="preserve"> </w:t>
      </w:r>
      <w:r w:rsidRPr="00A21A7F">
        <w:rPr>
          <w:rFonts w:ascii="Times New Roman" w:hAnsi="Times New Roman"/>
          <w:sz w:val="28"/>
          <w:szCs w:val="28"/>
          <w:lang w:val="en-US" w:eastAsia="en-US"/>
        </w:rPr>
        <w:t>T</w:t>
      </w:r>
      <w:r w:rsidRPr="00454F41">
        <w:rPr>
          <w:rFonts w:ascii="Times New Roman" w:hAnsi="Times New Roman"/>
          <w:sz w:val="28"/>
          <w:szCs w:val="28"/>
          <w:lang w:eastAsia="en-US"/>
        </w:rPr>
        <w:t>.</w:t>
      </w:r>
      <w:r w:rsidRPr="00A21A7F">
        <w:rPr>
          <w:rFonts w:ascii="Times New Roman" w:hAnsi="Times New Roman"/>
          <w:sz w:val="28"/>
          <w:szCs w:val="28"/>
          <w:lang w:val="en-US" w:eastAsia="en-US"/>
        </w:rPr>
        <w:t>S</w:t>
      </w:r>
      <w:r w:rsidRPr="00454F41">
        <w:rPr>
          <w:rFonts w:ascii="Times New Roman" w:hAnsi="Times New Roman"/>
          <w:sz w:val="28"/>
          <w:szCs w:val="28"/>
          <w:lang w:eastAsia="en-US"/>
        </w:rPr>
        <w:t xml:space="preserve">., </w:t>
      </w:r>
      <w:r w:rsidRPr="00A21A7F">
        <w:rPr>
          <w:rFonts w:ascii="Times New Roman" w:hAnsi="Times New Roman"/>
          <w:sz w:val="28"/>
          <w:szCs w:val="28"/>
          <w:lang w:val="en-US" w:eastAsia="en-US"/>
        </w:rPr>
        <w:t>Fosb</w:t>
      </w:r>
      <w:r w:rsidRPr="00454F41">
        <w:rPr>
          <w:rFonts w:ascii="Times New Roman" w:hAnsi="Times New Roman"/>
          <w:sz w:val="28"/>
          <w:szCs w:val="28"/>
          <w:lang w:eastAsia="en-US"/>
        </w:rPr>
        <w:t>ø</w:t>
      </w:r>
      <w:r w:rsidRPr="00A21A7F">
        <w:rPr>
          <w:rFonts w:ascii="Times New Roman" w:hAnsi="Times New Roman"/>
          <w:sz w:val="28"/>
          <w:szCs w:val="28"/>
          <w:lang w:val="en-US" w:eastAsia="en-US"/>
        </w:rPr>
        <w:t>l</w:t>
      </w:r>
      <w:r w:rsidRPr="00454F41">
        <w:rPr>
          <w:rFonts w:ascii="Times New Roman" w:hAnsi="Times New Roman"/>
          <w:sz w:val="28"/>
          <w:szCs w:val="28"/>
          <w:lang w:eastAsia="en-US"/>
        </w:rPr>
        <w:t xml:space="preserve"> </w:t>
      </w:r>
      <w:r w:rsidRPr="00A21A7F">
        <w:rPr>
          <w:rFonts w:ascii="Times New Roman" w:hAnsi="Times New Roman"/>
          <w:sz w:val="28"/>
          <w:szCs w:val="28"/>
          <w:lang w:val="en-US" w:eastAsia="en-US"/>
        </w:rPr>
        <w:t>E</w:t>
      </w:r>
      <w:r w:rsidRPr="00454F41">
        <w:rPr>
          <w:rFonts w:ascii="Times New Roman" w:hAnsi="Times New Roman"/>
          <w:sz w:val="28"/>
          <w:szCs w:val="28"/>
          <w:lang w:eastAsia="en-US"/>
        </w:rPr>
        <w:t>.</w:t>
      </w:r>
      <w:r w:rsidRPr="00A21A7F">
        <w:rPr>
          <w:rFonts w:ascii="Times New Roman" w:hAnsi="Times New Roman"/>
          <w:sz w:val="28"/>
          <w:szCs w:val="28"/>
          <w:lang w:val="en-US" w:eastAsia="en-US"/>
        </w:rPr>
        <w:t>L</w:t>
      </w:r>
      <w:r w:rsidRPr="00454F41">
        <w:rPr>
          <w:rFonts w:ascii="Times New Roman" w:hAnsi="Times New Roman"/>
          <w:sz w:val="28"/>
          <w:szCs w:val="28"/>
          <w:lang w:eastAsia="en-US"/>
        </w:rPr>
        <w:t xml:space="preserve">. </w:t>
      </w:r>
      <w:r>
        <w:rPr>
          <w:rFonts w:ascii="Times New Roman" w:hAnsi="Times New Roman"/>
          <w:sz w:val="28"/>
          <w:szCs w:val="28"/>
          <w:lang w:val="en-US" w:eastAsia="en-US"/>
        </w:rPr>
        <w:t>et</w:t>
      </w:r>
      <w:r w:rsidRPr="00454F41">
        <w:rPr>
          <w:rFonts w:ascii="Times New Roman" w:hAnsi="Times New Roman"/>
          <w:sz w:val="28"/>
          <w:szCs w:val="28"/>
          <w:lang w:eastAsia="en-US"/>
        </w:rPr>
        <w:t xml:space="preserve"> </w:t>
      </w:r>
      <w:r>
        <w:rPr>
          <w:rFonts w:ascii="Times New Roman" w:hAnsi="Times New Roman"/>
          <w:sz w:val="28"/>
          <w:szCs w:val="28"/>
          <w:lang w:val="en-US" w:eastAsia="en-US"/>
        </w:rPr>
        <w:t>al</w:t>
      </w:r>
      <w:r w:rsidRPr="00454F41">
        <w:rPr>
          <w:rFonts w:ascii="Times New Roman" w:hAnsi="Times New Roman"/>
          <w:sz w:val="28"/>
          <w:szCs w:val="28"/>
          <w:lang w:eastAsia="en-US"/>
        </w:rPr>
        <w:t xml:space="preserve">. </w:t>
      </w:r>
      <w:r w:rsidRPr="0003764E">
        <w:rPr>
          <w:rFonts w:ascii="Times New Roman" w:hAnsi="Times New Roman"/>
          <w:color w:val="000000" w:themeColor="text1"/>
          <w:sz w:val="28"/>
          <w:szCs w:val="28"/>
          <w:lang w:val="en-US" w:eastAsia="en-US"/>
        </w:rPr>
        <w:t>Trends in warfarin use and its associations with thromboembolic and bleeding rates in a population with atrial fibrillation between 1996 and 2011 // PLoS One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 № 3</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e0194295.</w:t>
      </w:r>
    </w:p>
    <w:p w14:paraId="13D970C7" w14:textId="77777777" w:rsidR="00AC4691" w:rsidRPr="00454F41"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72.</w:t>
      </w:r>
      <w:r w:rsidRPr="0003764E">
        <w:rPr>
          <w:rFonts w:ascii="Times New Roman" w:hAnsi="Times New Roman"/>
          <w:color w:val="000000" w:themeColor="text1"/>
          <w:sz w:val="28"/>
          <w:szCs w:val="28"/>
          <w:lang w:val="en-US" w:eastAsia="en-US"/>
        </w:rPr>
        <w:tab/>
        <w:t>Cullell N.</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Carrera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 Muiño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Pharmacogenetic studies with oral anticoagulants. Genome-wide association studies in vitamin K antagonist and direct oral anticoagulants // Oncotarget</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C801CC">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454F41">
        <w:rPr>
          <w:rFonts w:ascii="Times New Roman" w:hAnsi="Times New Roman"/>
          <w:color w:val="000000" w:themeColor="text1"/>
          <w:sz w:val="28"/>
          <w:szCs w:val="28"/>
          <w:lang w:eastAsia="en-US"/>
        </w:rPr>
        <w:t>. 9, № 49, 29238–29258</w:t>
      </w:r>
      <w:r>
        <w:rPr>
          <w:rFonts w:ascii="Times New Roman" w:hAnsi="Times New Roman"/>
          <w:color w:val="000000" w:themeColor="text1"/>
          <w:sz w:val="28"/>
          <w:szCs w:val="28"/>
          <w:lang w:val="en-US" w:eastAsia="en-US"/>
        </w:rPr>
        <w:t>p</w:t>
      </w:r>
      <w:r w:rsidRPr="00454F41">
        <w:rPr>
          <w:rFonts w:ascii="Times New Roman" w:hAnsi="Times New Roman"/>
          <w:color w:val="000000" w:themeColor="text1"/>
          <w:sz w:val="28"/>
          <w:szCs w:val="28"/>
          <w:lang w:eastAsia="en-US"/>
        </w:rPr>
        <w:t>.</w:t>
      </w:r>
    </w:p>
    <w:p w14:paraId="17C83326" w14:textId="77777777" w:rsidR="00AC4691" w:rsidRPr="00C801CC"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eastAsia="en-US"/>
        </w:rPr>
        <w:t>73.</w:t>
      </w:r>
      <w:r w:rsidRPr="0003764E">
        <w:rPr>
          <w:rFonts w:ascii="Times New Roman" w:hAnsi="Times New Roman"/>
          <w:color w:val="000000" w:themeColor="text1"/>
          <w:sz w:val="28"/>
          <w:szCs w:val="28"/>
          <w:lang w:eastAsia="en-US"/>
        </w:rPr>
        <w:tab/>
        <w:t xml:space="preserve">Юрьевич М. С., Владимировна Л. Ю. Варфарин и его значение в эру новых оральных антикоагулянтов. Вопросы контроля эффективности и безопасности лечения: 5 // Рациональная фармакотерапия в кардиологии, 2017. </w:t>
      </w:r>
      <w:r>
        <w:rPr>
          <w:rFonts w:ascii="Times New Roman" w:hAnsi="Times New Roman"/>
          <w:color w:val="000000" w:themeColor="text1"/>
          <w:sz w:val="28"/>
          <w:szCs w:val="28"/>
          <w:lang w:val="en-US" w:eastAsia="en-US"/>
        </w:rPr>
        <w:t>Vol</w:t>
      </w:r>
      <w:r w:rsidRPr="00C801CC">
        <w:rPr>
          <w:rFonts w:ascii="Times New Roman" w:hAnsi="Times New Roman"/>
          <w:color w:val="000000" w:themeColor="text1"/>
          <w:sz w:val="28"/>
          <w:szCs w:val="28"/>
          <w:lang w:val="en-US" w:eastAsia="en-US"/>
        </w:rPr>
        <w:t>. 13, № 5. 699–705</w:t>
      </w:r>
      <w:r>
        <w:rPr>
          <w:rFonts w:ascii="Times New Roman" w:hAnsi="Times New Roman"/>
          <w:color w:val="000000" w:themeColor="text1"/>
          <w:sz w:val="28"/>
          <w:szCs w:val="28"/>
          <w:lang w:eastAsia="en-US"/>
        </w:rPr>
        <w:t>с</w:t>
      </w:r>
      <w:r w:rsidRPr="00C801CC">
        <w:rPr>
          <w:rFonts w:ascii="Times New Roman" w:hAnsi="Times New Roman"/>
          <w:color w:val="000000" w:themeColor="text1"/>
          <w:sz w:val="28"/>
          <w:szCs w:val="28"/>
          <w:lang w:val="en-US" w:eastAsia="en-US"/>
        </w:rPr>
        <w:t>.</w:t>
      </w:r>
    </w:p>
    <w:p w14:paraId="765EFCC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74.</w:t>
      </w:r>
      <w:r w:rsidRPr="0003764E">
        <w:rPr>
          <w:rFonts w:ascii="Times New Roman" w:hAnsi="Times New Roman"/>
          <w:color w:val="000000" w:themeColor="text1"/>
          <w:sz w:val="28"/>
          <w:szCs w:val="28"/>
          <w:lang w:val="en-US" w:eastAsia="en-US"/>
        </w:rPr>
        <w:tab/>
        <w:t>Lee M.T., Klein T.E. Pharmacogenetics of warfarin: challenges and opportunities //</w:t>
      </w:r>
      <w:r w:rsidRPr="00C801CC">
        <w:rPr>
          <w:rFonts w:ascii="Times New Roman" w:hAnsi="Times New Roman"/>
          <w:color w:val="000000" w:themeColor="text1"/>
          <w:sz w:val="28"/>
          <w:szCs w:val="28"/>
          <w:lang w:val="en-US" w:eastAsia="en-US"/>
        </w:rPr>
        <w:t xml:space="preserve"> Journal of Human Genetics</w:t>
      </w:r>
      <w:r w:rsidRPr="0003764E">
        <w:rPr>
          <w:rFonts w:ascii="Times New Roman" w:hAnsi="Times New Roman"/>
          <w:color w:val="000000" w:themeColor="text1"/>
          <w:sz w:val="28"/>
          <w:szCs w:val="28"/>
          <w:lang w:val="en-US" w:eastAsia="en-US"/>
        </w:rPr>
        <w:t>. Nature Publishing Group, 2013.</w:t>
      </w:r>
      <w:r w:rsidRPr="00C801CC">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58, № 6</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334–338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513BB6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75.</w:t>
      </w:r>
      <w:r w:rsidRPr="0003764E">
        <w:rPr>
          <w:rFonts w:ascii="Times New Roman" w:hAnsi="Times New Roman"/>
          <w:color w:val="000000" w:themeColor="text1"/>
          <w:sz w:val="28"/>
          <w:szCs w:val="28"/>
          <w:lang w:val="en-US" w:eastAsia="en-US"/>
        </w:rPr>
        <w:tab/>
        <w:t>Lenzini P.</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Wadelius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Kimmel S.</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Integration of Genetic, Clinical, and INR Data to Refine Warfarin Dosing // Clinical Pharmacology &amp; Therapeutics. 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87, № 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572–578</w:t>
      </w:r>
      <w:r>
        <w:rPr>
          <w:rFonts w:ascii="Times New Roman" w:hAnsi="Times New Roman"/>
          <w:color w:val="000000" w:themeColor="text1"/>
          <w:sz w:val="28"/>
          <w:szCs w:val="28"/>
          <w:lang w:val="en-US" w:eastAsia="en-US"/>
        </w:rPr>
        <w:t>p.</w:t>
      </w:r>
    </w:p>
    <w:p w14:paraId="5108395A" w14:textId="77777777" w:rsidR="00AC4691" w:rsidRPr="00C801CC"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76.</w:t>
      </w:r>
      <w:r w:rsidRPr="0003764E">
        <w:rPr>
          <w:rFonts w:ascii="Times New Roman" w:hAnsi="Times New Roman"/>
          <w:color w:val="000000" w:themeColor="text1"/>
          <w:sz w:val="28"/>
          <w:szCs w:val="28"/>
          <w:lang w:val="en-US" w:eastAsia="en-US"/>
        </w:rPr>
        <w:tab/>
        <w:t>Cullell N.</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Carrera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Muiño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Pharmacogenetic studies with oral anticoagulants. Genome-wide association studies in vitamin K antagonist and direct oral anticoagulants // Oncotarget</w:t>
      </w:r>
      <w:r>
        <w:rPr>
          <w:rFonts w:ascii="Times New Roman" w:hAnsi="Times New Roman"/>
          <w:color w:val="000000" w:themeColor="text1"/>
          <w:sz w:val="28"/>
          <w:szCs w:val="28"/>
          <w:lang w:val="en-US" w:eastAsia="en-US"/>
        </w:rPr>
        <w:t xml:space="preserve">, </w:t>
      </w:r>
      <w:r w:rsidRPr="00C801CC">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C801CC">
        <w:rPr>
          <w:rFonts w:ascii="Times New Roman" w:hAnsi="Times New Roman"/>
          <w:color w:val="000000" w:themeColor="text1"/>
          <w:sz w:val="28"/>
          <w:szCs w:val="28"/>
          <w:lang w:eastAsia="en-US"/>
        </w:rPr>
        <w:t>. 9, № 49, 29238–29258</w:t>
      </w:r>
      <w:r>
        <w:rPr>
          <w:rFonts w:ascii="Times New Roman" w:hAnsi="Times New Roman"/>
          <w:color w:val="000000" w:themeColor="text1"/>
          <w:sz w:val="28"/>
          <w:szCs w:val="28"/>
          <w:lang w:val="en-US" w:eastAsia="en-US"/>
        </w:rPr>
        <w:t>p</w:t>
      </w:r>
      <w:r w:rsidRPr="00C801CC">
        <w:rPr>
          <w:rFonts w:ascii="Times New Roman" w:hAnsi="Times New Roman"/>
          <w:color w:val="000000" w:themeColor="text1"/>
          <w:sz w:val="28"/>
          <w:szCs w:val="28"/>
          <w:lang w:eastAsia="en-US"/>
        </w:rPr>
        <w:t>.</w:t>
      </w:r>
    </w:p>
    <w:p w14:paraId="438D059D"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eastAsia="en-US"/>
        </w:rPr>
        <w:t>77.</w:t>
      </w:r>
      <w:r w:rsidRPr="0003764E">
        <w:rPr>
          <w:rFonts w:ascii="Times New Roman" w:hAnsi="Times New Roman"/>
          <w:color w:val="000000" w:themeColor="text1"/>
          <w:sz w:val="28"/>
          <w:szCs w:val="28"/>
          <w:lang w:eastAsia="en-US"/>
        </w:rPr>
        <w:tab/>
      </w:r>
      <w:r w:rsidRPr="00C801CC">
        <w:rPr>
          <w:rFonts w:ascii="Times New Roman" w:hAnsi="Times New Roman"/>
          <w:sz w:val="28"/>
          <w:szCs w:val="28"/>
        </w:rPr>
        <w:t xml:space="preserve">Долгова Е.Л. Особенности подбора дозы варфарина у пациентов с фибрилляцией предсердий в зависимости от клинических факторов // Бюллетень медицинских интернет-конференций, </w:t>
      </w:r>
      <w:r w:rsidRPr="00716F8E">
        <w:rPr>
          <w:rFonts w:ascii="Times New Roman" w:hAnsi="Times New Roman"/>
          <w:sz w:val="28"/>
          <w:szCs w:val="28"/>
        </w:rPr>
        <w:t>2013</w:t>
      </w:r>
      <w:r w:rsidRPr="00C801CC">
        <w:rPr>
          <w:rFonts w:ascii="Times New Roman" w:hAnsi="Times New Roman"/>
          <w:sz w:val="28"/>
          <w:szCs w:val="28"/>
        </w:rPr>
        <w:t>.</w:t>
      </w:r>
      <w:r w:rsidRPr="00716F8E">
        <w:rPr>
          <w:rFonts w:ascii="Times New Roman" w:hAnsi="Times New Roman"/>
          <w:sz w:val="28"/>
          <w:szCs w:val="28"/>
        </w:rPr>
        <w:t xml:space="preserve"> </w:t>
      </w:r>
      <w:r>
        <w:rPr>
          <w:rFonts w:ascii="Times New Roman" w:hAnsi="Times New Roman"/>
          <w:sz w:val="28"/>
          <w:szCs w:val="28"/>
          <w:lang w:val="en-US"/>
        </w:rPr>
        <w:t>T</w:t>
      </w:r>
      <w:r w:rsidRPr="00454F41">
        <w:rPr>
          <w:rFonts w:ascii="Times New Roman" w:hAnsi="Times New Roman"/>
          <w:sz w:val="28"/>
          <w:szCs w:val="28"/>
          <w:lang w:val="en-US"/>
        </w:rPr>
        <w:t>.3, № 6, 952</w:t>
      </w:r>
      <w:r>
        <w:rPr>
          <w:rFonts w:ascii="Times New Roman" w:hAnsi="Times New Roman"/>
          <w:sz w:val="28"/>
          <w:szCs w:val="28"/>
        </w:rPr>
        <w:t>с</w:t>
      </w:r>
      <w:r w:rsidRPr="00454F41">
        <w:rPr>
          <w:rFonts w:ascii="Times New Roman" w:hAnsi="Times New Roman"/>
          <w:sz w:val="28"/>
          <w:szCs w:val="28"/>
          <w:lang w:val="en-US"/>
        </w:rPr>
        <w:t>.</w:t>
      </w:r>
      <w:r w:rsidRPr="00454F41">
        <w:rPr>
          <w:rFonts w:ascii="Times New Roman" w:hAnsi="Times New Roman"/>
          <w:sz w:val="28"/>
          <w:szCs w:val="28"/>
          <w:lang w:val="en-US" w:eastAsia="en-US"/>
        </w:rPr>
        <w:t xml:space="preserve"> </w:t>
      </w:r>
    </w:p>
    <w:p w14:paraId="141D42A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716F8E">
        <w:rPr>
          <w:rFonts w:ascii="Times New Roman" w:hAnsi="Times New Roman"/>
          <w:color w:val="000000" w:themeColor="text1"/>
          <w:sz w:val="28"/>
          <w:szCs w:val="28"/>
          <w:lang w:val="en-US" w:eastAsia="en-US"/>
        </w:rPr>
        <w:t>78.</w:t>
      </w:r>
      <w:r w:rsidRPr="00716F8E">
        <w:rPr>
          <w:rFonts w:ascii="Times New Roman" w:hAnsi="Times New Roman"/>
          <w:color w:val="000000" w:themeColor="text1"/>
          <w:sz w:val="28"/>
          <w:szCs w:val="28"/>
          <w:lang w:val="en-US" w:eastAsia="en-US"/>
        </w:rPr>
        <w:tab/>
      </w:r>
      <w:r w:rsidRPr="00967295">
        <w:rPr>
          <w:rFonts w:ascii="Times New Roman" w:hAnsi="Times New Roman"/>
          <w:color w:val="000000" w:themeColor="text1"/>
          <w:sz w:val="28"/>
          <w:szCs w:val="28"/>
          <w:lang w:val="en-US" w:eastAsia="en-US"/>
        </w:rPr>
        <w:t>Johnson</w:t>
      </w:r>
      <w:r w:rsidRPr="00716F8E">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J</w:t>
      </w:r>
      <w:r w:rsidRPr="00716F8E">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Gong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Whirl-Carrillo M.</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Clinical Pharmacogenetics Implementation Consortium Guidelines for CYP2C9 and VKORC1 genotypes and warfarin dosing // </w:t>
      </w:r>
      <w:r w:rsidRPr="00716F8E">
        <w:rPr>
          <w:rFonts w:ascii="Times New Roman" w:hAnsi="Times New Roman"/>
          <w:color w:val="000000" w:themeColor="text1"/>
          <w:sz w:val="28"/>
          <w:szCs w:val="28"/>
          <w:lang w:val="en-US" w:eastAsia="en-US"/>
        </w:rPr>
        <w:t>Clinical Pharmacology and Therapeutics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90, № 4</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625–629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1931314"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79.</w:t>
      </w:r>
      <w:r w:rsidRPr="0003764E">
        <w:rPr>
          <w:rFonts w:ascii="Times New Roman" w:hAnsi="Times New Roman"/>
          <w:color w:val="000000" w:themeColor="text1"/>
          <w:sz w:val="28"/>
          <w:szCs w:val="28"/>
          <w:lang w:val="en-US" w:eastAsia="en-US"/>
        </w:rPr>
        <w:tab/>
        <w:t xml:space="preserve">Nunnelee J.D. Review of an Article: The international Warfarin Pharmacogenetics Consortium (2009). Estimation of the warfarin dose with clinical and pharmacogenetic data. </w:t>
      </w:r>
      <w:r w:rsidRPr="00716F8E">
        <w:rPr>
          <w:rFonts w:ascii="Times New Roman" w:hAnsi="Times New Roman"/>
          <w:color w:val="000000" w:themeColor="text1"/>
          <w:sz w:val="28"/>
          <w:szCs w:val="28"/>
          <w:lang w:val="en-US" w:eastAsia="en-US"/>
        </w:rPr>
        <w:t>NEJM 360 (8): 753-64 // Journal of Vascular Nursing: Official Publication of the Society for Peripheral Vascular Nursing</w:t>
      </w:r>
      <w:r>
        <w:rPr>
          <w:rFonts w:ascii="Times New Roman" w:hAnsi="Times New Roman"/>
          <w:color w:val="000000" w:themeColor="text1"/>
          <w:sz w:val="28"/>
          <w:szCs w:val="28"/>
          <w:lang w:val="en-US" w:eastAsia="en-US"/>
        </w:rPr>
        <w:t xml:space="preserve">, </w:t>
      </w:r>
      <w:r w:rsidRPr="00716F8E">
        <w:rPr>
          <w:rFonts w:ascii="Times New Roman" w:hAnsi="Times New Roman"/>
          <w:color w:val="000000" w:themeColor="text1"/>
          <w:sz w:val="28"/>
          <w:szCs w:val="28"/>
          <w:lang w:val="en-US" w:eastAsia="en-US"/>
        </w:rPr>
        <w:t xml:space="preserve">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eastAsia="en-US"/>
        </w:rPr>
        <w:t>. 27, № 4</w:t>
      </w:r>
      <w:r w:rsidRPr="00716F8E">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109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eastAsia="en-US"/>
        </w:rPr>
        <w:t>.</w:t>
      </w:r>
    </w:p>
    <w:p w14:paraId="424FBD42"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80.</w:t>
      </w:r>
      <w:r w:rsidRPr="0003764E">
        <w:rPr>
          <w:rFonts w:ascii="Times New Roman" w:hAnsi="Times New Roman"/>
          <w:color w:val="000000" w:themeColor="text1"/>
          <w:sz w:val="28"/>
          <w:szCs w:val="28"/>
          <w:lang w:eastAsia="en-US"/>
        </w:rPr>
        <w:tab/>
      </w:r>
      <w:r w:rsidRPr="00716F8E">
        <w:rPr>
          <w:rFonts w:ascii="Times New Roman" w:hAnsi="Times New Roman"/>
          <w:sz w:val="28"/>
          <w:szCs w:val="28"/>
        </w:rPr>
        <w:t>Новикова Н.А., Воловченко</w:t>
      </w:r>
      <w:r>
        <w:rPr>
          <w:rFonts w:ascii="Times New Roman" w:hAnsi="Times New Roman"/>
          <w:sz w:val="28"/>
          <w:szCs w:val="28"/>
        </w:rPr>
        <w:t xml:space="preserve"> </w:t>
      </w:r>
      <w:r w:rsidRPr="00716F8E">
        <w:rPr>
          <w:rFonts w:ascii="Times New Roman" w:hAnsi="Times New Roman"/>
          <w:sz w:val="28"/>
          <w:szCs w:val="28"/>
        </w:rPr>
        <w:t xml:space="preserve">А.Н. Варфарин: место в современной антикоагулянтной терапии // Атеротромбоз, 2016, </w:t>
      </w:r>
      <w:r>
        <w:rPr>
          <w:rFonts w:ascii="Times New Roman" w:hAnsi="Times New Roman"/>
          <w:sz w:val="28"/>
          <w:szCs w:val="28"/>
        </w:rPr>
        <w:t xml:space="preserve">№1, </w:t>
      </w:r>
      <w:r w:rsidRPr="00716F8E">
        <w:rPr>
          <w:rFonts w:ascii="Times New Roman" w:hAnsi="Times New Roman"/>
          <w:sz w:val="28"/>
          <w:szCs w:val="28"/>
        </w:rPr>
        <w:t>50-58</w:t>
      </w:r>
      <w:r>
        <w:rPr>
          <w:rFonts w:ascii="Times New Roman" w:hAnsi="Times New Roman"/>
          <w:sz w:val="28"/>
          <w:szCs w:val="28"/>
        </w:rPr>
        <w:t>с</w:t>
      </w:r>
      <w:r w:rsidRPr="0003764E">
        <w:rPr>
          <w:rFonts w:ascii="Times New Roman" w:hAnsi="Times New Roman"/>
          <w:color w:val="000000" w:themeColor="text1"/>
          <w:sz w:val="28"/>
          <w:szCs w:val="28"/>
          <w:lang w:eastAsia="en-US"/>
        </w:rPr>
        <w:t>.</w:t>
      </w:r>
    </w:p>
    <w:p w14:paraId="081C6266"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81.</w:t>
      </w:r>
      <w:r w:rsidRPr="0003764E">
        <w:rPr>
          <w:rFonts w:ascii="Times New Roman" w:hAnsi="Times New Roman"/>
          <w:color w:val="000000" w:themeColor="text1"/>
          <w:sz w:val="28"/>
          <w:szCs w:val="28"/>
          <w:lang w:eastAsia="en-US"/>
        </w:rPr>
        <w:tab/>
      </w:r>
      <w:r w:rsidRPr="00716F8E">
        <w:rPr>
          <w:rFonts w:ascii="Times New Roman" w:hAnsi="Times New Roman"/>
          <w:sz w:val="28"/>
          <w:szCs w:val="28"/>
        </w:rPr>
        <w:t>Басалай О.Н., Бушма М.И., Борисенок О.А.</w:t>
      </w:r>
      <w:r>
        <w:rPr>
          <w:rFonts w:ascii="Times New Roman" w:hAnsi="Times New Roman"/>
          <w:sz w:val="28"/>
          <w:szCs w:val="28"/>
        </w:rPr>
        <w:t xml:space="preserve"> и др. Оптимизация фармакотерапии варфарином: проблемы и решения // </w:t>
      </w:r>
      <w:r w:rsidRPr="00716F8E">
        <w:rPr>
          <w:rFonts w:ascii="Times New Roman" w:hAnsi="Times New Roman"/>
          <w:sz w:val="28"/>
          <w:szCs w:val="28"/>
        </w:rPr>
        <w:t xml:space="preserve">Медицинские новости, </w:t>
      </w:r>
      <w:r>
        <w:rPr>
          <w:rFonts w:ascii="Times New Roman" w:hAnsi="Times New Roman"/>
          <w:sz w:val="28"/>
          <w:szCs w:val="28"/>
        </w:rPr>
        <w:t>2020, №</w:t>
      </w:r>
      <w:r w:rsidRPr="00716F8E">
        <w:rPr>
          <w:rFonts w:ascii="Times New Roman" w:hAnsi="Times New Roman"/>
          <w:sz w:val="28"/>
          <w:szCs w:val="28"/>
        </w:rPr>
        <w:t>1(304),</w:t>
      </w:r>
      <w:r>
        <w:rPr>
          <w:rFonts w:ascii="Times New Roman" w:hAnsi="Times New Roman"/>
          <w:sz w:val="28"/>
          <w:szCs w:val="28"/>
        </w:rPr>
        <w:t xml:space="preserve"> </w:t>
      </w:r>
      <w:r w:rsidRPr="00716F8E">
        <w:rPr>
          <w:rFonts w:ascii="Times New Roman" w:hAnsi="Times New Roman"/>
          <w:sz w:val="28"/>
          <w:szCs w:val="28"/>
        </w:rPr>
        <w:t>48-53</w:t>
      </w:r>
      <w:r>
        <w:rPr>
          <w:rFonts w:ascii="Times New Roman" w:hAnsi="Times New Roman"/>
          <w:sz w:val="28"/>
          <w:szCs w:val="28"/>
        </w:rPr>
        <w:t>с</w:t>
      </w:r>
      <w:r w:rsidRPr="00716F8E">
        <w:rPr>
          <w:rFonts w:ascii="Times New Roman" w:hAnsi="Times New Roman"/>
          <w:sz w:val="28"/>
          <w:szCs w:val="28"/>
        </w:rPr>
        <w:t>.</w:t>
      </w:r>
      <w:r w:rsidRPr="00716F8E">
        <w:rPr>
          <w:rFonts w:ascii="Times New Roman" w:hAnsi="Times New Roman"/>
          <w:sz w:val="28"/>
          <w:szCs w:val="28"/>
          <w:lang w:eastAsia="en-US"/>
        </w:rPr>
        <w:t xml:space="preserve"> </w:t>
      </w:r>
    </w:p>
    <w:p w14:paraId="43F7993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716F8E">
        <w:rPr>
          <w:rFonts w:ascii="Times New Roman" w:hAnsi="Times New Roman"/>
          <w:color w:val="000000" w:themeColor="text1"/>
          <w:sz w:val="28"/>
          <w:szCs w:val="28"/>
          <w:lang w:val="en-US" w:eastAsia="en-US"/>
        </w:rPr>
        <w:t>82.</w:t>
      </w:r>
      <w:r w:rsidRPr="00716F8E">
        <w:rPr>
          <w:rFonts w:ascii="Times New Roman" w:hAnsi="Times New Roman"/>
          <w:color w:val="000000" w:themeColor="text1"/>
          <w:sz w:val="28"/>
          <w:szCs w:val="28"/>
          <w:lang w:val="en-US" w:eastAsia="en-US"/>
        </w:rPr>
        <w:tab/>
        <w:t>Takeuchi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Kobayashi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Brandão L.R.</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Effect of CYP2C9, VKORC1, and CYP4F2 polymorphisms on warfarin maintenance dose in children aged less than 18 years: a protocol for systematic review and meta-analysis // Systematic Reviews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CBE2C6D"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83.</w:t>
      </w:r>
      <w:r w:rsidRPr="0003764E">
        <w:rPr>
          <w:rFonts w:ascii="Times New Roman" w:hAnsi="Times New Roman"/>
          <w:color w:val="000000" w:themeColor="text1"/>
          <w:sz w:val="28"/>
          <w:szCs w:val="28"/>
          <w:lang w:val="en-US" w:eastAsia="en-US"/>
        </w:rPr>
        <w:tab/>
        <w:t>Ren Y.</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Yang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Chen H.</w:t>
      </w:r>
      <w:r>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Pharmacogenetic-Guided Algorithm to Improve Daily Dose of Warfarin in Elder Han-Chinese Population // </w:t>
      </w:r>
      <w:r w:rsidRPr="00992C04">
        <w:rPr>
          <w:rFonts w:ascii="Times New Roman" w:hAnsi="Times New Roman"/>
          <w:color w:val="000000" w:themeColor="text1"/>
          <w:sz w:val="28"/>
          <w:szCs w:val="28"/>
          <w:lang w:val="en-US" w:eastAsia="en-US"/>
        </w:rPr>
        <w:t>Frontiers in Pharmacology</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.11</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1014</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76BB09B7"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84.</w:t>
      </w:r>
      <w:r w:rsidRPr="0003764E">
        <w:rPr>
          <w:rFonts w:ascii="Times New Roman" w:hAnsi="Times New Roman"/>
          <w:color w:val="000000" w:themeColor="text1"/>
          <w:sz w:val="28"/>
          <w:szCs w:val="28"/>
          <w:lang w:val="en-US" w:eastAsia="en-US"/>
        </w:rPr>
        <w:tab/>
        <w:t xml:space="preserve">Bader L.A., Elewa H. The Impact of Genetic and Non-Genetic Factors on Warfarin Dose Prediction in MENA Region: A Systematic Review // PLoS One.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eastAsia="en-US"/>
        </w:rPr>
        <w:t>. 11, № 12</w:t>
      </w:r>
      <w:r w:rsidRPr="00313127">
        <w:rPr>
          <w:rFonts w:ascii="Times New Roman" w:hAnsi="Times New Roman"/>
          <w:color w:val="000000" w:themeColor="text1"/>
          <w:sz w:val="28"/>
          <w:szCs w:val="28"/>
          <w:lang w:eastAsia="en-US"/>
        </w:rPr>
        <w:t>,</w:t>
      </w:r>
      <w:r w:rsidRPr="0003764E">
        <w:rPr>
          <w:rFonts w:ascii="Times New Roman" w:hAnsi="Times New Roman"/>
          <w:color w:val="000000" w:themeColor="text1"/>
          <w:sz w:val="28"/>
          <w:szCs w:val="28"/>
          <w:lang w:eastAsia="en-US"/>
        </w:rPr>
        <w:t xml:space="preserve"> e0168732.</w:t>
      </w:r>
    </w:p>
    <w:p w14:paraId="0070B38F"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eastAsia="en-US"/>
        </w:rPr>
        <w:t>85.</w:t>
      </w:r>
      <w:r w:rsidRPr="0003764E">
        <w:rPr>
          <w:rFonts w:ascii="Times New Roman" w:hAnsi="Times New Roman"/>
          <w:color w:val="000000" w:themeColor="text1"/>
          <w:sz w:val="28"/>
          <w:szCs w:val="28"/>
          <w:lang w:eastAsia="en-US"/>
        </w:rPr>
        <w:tab/>
        <w:t>Ильинична Ф.О., Викторович К.А., Владимировна Ч.Е. Риск развития геморрагических осложнений терапии варфарином</w:t>
      </w:r>
      <w:r w:rsidRPr="00313127">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 Вестник хирургии имени И. И. Грекова, 2017. Т. 176, № 6</w:t>
      </w:r>
      <w:r w:rsidRPr="00313127">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96–100</w:t>
      </w:r>
      <w:r>
        <w:rPr>
          <w:rFonts w:ascii="Times New Roman" w:hAnsi="Times New Roman"/>
          <w:color w:val="000000" w:themeColor="text1"/>
          <w:sz w:val="28"/>
          <w:szCs w:val="28"/>
          <w:lang w:val="en-US" w:eastAsia="en-US"/>
        </w:rPr>
        <w:t>c</w:t>
      </w:r>
      <w:r w:rsidRPr="0003764E">
        <w:rPr>
          <w:rFonts w:ascii="Times New Roman" w:hAnsi="Times New Roman"/>
          <w:color w:val="000000" w:themeColor="text1"/>
          <w:sz w:val="28"/>
          <w:szCs w:val="28"/>
          <w:lang w:eastAsia="en-US"/>
        </w:rPr>
        <w:t>.</w:t>
      </w:r>
    </w:p>
    <w:p w14:paraId="7EA53502"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eastAsia="en-US"/>
        </w:rPr>
        <w:t>86.</w:t>
      </w:r>
      <w:r w:rsidRPr="0003764E">
        <w:rPr>
          <w:rFonts w:ascii="Times New Roman" w:hAnsi="Times New Roman"/>
          <w:color w:val="000000" w:themeColor="text1"/>
          <w:sz w:val="28"/>
          <w:szCs w:val="28"/>
          <w:lang w:eastAsia="en-US"/>
        </w:rPr>
        <w:tab/>
      </w:r>
      <w:r w:rsidRPr="00313127">
        <w:rPr>
          <w:rFonts w:ascii="Times New Roman" w:hAnsi="Times New Roman"/>
          <w:sz w:val="28"/>
          <w:szCs w:val="28"/>
        </w:rPr>
        <w:t>Гуляихина Д.Е. Влияние различных факторов на риск кровотечений при приеме варфарина // Клиническая онкогематология. Фундаментальные</w:t>
      </w:r>
      <w:r w:rsidRPr="00454F41">
        <w:rPr>
          <w:rFonts w:ascii="Times New Roman" w:hAnsi="Times New Roman"/>
          <w:sz w:val="28"/>
          <w:szCs w:val="28"/>
          <w:lang w:val="en-US"/>
        </w:rPr>
        <w:t xml:space="preserve"> </w:t>
      </w:r>
      <w:r w:rsidRPr="00313127">
        <w:rPr>
          <w:rFonts w:ascii="Times New Roman" w:hAnsi="Times New Roman"/>
          <w:sz w:val="28"/>
          <w:szCs w:val="28"/>
        </w:rPr>
        <w:t>исследования</w:t>
      </w:r>
      <w:r w:rsidRPr="00454F41">
        <w:rPr>
          <w:rFonts w:ascii="Times New Roman" w:hAnsi="Times New Roman"/>
          <w:sz w:val="28"/>
          <w:szCs w:val="28"/>
          <w:lang w:val="en-US"/>
        </w:rPr>
        <w:t xml:space="preserve"> </w:t>
      </w:r>
      <w:r w:rsidRPr="00313127">
        <w:rPr>
          <w:rFonts w:ascii="Times New Roman" w:hAnsi="Times New Roman"/>
          <w:sz w:val="28"/>
          <w:szCs w:val="28"/>
        </w:rPr>
        <w:t>и</w:t>
      </w:r>
      <w:r w:rsidRPr="00454F41">
        <w:rPr>
          <w:rFonts w:ascii="Times New Roman" w:hAnsi="Times New Roman"/>
          <w:sz w:val="28"/>
          <w:szCs w:val="28"/>
          <w:lang w:val="en-US"/>
        </w:rPr>
        <w:t xml:space="preserve"> </w:t>
      </w:r>
      <w:r w:rsidRPr="00313127">
        <w:rPr>
          <w:rFonts w:ascii="Times New Roman" w:hAnsi="Times New Roman"/>
          <w:sz w:val="28"/>
          <w:szCs w:val="28"/>
        </w:rPr>
        <w:t>клиническая</w:t>
      </w:r>
      <w:r w:rsidRPr="00454F41">
        <w:rPr>
          <w:rFonts w:ascii="Times New Roman" w:hAnsi="Times New Roman"/>
          <w:sz w:val="28"/>
          <w:szCs w:val="28"/>
          <w:lang w:val="en-US"/>
        </w:rPr>
        <w:t xml:space="preserve"> </w:t>
      </w:r>
      <w:r w:rsidRPr="00313127">
        <w:rPr>
          <w:rFonts w:ascii="Times New Roman" w:hAnsi="Times New Roman"/>
          <w:sz w:val="28"/>
          <w:szCs w:val="28"/>
        </w:rPr>
        <w:t>практика</w:t>
      </w:r>
      <w:r w:rsidRPr="00454F41">
        <w:rPr>
          <w:rFonts w:ascii="Times New Roman" w:hAnsi="Times New Roman"/>
          <w:sz w:val="28"/>
          <w:szCs w:val="28"/>
          <w:lang w:val="en-US"/>
        </w:rPr>
        <w:t xml:space="preserve">, 2017. </w:t>
      </w:r>
      <w:r>
        <w:rPr>
          <w:rFonts w:ascii="Times New Roman" w:hAnsi="Times New Roman"/>
          <w:sz w:val="28"/>
          <w:szCs w:val="28"/>
          <w:lang w:val="en-US"/>
        </w:rPr>
        <w:t>T</w:t>
      </w:r>
      <w:r w:rsidRPr="00454F41">
        <w:rPr>
          <w:rFonts w:ascii="Times New Roman" w:hAnsi="Times New Roman"/>
          <w:sz w:val="28"/>
          <w:szCs w:val="28"/>
          <w:lang w:val="en-US"/>
        </w:rPr>
        <w:t>.10, № 4, 534-535</w:t>
      </w:r>
      <w:r>
        <w:rPr>
          <w:rFonts w:ascii="Times New Roman" w:hAnsi="Times New Roman"/>
          <w:sz w:val="28"/>
          <w:szCs w:val="28"/>
        </w:rPr>
        <w:t>с</w:t>
      </w:r>
      <w:r w:rsidRPr="00454F41">
        <w:rPr>
          <w:rFonts w:ascii="Times New Roman" w:hAnsi="Times New Roman"/>
          <w:sz w:val="28"/>
          <w:szCs w:val="28"/>
          <w:lang w:val="en-US"/>
        </w:rPr>
        <w:t xml:space="preserve">. </w:t>
      </w:r>
    </w:p>
    <w:p w14:paraId="22EF998C"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87.</w:t>
      </w:r>
      <w:r w:rsidRPr="0003764E">
        <w:rPr>
          <w:rFonts w:ascii="Times New Roman" w:hAnsi="Times New Roman"/>
          <w:color w:val="000000" w:themeColor="text1"/>
          <w:sz w:val="28"/>
          <w:szCs w:val="28"/>
          <w:lang w:val="en-US" w:eastAsia="en-US"/>
        </w:rPr>
        <w:tab/>
        <w:t>Havers-Borgersen E.</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Butt</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Vinding N.E.</w:t>
      </w:r>
      <w:r w:rsidRPr="0003764E">
        <w:rPr>
          <w:rFonts w:ascii="Times New Roman" w:hAnsi="Times New Roman"/>
          <w:color w:val="000000" w:themeColor="text1"/>
          <w:sz w:val="28"/>
          <w:szCs w:val="28"/>
          <w:lang w:val="en-US" w:eastAsia="en-US"/>
        </w:rPr>
        <w:t xml:space="preserve"> Time in therapeutic range and risk of thromboembolism and bleeding in patients with a mechanical heart valve prosthesis // The Journal of Thoracic and Cardiovascular Surgery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2020.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159, № 1</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74-83.e4.</w:t>
      </w:r>
    </w:p>
    <w:p w14:paraId="5CE24CA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967295">
        <w:rPr>
          <w:rFonts w:ascii="Times New Roman" w:hAnsi="Times New Roman"/>
          <w:color w:val="000000" w:themeColor="text1"/>
          <w:sz w:val="28"/>
          <w:szCs w:val="28"/>
          <w:lang w:val="en-US" w:eastAsia="en-US"/>
        </w:rPr>
        <w:t>88.</w:t>
      </w:r>
      <w:r w:rsidRPr="00967295">
        <w:rPr>
          <w:rFonts w:ascii="Times New Roman" w:hAnsi="Times New Roman"/>
          <w:color w:val="000000" w:themeColor="text1"/>
          <w:sz w:val="28"/>
          <w:szCs w:val="28"/>
          <w:lang w:val="en-US" w:eastAsia="en-US"/>
        </w:rPr>
        <w:tab/>
        <w:t>Moyer T.P.</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O’Kane D.J.</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Baudhuin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L.M.</w:t>
      </w:r>
      <w:r w:rsidRPr="00967295">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Warfarin Sensitivity Genotyping: A Review of the Literature and Summary of Patient Experience // </w:t>
      </w:r>
      <w:r w:rsidRPr="00313127">
        <w:rPr>
          <w:rFonts w:ascii="Times New Roman" w:hAnsi="Times New Roman"/>
          <w:color w:val="000000" w:themeColor="text1"/>
          <w:sz w:val="28"/>
          <w:szCs w:val="28"/>
          <w:lang w:val="en-US" w:eastAsia="en-US"/>
        </w:rPr>
        <w:t>Mayo Clinic Proceedings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84, № 12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1079–1094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0A27BE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89.</w:t>
      </w:r>
      <w:r w:rsidRPr="0003764E">
        <w:rPr>
          <w:rFonts w:ascii="Times New Roman" w:hAnsi="Times New Roman"/>
          <w:color w:val="000000" w:themeColor="text1"/>
          <w:sz w:val="28"/>
          <w:szCs w:val="28"/>
          <w:lang w:val="en-US" w:eastAsia="en-US"/>
        </w:rPr>
        <w:tab/>
        <w:t xml:space="preserve">Kamali F., Pirmohamed M. The future prospects of pharmacogenetics in oral anticoagulation therapy // </w:t>
      </w:r>
      <w:r w:rsidRPr="001447E8">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61,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746–751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47733D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90.</w:t>
      </w:r>
      <w:r w:rsidRPr="0003764E">
        <w:rPr>
          <w:rFonts w:ascii="Times New Roman" w:hAnsi="Times New Roman"/>
          <w:color w:val="000000" w:themeColor="text1"/>
          <w:sz w:val="28"/>
          <w:szCs w:val="28"/>
          <w:lang w:val="en-US" w:eastAsia="en-US"/>
        </w:rPr>
        <w:tab/>
        <w:t>Yamamoto 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Mizokami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Yamashita T.</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Gastrointestinal bleeding in elderly patients with atrial fibrillation: prespecified All Nippon Atrial Fibrillation in the Elderly (ANAFIE) Registry subgroup analysis // </w:t>
      </w:r>
      <w:r w:rsidRPr="00313127">
        <w:rPr>
          <w:rFonts w:ascii="Times New Roman" w:hAnsi="Times New Roman"/>
          <w:color w:val="000000" w:themeColor="text1"/>
          <w:sz w:val="28"/>
          <w:szCs w:val="28"/>
          <w:lang w:val="en-US" w:eastAsia="en-US"/>
        </w:rPr>
        <w:t>Scientific Reports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9688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C0C958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91.</w:t>
      </w:r>
      <w:r w:rsidRPr="0003764E">
        <w:rPr>
          <w:rFonts w:ascii="Times New Roman" w:hAnsi="Times New Roman"/>
          <w:color w:val="000000" w:themeColor="text1"/>
          <w:sz w:val="28"/>
          <w:szCs w:val="28"/>
          <w:lang w:val="en-US" w:eastAsia="en-US"/>
        </w:rPr>
        <w:tab/>
        <w:t>Chen W.-C.</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Y.-H.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Hsu P.-I.</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Gastrointestinal Hemorrhage in Warfarin Anticoagulated Patients: Incidence, Risk Factor, Management, and Outcome // </w:t>
      </w:r>
      <w:r w:rsidRPr="001447E8">
        <w:rPr>
          <w:rFonts w:ascii="Times New Roman" w:hAnsi="Times New Roman"/>
          <w:color w:val="000000" w:themeColor="text1"/>
          <w:sz w:val="28"/>
          <w:szCs w:val="28"/>
          <w:lang w:val="en-US" w:eastAsia="en-US"/>
        </w:rPr>
        <w:t>BioMed Research International</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2014. 463767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9D0138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92.</w:t>
      </w:r>
      <w:r w:rsidRPr="0003764E">
        <w:rPr>
          <w:rFonts w:ascii="Times New Roman" w:hAnsi="Times New Roman"/>
          <w:color w:val="000000" w:themeColor="text1"/>
          <w:sz w:val="28"/>
          <w:szCs w:val="28"/>
          <w:lang w:val="en-US" w:eastAsia="en-US"/>
        </w:rPr>
        <w:tab/>
        <w:t>Johnson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Gong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Whirl-Carrillo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Clinical Pharmacogenetics Implementation Consortium Guidelines for CYP2C9 and VKORC1 Genotypes and Warfarin Dosing // </w:t>
      </w:r>
      <w:r w:rsidRPr="001447E8">
        <w:rPr>
          <w:rFonts w:ascii="Times New Roman" w:hAnsi="Times New Roman"/>
          <w:color w:val="000000" w:themeColor="text1"/>
          <w:sz w:val="28"/>
          <w:szCs w:val="28"/>
          <w:lang w:val="en-US" w:eastAsia="en-US"/>
        </w:rPr>
        <w:t>Clinical Pharmacology and Therapeutics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2011. </w:t>
      </w:r>
      <w:r w:rsidRPr="0003764E">
        <w:rPr>
          <w:rFonts w:ascii="Times New Roman" w:hAnsi="Times New Roman"/>
          <w:color w:val="000000" w:themeColor="text1"/>
          <w:sz w:val="28"/>
          <w:szCs w:val="28"/>
          <w:lang w:eastAsia="en-US"/>
        </w:rPr>
        <w:t>Т</w:t>
      </w:r>
      <w:r w:rsidRPr="0003764E">
        <w:rPr>
          <w:rFonts w:ascii="Times New Roman" w:hAnsi="Times New Roman"/>
          <w:color w:val="000000" w:themeColor="text1"/>
          <w:sz w:val="28"/>
          <w:szCs w:val="28"/>
          <w:lang w:val="en-US" w:eastAsia="en-US"/>
        </w:rPr>
        <w:t xml:space="preserve">. 90, </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625–629</w:t>
      </w:r>
      <w:r>
        <w:rPr>
          <w:rFonts w:ascii="Times New Roman" w:hAnsi="Times New Roman"/>
          <w:color w:val="000000" w:themeColor="text1"/>
          <w:sz w:val="28"/>
          <w:szCs w:val="28"/>
          <w:lang w:val="en-US" w:eastAsia="en-US"/>
        </w:rPr>
        <w:t>c</w:t>
      </w:r>
      <w:r w:rsidRPr="0003764E">
        <w:rPr>
          <w:rFonts w:ascii="Times New Roman" w:hAnsi="Times New Roman"/>
          <w:color w:val="000000" w:themeColor="text1"/>
          <w:sz w:val="28"/>
          <w:szCs w:val="28"/>
          <w:lang w:val="en-US" w:eastAsia="en-US"/>
        </w:rPr>
        <w:t>.</w:t>
      </w:r>
    </w:p>
    <w:p w14:paraId="1E8A45E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93.</w:t>
      </w:r>
      <w:r w:rsidRPr="0003764E">
        <w:rPr>
          <w:rFonts w:ascii="Times New Roman" w:hAnsi="Times New Roman"/>
          <w:color w:val="000000" w:themeColor="text1"/>
          <w:sz w:val="28"/>
          <w:szCs w:val="28"/>
          <w:lang w:val="en-US" w:eastAsia="en-US"/>
        </w:rPr>
        <w:tab/>
        <w:t>Linder M.W.</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Looney</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Adams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J.E.</w:t>
      </w:r>
      <w:r>
        <w:rPr>
          <w:rFonts w:ascii="Times New Roman" w:hAnsi="Times New Roman"/>
          <w:color w:val="000000" w:themeColor="text1"/>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Warfarin dose adjustments based on CYP2C9 genetic polymorphisms // </w:t>
      </w:r>
      <w:r w:rsidRPr="001447E8">
        <w:rPr>
          <w:rFonts w:ascii="Times New Roman" w:hAnsi="Times New Roman"/>
          <w:color w:val="000000" w:themeColor="text1"/>
          <w:sz w:val="28"/>
          <w:szCs w:val="28"/>
          <w:lang w:val="en-US" w:eastAsia="en-US"/>
        </w:rPr>
        <w:t>Journal of Thrombosis and Thrombolysis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227–232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9A8DF0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94.</w:t>
      </w:r>
      <w:r w:rsidRPr="0003764E">
        <w:rPr>
          <w:rFonts w:ascii="Times New Roman" w:hAnsi="Times New Roman"/>
          <w:color w:val="000000" w:themeColor="text1"/>
          <w:sz w:val="28"/>
          <w:szCs w:val="28"/>
          <w:lang w:val="en-US" w:eastAsia="en-US"/>
        </w:rPr>
        <w:tab/>
        <w:t>Bourgeois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Jorgensen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Zhang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E.J.</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A multi-factorial analysis of response to warfarin in a UK prospective cohort // Genome Medicine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E7FD74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95.</w:t>
      </w:r>
      <w:r w:rsidRPr="0003764E">
        <w:rPr>
          <w:rFonts w:ascii="Times New Roman" w:hAnsi="Times New Roman"/>
          <w:color w:val="000000" w:themeColor="text1"/>
          <w:sz w:val="28"/>
          <w:szCs w:val="28"/>
          <w:lang w:val="en-US" w:eastAsia="en-US"/>
        </w:rPr>
        <w:tab/>
        <w:t>Budnitz D.S.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Jorgensen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Zhang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E.J.</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Medication use leading to emergency department visits for adverse drug events in older adults // </w:t>
      </w:r>
      <w:r w:rsidRPr="001447E8">
        <w:rPr>
          <w:rFonts w:ascii="Times New Roman" w:hAnsi="Times New Roman"/>
          <w:color w:val="000000" w:themeColor="text1"/>
          <w:sz w:val="28"/>
          <w:szCs w:val="28"/>
          <w:lang w:val="en-US" w:eastAsia="en-US"/>
        </w:rPr>
        <w:t>Annals of Internal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147, № 11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755–765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9733F5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96.</w:t>
      </w:r>
      <w:r w:rsidRPr="0003764E">
        <w:rPr>
          <w:rFonts w:ascii="Times New Roman" w:hAnsi="Times New Roman"/>
          <w:color w:val="000000" w:themeColor="text1"/>
          <w:sz w:val="28"/>
          <w:szCs w:val="28"/>
          <w:lang w:val="en-US" w:eastAsia="en-US"/>
        </w:rPr>
        <w:tab/>
        <w:t>Teichert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Shehab N.</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Kegler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S.R.</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A genome-wide association study of acenocoumarol maintenance dosage // Human Molecular Genetics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18, № 19</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3758–3768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55210C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97.</w:t>
      </w:r>
      <w:r w:rsidRPr="0003764E">
        <w:rPr>
          <w:rFonts w:ascii="Times New Roman" w:hAnsi="Times New Roman"/>
          <w:color w:val="000000" w:themeColor="text1"/>
          <w:sz w:val="28"/>
          <w:szCs w:val="28"/>
          <w:lang w:val="en-US" w:eastAsia="en-US"/>
        </w:rPr>
        <w:tab/>
        <w:t>Cooper G.M.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Johnson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Langaee T.Y.</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A genome-wide scan for common genetic variants with a large influence on warfarin maintenance dose // Blood</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112,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1022–1027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85A54C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98.</w:t>
      </w:r>
      <w:r w:rsidRPr="0003764E">
        <w:rPr>
          <w:rFonts w:ascii="Times New Roman" w:hAnsi="Times New Roman"/>
          <w:color w:val="000000" w:themeColor="text1"/>
          <w:sz w:val="28"/>
          <w:szCs w:val="28"/>
          <w:lang w:val="en-US" w:eastAsia="en-US"/>
        </w:rPr>
        <w:tab/>
        <w:t>Giri A.K.</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Khan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Nazir 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Grover S</w:t>
      </w:r>
      <w:r>
        <w:rPr>
          <w:rFonts w:ascii="Times New Roman" w:hAnsi="Times New Roman"/>
          <w:sz w:val="28"/>
          <w:szCs w:val="28"/>
          <w:lang w:val="en-US" w:eastAsia="en-US"/>
        </w:rPr>
        <w:t>. et al.</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Genetic Epidemiology of Pharmacogenetic Variations in CYP2C9, CYP4F2 and VKORC1 Genes Associated with Warfarin Dosage in the Indian Population // Pharmacogenomics. Taylor &amp; Francis, 2014.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15, № 10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1337–1354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C73D9E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99.</w:t>
      </w:r>
      <w:r w:rsidRPr="0003764E">
        <w:rPr>
          <w:rFonts w:ascii="Times New Roman" w:hAnsi="Times New Roman"/>
          <w:color w:val="000000" w:themeColor="text1"/>
          <w:sz w:val="28"/>
          <w:szCs w:val="28"/>
          <w:lang w:val="en-US" w:eastAsia="en-US"/>
        </w:rPr>
        <w:tab/>
        <w:t>Gage B.</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Eby</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Johnson J.</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Use of Pharmacogenetic and Clinical Factors to Predict the Therapeutic Dose of Warfarin // Clinical Pharmacology &amp; Therapeutics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84,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326–331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37BF50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100.</w:t>
      </w:r>
      <w:r w:rsidRPr="0003764E">
        <w:rPr>
          <w:rFonts w:ascii="Times New Roman" w:hAnsi="Times New Roman"/>
          <w:color w:val="000000" w:themeColor="text1"/>
          <w:sz w:val="28"/>
          <w:szCs w:val="28"/>
          <w:lang w:val="en-US" w:eastAsia="en-US"/>
        </w:rPr>
        <w:tab/>
        <w:t>Takeuchi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Kobayashi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Biss T.</w:t>
      </w:r>
      <w:r>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CYP2C9, VKORC1, and CYP4F2 polymorphisms and pediatric warfarin maintenance dose: a systematic review and meta-analysis // </w:t>
      </w:r>
      <w:r w:rsidRPr="007C247F">
        <w:rPr>
          <w:rFonts w:ascii="Times New Roman" w:hAnsi="Times New Roman"/>
          <w:color w:val="000000" w:themeColor="text1"/>
          <w:sz w:val="28"/>
          <w:szCs w:val="28"/>
          <w:lang w:val="en-US" w:eastAsia="en-US"/>
        </w:rPr>
        <w:t>The Pharmacogenomics Journal</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20,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306–319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5749DB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101.</w:t>
      </w:r>
      <w:r w:rsidRPr="0003764E">
        <w:rPr>
          <w:rFonts w:ascii="Times New Roman" w:hAnsi="Times New Roman"/>
          <w:color w:val="000000" w:themeColor="text1"/>
          <w:sz w:val="28"/>
          <w:szCs w:val="28"/>
          <w:lang w:val="en-US" w:eastAsia="en-US"/>
        </w:rPr>
        <w:tab/>
        <w:t>Wakamiya 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Hokosaki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Tsujimoto S.</w:t>
      </w:r>
      <w:r>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Erratum to: Effect of VKORC1, CYP2C9, CYP4F2, and GGCX Gene Polymorphisms on Warfarin Dose in Japanese Pediatric Patients // </w:t>
      </w:r>
      <w:r w:rsidRPr="007C247F">
        <w:rPr>
          <w:rFonts w:ascii="Times New Roman" w:hAnsi="Times New Roman"/>
          <w:color w:val="000000" w:themeColor="text1"/>
          <w:sz w:val="28"/>
          <w:szCs w:val="28"/>
          <w:lang w:val="en-US" w:eastAsia="en-US"/>
        </w:rPr>
        <w:t>Molecular Diagnosis &amp; Therapy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20, № 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501–501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5D2119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102.</w:t>
      </w:r>
      <w:r w:rsidRPr="0003764E">
        <w:rPr>
          <w:rFonts w:ascii="Times New Roman" w:hAnsi="Times New Roman"/>
          <w:color w:val="000000" w:themeColor="text1"/>
          <w:sz w:val="28"/>
          <w:szCs w:val="28"/>
          <w:lang w:val="en-US" w:eastAsia="en-US"/>
        </w:rPr>
        <w:tab/>
        <w:t>Rost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Fregin, 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Ivaskevicius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V.</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Mutations in VKORC1 cause warfarin resistance and multiple coagulation factor deficiency type 2 // Nature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427, № 6974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537–541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6FAF2C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103.</w:t>
      </w:r>
      <w:r w:rsidRPr="0003764E">
        <w:rPr>
          <w:rFonts w:ascii="Times New Roman" w:hAnsi="Times New Roman"/>
          <w:color w:val="000000" w:themeColor="text1"/>
          <w:sz w:val="28"/>
          <w:szCs w:val="28"/>
          <w:lang w:val="en-US" w:eastAsia="en-US"/>
        </w:rPr>
        <w:tab/>
        <w:t>Li 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Jin D.-Y</w:t>
      </w:r>
      <w:r>
        <w:rPr>
          <w:rFonts w:ascii="Times New Roman" w:hAnsi="Times New Roman"/>
          <w:sz w:val="28"/>
          <w:szCs w:val="28"/>
          <w:lang w:val="en-US" w:eastAsia="en-US"/>
        </w:rPr>
        <w:t>. et. al.</w:t>
      </w:r>
      <w:r w:rsidRPr="0003764E">
        <w:rPr>
          <w:rFonts w:ascii="Times New Roman" w:hAnsi="Times New Roman"/>
          <w:color w:val="000000" w:themeColor="text1"/>
          <w:sz w:val="28"/>
          <w:szCs w:val="28"/>
          <w:lang w:val="en-US" w:eastAsia="en-US"/>
        </w:rPr>
        <w:t xml:space="preserve"> Identification of the gene for vitamin K epoxide reductase // Nature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427, № 6974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541–544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4418DD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104.</w:t>
      </w:r>
      <w:r w:rsidRPr="0003764E">
        <w:rPr>
          <w:rFonts w:ascii="Times New Roman" w:hAnsi="Times New Roman"/>
          <w:color w:val="000000" w:themeColor="text1"/>
          <w:sz w:val="28"/>
          <w:szCs w:val="28"/>
          <w:lang w:val="en-US" w:eastAsia="en-US"/>
        </w:rPr>
        <w:tab/>
      </w:r>
      <w:r w:rsidRPr="00A21A7F">
        <w:rPr>
          <w:rFonts w:ascii="Times New Roman" w:hAnsi="Times New Roman"/>
          <w:sz w:val="28"/>
          <w:szCs w:val="28"/>
          <w:lang w:val="en-US" w:eastAsia="en-US"/>
        </w:rPr>
        <w:t>Klein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T.E.</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Altman R.B.</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Eriksson N.</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International Warfarin Pharmacogenetics Consortium. Estimation of the warfarin dose with clinical and pharmacogenetic data // </w:t>
      </w:r>
      <w:r w:rsidRPr="0052247A">
        <w:rPr>
          <w:rFonts w:ascii="Times New Roman" w:hAnsi="Times New Roman"/>
          <w:color w:val="000000" w:themeColor="text1"/>
          <w:sz w:val="28"/>
          <w:szCs w:val="28"/>
          <w:lang w:val="en-US" w:eastAsia="en-US"/>
        </w:rPr>
        <w:t>The New England Journal of Medicine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360, № 8</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753–764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1EB7C7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105.</w:t>
      </w:r>
      <w:r w:rsidRPr="0003764E">
        <w:rPr>
          <w:rFonts w:ascii="Times New Roman" w:hAnsi="Times New Roman"/>
          <w:color w:val="000000" w:themeColor="text1"/>
          <w:sz w:val="28"/>
          <w:szCs w:val="28"/>
          <w:lang w:val="en-US" w:eastAsia="en-US"/>
        </w:rPr>
        <w:tab/>
        <w:t>Tang W.</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Shi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Q.-P.</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Ding F.</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Impact of VKORC1 gene polymorphisms on warfarin maintenance dosage: A novel systematic review and meta-analysis of 53 studies // </w:t>
      </w:r>
      <w:r w:rsidRPr="00B03AD2">
        <w:rPr>
          <w:rFonts w:ascii="Times New Roman" w:hAnsi="Times New Roman"/>
          <w:color w:val="000000" w:themeColor="text1"/>
          <w:sz w:val="28"/>
          <w:szCs w:val="28"/>
          <w:lang w:val="en-US" w:eastAsia="en-US"/>
        </w:rPr>
        <w:t>International Journal of Clinical Pharmacology and Therapeutics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55,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304–321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213021A"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106.</w:t>
      </w:r>
      <w:r w:rsidRPr="0003764E">
        <w:rPr>
          <w:rFonts w:ascii="Times New Roman" w:hAnsi="Times New Roman"/>
          <w:color w:val="000000" w:themeColor="text1"/>
          <w:sz w:val="28"/>
          <w:szCs w:val="28"/>
          <w:lang w:val="en-US" w:eastAsia="en-US"/>
        </w:rPr>
        <w:tab/>
        <w:t>Rieder M.J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Reiner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A.P.</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Gage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B.F.</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Effect of VKORC1 haplotypes on transcriptional regulation and warfarin dose // </w:t>
      </w:r>
      <w:r w:rsidRPr="00B03AD2">
        <w:rPr>
          <w:rFonts w:ascii="Times New Roman" w:hAnsi="Times New Roman"/>
          <w:color w:val="000000" w:themeColor="text1"/>
          <w:sz w:val="28"/>
          <w:szCs w:val="28"/>
          <w:lang w:val="en-US" w:eastAsia="en-US"/>
        </w:rPr>
        <w:t>The New England Journal of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2005. </w:t>
      </w:r>
      <w:r>
        <w:rPr>
          <w:rFonts w:ascii="Times New Roman" w:hAnsi="Times New Roman"/>
          <w:color w:val="000000" w:themeColor="text1"/>
          <w:sz w:val="28"/>
          <w:szCs w:val="28"/>
          <w:lang w:val="en-US" w:eastAsia="en-US"/>
        </w:rPr>
        <w:t>Vol</w:t>
      </w:r>
      <w:r w:rsidRPr="00B03AD2">
        <w:rPr>
          <w:rFonts w:ascii="Times New Roman" w:hAnsi="Times New Roman"/>
          <w:color w:val="000000" w:themeColor="text1"/>
          <w:sz w:val="28"/>
          <w:szCs w:val="28"/>
          <w:lang w:eastAsia="en-US"/>
        </w:rPr>
        <w:t xml:space="preserve">. 352, № 22, </w:t>
      </w:r>
      <w:r w:rsidRPr="0003764E">
        <w:rPr>
          <w:rFonts w:ascii="Times New Roman" w:hAnsi="Times New Roman"/>
          <w:color w:val="000000" w:themeColor="text1"/>
          <w:sz w:val="28"/>
          <w:szCs w:val="28"/>
          <w:lang w:eastAsia="en-US"/>
        </w:rPr>
        <w:t>2285–2293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eastAsia="en-US"/>
        </w:rPr>
        <w:t>.</w:t>
      </w:r>
    </w:p>
    <w:p w14:paraId="6E44789C" w14:textId="77777777" w:rsidR="00AC4691" w:rsidRPr="00EB602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eastAsia="en-US"/>
        </w:rPr>
        <w:t>107.</w:t>
      </w:r>
      <w:r w:rsidRPr="0003764E">
        <w:rPr>
          <w:rFonts w:ascii="Times New Roman" w:hAnsi="Times New Roman"/>
          <w:color w:val="000000" w:themeColor="text1"/>
          <w:sz w:val="28"/>
          <w:szCs w:val="28"/>
          <w:lang w:eastAsia="en-US"/>
        </w:rPr>
        <w:tab/>
      </w:r>
      <w:r w:rsidRPr="00B03AD2">
        <w:rPr>
          <w:rFonts w:ascii="Times New Roman" w:hAnsi="Times New Roman"/>
          <w:sz w:val="28"/>
          <w:szCs w:val="28"/>
        </w:rPr>
        <w:t xml:space="preserve">Скирденко </w:t>
      </w:r>
      <w:r>
        <w:rPr>
          <w:rFonts w:ascii="Times New Roman" w:hAnsi="Times New Roman"/>
          <w:sz w:val="28"/>
          <w:szCs w:val="28"/>
        </w:rPr>
        <w:t>Ю.П.</w:t>
      </w:r>
      <w:r w:rsidRPr="00B03AD2">
        <w:rPr>
          <w:rFonts w:ascii="Times New Roman" w:hAnsi="Times New Roman"/>
          <w:sz w:val="28"/>
          <w:szCs w:val="28"/>
        </w:rPr>
        <w:t>, Николаев</w:t>
      </w:r>
      <w:r>
        <w:rPr>
          <w:rFonts w:ascii="Times New Roman" w:hAnsi="Times New Roman"/>
          <w:sz w:val="28"/>
          <w:szCs w:val="28"/>
        </w:rPr>
        <w:t xml:space="preserve"> Н.А.</w:t>
      </w:r>
      <w:r w:rsidRPr="00B03AD2">
        <w:rPr>
          <w:rFonts w:ascii="Times New Roman" w:hAnsi="Times New Roman"/>
          <w:sz w:val="28"/>
          <w:szCs w:val="28"/>
        </w:rPr>
        <w:t>, Ливзан М</w:t>
      </w:r>
      <w:r>
        <w:rPr>
          <w:rFonts w:ascii="Times New Roman" w:hAnsi="Times New Roman"/>
          <w:sz w:val="28"/>
          <w:szCs w:val="28"/>
        </w:rPr>
        <w:t>.А.</w:t>
      </w:r>
      <w:r w:rsidRPr="00B03AD2">
        <w:rPr>
          <w:rFonts w:ascii="Times New Roman" w:hAnsi="Times New Roman"/>
          <w:sz w:val="28"/>
          <w:szCs w:val="28"/>
        </w:rPr>
        <w:t xml:space="preserve">, </w:t>
      </w:r>
      <w:r>
        <w:rPr>
          <w:rFonts w:ascii="Times New Roman" w:hAnsi="Times New Roman"/>
          <w:sz w:val="28"/>
          <w:szCs w:val="28"/>
        </w:rPr>
        <w:t>и др. Антикоагулянтная терапия при фибрилляции предсердий в реальной практике: проблемы и перспективы //</w:t>
      </w:r>
      <w:r w:rsidRPr="00B03AD2">
        <w:rPr>
          <w:rFonts w:ascii="Times New Roman" w:hAnsi="Times New Roman"/>
          <w:sz w:val="28"/>
          <w:szCs w:val="28"/>
        </w:rPr>
        <w:t xml:space="preserve"> Вестник Российской академии медицинских наук, </w:t>
      </w:r>
      <w:r>
        <w:rPr>
          <w:rFonts w:ascii="Times New Roman" w:hAnsi="Times New Roman"/>
          <w:sz w:val="28"/>
          <w:szCs w:val="28"/>
        </w:rPr>
        <w:t>2019. Т</w:t>
      </w:r>
      <w:r w:rsidRPr="00EB6025">
        <w:rPr>
          <w:rFonts w:ascii="Times New Roman" w:hAnsi="Times New Roman"/>
          <w:sz w:val="28"/>
          <w:szCs w:val="28"/>
          <w:lang w:val="en-US"/>
        </w:rPr>
        <w:t>. 74, № 2, 98-107</w:t>
      </w:r>
      <w:r>
        <w:rPr>
          <w:rFonts w:ascii="Times New Roman" w:hAnsi="Times New Roman"/>
          <w:sz w:val="28"/>
          <w:szCs w:val="28"/>
        </w:rPr>
        <w:t>с</w:t>
      </w:r>
      <w:r w:rsidRPr="00EB6025">
        <w:rPr>
          <w:rFonts w:ascii="Times New Roman" w:hAnsi="Times New Roman"/>
          <w:sz w:val="28"/>
          <w:szCs w:val="28"/>
          <w:lang w:val="en-US" w:eastAsia="en-US"/>
        </w:rPr>
        <w:t>.</w:t>
      </w:r>
    </w:p>
    <w:p w14:paraId="53D3EF5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108.</w:t>
      </w:r>
      <w:r w:rsidRPr="0003764E">
        <w:rPr>
          <w:rFonts w:ascii="Times New Roman" w:hAnsi="Times New Roman"/>
          <w:color w:val="000000" w:themeColor="text1"/>
          <w:sz w:val="28"/>
          <w:szCs w:val="28"/>
          <w:lang w:val="en-US" w:eastAsia="en-US"/>
        </w:rPr>
        <w:tab/>
        <w:t>Aquilante C. 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Langaee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Lopez L.M.</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Influence of coagulation factor, vitamin K epoxide reductase complex subunit 1, and cytochrome P450 2C9 gene polymorphisms on warfarin dose requirements // Clinical Pharmacology &amp; Therapeutics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79,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291–302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4926B7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109.</w:t>
      </w:r>
      <w:r w:rsidRPr="0003764E">
        <w:rPr>
          <w:rFonts w:ascii="Times New Roman" w:hAnsi="Times New Roman"/>
          <w:color w:val="000000" w:themeColor="text1"/>
          <w:sz w:val="28"/>
          <w:szCs w:val="28"/>
          <w:lang w:val="en-US" w:eastAsia="en-US"/>
        </w:rPr>
        <w:tab/>
        <w:t>Militaru F.</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Vesa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Pop T.</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Pharmacogenetics aspects of oral anticoagulants therapy // </w:t>
      </w:r>
      <w:r w:rsidRPr="00EB6025">
        <w:rPr>
          <w:rFonts w:ascii="Times New Roman" w:hAnsi="Times New Roman"/>
          <w:color w:val="000000" w:themeColor="text1"/>
          <w:sz w:val="28"/>
          <w:szCs w:val="28"/>
          <w:lang w:val="en-US" w:eastAsia="en-US"/>
        </w:rPr>
        <w:t>Journal of Medicine and Life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171–175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031CCA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110.</w:t>
      </w:r>
      <w:r w:rsidRPr="0003764E">
        <w:rPr>
          <w:rFonts w:ascii="Times New Roman" w:hAnsi="Times New Roman"/>
          <w:color w:val="000000" w:themeColor="text1"/>
          <w:sz w:val="28"/>
          <w:szCs w:val="28"/>
          <w:lang w:val="en-US" w:eastAsia="en-US"/>
        </w:rPr>
        <w:tab/>
        <w:t>Wadelius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L.Y.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Lindh</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J.D</w:t>
      </w:r>
      <w:r>
        <w:rPr>
          <w:rFonts w:ascii="Times New Roman" w:hAnsi="Times New Roman"/>
          <w:sz w:val="28"/>
          <w:szCs w:val="28"/>
          <w:lang w:val="en-US" w:eastAsia="en-US"/>
        </w:rPr>
        <w:t>. et al.</w:t>
      </w:r>
      <w:r w:rsidRPr="0003764E">
        <w:rPr>
          <w:rFonts w:ascii="Times New Roman" w:hAnsi="Times New Roman"/>
          <w:color w:val="000000" w:themeColor="text1"/>
          <w:sz w:val="28"/>
          <w:szCs w:val="28"/>
          <w:lang w:val="en-US" w:eastAsia="en-US"/>
        </w:rPr>
        <w:t xml:space="preserve"> The largest prospective warfarin-treated cohort supports genetic forecasting // Blood</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113,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784–792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1844E3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111.</w:t>
      </w:r>
      <w:r w:rsidRPr="0003764E">
        <w:rPr>
          <w:rFonts w:ascii="Times New Roman" w:hAnsi="Times New Roman"/>
          <w:color w:val="000000" w:themeColor="text1"/>
          <w:sz w:val="28"/>
          <w:szCs w:val="28"/>
          <w:lang w:val="en-US" w:eastAsia="en-US"/>
        </w:rPr>
        <w:tab/>
        <w:t>Pirmohamed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Burnside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Eriksson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N.</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A randomized trial of genotype-guided dosing of warfarin // </w:t>
      </w:r>
      <w:r w:rsidRPr="00EB6025">
        <w:rPr>
          <w:rFonts w:ascii="Times New Roman" w:hAnsi="Times New Roman"/>
          <w:color w:val="000000" w:themeColor="text1"/>
          <w:sz w:val="28"/>
          <w:szCs w:val="28"/>
          <w:lang w:val="en-US" w:eastAsia="en-US"/>
        </w:rPr>
        <w:t>The New England Journal of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369, № 24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2294–2303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BB9C5B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112.</w:t>
      </w:r>
      <w:r w:rsidRPr="0003764E">
        <w:rPr>
          <w:rFonts w:ascii="Times New Roman" w:hAnsi="Times New Roman"/>
          <w:color w:val="000000" w:themeColor="text1"/>
          <w:sz w:val="28"/>
          <w:szCs w:val="28"/>
          <w:lang w:val="en-US" w:eastAsia="en-US"/>
        </w:rPr>
        <w:tab/>
        <w:t xml:space="preserve">Farzamikia N., Sakhinia E., Afrasiabirad A. Pharmacogenetics-Based Warfarin Dosing in Patients With Cardiac Valve Replacement: The Effects of CYP2C9 and VKORC1 Gene Polymorphisms // </w:t>
      </w:r>
      <w:r w:rsidRPr="00AB782D">
        <w:rPr>
          <w:rFonts w:ascii="Times New Roman" w:hAnsi="Times New Roman"/>
          <w:color w:val="000000" w:themeColor="text1"/>
          <w:sz w:val="28"/>
          <w:szCs w:val="28"/>
          <w:lang w:val="en-US" w:eastAsia="en-US"/>
        </w:rPr>
        <w:t>Laboratory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49,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25–34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0E2B9A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113.</w:t>
      </w:r>
      <w:r w:rsidRPr="0003764E">
        <w:rPr>
          <w:rFonts w:ascii="Times New Roman" w:hAnsi="Times New Roman"/>
          <w:color w:val="000000" w:themeColor="text1"/>
          <w:sz w:val="28"/>
          <w:szCs w:val="28"/>
          <w:lang w:val="en-US" w:eastAsia="en-US"/>
        </w:rPr>
        <w:tab/>
        <w:t>Higashi M.K.</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Veenstra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Kondo L.M.</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Association Between CYP2C9 Genetic Variants and Anticoagulation-Related Outcomes During Warfarin Therapy // JAMA</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287, № 13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1690–1698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4F831B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114.</w:t>
      </w:r>
      <w:r w:rsidRPr="0003764E">
        <w:rPr>
          <w:rFonts w:ascii="Times New Roman" w:hAnsi="Times New Roman"/>
          <w:color w:val="000000" w:themeColor="text1"/>
          <w:sz w:val="28"/>
          <w:szCs w:val="28"/>
          <w:lang w:val="en-US" w:eastAsia="en-US"/>
        </w:rPr>
        <w:tab/>
        <w:t>Caldwell M.D.</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Awad</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Johnson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J.A.</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CYP4F2 genetic variant alters required warfarin dose // Blood</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111, № 8</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4106–4112</w:t>
      </w:r>
      <w:r>
        <w:rPr>
          <w:rFonts w:ascii="Times New Roman" w:hAnsi="Times New Roman"/>
          <w:color w:val="000000" w:themeColor="text1"/>
          <w:sz w:val="28"/>
          <w:szCs w:val="28"/>
          <w:lang w:val="en-US" w:eastAsia="en-US"/>
        </w:rPr>
        <w:t>c</w:t>
      </w:r>
      <w:r w:rsidRPr="0003764E">
        <w:rPr>
          <w:rFonts w:ascii="Times New Roman" w:hAnsi="Times New Roman"/>
          <w:color w:val="000000" w:themeColor="text1"/>
          <w:sz w:val="28"/>
          <w:szCs w:val="28"/>
          <w:lang w:val="en-US" w:eastAsia="en-US"/>
        </w:rPr>
        <w:t>.</w:t>
      </w:r>
    </w:p>
    <w:p w14:paraId="5098770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115.</w:t>
      </w:r>
      <w:r w:rsidRPr="0003764E">
        <w:rPr>
          <w:rFonts w:ascii="Times New Roman" w:hAnsi="Times New Roman"/>
          <w:color w:val="000000" w:themeColor="text1"/>
          <w:sz w:val="28"/>
          <w:szCs w:val="28"/>
          <w:lang w:val="en-US" w:eastAsia="en-US"/>
        </w:rPr>
        <w:tab/>
        <w:t>McDonald M.G.</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Rieder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M.J.</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Nakano M.</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CYP4F2 is a vitamin K1 oxidase: An explanation for altered warfarin dose in carriers of the V433M variant // </w:t>
      </w:r>
      <w:r w:rsidRPr="00AB782D">
        <w:rPr>
          <w:rFonts w:ascii="Times New Roman" w:hAnsi="Times New Roman"/>
          <w:color w:val="000000" w:themeColor="text1"/>
          <w:sz w:val="28"/>
          <w:szCs w:val="28"/>
          <w:lang w:val="en-US" w:eastAsia="en-US"/>
        </w:rPr>
        <w:t>Molecular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75,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1337–1346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41BF65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116.</w:t>
      </w:r>
      <w:r w:rsidRPr="0003764E">
        <w:rPr>
          <w:rFonts w:ascii="Times New Roman" w:hAnsi="Times New Roman"/>
          <w:color w:val="000000" w:themeColor="text1"/>
          <w:sz w:val="28"/>
          <w:szCs w:val="28"/>
          <w:lang w:val="en-US" w:eastAsia="en-US"/>
        </w:rPr>
        <w:tab/>
        <w:t>Burkova T.V., Goncharova I.A.</w:t>
      </w:r>
      <w:r>
        <w:rPr>
          <w:rFonts w:ascii="Times New Roman" w:hAnsi="Times New Roman"/>
          <w:color w:val="000000" w:themeColor="text1"/>
          <w:sz w:val="28"/>
          <w:szCs w:val="28"/>
          <w:lang w:val="en-US" w:eastAsia="en-US"/>
        </w:rPr>
        <w:t xml:space="preserve"> Genetic factors influencing the effectiveness and safety of long-term anticoagulant therapy </w:t>
      </w:r>
      <w:r w:rsidRPr="0003764E">
        <w:rPr>
          <w:rFonts w:ascii="Times New Roman" w:hAnsi="Times New Roman"/>
          <w:color w:val="000000" w:themeColor="text1"/>
          <w:sz w:val="28"/>
          <w:szCs w:val="28"/>
          <w:lang w:val="en-US" w:eastAsia="en-US"/>
        </w:rPr>
        <w:t xml:space="preserve">// </w:t>
      </w:r>
      <w:r w:rsidRPr="00271DB0">
        <w:rPr>
          <w:rFonts w:ascii="Times New Roman" w:hAnsi="Times New Roman"/>
          <w:color w:val="000000" w:themeColor="text1"/>
          <w:sz w:val="28"/>
          <w:szCs w:val="28"/>
          <w:lang w:val="en-US" w:eastAsia="en-US"/>
        </w:rPr>
        <w:t>Cardiovascular Therapy and Prevention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89–94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FC5CEB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117.</w:t>
      </w:r>
      <w:r w:rsidRPr="0003764E">
        <w:rPr>
          <w:rFonts w:ascii="Times New Roman" w:hAnsi="Times New Roman"/>
          <w:color w:val="000000" w:themeColor="text1"/>
          <w:sz w:val="28"/>
          <w:szCs w:val="28"/>
          <w:lang w:val="en-US" w:eastAsia="en-US"/>
        </w:rPr>
        <w:tab/>
      </w:r>
      <w:r w:rsidRPr="00A21A7F">
        <w:rPr>
          <w:rFonts w:ascii="Times New Roman" w:hAnsi="Times New Roman"/>
          <w:sz w:val="28"/>
          <w:szCs w:val="28"/>
          <w:lang w:val="en-US" w:eastAsia="en-US"/>
        </w:rPr>
        <w:t>Nikolaeva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T.Ia.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Everstova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T.E.</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Ethnic features of carrier of combinations of CYP2C9 and VKORC1 genotypes among patients with a cardioembolic ischemic stroke // </w:t>
      </w:r>
      <w:r w:rsidRPr="00271DB0">
        <w:rPr>
          <w:rFonts w:ascii="Times New Roman" w:hAnsi="Times New Roman"/>
          <w:color w:val="000000" w:themeColor="text1"/>
          <w:sz w:val="28"/>
          <w:szCs w:val="28"/>
          <w:lang w:val="en-US" w:eastAsia="en-US"/>
        </w:rPr>
        <w:t>Consilium Medicum</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22,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9–12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298AA1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118.</w:t>
      </w:r>
      <w:r w:rsidRPr="0003764E">
        <w:rPr>
          <w:rFonts w:ascii="Times New Roman" w:hAnsi="Times New Roman"/>
          <w:color w:val="000000" w:themeColor="text1"/>
          <w:sz w:val="28"/>
          <w:szCs w:val="28"/>
          <w:lang w:val="en-US" w:eastAsia="en-US"/>
        </w:rPr>
        <w:tab/>
        <w:t>Sukprasong R.</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Chuwongwattana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Koomdee N.</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Allele frequencies of single nucleotide polymorphisms of clinically important drug-metabolizing enzymes CYP2C9, CYP2C19, and CYP3A4 in a Thai population // </w:t>
      </w:r>
      <w:r w:rsidRPr="00271DB0">
        <w:rPr>
          <w:rFonts w:ascii="Times New Roman" w:hAnsi="Times New Roman"/>
          <w:color w:val="000000" w:themeColor="text1"/>
          <w:sz w:val="28"/>
          <w:szCs w:val="28"/>
          <w:lang w:val="en-US" w:eastAsia="en-US"/>
        </w:rPr>
        <w:t>Scientific Reports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Nature Publishing Group, 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12343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5C1D2C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119.</w:t>
      </w:r>
      <w:r w:rsidRPr="0003764E">
        <w:rPr>
          <w:rFonts w:ascii="Times New Roman" w:hAnsi="Times New Roman"/>
          <w:color w:val="000000" w:themeColor="text1"/>
          <w:sz w:val="28"/>
          <w:szCs w:val="28"/>
          <w:lang w:val="en-US" w:eastAsia="en-US"/>
        </w:rPr>
        <w:tab/>
        <w:t>Chyou J.Y., Mega J.L., Sabatine M.S. Chapter 4 - Pharmacogenetics // Cardiovascular Therapeutics: A Companion to Braunwald’s Heart Disease (Fourth Edition) / Antman E. M., Sabatine M. S. Philadelphia: W.B. Saunders, 2013. 53–66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7BFEC6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120.</w:t>
      </w:r>
      <w:r w:rsidRPr="0003764E">
        <w:rPr>
          <w:rFonts w:ascii="Times New Roman" w:hAnsi="Times New Roman"/>
          <w:color w:val="000000" w:themeColor="text1"/>
          <w:sz w:val="28"/>
          <w:szCs w:val="28"/>
          <w:lang w:val="en-US" w:eastAsia="en-US"/>
        </w:rPr>
        <w:tab/>
        <w:t>Asiimwe I.G</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Blockman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Cavallari L.H.</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Meta-analysis of genome-wide association studies of stable warfarin dose in patients of African ancestry // Blood Advances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 № 20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5248–5261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8DC98D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121.</w:t>
      </w:r>
      <w:r w:rsidRPr="0003764E">
        <w:rPr>
          <w:rFonts w:ascii="Times New Roman" w:hAnsi="Times New Roman"/>
          <w:color w:val="000000" w:themeColor="text1"/>
          <w:sz w:val="28"/>
          <w:szCs w:val="28"/>
          <w:lang w:val="en-US" w:eastAsia="en-US"/>
        </w:rPr>
        <w:tab/>
        <w:t xml:space="preserve">Asiimwe I. G., Pirmohamed M. Ethnic Diversity and Warfarin Pharmacogenomics // </w:t>
      </w:r>
      <w:r w:rsidRPr="00FC68FF">
        <w:rPr>
          <w:rFonts w:ascii="Times New Roman" w:hAnsi="Times New Roman"/>
          <w:color w:val="000000" w:themeColor="text1"/>
          <w:sz w:val="28"/>
          <w:szCs w:val="28"/>
          <w:lang w:val="en-US" w:eastAsia="en-US"/>
        </w:rPr>
        <w:t>Frontiers in Pharmacology</w:t>
      </w:r>
      <w:r w:rsidRPr="0003764E">
        <w:rPr>
          <w:rFonts w:ascii="Times New Roman" w:hAnsi="Times New Roman"/>
          <w:color w:val="000000" w:themeColor="text1"/>
          <w:sz w:val="28"/>
          <w:szCs w:val="28"/>
          <w:lang w:val="en-US" w:eastAsia="en-US"/>
        </w:rPr>
        <w:t xml:space="preserve">. Frontiers, 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w:t>
      </w:r>
      <w:r>
        <w:rPr>
          <w:rFonts w:ascii="Times New Roman" w:hAnsi="Times New Roman"/>
          <w:color w:val="000000" w:themeColor="text1"/>
          <w:sz w:val="28"/>
          <w:szCs w:val="28"/>
          <w:lang w:val="en-US" w:eastAsia="en-US"/>
        </w:rPr>
        <w:t>, 866058</w:t>
      </w:r>
      <w:r w:rsidRPr="0003764E">
        <w:rPr>
          <w:rFonts w:ascii="Times New Roman" w:hAnsi="Times New Roman"/>
          <w:color w:val="000000" w:themeColor="text1"/>
          <w:sz w:val="28"/>
          <w:szCs w:val="28"/>
          <w:lang w:val="en-US" w:eastAsia="en-US"/>
        </w:rPr>
        <w:t>.</w:t>
      </w:r>
    </w:p>
    <w:p w14:paraId="71E021C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122.</w:t>
      </w:r>
      <w:r w:rsidRPr="0003764E">
        <w:rPr>
          <w:rFonts w:ascii="Times New Roman" w:hAnsi="Times New Roman"/>
          <w:color w:val="000000" w:themeColor="text1"/>
          <w:sz w:val="28"/>
          <w:szCs w:val="28"/>
          <w:lang w:val="en-US" w:eastAsia="en-US"/>
        </w:rPr>
        <w:tab/>
        <w:t>Scott S.A.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Khasawneh R</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Peter I</w:t>
      </w:r>
      <w:r>
        <w:rPr>
          <w:rFonts w:ascii="Times New Roman" w:hAnsi="Times New Roman"/>
          <w:sz w:val="28"/>
          <w:szCs w:val="28"/>
          <w:lang w:val="en-US" w:eastAsia="en-US"/>
        </w:rPr>
        <w:t>.</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Combined CYP2C9, VKORC1 and CYP4F2 Frequencies among Racial and Ethnic Groups // Pharmacogenomics. Taylor &amp; Francis, 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781–791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E7CDFE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123.</w:t>
      </w:r>
      <w:r w:rsidRPr="0003764E">
        <w:rPr>
          <w:rFonts w:ascii="Times New Roman" w:hAnsi="Times New Roman"/>
          <w:color w:val="000000" w:themeColor="text1"/>
          <w:sz w:val="28"/>
          <w:szCs w:val="28"/>
          <w:lang w:val="en-US" w:eastAsia="en-US"/>
        </w:rPr>
        <w:tab/>
        <w:t xml:space="preserve">Van Der Linden L., Hias J., Vanassche T. The value and limitations of new oral anticoagulant plasma level assessments // European Heart Journal Supplements. 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24, № Supplement_A</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A32–A41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7A6907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124.</w:t>
      </w:r>
      <w:r w:rsidRPr="0003764E">
        <w:rPr>
          <w:rFonts w:ascii="Times New Roman" w:hAnsi="Times New Roman"/>
          <w:color w:val="000000" w:themeColor="text1"/>
          <w:sz w:val="28"/>
          <w:szCs w:val="28"/>
          <w:lang w:val="en-US" w:eastAsia="en-US"/>
        </w:rPr>
        <w:tab/>
        <w:t>Ballestri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Romagnoli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Arioli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Risk and Management of Bleeding Complications with Direct Oral Anticoagulants in Patients with Atrial Fibrillation and Venous Thromboembolism: a Narrative Review // </w:t>
      </w:r>
      <w:r w:rsidRPr="0047340A">
        <w:rPr>
          <w:rFonts w:ascii="Times New Roman" w:hAnsi="Times New Roman"/>
          <w:color w:val="000000" w:themeColor="text1"/>
          <w:sz w:val="28"/>
          <w:szCs w:val="28"/>
          <w:lang w:val="en-US" w:eastAsia="en-US"/>
        </w:rPr>
        <w:t>Advances in Therapy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40,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41–66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C01D0A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125.</w:t>
      </w:r>
      <w:r w:rsidRPr="0003764E">
        <w:rPr>
          <w:rFonts w:ascii="Times New Roman" w:hAnsi="Times New Roman"/>
          <w:color w:val="000000" w:themeColor="text1"/>
          <w:sz w:val="28"/>
          <w:szCs w:val="28"/>
          <w:lang w:val="en-US" w:eastAsia="en-US"/>
        </w:rPr>
        <w:tab/>
        <w:t>Yao X.</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Shah</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N.D.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Sangaralingham</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L.R.</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Non–Vitamin K Antagonist Oral Anticoagulant Dosing in Patients With Atrial Fibrillation and Renal Dysfunction // Journal of the American College of Cardiology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69, № 23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2779–2790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CAE1D7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126.</w:t>
      </w:r>
      <w:r w:rsidRPr="0003764E">
        <w:rPr>
          <w:rFonts w:ascii="Times New Roman" w:hAnsi="Times New Roman"/>
          <w:color w:val="000000" w:themeColor="text1"/>
          <w:sz w:val="28"/>
          <w:szCs w:val="28"/>
          <w:lang w:val="en-US" w:eastAsia="en-US"/>
        </w:rPr>
        <w:tab/>
        <w:t xml:space="preserve">Patti G., Haas S. Non–Vitamin K Antagonist Oral Anticoagulants and Factors Influencing the Ischemic and Bleeding Risk in Elderly Patients With Atrial Fibrillation: A Review of Current Evidence // </w:t>
      </w:r>
      <w:r w:rsidRPr="0047340A">
        <w:rPr>
          <w:rFonts w:ascii="Times New Roman" w:hAnsi="Times New Roman"/>
          <w:color w:val="000000" w:themeColor="text1"/>
          <w:sz w:val="28"/>
          <w:szCs w:val="28"/>
          <w:lang w:val="en-US" w:eastAsia="en-US"/>
        </w:rPr>
        <w:t>Journal of Cardiovascular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77,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11–21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EAE0C3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127.</w:t>
      </w:r>
      <w:r w:rsidRPr="0003764E">
        <w:rPr>
          <w:rFonts w:ascii="Times New Roman" w:hAnsi="Times New Roman"/>
          <w:color w:val="000000" w:themeColor="text1"/>
          <w:sz w:val="28"/>
          <w:szCs w:val="28"/>
          <w:lang w:val="en-US" w:eastAsia="en-US"/>
        </w:rPr>
        <w:tab/>
        <w:t>Kryukov A.V.</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Sychev D.A.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Andreev</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D.A.</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Influence of ABCB1 and CYP3A5 gene polymorphisms on pharmacokinetics of apixaban in patients with atrial fibrillation and acute stroke // </w:t>
      </w:r>
      <w:r w:rsidRPr="0047340A">
        <w:rPr>
          <w:rFonts w:ascii="Times New Roman" w:hAnsi="Times New Roman"/>
          <w:color w:val="000000" w:themeColor="text1"/>
          <w:sz w:val="28"/>
          <w:szCs w:val="28"/>
          <w:lang w:val="en-US" w:eastAsia="en-US"/>
        </w:rPr>
        <w:t>Pharmacogenomics and Personalized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2018. Vo</w:t>
      </w:r>
      <w:r>
        <w:rPr>
          <w:rFonts w:ascii="Times New Roman" w:hAnsi="Times New Roman"/>
          <w:color w:val="000000" w:themeColor="text1"/>
          <w:sz w:val="28"/>
          <w:szCs w:val="28"/>
          <w:lang w:val="en-US" w:eastAsia="en-US"/>
        </w:rPr>
        <w:t>l.</w:t>
      </w:r>
      <w:r w:rsidRPr="0003764E">
        <w:rPr>
          <w:rFonts w:ascii="Times New Roman" w:hAnsi="Times New Roman"/>
          <w:color w:val="000000" w:themeColor="text1"/>
          <w:sz w:val="28"/>
          <w:szCs w:val="28"/>
          <w:lang w:val="en-US" w:eastAsia="en-US"/>
        </w:rPr>
        <w:t xml:space="preserve"> 11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43–49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6168E1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128.</w:t>
      </w:r>
      <w:r w:rsidRPr="0003764E">
        <w:rPr>
          <w:rFonts w:ascii="Times New Roman" w:hAnsi="Times New Roman"/>
          <w:color w:val="000000" w:themeColor="text1"/>
          <w:sz w:val="28"/>
          <w:szCs w:val="28"/>
          <w:lang w:val="en-US" w:eastAsia="en-US"/>
        </w:rPr>
        <w:tab/>
        <w:t xml:space="preserve">Abdrakhmanov A., </w:t>
      </w:r>
      <w:r>
        <w:rPr>
          <w:rFonts w:ascii="Times New Roman" w:hAnsi="Times New Roman"/>
          <w:color w:val="000000" w:themeColor="text1"/>
          <w:sz w:val="28"/>
          <w:szCs w:val="28"/>
          <w:lang w:val="en-US" w:eastAsia="en-US"/>
        </w:rPr>
        <w:t>Shaimerdinova A.,</w:t>
      </w:r>
      <w:r w:rsidRPr="0003764E">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Suleimen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Z.</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Gene polymorphism as a cause of hemorrhagic complications in patients with non-valvular atrial fibrillation treated with oral vitamin K-independent anticoagulants // </w:t>
      </w:r>
      <w:r w:rsidRPr="0047340A">
        <w:rPr>
          <w:rFonts w:ascii="Times New Roman" w:hAnsi="Times New Roman"/>
          <w:color w:val="000000" w:themeColor="text1"/>
          <w:sz w:val="28"/>
          <w:szCs w:val="28"/>
          <w:lang w:val="en-US" w:eastAsia="en-US"/>
        </w:rPr>
        <w:t>Therapeutic Advances in Cardiovascular Disease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18</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17539447241249886.</w:t>
      </w:r>
    </w:p>
    <w:p w14:paraId="7A55DD7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129.</w:t>
      </w:r>
      <w:r w:rsidRPr="0003764E">
        <w:rPr>
          <w:rFonts w:ascii="Times New Roman" w:hAnsi="Times New Roman"/>
          <w:color w:val="000000" w:themeColor="text1"/>
          <w:sz w:val="28"/>
          <w:szCs w:val="28"/>
          <w:lang w:val="en-US" w:eastAsia="en-US"/>
        </w:rPr>
        <w:tab/>
        <w:t>Proietti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Romanazzi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I.</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Romiti G.F.</w:t>
      </w:r>
      <w:r>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Real-World Use of Apixaban for Stroke Prevention in Atrial Fibrillation // Stroke. American Heart Association, 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49,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98–106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B1E51F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130.</w:t>
      </w:r>
      <w:r w:rsidRPr="0003764E">
        <w:rPr>
          <w:rFonts w:ascii="Times New Roman" w:hAnsi="Times New Roman"/>
          <w:color w:val="000000" w:themeColor="text1"/>
          <w:sz w:val="28"/>
          <w:szCs w:val="28"/>
          <w:lang w:val="en-US" w:eastAsia="en-US"/>
        </w:rPr>
        <w:tab/>
        <w:t>Zhu W</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Ye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Z.</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Chen S.</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Comparative Effectiveness and Safety of Non-Vitamin K Antagonist Oral Anticoagulants in Atrial Fibrillation Patients // Stroke. 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52,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1225–1233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53C011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131.</w:t>
      </w:r>
      <w:r w:rsidRPr="0003764E">
        <w:rPr>
          <w:rFonts w:ascii="Times New Roman" w:hAnsi="Times New Roman"/>
          <w:color w:val="000000" w:themeColor="text1"/>
          <w:sz w:val="28"/>
          <w:szCs w:val="28"/>
          <w:lang w:val="en-US" w:eastAsia="en-US"/>
        </w:rPr>
        <w:tab/>
        <w:t>Byon W.</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Garonzik</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Boyd R.A.</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Apixaban: A Clinical Pharmacokinetic and Pharmacodynamic Review // </w:t>
      </w:r>
      <w:r w:rsidRPr="00A21159">
        <w:rPr>
          <w:rFonts w:ascii="Times New Roman" w:hAnsi="Times New Roman"/>
          <w:color w:val="000000" w:themeColor="text1"/>
          <w:sz w:val="28"/>
          <w:szCs w:val="28"/>
          <w:lang w:val="en-US" w:eastAsia="en-US"/>
        </w:rPr>
        <w:t>Clinical Pharmacokinetics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58, № 10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1265–1279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A02D9A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132.</w:t>
      </w:r>
      <w:r w:rsidRPr="0003764E">
        <w:rPr>
          <w:rFonts w:ascii="Times New Roman" w:hAnsi="Times New Roman"/>
          <w:color w:val="000000" w:themeColor="text1"/>
          <w:sz w:val="28"/>
          <w:szCs w:val="28"/>
          <w:lang w:val="en-US" w:eastAsia="en-US"/>
        </w:rPr>
        <w:tab/>
        <w:t>Garcia D., Libby E., Crowther M. A. The new oral anticoagulants // Blood</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115,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15–20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A65812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133.</w:t>
      </w:r>
      <w:r w:rsidRPr="0003764E">
        <w:rPr>
          <w:rFonts w:ascii="Times New Roman" w:hAnsi="Times New Roman"/>
          <w:color w:val="000000" w:themeColor="text1"/>
          <w:sz w:val="28"/>
          <w:szCs w:val="28"/>
          <w:lang w:val="en-US" w:eastAsia="en-US"/>
        </w:rPr>
        <w:tab/>
        <w:t>He K.</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Luettgen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Zhang D.</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Preclinical pharmacokinetics and pharmacodynamics of apixaban, a potent and selective factor Xa inhibitor // </w:t>
      </w:r>
      <w:r w:rsidRPr="00A21159">
        <w:rPr>
          <w:rFonts w:ascii="Times New Roman" w:hAnsi="Times New Roman"/>
          <w:color w:val="000000" w:themeColor="text1"/>
          <w:sz w:val="28"/>
          <w:szCs w:val="28"/>
          <w:lang w:val="en-US" w:eastAsia="en-US"/>
        </w:rPr>
        <w:t>European Journal of Drug Metabolism and Pharmacokinetics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 № 3. 129–139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318EE6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134.</w:t>
      </w:r>
      <w:r w:rsidRPr="0003764E">
        <w:rPr>
          <w:rFonts w:ascii="Times New Roman" w:hAnsi="Times New Roman"/>
          <w:color w:val="000000" w:themeColor="text1"/>
          <w:sz w:val="28"/>
          <w:szCs w:val="28"/>
          <w:lang w:val="en-US" w:eastAsia="en-US"/>
        </w:rPr>
        <w:tab/>
        <w:t>Frost C.E.</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Song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Shenker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Effects of age and sex on the single-dose pharmacokinetics and pharmacodynamics of apixaban // </w:t>
      </w:r>
      <w:r w:rsidRPr="00A21159">
        <w:rPr>
          <w:rFonts w:ascii="Times New Roman" w:hAnsi="Times New Roman"/>
          <w:color w:val="000000" w:themeColor="text1"/>
          <w:sz w:val="28"/>
          <w:szCs w:val="28"/>
          <w:lang w:val="en-US" w:eastAsia="en-US"/>
        </w:rPr>
        <w:t>Clinical Pharmacokinetics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54,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651–662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E7E4CC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135.</w:t>
      </w:r>
      <w:r w:rsidRPr="00A21159">
        <w:rPr>
          <w:rFonts w:ascii="Segoe UI" w:hAnsi="Segoe UI" w:cs="Segoe UI"/>
          <w:color w:val="212121"/>
          <w:shd w:val="clear" w:color="auto" w:fill="FFFFFF"/>
          <w:lang w:val="en-US"/>
        </w:rPr>
        <w:t xml:space="preserve"> </w:t>
      </w:r>
      <w:r w:rsidRPr="00A21159">
        <w:rPr>
          <w:rFonts w:ascii="Times New Roman" w:hAnsi="Times New Roman"/>
          <w:sz w:val="28"/>
          <w:szCs w:val="28"/>
          <w:shd w:val="clear" w:color="auto" w:fill="FFFFFF"/>
          <w:lang w:val="en-US"/>
        </w:rPr>
        <w:t>Kaufman A</w:t>
      </w:r>
      <w:r>
        <w:rPr>
          <w:rFonts w:ascii="Times New Roman" w:hAnsi="Times New Roman"/>
          <w:sz w:val="28"/>
          <w:szCs w:val="28"/>
          <w:shd w:val="clear" w:color="auto" w:fill="FFFFFF"/>
          <w:lang w:val="en-US"/>
        </w:rPr>
        <w:t>.</w:t>
      </w:r>
      <w:r w:rsidRPr="00A21159">
        <w:rPr>
          <w:rFonts w:ascii="Times New Roman" w:hAnsi="Times New Roman"/>
          <w:sz w:val="28"/>
          <w:szCs w:val="28"/>
          <w:shd w:val="clear" w:color="auto" w:fill="FFFFFF"/>
          <w:lang w:val="en-US"/>
        </w:rPr>
        <w:t>L</w:t>
      </w:r>
      <w:r>
        <w:rPr>
          <w:rFonts w:ascii="Times New Roman" w:hAnsi="Times New Roman"/>
          <w:sz w:val="28"/>
          <w:szCs w:val="28"/>
          <w:shd w:val="clear" w:color="auto" w:fill="FFFFFF"/>
          <w:lang w:val="en-US"/>
        </w:rPr>
        <w:t>.</w:t>
      </w:r>
      <w:r w:rsidRPr="00A21159">
        <w:rPr>
          <w:rFonts w:ascii="Times New Roman" w:hAnsi="Times New Roman"/>
          <w:sz w:val="28"/>
          <w:szCs w:val="28"/>
          <w:shd w:val="clear" w:color="auto" w:fill="FFFFFF"/>
          <w:lang w:val="en-US"/>
        </w:rPr>
        <w:t>, Spitz J</w:t>
      </w:r>
      <w:r>
        <w:rPr>
          <w:rFonts w:ascii="Times New Roman" w:hAnsi="Times New Roman"/>
          <w:sz w:val="28"/>
          <w:szCs w:val="28"/>
          <w:shd w:val="clear" w:color="auto" w:fill="FFFFFF"/>
          <w:lang w:val="en-US"/>
        </w:rPr>
        <w:t>.</w:t>
      </w:r>
      <w:r w:rsidRPr="00A21159">
        <w:rPr>
          <w:rFonts w:ascii="Times New Roman" w:hAnsi="Times New Roman"/>
          <w:sz w:val="28"/>
          <w:szCs w:val="28"/>
          <w:shd w:val="clear" w:color="auto" w:fill="FFFFFF"/>
          <w:lang w:val="en-US"/>
        </w:rPr>
        <w:t>, Jacobs M</w:t>
      </w:r>
      <w:r>
        <w:rPr>
          <w:rFonts w:ascii="Times New Roman" w:hAnsi="Times New Roman"/>
          <w:sz w:val="28"/>
          <w:szCs w:val="28"/>
          <w:shd w:val="clear" w:color="auto" w:fill="FFFFFF"/>
          <w:lang w:val="en-US"/>
        </w:rPr>
        <w:t>. et al.</w:t>
      </w:r>
      <w:r w:rsidRPr="00A21159">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Evidence for Clinical Implementation of Pharmacogenomics in Cardiac Drugs // Mayo Clinic proceedings, 2015.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90, № 6.</w:t>
      </w:r>
    </w:p>
    <w:p w14:paraId="4E53DE4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136.</w:t>
      </w:r>
      <w:r w:rsidRPr="0003764E">
        <w:rPr>
          <w:rFonts w:ascii="Times New Roman" w:hAnsi="Times New Roman"/>
          <w:color w:val="000000" w:themeColor="text1"/>
          <w:sz w:val="28"/>
          <w:szCs w:val="28"/>
          <w:lang w:val="en-US" w:eastAsia="en-US"/>
        </w:rPr>
        <w:tab/>
        <w:t>Wang 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Zhang 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Raghavan N.</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In vitro assessment of metabolic drug-drug interaction potential of apixaban through cytochrome P450 phenotyping, inhibition, and induction studies // </w:t>
      </w:r>
      <w:r w:rsidRPr="00A21159">
        <w:rPr>
          <w:rFonts w:ascii="Times New Roman" w:hAnsi="Times New Roman"/>
          <w:color w:val="000000" w:themeColor="text1"/>
          <w:sz w:val="28"/>
          <w:szCs w:val="28"/>
          <w:lang w:val="en-US" w:eastAsia="en-US"/>
        </w:rPr>
        <w:t>Drug Metabolism and Disposition: The Biological Fate of Chemicals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38,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448–458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28268C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137.</w:t>
      </w:r>
      <w:r w:rsidRPr="0003764E">
        <w:rPr>
          <w:rFonts w:ascii="Times New Roman" w:hAnsi="Times New Roman"/>
          <w:color w:val="000000" w:themeColor="text1"/>
          <w:sz w:val="28"/>
          <w:szCs w:val="28"/>
          <w:lang w:val="en-US" w:eastAsia="en-US"/>
        </w:rPr>
        <w:tab/>
        <w:t>Sennesael A.-L.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Larock A.-S.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Hainaut</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P</w:t>
      </w:r>
      <w:r>
        <w:rPr>
          <w:rFonts w:ascii="Times New Roman" w:hAnsi="Times New Roman"/>
          <w:sz w:val="28"/>
          <w:szCs w:val="28"/>
          <w:lang w:val="en-US" w:eastAsia="en-US"/>
        </w:rPr>
        <w:t>.</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The Impact of Strong Inducers on Direct Oral Anticoagulant Levels // </w:t>
      </w:r>
      <w:r w:rsidRPr="00A21159">
        <w:rPr>
          <w:rFonts w:ascii="Times New Roman" w:hAnsi="Times New Roman"/>
          <w:color w:val="000000" w:themeColor="text1"/>
          <w:sz w:val="28"/>
          <w:szCs w:val="28"/>
          <w:lang w:val="en-US" w:eastAsia="en-US"/>
        </w:rPr>
        <w:t>The American Journal of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134, № 10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1295–1299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FF9D20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138.</w:t>
      </w:r>
      <w:r w:rsidRPr="0003764E">
        <w:rPr>
          <w:rFonts w:ascii="Times New Roman" w:hAnsi="Times New Roman"/>
          <w:color w:val="000000" w:themeColor="text1"/>
          <w:sz w:val="28"/>
          <w:szCs w:val="28"/>
          <w:lang w:val="en-US" w:eastAsia="en-US"/>
        </w:rPr>
        <w:tab/>
        <w:t>Mar P.L.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Gopinathannair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R.</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Gengler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B.E.</w:t>
      </w:r>
      <w:r>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Drug Interactions Affecting Oral Anticoagulant Use // </w:t>
      </w:r>
      <w:r w:rsidRPr="00A21159">
        <w:rPr>
          <w:rFonts w:ascii="Times New Roman" w:hAnsi="Times New Roman"/>
          <w:color w:val="000000" w:themeColor="text1"/>
          <w:sz w:val="28"/>
          <w:szCs w:val="28"/>
          <w:lang w:val="en-US" w:eastAsia="en-US"/>
        </w:rPr>
        <w:t>Circulation: Arrhythmia and Electrophysiology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15, № 6.</w:t>
      </w:r>
    </w:p>
    <w:p w14:paraId="0DFC85C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454F41">
        <w:rPr>
          <w:rFonts w:ascii="Times New Roman" w:hAnsi="Times New Roman"/>
          <w:color w:val="000000" w:themeColor="text1"/>
          <w:sz w:val="28"/>
          <w:szCs w:val="28"/>
          <w:lang w:val="en-US" w:eastAsia="en-US"/>
        </w:rPr>
        <w:t>139.</w:t>
      </w:r>
      <w:r w:rsidRPr="00454F41">
        <w:rPr>
          <w:rFonts w:ascii="Times New Roman" w:hAnsi="Times New Roman"/>
          <w:color w:val="000000" w:themeColor="text1"/>
          <w:sz w:val="28"/>
          <w:szCs w:val="28"/>
          <w:lang w:val="en-US" w:eastAsia="en-US"/>
        </w:rPr>
        <w:tab/>
      </w:r>
      <w:r w:rsidRPr="0003764E">
        <w:rPr>
          <w:rFonts w:ascii="Times New Roman" w:hAnsi="Times New Roman"/>
          <w:color w:val="000000" w:themeColor="text1"/>
          <w:sz w:val="28"/>
          <w:szCs w:val="28"/>
          <w:lang w:val="en-US" w:eastAsia="en-US"/>
        </w:rPr>
        <w:t>Fedina</w:t>
      </w:r>
      <w:r w:rsidRPr="00454F41">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L</w:t>
      </w:r>
      <w:r w:rsidRPr="00454F41">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V</w:t>
      </w:r>
      <w:r w:rsidRPr="00454F41">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w:t>
      </w:r>
      <w:r w:rsidRPr="00E43578">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Sychev</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I.N.</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Rastvorova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T.D.</w:t>
      </w:r>
      <w:r>
        <w:rPr>
          <w:rFonts w:ascii="Times New Roman" w:hAnsi="Times New Roman"/>
          <w:sz w:val="28"/>
          <w:szCs w:val="28"/>
          <w:lang w:val="en-US" w:eastAsia="en-US"/>
        </w:rPr>
        <w:t xml:space="preserve"> et al.</w:t>
      </w:r>
      <w:r w:rsidRPr="00454F41">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Effect of ABCB1 Gene Carriage and Drug-Drug Interactions on Apixaban and Rivaroxaban Pharmacokinetics and Clinical Outcomes in Patients with Atrial Fibrillation and Deep Vein Thrombosis: 6 // Rational Pharmacotherapy in Cardiology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18,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624–629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BA43B1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140.</w:t>
      </w:r>
      <w:r w:rsidRPr="0003764E">
        <w:rPr>
          <w:rFonts w:ascii="Times New Roman" w:hAnsi="Times New Roman"/>
          <w:color w:val="000000" w:themeColor="text1"/>
          <w:sz w:val="28"/>
          <w:szCs w:val="28"/>
          <w:lang w:val="en-US" w:eastAsia="en-US"/>
        </w:rPr>
        <w:tab/>
        <w:t>Maan 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Heist</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E.K.</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Shaikh</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A.Y.</w:t>
      </w:r>
      <w:r>
        <w:rPr>
          <w:rFonts w:ascii="Times New Roman" w:hAnsi="Times New Roman"/>
          <w:color w:val="000000" w:themeColor="text1"/>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Apixaban in patients with Atrial Fibrillation: A Systematic Review // </w:t>
      </w:r>
      <w:r w:rsidRPr="00E43578">
        <w:rPr>
          <w:rFonts w:ascii="Times New Roman" w:hAnsi="Times New Roman"/>
          <w:color w:val="000000" w:themeColor="text1"/>
          <w:sz w:val="28"/>
          <w:szCs w:val="28"/>
          <w:lang w:val="en-US" w:eastAsia="en-US"/>
        </w:rPr>
        <w:t>Journal of Atrial Fibrillation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499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67AE1F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141.</w:t>
      </w:r>
      <w:r w:rsidRPr="0003764E">
        <w:rPr>
          <w:rFonts w:ascii="Times New Roman" w:hAnsi="Times New Roman"/>
          <w:color w:val="000000" w:themeColor="text1"/>
          <w:sz w:val="28"/>
          <w:szCs w:val="28"/>
          <w:lang w:val="en-US" w:eastAsia="en-US"/>
        </w:rPr>
        <w:tab/>
        <w:t>Huppertz 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Grond-Ginsbach</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Dumschat</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Unexpected excessive apixaban exposure: case report of a patient with polymorphisms of multiple apixaban elimination pathways // </w:t>
      </w:r>
      <w:r w:rsidRPr="00E43578">
        <w:rPr>
          <w:rFonts w:ascii="Times New Roman" w:hAnsi="Times New Roman"/>
          <w:color w:val="000000" w:themeColor="text1"/>
          <w:sz w:val="28"/>
          <w:szCs w:val="28"/>
          <w:lang w:val="en-US" w:eastAsia="en-US"/>
        </w:rPr>
        <w:t>BMC pharmacology &amp; toxicology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20,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33C15C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142.</w:t>
      </w:r>
      <w:r w:rsidRPr="0003764E">
        <w:rPr>
          <w:rFonts w:ascii="Times New Roman" w:hAnsi="Times New Roman"/>
          <w:color w:val="000000" w:themeColor="text1"/>
          <w:sz w:val="28"/>
          <w:szCs w:val="28"/>
          <w:lang w:val="en-US" w:eastAsia="en-US"/>
        </w:rPr>
        <w:tab/>
        <w:t>Dimatteo C.</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D’Andrea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G.</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Vecchione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G.</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ABCB1 SNP rs4148738 modulation of apixaban interindividual variability // </w:t>
      </w:r>
      <w:r w:rsidRPr="00E43578">
        <w:rPr>
          <w:rFonts w:ascii="Times New Roman" w:hAnsi="Times New Roman"/>
          <w:color w:val="000000" w:themeColor="text1"/>
          <w:sz w:val="28"/>
          <w:szCs w:val="28"/>
          <w:lang w:val="en-US" w:eastAsia="en-US"/>
        </w:rPr>
        <w:t>Thrombosis Research</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24–26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31B501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143.</w:t>
      </w:r>
      <w:r w:rsidRPr="0003764E">
        <w:rPr>
          <w:rFonts w:ascii="Times New Roman" w:hAnsi="Times New Roman"/>
          <w:color w:val="000000" w:themeColor="text1"/>
          <w:sz w:val="28"/>
          <w:szCs w:val="28"/>
          <w:lang w:val="en-US" w:eastAsia="en-US"/>
        </w:rPr>
        <w:tab/>
        <w:t>Ueshima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Hira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Kimura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Y.</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Population pharmacokinetics and pharmacogenomics of apixaban in Japanese adult patients with atrial fibrillation // </w:t>
      </w:r>
      <w:r w:rsidRPr="00E43578">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84,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1301–1312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9DCB7C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144.</w:t>
      </w:r>
      <w:r w:rsidRPr="0003764E">
        <w:rPr>
          <w:rFonts w:ascii="Times New Roman" w:hAnsi="Times New Roman"/>
          <w:color w:val="000000" w:themeColor="text1"/>
          <w:sz w:val="28"/>
          <w:szCs w:val="28"/>
          <w:lang w:val="en-US" w:eastAsia="en-US"/>
        </w:rPr>
        <w:tab/>
        <w:t>Gulilat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Keller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Linton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B.</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 Drug interactions and pharmacogenetic factors contribute to variation in apixaban concentration in atrial fibrillation patients in routine care // </w:t>
      </w:r>
      <w:r w:rsidRPr="00E43578">
        <w:rPr>
          <w:rFonts w:ascii="Times New Roman" w:hAnsi="Times New Roman"/>
          <w:color w:val="000000" w:themeColor="text1"/>
          <w:sz w:val="28"/>
          <w:szCs w:val="28"/>
          <w:lang w:val="en-US" w:eastAsia="en-US"/>
        </w:rPr>
        <w:t>Journal of Thrombosis and Thrombolysis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49,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294–303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3825DE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145.</w:t>
      </w:r>
      <w:r w:rsidRPr="0003764E">
        <w:rPr>
          <w:rFonts w:ascii="Times New Roman" w:hAnsi="Times New Roman"/>
          <w:color w:val="000000" w:themeColor="text1"/>
          <w:sz w:val="28"/>
          <w:szCs w:val="28"/>
          <w:lang w:val="en-US" w:eastAsia="en-US"/>
        </w:rPr>
        <w:tab/>
        <w:t>Lamba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Hebert J. 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Schuetz</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E.G.</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PharmGKB summary: very important pharmacogene information for CYP3A5 // </w:t>
      </w:r>
      <w:r w:rsidRPr="00E43578">
        <w:rPr>
          <w:rFonts w:ascii="Times New Roman" w:hAnsi="Times New Roman"/>
          <w:color w:val="000000" w:themeColor="text1"/>
          <w:sz w:val="28"/>
          <w:szCs w:val="28"/>
          <w:lang w:val="en-US" w:eastAsia="en-US"/>
        </w:rPr>
        <w:t>Pharmacogenetics and genomics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22, № 7</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555–558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B58307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146.</w:t>
      </w:r>
      <w:r w:rsidRPr="0003764E">
        <w:rPr>
          <w:rFonts w:ascii="Times New Roman" w:hAnsi="Times New Roman"/>
          <w:color w:val="000000" w:themeColor="text1"/>
          <w:sz w:val="28"/>
          <w:szCs w:val="28"/>
          <w:lang w:val="en-US" w:eastAsia="en-US"/>
        </w:rPr>
        <w:tab/>
        <w:t>Roşian A.-N.</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Roşian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Ş.H.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Kiss B.</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Interindividual Variability of Apixaban Plasma Concentrations: Influence of Clinical and Genetic Factors in a Real-Life Cohort of Atrial Fibrillation Patients // Genes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438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1483A1E"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147.</w:t>
      </w:r>
      <w:r w:rsidRPr="0003764E">
        <w:rPr>
          <w:rFonts w:ascii="Times New Roman" w:hAnsi="Times New Roman"/>
          <w:color w:val="000000" w:themeColor="text1"/>
          <w:sz w:val="28"/>
          <w:szCs w:val="28"/>
          <w:lang w:val="en-US" w:eastAsia="en-US"/>
        </w:rPr>
        <w:tab/>
        <w:t>Attelind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Hallberg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P.</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Wadelius M.</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Genetic determinants of apixaban plasma levels and their relationship to bleeding and thromboembolic events // </w:t>
      </w:r>
      <w:r w:rsidRPr="00C63C55">
        <w:rPr>
          <w:rFonts w:ascii="Times New Roman" w:hAnsi="Times New Roman"/>
          <w:color w:val="000000" w:themeColor="text1"/>
          <w:sz w:val="28"/>
          <w:szCs w:val="28"/>
          <w:lang w:val="en-US" w:eastAsia="en-US"/>
        </w:rPr>
        <w:t>Frontiers in Genetics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 982955.</w:t>
      </w:r>
    </w:p>
    <w:p w14:paraId="2AEA788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148.</w:t>
      </w:r>
      <w:r w:rsidRPr="0003764E">
        <w:rPr>
          <w:rFonts w:ascii="Times New Roman" w:hAnsi="Times New Roman"/>
          <w:color w:val="000000" w:themeColor="text1"/>
          <w:sz w:val="28"/>
          <w:szCs w:val="28"/>
          <w:lang w:val="en-US" w:eastAsia="en-US"/>
        </w:rPr>
        <w:tab/>
        <w:t>Šimičević 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Slišković</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Kirhmajer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M.V.</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Risk Factors for Rivaroxaban-Related Bleeding Events-Possible Role of Pharmacogenetics: Case Series // Pharmacy (Basel)</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01E8E8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149.</w:t>
      </w:r>
      <w:r w:rsidRPr="0003764E">
        <w:rPr>
          <w:rFonts w:ascii="Times New Roman" w:hAnsi="Times New Roman"/>
          <w:color w:val="000000" w:themeColor="text1"/>
          <w:sz w:val="28"/>
          <w:szCs w:val="28"/>
          <w:lang w:val="en-US" w:eastAsia="en-US"/>
        </w:rPr>
        <w:tab/>
        <w:t>Mueck W.</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Stampfuss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Kubitza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Clinical Pharmacokinetic and Pharmacodynamic Profile of Rivaroxaban // Clin</w:t>
      </w:r>
      <w:r>
        <w:rPr>
          <w:rFonts w:ascii="Times New Roman" w:hAnsi="Times New Roman"/>
          <w:color w:val="000000" w:themeColor="text1"/>
          <w:sz w:val="28"/>
          <w:szCs w:val="28"/>
          <w:lang w:val="en-US" w:eastAsia="en-US"/>
        </w:rPr>
        <w:t>ical</w:t>
      </w:r>
      <w:r w:rsidRPr="0003764E">
        <w:rPr>
          <w:rFonts w:ascii="Times New Roman" w:hAnsi="Times New Roman"/>
          <w:color w:val="000000" w:themeColor="text1"/>
          <w:sz w:val="28"/>
          <w:szCs w:val="28"/>
          <w:lang w:val="en-US" w:eastAsia="en-US"/>
        </w:rPr>
        <w:t xml:space="preserve"> Pharmacokinet</w:t>
      </w:r>
      <w:r>
        <w:rPr>
          <w:rFonts w:ascii="Times New Roman" w:hAnsi="Times New Roman"/>
          <w:color w:val="000000" w:themeColor="text1"/>
          <w:sz w:val="28"/>
          <w:szCs w:val="28"/>
          <w:lang w:val="en-US" w:eastAsia="en-US"/>
        </w:rPr>
        <w:t>ics,</w:t>
      </w:r>
      <w:r w:rsidRPr="0003764E">
        <w:rPr>
          <w:rFonts w:ascii="Times New Roman" w:hAnsi="Times New Roman"/>
          <w:color w:val="000000" w:themeColor="text1"/>
          <w:sz w:val="28"/>
          <w:szCs w:val="28"/>
          <w:lang w:val="en-US" w:eastAsia="en-US"/>
        </w:rPr>
        <w:t xml:space="preserve"> 2014.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53,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1–16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F4F002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150.</w:t>
      </w:r>
      <w:r w:rsidRPr="0003764E">
        <w:rPr>
          <w:rFonts w:ascii="Times New Roman" w:hAnsi="Times New Roman"/>
          <w:color w:val="000000" w:themeColor="text1"/>
          <w:sz w:val="28"/>
          <w:szCs w:val="28"/>
          <w:lang w:val="en-US" w:eastAsia="en-US"/>
        </w:rPr>
        <w:tab/>
        <w:t>Kubitza D.</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Becka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Mueck</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W.</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Effects of renal impairment on the pharmacokinetics, pharmacodynamics and safety of rivaroxaban, an oral, direct Factor Xa inhibitor // </w:t>
      </w:r>
      <w:r w:rsidRPr="00C63C55">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70, № 5</w:t>
      </w:r>
      <w:r>
        <w:rPr>
          <w:rFonts w:ascii="Times New Roman" w:hAnsi="Times New Roman"/>
          <w:color w:val="000000" w:themeColor="text1"/>
          <w:sz w:val="28"/>
          <w:szCs w:val="28"/>
          <w:lang w:val="en-US" w:eastAsia="en-US"/>
        </w:rPr>
        <w:t>, 7</w:t>
      </w:r>
      <w:r w:rsidRPr="0003764E">
        <w:rPr>
          <w:rFonts w:ascii="Times New Roman" w:hAnsi="Times New Roman"/>
          <w:color w:val="000000" w:themeColor="text1"/>
          <w:sz w:val="28"/>
          <w:szCs w:val="28"/>
          <w:lang w:val="en-US" w:eastAsia="en-US"/>
        </w:rPr>
        <w:t>03–712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4C59E9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151.</w:t>
      </w:r>
      <w:r w:rsidRPr="0003764E">
        <w:rPr>
          <w:rFonts w:ascii="Times New Roman" w:hAnsi="Times New Roman"/>
          <w:color w:val="000000" w:themeColor="text1"/>
          <w:sz w:val="28"/>
          <w:szCs w:val="28"/>
          <w:lang w:val="en-US" w:eastAsia="en-US"/>
        </w:rPr>
        <w:tab/>
        <w:t xml:space="preserve">Vimalesvaran K., Dockrill S. J., Gorog D. A. Role of rivaroxaban in the management of atrial fibrillation: insights from clinical practice // </w:t>
      </w:r>
      <w:r w:rsidRPr="00C63C55">
        <w:rPr>
          <w:rFonts w:ascii="Times New Roman" w:hAnsi="Times New Roman"/>
          <w:color w:val="000000" w:themeColor="text1"/>
          <w:sz w:val="28"/>
          <w:szCs w:val="28"/>
          <w:lang w:val="en-US" w:eastAsia="en-US"/>
        </w:rPr>
        <w:t>Vascular Health and Risk Management</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13–21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C62584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152.</w:t>
      </w:r>
      <w:r w:rsidRPr="0003764E">
        <w:rPr>
          <w:rFonts w:ascii="Times New Roman" w:hAnsi="Times New Roman"/>
          <w:color w:val="000000" w:themeColor="text1"/>
          <w:sz w:val="28"/>
          <w:szCs w:val="28"/>
          <w:lang w:val="en-US" w:eastAsia="en-US"/>
        </w:rPr>
        <w:tab/>
        <w:t>Wojakowski E.</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Cheruvil</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Hassan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Albumin and bleed risk in rivaroxaban treated patients // </w:t>
      </w:r>
      <w:r w:rsidRPr="00C63C55">
        <w:rPr>
          <w:rFonts w:ascii="Times New Roman" w:hAnsi="Times New Roman"/>
          <w:color w:val="000000" w:themeColor="text1"/>
          <w:sz w:val="28"/>
          <w:szCs w:val="28"/>
          <w:lang w:val="en-US" w:eastAsia="en-US"/>
        </w:rPr>
        <w:t>Journal of Thrombosis and Thrombolysis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50, № 4</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1004–1011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3E18FEE"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153.</w:t>
      </w:r>
      <w:r w:rsidRPr="0003764E">
        <w:rPr>
          <w:rFonts w:ascii="Times New Roman" w:hAnsi="Times New Roman"/>
          <w:color w:val="000000" w:themeColor="text1"/>
          <w:sz w:val="28"/>
          <w:szCs w:val="28"/>
          <w:lang w:val="en-US" w:eastAsia="en-US"/>
        </w:rPr>
        <w:tab/>
        <w:t xml:space="preserve">Mueck W., Kubitza D., Becka M. Co-administration of rivaroxaban with drugs that share its elimination pathways: pharmacokinetic effects in healthy subjects // </w:t>
      </w:r>
      <w:r w:rsidRPr="00C63C55">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76,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455–466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F5B8C2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154.</w:t>
      </w:r>
      <w:r w:rsidRPr="0003764E">
        <w:rPr>
          <w:rFonts w:ascii="Times New Roman" w:hAnsi="Times New Roman"/>
          <w:color w:val="000000" w:themeColor="text1"/>
          <w:sz w:val="28"/>
          <w:szCs w:val="28"/>
          <w:lang w:val="en-US" w:eastAsia="en-US"/>
        </w:rPr>
        <w:tab/>
        <w:t>Hanigan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Das J.</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Pogue K.</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 T</w:t>
      </w:r>
      <w:r w:rsidRPr="0003764E">
        <w:rPr>
          <w:rFonts w:ascii="Times New Roman" w:hAnsi="Times New Roman"/>
          <w:color w:val="000000" w:themeColor="text1"/>
          <w:sz w:val="28"/>
          <w:szCs w:val="28"/>
          <w:lang w:val="en-US" w:eastAsia="en-US"/>
        </w:rPr>
        <w:t xml:space="preserve">he real world use of combined P-glycoprotein and moderate CYP3A4 inhibitors with rivaroxaban or apixaban increases bleeding // </w:t>
      </w:r>
      <w:r w:rsidRPr="00C63C55">
        <w:rPr>
          <w:rFonts w:ascii="Times New Roman" w:hAnsi="Times New Roman"/>
          <w:color w:val="000000" w:themeColor="text1"/>
          <w:sz w:val="28"/>
          <w:szCs w:val="28"/>
          <w:lang w:val="en-US" w:eastAsia="en-US"/>
        </w:rPr>
        <w:t>Journal of Thrombosis and Thrombolysis</w:t>
      </w:r>
      <w:r>
        <w:rPr>
          <w:rFonts w:ascii="Times New Roman" w:hAnsi="Times New Roman"/>
          <w:color w:val="000000" w:themeColor="text1"/>
          <w:sz w:val="28"/>
          <w:szCs w:val="28"/>
          <w:lang w:val="en-US" w:eastAsia="en-US"/>
        </w:rPr>
        <w:t>, 2</w:t>
      </w:r>
      <w:r w:rsidRPr="0003764E">
        <w:rPr>
          <w:rFonts w:ascii="Times New Roman" w:hAnsi="Times New Roman"/>
          <w:color w:val="000000" w:themeColor="text1"/>
          <w:sz w:val="28"/>
          <w:szCs w:val="28"/>
          <w:lang w:val="en-US" w:eastAsia="en-US"/>
        </w:rPr>
        <w:t xml:space="preserve">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49,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636–643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61BB2B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155.</w:t>
      </w:r>
      <w:r w:rsidRPr="0003764E">
        <w:rPr>
          <w:rFonts w:ascii="Times New Roman" w:hAnsi="Times New Roman"/>
          <w:color w:val="000000" w:themeColor="text1"/>
          <w:sz w:val="28"/>
          <w:szCs w:val="28"/>
          <w:lang w:val="en-US" w:eastAsia="en-US"/>
        </w:rPr>
        <w:tab/>
        <w:t>Di Minno 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Frigerio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B.</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Spadarella G.</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Old and new oral anticoagulants: Food, herbal medicines and drug interactions // Blood Reviews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31, № 4. 193–203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FA30EF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156.</w:t>
      </w:r>
      <w:r w:rsidRPr="0003764E">
        <w:rPr>
          <w:rFonts w:ascii="Times New Roman" w:hAnsi="Times New Roman"/>
          <w:color w:val="000000" w:themeColor="text1"/>
          <w:sz w:val="28"/>
          <w:szCs w:val="28"/>
          <w:lang w:val="en-US" w:eastAsia="en-US"/>
        </w:rPr>
        <w:tab/>
        <w:t>Hindley B.</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Lip</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G.Y.H.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McCloskey A.P.</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Pharmacokinetics and pharmacodynamics of direct oral anticoagulants // Expert Opinion on Drug Metabolism &amp; Toxicology. Taylor &amp; Francis,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19, № 12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911–923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D80D07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157.</w:t>
      </w:r>
      <w:r w:rsidRPr="0003764E">
        <w:rPr>
          <w:rFonts w:ascii="Times New Roman" w:hAnsi="Times New Roman"/>
          <w:color w:val="000000" w:themeColor="text1"/>
          <w:sz w:val="28"/>
          <w:szCs w:val="28"/>
          <w:lang w:val="en-US" w:eastAsia="en-US"/>
        </w:rPr>
        <w:tab/>
        <w:t>Sennesael A.-L.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Larock</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Douxfils J.</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Rivaroxaban plasma levels in patients admitted for bleeding events: insights from a prospective study // </w:t>
      </w:r>
      <w:r w:rsidRPr="00C63C55">
        <w:rPr>
          <w:rFonts w:ascii="Times New Roman" w:hAnsi="Times New Roman"/>
          <w:color w:val="000000" w:themeColor="text1"/>
          <w:sz w:val="28"/>
          <w:szCs w:val="28"/>
          <w:lang w:val="en-US" w:eastAsia="en-US"/>
        </w:rPr>
        <w:t>Thrombosis Journal</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16</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1CA902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158.</w:t>
      </w:r>
      <w:r w:rsidRPr="0003764E">
        <w:rPr>
          <w:rFonts w:ascii="Times New Roman" w:hAnsi="Times New Roman"/>
          <w:color w:val="000000" w:themeColor="text1"/>
          <w:sz w:val="28"/>
          <w:szCs w:val="28"/>
          <w:lang w:val="en-US" w:eastAsia="en-US"/>
        </w:rPr>
        <w:tab/>
        <w:t>Ing Lorenzini K.</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Daali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Fontana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P.</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Rivaroxaban-Induced Hemorrhage Associated with ABCB1 Genetic Defect // Front</w:t>
      </w:r>
      <w:r>
        <w:rPr>
          <w:rFonts w:ascii="Times New Roman" w:hAnsi="Times New Roman"/>
          <w:color w:val="000000" w:themeColor="text1"/>
          <w:sz w:val="28"/>
          <w:szCs w:val="28"/>
          <w:lang w:val="en-US" w:eastAsia="en-US"/>
        </w:rPr>
        <w:t>iers in</w:t>
      </w:r>
      <w:r w:rsidRPr="0003764E">
        <w:rPr>
          <w:rFonts w:ascii="Times New Roman" w:hAnsi="Times New Roman"/>
          <w:color w:val="000000" w:themeColor="text1"/>
          <w:sz w:val="28"/>
          <w:szCs w:val="28"/>
          <w:lang w:val="en-US" w:eastAsia="en-US"/>
        </w:rPr>
        <w:t xml:space="preserve"> Pharmacol</w:t>
      </w:r>
      <w:r>
        <w:rPr>
          <w:rFonts w:ascii="Times New Roman" w:hAnsi="Times New Roman"/>
          <w:color w:val="000000" w:themeColor="text1"/>
          <w:sz w:val="28"/>
          <w:szCs w:val="28"/>
          <w:lang w:val="en-US" w:eastAsia="en-US"/>
        </w:rPr>
        <w:t>ogy,</w:t>
      </w:r>
      <w:r w:rsidRPr="0003764E">
        <w:rPr>
          <w:rFonts w:ascii="Times New Roman" w:hAnsi="Times New Roman"/>
          <w:color w:val="000000" w:themeColor="text1"/>
          <w:sz w:val="28"/>
          <w:szCs w:val="28"/>
          <w:lang w:val="en-US" w:eastAsia="en-US"/>
        </w:rPr>
        <w:t xml:space="preserv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494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3089B4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159.</w:t>
      </w:r>
      <w:r w:rsidRPr="0003764E">
        <w:rPr>
          <w:rFonts w:ascii="Times New Roman" w:hAnsi="Times New Roman"/>
          <w:color w:val="000000" w:themeColor="text1"/>
          <w:sz w:val="28"/>
          <w:szCs w:val="28"/>
          <w:lang w:val="en-US" w:eastAsia="en-US"/>
        </w:rPr>
        <w:tab/>
        <w:t>Gouin-Thibault I.</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Delavenne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X.</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Blanchard, A.</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Interindividual variability in dabigatran and rivaroxaban exposure: contribution of ABCB1 genetic polymorphisms and interaction with clarithromycin // </w:t>
      </w:r>
      <w:r w:rsidRPr="00400BE5">
        <w:rPr>
          <w:rFonts w:ascii="Times New Roman" w:hAnsi="Times New Roman"/>
          <w:color w:val="000000" w:themeColor="text1"/>
          <w:sz w:val="28"/>
          <w:szCs w:val="28"/>
          <w:lang w:val="en-US" w:eastAsia="en-US"/>
        </w:rPr>
        <w:t>Journal of thrombosis and haemostasis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15,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273–283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C39E9B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160.</w:t>
      </w:r>
      <w:r w:rsidRPr="0003764E">
        <w:rPr>
          <w:rFonts w:ascii="Times New Roman" w:hAnsi="Times New Roman"/>
          <w:color w:val="000000" w:themeColor="text1"/>
          <w:sz w:val="28"/>
          <w:szCs w:val="28"/>
          <w:lang w:val="en-US" w:eastAsia="en-US"/>
        </w:rPr>
        <w:tab/>
        <w:t>Xie Q.</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Xiang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Q.</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Mu G.</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Effect of ABCB1 Genotypes on the Pharmacokinetics and Clinical Outcomes of New Oral Anticoagulants: A Systematic Review and Meta-analysis // </w:t>
      </w:r>
      <w:r w:rsidRPr="00400BE5">
        <w:rPr>
          <w:rFonts w:ascii="Times New Roman" w:hAnsi="Times New Roman"/>
          <w:color w:val="000000" w:themeColor="text1"/>
          <w:sz w:val="28"/>
          <w:szCs w:val="28"/>
          <w:lang w:val="en-US" w:eastAsia="en-US"/>
        </w:rPr>
        <w:t>Current Pharmaceutical Design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24, № 30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3558–3565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4C7825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161.</w:t>
      </w:r>
      <w:r w:rsidRPr="0003764E">
        <w:rPr>
          <w:rFonts w:ascii="Times New Roman" w:hAnsi="Times New Roman"/>
          <w:color w:val="000000" w:themeColor="text1"/>
          <w:sz w:val="28"/>
          <w:szCs w:val="28"/>
          <w:lang w:val="en-US" w:eastAsia="en-US"/>
        </w:rPr>
        <w:tab/>
        <w:t>Sychev D.</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Ostroumova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O.</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Cherniaeva, M.</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The Influence of ABCB1 (rs1045642 and rs4148738) Gene Polymorphisms on Rivaroxaban Pharmacokinetics in Patients Aged 80 Years and Older with Nonvalvular Atrial Fibrillation // </w:t>
      </w:r>
      <w:r w:rsidRPr="00400BE5">
        <w:rPr>
          <w:rFonts w:ascii="Times New Roman" w:hAnsi="Times New Roman"/>
          <w:color w:val="000000" w:themeColor="text1"/>
          <w:sz w:val="28"/>
          <w:szCs w:val="28"/>
          <w:lang w:val="en-US" w:eastAsia="en-US"/>
        </w:rPr>
        <w:t>High Blood Pressure &amp; Cardiovascular Prevention: The Official Journal of the Italian Society of Hypertension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29, № 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469–480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4E0669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162.</w:t>
      </w:r>
      <w:r w:rsidRPr="0003764E">
        <w:rPr>
          <w:rFonts w:ascii="Times New Roman" w:hAnsi="Times New Roman"/>
          <w:color w:val="000000" w:themeColor="text1"/>
          <w:sz w:val="28"/>
          <w:szCs w:val="28"/>
          <w:lang w:val="en-US" w:eastAsia="en-US"/>
        </w:rPr>
        <w:tab/>
        <w:t>Wang Y.</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Chen H.</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Influence of ABCB1 Gene Polymorphism on Rivaroxaban Blood Concentration and Hemorrhagic Events in Patients With Atrial Fibrillation // </w:t>
      </w:r>
      <w:r w:rsidRPr="00400BE5">
        <w:rPr>
          <w:rFonts w:ascii="Times New Roman" w:hAnsi="Times New Roman"/>
          <w:color w:val="000000" w:themeColor="text1"/>
          <w:sz w:val="28"/>
          <w:szCs w:val="28"/>
          <w:lang w:val="en-US" w:eastAsia="en-US"/>
        </w:rPr>
        <w:t>Frontiers in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639854.</w:t>
      </w:r>
    </w:p>
    <w:p w14:paraId="2FCBF1D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163.</w:t>
      </w:r>
      <w:r w:rsidRPr="0003764E">
        <w:rPr>
          <w:rFonts w:ascii="Times New Roman" w:hAnsi="Times New Roman"/>
          <w:color w:val="000000" w:themeColor="text1"/>
          <w:sz w:val="28"/>
          <w:szCs w:val="28"/>
          <w:lang w:val="en-US" w:eastAsia="en-US"/>
        </w:rPr>
        <w:tab/>
        <w:t>Zhao 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Y.</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Wang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Identifying the Dominant Contribution of Human Cytochrome P450 2J2 to the Metabolism of Rivaroxaban, an Oral Anticoagulant // </w:t>
      </w:r>
      <w:r w:rsidRPr="00400BE5">
        <w:rPr>
          <w:rFonts w:ascii="Times New Roman" w:hAnsi="Times New Roman"/>
          <w:color w:val="000000" w:themeColor="text1"/>
          <w:sz w:val="28"/>
          <w:szCs w:val="28"/>
          <w:lang w:val="en-US" w:eastAsia="en-US"/>
        </w:rPr>
        <w:t>Cardiovascular Drugs and Therapy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121–129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E0A8AA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164.</w:t>
      </w:r>
      <w:r w:rsidRPr="0003764E">
        <w:rPr>
          <w:rFonts w:ascii="Times New Roman" w:hAnsi="Times New Roman"/>
          <w:color w:val="000000" w:themeColor="text1"/>
          <w:sz w:val="28"/>
          <w:szCs w:val="28"/>
          <w:lang w:val="en-US" w:eastAsia="en-US"/>
        </w:rPr>
        <w:tab/>
        <w:t>Nakagawa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Kinjo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Iizuka M.</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Impact of gene polymorphisms in drug-metabolizing enzymes and transporters on trough concentrations of rivaroxaban in patients with atrial fibrillation //</w:t>
      </w:r>
      <w:r>
        <w:rPr>
          <w:rFonts w:ascii="Times New Roman" w:hAnsi="Times New Roman"/>
          <w:color w:val="000000" w:themeColor="text1"/>
          <w:sz w:val="28"/>
          <w:szCs w:val="28"/>
          <w:lang w:val="en-US" w:eastAsia="en-US"/>
        </w:rPr>
        <w:t xml:space="preserve"> </w:t>
      </w:r>
      <w:r w:rsidRPr="00400BE5">
        <w:rPr>
          <w:rFonts w:ascii="Times New Roman" w:hAnsi="Times New Roman"/>
          <w:color w:val="000000" w:themeColor="text1"/>
          <w:sz w:val="28"/>
          <w:szCs w:val="28"/>
          <w:lang w:val="en-US" w:eastAsia="en-US"/>
        </w:rPr>
        <w:t>Basic &amp; Clinical Pharmacology &amp; Toxicology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128, № 2</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297–304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576A4B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165.</w:t>
      </w:r>
      <w:r w:rsidRPr="0003764E">
        <w:rPr>
          <w:rFonts w:ascii="Times New Roman" w:hAnsi="Times New Roman"/>
          <w:color w:val="000000" w:themeColor="text1"/>
          <w:sz w:val="28"/>
          <w:szCs w:val="28"/>
          <w:lang w:val="en-US" w:eastAsia="en-US"/>
        </w:rPr>
        <w:tab/>
        <w:t>Campos-Staffico A.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Dorsch</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M.P.</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Barnes G.D.</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Eight pharmacokinetic genetic variants are not associated with the risk of bleeding from direct oral anticoagulants in non-valvular atrial fibrillation patients // </w:t>
      </w:r>
      <w:r w:rsidRPr="00400BE5">
        <w:rPr>
          <w:rFonts w:ascii="Times New Roman" w:hAnsi="Times New Roman"/>
          <w:color w:val="000000" w:themeColor="text1"/>
          <w:sz w:val="28"/>
          <w:szCs w:val="28"/>
          <w:lang w:val="en-US" w:eastAsia="en-US"/>
        </w:rPr>
        <w:t>Frontiers in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1007113.</w:t>
      </w:r>
    </w:p>
    <w:p w14:paraId="239A4EE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166.</w:t>
      </w:r>
      <w:r w:rsidRPr="0003764E">
        <w:rPr>
          <w:rFonts w:ascii="Times New Roman" w:hAnsi="Times New Roman"/>
          <w:color w:val="000000" w:themeColor="text1"/>
          <w:sz w:val="28"/>
          <w:szCs w:val="28"/>
          <w:lang w:val="en-US" w:eastAsia="en-US"/>
        </w:rPr>
        <w:tab/>
        <w:t>Ruff C.T.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Giugliano R.P.</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Antman E.M.</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Evaluation of the novel factor Xa inhibitor edoxaban compared with warfarin in patients with atrial fibrillation: design and rationale for the Effective a</w:t>
      </w:r>
      <w:r>
        <w:rPr>
          <w:rFonts w:ascii="Times New Roman" w:hAnsi="Times New Roman"/>
          <w:color w:val="000000" w:themeColor="text1"/>
          <w:sz w:val="28"/>
          <w:szCs w:val="28"/>
          <w:lang w:val="en-US" w:eastAsia="en-US"/>
        </w:rPr>
        <w:t>n</w:t>
      </w:r>
      <w:r w:rsidRPr="0003764E">
        <w:rPr>
          <w:rFonts w:ascii="Times New Roman" w:hAnsi="Times New Roman"/>
          <w:color w:val="000000" w:themeColor="text1"/>
          <w:sz w:val="28"/>
          <w:szCs w:val="28"/>
          <w:lang w:val="en-US" w:eastAsia="en-US"/>
        </w:rPr>
        <w:t>ticoa</w:t>
      </w:r>
      <w:r>
        <w:rPr>
          <w:rFonts w:ascii="Times New Roman" w:hAnsi="Times New Roman"/>
          <w:color w:val="000000" w:themeColor="text1"/>
          <w:sz w:val="28"/>
          <w:szCs w:val="28"/>
          <w:lang w:val="en-US" w:eastAsia="en-US"/>
        </w:rPr>
        <w:t>g</w:t>
      </w:r>
      <w:r w:rsidRPr="0003764E">
        <w:rPr>
          <w:rFonts w:ascii="Times New Roman" w:hAnsi="Times New Roman"/>
          <w:color w:val="000000" w:themeColor="text1"/>
          <w:sz w:val="28"/>
          <w:szCs w:val="28"/>
          <w:lang w:val="en-US" w:eastAsia="en-US"/>
        </w:rPr>
        <w:t xml:space="preserve">ulation with factor </w:t>
      </w:r>
      <w:r>
        <w:rPr>
          <w:rFonts w:ascii="Times New Roman" w:hAnsi="Times New Roman"/>
          <w:color w:val="000000" w:themeColor="text1"/>
          <w:sz w:val="28"/>
          <w:szCs w:val="28"/>
          <w:lang w:val="en-US" w:eastAsia="en-US"/>
        </w:rPr>
        <w:t>Xa</w:t>
      </w:r>
      <w:r w:rsidRPr="0003764E">
        <w:rPr>
          <w:rFonts w:ascii="Times New Roman" w:hAnsi="Times New Roman"/>
          <w:color w:val="000000" w:themeColor="text1"/>
          <w:sz w:val="28"/>
          <w:szCs w:val="28"/>
          <w:lang w:val="en-US" w:eastAsia="en-US"/>
        </w:rPr>
        <w:t xml:space="preserve"> next </w:t>
      </w:r>
      <w:r>
        <w:rPr>
          <w:rFonts w:ascii="Times New Roman" w:hAnsi="Times New Roman"/>
          <w:color w:val="000000" w:themeColor="text1"/>
          <w:sz w:val="28"/>
          <w:szCs w:val="28"/>
          <w:lang w:val="en-US" w:eastAsia="en-US"/>
        </w:rPr>
        <w:t>ge</w:t>
      </w:r>
      <w:r w:rsidRPr="0003764E">
        <w:rPr>
          <w:rFonts w:ascii="Times New Roman" w:hAnsi="Times New Roman"/>
          <w:color w:val="000000" w:themeColor="text1"/>
          <w:sz w:val="28"/>
          <w:szCs w:val="28"/>
          <w:lang w:val="en-US" w:eastAsia="en-US"/>
        </w:rPr>
        <w:t xml:space="preserve">neration in Atrial Fibrillation-Thrombolysis In Myocardial Infarction study 48 (ENGAGE AF-TIMI 48) // </w:t>
      </w:r>
      <w:r w:rsidRPr="00575E7B">
        <w:rPr>
          <w:rFonts w:ascii="Times New Roman" w:hAnsi="Times New Roman"/>
          <w:color w:val="000000" w:themeColor="text1"/>
          <w:sz w:val="28"/>
          <w:szCs w:val="28"/>
          <w:lang w:val="en-US" w:eastAsia="en-US"/>
        </w:rPr>
        <w:t>American Heart Journal</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160,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635–641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1D2043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167.</w:t>
      </w:r>
      <w:r w:rsidRPr="0003764E">
        <w:rPr>
          <w:rFonts w:ascii="Times New Roman" w:hAnsi="Times New Roman"/>
          <w:color w:val="000000" w:themeColor="text1"/>
          <w:sz w:val="28"/>
          <w:szCs w:val="28"/>
          <w:lang w:val="en-US" w:eastAsia="en-US"/>
        </w:rPr>
        <w:tab/>
        <w:t>Srinivasan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Ajmal</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Pecci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Edoxaban in cardiovascular disease management: Review // </w:t>
      </w:r>
      <w:r w:rsidRPr="00575E7B">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88,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535–540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0F91F2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168.</w:t>
      </w:r>
      <w:r w:rsidRPr="0003764E">
        <w:rPr>
          <w:rFonts w:ascii="Times New Roman" w:hAnsi="Times New Roman"/>
          <w:color w:val="000000" w:themeColor="text1"/>
          <w:sz w:val="28"/>
          <w:szCs w:val="28"/>
          <w:lang w:val="en-US" w:eastAsia="en-US"/>
        </w:rPr>
        <w:tab/>
        <w:t xml:space="preserve">Parasrampuria D. A., Truitt K. E. Pharmacokinetics and Pharmacodynamics of Edoxaban, a Non-Vitamin K Antagonist Oral Anticoagulant that Inhibits Clotting Factor Xa // </w:t>
      </w:r>
      <w:r w:rsidRPr="00575E7B">
        <w:rPr>
          <w:rFonts w:ascii="Times New Roman" w:hAnsi="Times New Roman"/>
          <w:color w:val="000000" w:themeColor="text1"/>
          <w:sz w:val="28"/>
          <w:szCs w:val="28"/>
          <w:lang w:val="en-US" w:eastAsia="en-US"/>
        </w:rPr>
        <w:t>Clinical Pharmacokinetics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641–655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02C0AC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169.</w:t>
      </w:r>
      <w:r w:rsidRPr="0003764E">
        <w:rPr>
          <w:rFonts w:ascii="Times New Roman" w:hAnsi="Times New Roman"/>
          <w:color w:val="000000" w:themeColor="text1"/>
          <w:sz w:val="28"/>
          <w:szCs w:val="28"/>
          <w:lang w:val="en-US" w:eastAsia="en-US"/>
        </w:rPr>
        <w:tab/>
        <w:t xml:space="preserve">Eisen A., Ruff C.T. Edoxaban in patients with atrial fibrillation // </w:t>
      </w:r>
      <w:r w:rsidRPr="00575E7B">
        <w:rPr>
          <w:rFonts w:ascii="Times New Roman" w:hAnsi="Times New Roman"/>
          <w:color w:val="000000" w:themeColor="text1"/>
          <w:sz w:val="28"/>
          <w:szCs w:val="28"/>
          <w:lang w:val="en-US" w:eastAsia="en-US"/>
        </w:rPr>
        <w:t>Therapeutic Advances in Cardiovascular Disease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81–90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4A673A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170.</w:t>
      </w:r>
      <w:r w:rsidRPr="0003764E">
        <w:rPr>
          <w:rFonts w:ascii="Times New Roman" w:hAnsi="Times New Roman"/>
          <w:color w:val="000000" w:themeColor="text1"/>
          <w:sz w:val="28"/>
          <w:szCs w:val="28"/>
          <w:lang w:val="en-US" w:eastAsia="en-US"/>
        </w:rPr>
        <w:tab/>
        <w:t>Boulenc X.</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Nicolas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O.</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Hermabessière S.</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CYP3A4-based drug-drug interaction: CYP3A4 substrates’ pharmacokinetic properties and ketoconazole dose regimen effect // Eur</w:t>
      </w:r>
      <w:r>
        <w:rPr>
          <w:rFonts w:ascii="Times New Roman" w:hAnsi="Times New Roman"/>
          <w:color w:val="000000" w:themeColor="text1"/>
          <w:sz w:val="28"/>
          <w:szCs w:val="28"/>
          <w:lang w:val="en-US" w:eastAsia="en-US"/>
        </w:rPr>
        <w:t>opean</w:t>
      </w:r>
      <w:r w:rsidRPr="0003764E">
        <w:rPr>
          <w:rFonts w:ascii="Times New Roman" w:hAnsi="Times New Roman"/>
          <w:color w:val="000000" w:themeColor="text1"/>
          <w:sz w:val="28"/>
          <w:szCs w:val="28"/>
          <w:lang w:val="en-US" w:eastAsia="en-US"/>
        </w:rPr>
        <w:t xml:space="preserve"> J</w:t>
      </w:r>
      <w:r>
        <w:rPr>
          <w:rFonts w:ascii="Times New Roman" w:hAnsi="Times New Roman"/>
          <w:color w:val="000000" w:themeColor="text1"/>
          <w:sz w:val="28"/>
          <w:szCs w:val="28"/>
          <w:lang w:val="en-US" w:eastAsia="en-US"/>
        </w:rPr>
        <w:t>ournal of</w:t>
      </w:r>
      <w:r w:rsidRPr="0003764E">
        <w:rPr>
          <w:rFonts w:ascii="Times New Roman" w:hAnsi="Times New Roman"/>
          <w:color w:val="000000" w:themeColor="text1"/>
          <w:sz w:val="28"/>
          <w:szCs w:val="28"/>
          <w:lang w:val="en-US" w:eastAsia="en-US"/>
        </w:rPr>
        <w:t xml:space="preserve"> Drug Metab</w:t>
      </w:r>
      <w:r>
        <w:rPr>
          <w:rFonts w:ascii="Times New Roman" w:hAnsi="Times New Roman"/>
          <w:color w:val="000000" w:themeColor="text1"/>
          <w:sz w:val="28"/>
          <w:szCs w:val="28"/>
          <w:lang w:val="en-US" w:eastAsia="en-US"/>
        </w:rPr>
        <w:t>olism and</w:t>
      </w:r>
      <w:r w:rsidRPr="0003764E">
        <w:rPr>
          <w:rFonts w:ascii="Times New Roman" w:hAnsi="Times New Roman"/>
          <w:color w:val="000000" w:themeColor="text1"/>
          <w:sz w:val="28"/>
          <w:szCs w:val="28"/>
          <w:lang w:val="en-US" w:eastAsia="en-US"/>
        </w:rPr>
        <w:t xml:space="preserve"> Pharmacokinet</w:t>
      </w:r>
      <w:r>
        <w:rPr>
          <w:rFonts w:ascii="Times New Roman" w:hAnsi="Times New Roman"/>
          <w:color w:val="000000" w:themeColor="text1"/>
          <w:sz w:val="28"/>
          <w:szCs w:val="28"/>
          <w:lang w:val="en-US" w:eastAsia="en-US"/>
        </w:rPr>
        <w:t xml:space="preserve">ics,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41,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45–54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0B05F3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171.</w:t>
      </w:r>
      <w:r w:rsidRPr="0003764E">
        <w:rPr>
          <w:rFonts w:ascii="Times New Roman" w:hAnsi="Times New Roman"/>
          <w:color w:val="000000" w:themeColor="text1"/>
          <w:sz w:val="28"/>
          <w:szCs w:val="28"/>
          <w:lang w:val="en-US" w:eastAsia="en-US"/>
        </w:rPr>
        <w:tab/>
        <w:t>Mendell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Zahi</w:t>
      </w:r>
      <w:r>
        <w:rPr>
          <w:rFonts w:ascii="Times New Roman" w:hAnsi="Times New Roman"/>
          <w:sz w:val="28"/>
          <w:szCs w:val="28"/>
          <w:lang w:val="en-US" w:eastAsia="en-US"/>
        </w:rPr>
        <w:t xml:space="preserve">r </w:t>
      </w:r>
      <w:r w:rsidRPr="00A21A7F">
        <w:rPr>
          <w:rFonts w:ascii="Times New Roman" w:hAnsi="Times New Roman"/>
          <w:sz w:val="28"/>
          <w:szCs w:val="28"/>
          <w:lang w:val="en-US" w:eastAsia="en-US"/>
        </w:rPr>
        <w:t>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Matsushima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N.</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Drug-drug interaction studies of cardiovascular drugs involving P-glycoprotein, an efflux transporter, on the pharmacokinetics of edoxaban, an oral factor Xa inhibitor //</w:t>
      </w:r>
      <w:r w:rsidRPr="003C4276">
        <w:rPr>
          <w:lang w:val="en-US"/>
        </w:rPr>
        <w:t xml:space="preserve"> </w:t>
      </w:r>
      <w:r w:rsidRPr="003C4276">
        <w:rPr>
          <w:rFonts w:ascii="Times New Roman" w:hAnsi="Times New Roman"/>
          <w:color w:val="000000" w:themeColor="text1"/>
          <w:sz w:val="28"/>
          <w:szCs w:val="28"/>
          <w:lang w:val="en-US" w:eastAsia="en-US"/>
        </w:rPr>
        <w:t>American Journal of Cardiovascular Drugs: Drugs, Devices, and Other Interventions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 № 5</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331–342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9423AC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172.</w:t>
      </w:r>
      <w:r w:rsidRPr="0003764E">
        <w:rPr>
          <w:rFonts w:ascii="Times New Roman" w:hAnsi="Times New Roman"/>
          <w:color w:val="000000" w:themeColor="text1"/>
          <w:sz w:val="28"/>
          <w:szCs w:val="28"/>
          <w:lang w:val="en-US" w:eastAsia="en-US"/>
        </w:rPr>
        <w:tab/>
        <w:t xml:space="preserve">John R. Horn P., Philip D. Hansten P. Edoxaban: A New Oral Factor Xa Inhibitor Anticoagulant. MJH Life Sciences, 2015.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81.</w:t>
      </w:r>
    </w:p>
    <w:p w14:paraId="4CD647D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173.</w:t>
      </w:r>
      <w:r w:rsidRPr="0003764E">
        <w:rPr>
          <w:rFonts w:ascii="Times New Roman" w:hAnsi="Times New Roman"/>
          <w:color w:val="000000" w:themeColor="text1"/>
          <w:sz w:val="28"/>
          <w:szCs w:val="28"/>
          <w:lang w:val="en-US" w:eastAsia="en-US"/>
        </w:rPr>
        <w:tab/>
        <w:t>Bounameaux H., Camm A. J. Edoxaban: An Update on the New Oral Direct Factor Xa Inhibitor // Drugs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74, № 11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1209–1231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38F4DD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174.</w:t>
      </w:r>
      <w:r w:rsidRPr="0003764E">
        <w:rPr>
          <w:rFonts w:ascii="Times New Roman" w:hAnsi="Times New Roman"/>
          <w:color w:val="000000" w:themeColor="text1"/>
          <w:sz w:val="28"/>
          <w:szCs w:val="28"/>
          <w:lang w:val="en-US" w:eastAsia="en-US"/>
        </w:rPr>
        <w:tab/>
        <w:t>Parasrampuria D.A.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Weilert</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Maa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J.-F.</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Pharmacokinetics and Pharmacodynamics of the Nonvitamin K Antagonist Oral Anticoagulant Edoxaban When Administered Alone or After Switching from Rivaroxaban or Dabigatran Etexilate in Healthy Subjects // </w:t>
      </w:r>
      <w:r w:rsidRPr="003C4276">
        <w:rPr>
          <w:rFonts w:ascii="Times New Roman" w:hAnsi="Times New Roman"/>
          <w:color w:val="000000" w:themeColor="text1"/>
          <w:sz w:val="28"/>
          <w:szCs w:val="28"/>
          <w:lang w:val="en-US" w:eastAsia="en-US"/>
        </w:rPr>
        <w:t>Clinical Drug Investigation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127–136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BA96EC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175.</w:t>
      </w:r>
      <w:r w:rsidRPr="0003764E">
        <w:rPr>
          <w:rFonts w:ascii="Times New Roman" w:hAnsi="Times New Roman"/>
          <w:color w:val="000000" w:themeColor="text1"/>
          <w:sz w:val="28"/>
          <w:szCs w:val="28"/>
          <w:lang w:val="en-US" w:eastAsia="en-US"/>
        </w:rPr>
        <w:tab/>
        <w:t>Vandell A.G.</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Lee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Shi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An integrated pharmacokinetic/</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pharmacogenomic analysis of ABCB1 and SLCO1B1 polymorphisms on edoxaban exposure // </w:t>
      </w:r>
      <w:r w:rsidRPr="003C4276">
        <w:rPr>
          <w:rFonts w:ascii="Times New Roman" w:hAnsi="Times New Roman"/>
          <w:color w:val="000000" w:themeColor="text1"/>
          <w:sz w:val="28"/>
          <w:szCs w:val="28"/>
          <w:lang w:val="en-US" w:eastAsia="en-US"/>
        </w:rPr>
        <w:t>The Pharmacogenomics Journal</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Nature Publishing Group, 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18,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153–159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E0C451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176.</w:t>
      </w:r>
      <w:r w:rsidRPr="0003764E">
        <w:rPr>
          <w:rFonts w:ascii="Times New Roman" w:hAnsi="Times New Roman"/>
          <w:color w:val="000000" w:themeColor="text1"/>
          <w:sz w:val="28"/>
          <w:szCs w:val="28"/>
          <w:lang w:val="en-US" w:eastAsia="en-US"/>
        </w:rPr>
        <w:tab/>
        <w:t>Burness C.B., McKeage K. Dabigatran etexilate: a review of its use for the prevention of venous thromboembolism after total hip or knee replacement surgery // Drugs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72, № 7</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963–986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7C3CAB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177.</w:t>
      </w:r>
      <w:r w:rsidRPr="0003764E">
        <w:rPr>
          <w:rFonts w:ascii="Times New Roman" w:hAnsi="Times New Roman"/>
          <w:color w:val="000000" w:themeColor="text1"/>
          <w:sz w:val="28"/>
          <w:szCs w:val="28"/>
          <w:lang w:val="en-US" w:eastAsia="en-US"/>
        </w:rPr>
        <w:tab/>
        <w:t xml:space="preserve">Stangier J., Clemens A. Pharmacology, pharmacokinetics, and pharmacodynamics of dabigatran etexilate, an oral direct thrombin inhibitor // </w:t>
      </w:r>
      <w:r w:rsidRPr="003C4276">
        <w:rPr>
          <w:rFonts w:ascii="Times New Roman" w:hAnsi="Times New Roman"/>
          <w:color w:val="000000" w:themeColor="text1"/>
          <w:sz w:val="28"/>
          <w:szCs w:val="28"/>
          <w:lang w:val="en-US" w:eastAsia="en-US"/>
        </w:rPr>
        <w:t>Clinical and Applied Thrombosis/Hemostasis: Official Journal of the International Academy of Clinical and Applied Thrombosis/Hemostasis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2009.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15</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Suppl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9S-16S</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D459BD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178.</w:t>
      </w:r>
      <w:r w:rsidRPr="0003764E">
        <w:rPr>
          <w:rFonts w:ascii="Times New Roman" w:hAnsi="Times New Roman"/>
          <w:color w:val="000000" w:themeColor="text1"/>
          <w:sz w:val="28"/>
          <w:szCs w:val="28"/>
          <w:lang w:val="en-US" w:eastAsia="en-US"/>
        </w:rPr>
        <w:tab/>
        <w:t>Eisert W.G.</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Hauel</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N.</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Stangier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Dabigatran: An Oral Novel Potent Reversible Nonpeptide Inhibitor of Thrombin // </w:t>
      </w:r>
      <w:r w:rsidRPr="003C4276">
        <w:rPr>
          <w:rFonts w:ascii="Times New Roman" w:hAnsi="Times New Roman"/>
          <w:color w:val="000000" w:themeColor="text1"/>
          <w:sz w:val="28"/>
          <w:szCs w:val="28"/>
          <w:lang w:val="en-US" w:eastAsia="en-US"/>
        </w:rPr>
        <w:t>Arteriosclerosis, Thrombosis, and Vascular Biology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30, № 10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1885–1889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2783F2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179.</w:t>
      </w:r>
      <w:r w:rsidRPr="0003764E">
        <w:rPr>
          <w:rFonts w:ascii="Times New Roman" w:hAnsi="Times New Roman"/>
          <w:color w:val="000000" w:themeColor="text1"/>
          <w:sz w:val="28"/>
          <w:szCs w:val="28"/>
          <w:lang w:val="en-US" w:eastAsia="en-US"/>
        </w:rPr>
        <w:tab/>
        <w:t>Shi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Wang X.</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Nguyen J</w:t>
      </w:r>
      <w:r>
        <w:rPr>
          <w:rFonts w:ascii="Times New Roman" w:hAnsi="Times New Roman"/>
          <w:sz w:val="28"/>
          <w:szCs w:val="28"/>
          <w:lang w:val="en-US" w:eastAsia="en-US"/>
        </w:rPr>
        <w:t>.</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Dabigatran Etexilate Activation is Affected by the CES1 Genetic Polymorphism G143E (rs71647871) and Gender // </w:t>
      </w:r>
      <w:r w:rsidRPr="003C4276">
        <w:rPr>
          <w:rFonts w:ascii="Times New Roman" w:hAnsi="Times New Roman"/>
          <w:color w:val="000000" w:themeColor="text1"/>
          <w:sz w:val="28"/>
          <w:szCs w:val="28"/>
          <w:lang w:val="en-US" w:eastAsia="en-US"/>
        </w:rPr>
        <w:t>Biochemical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119</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76–84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A1B8FE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180.</w:t>
      </w:r>
      <w:r w:rsidRPr="0003764E">
        <w:rPr>
          <w:rFonts w:ascii="Times New Roman" w:hAnsi="Times New Roman"/>
          <w:color w:val="000000" w:themeColor="text1"/>
          <w:sz w:val="28"/>
          <w:szCs w:val="28"/>
          <w:lang w:val="en-US" w:eastAsia="en-US"/>
        </w:rPr>
        <w:tab/>
        <w:t>Laizure S.C.</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Chen F.</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Farrar J. E.</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Carboxylesterase-2 plays a critical role in dabigatran etexilate active metabolite formation //</w:t>
      </w:r>
      <w:r>
        <w:rPr>
          <w:rFonts w:ascii="Times New Roman" w:hAnsi="Times New Roman"/>
          <w:color w:val="000000" w:themeColor="text1"/>
          <w:sz w:val="28"/>
          <w:szCs w:val="28"/>
          <w:lang w:val="en-US" w:eastAsia="en-US"/>
        </w:rPr>
        <w:t xml:space="preserve"> </w:t>
      </w:r>
      <w:r w:rsidRPr="00583936">
        <w:rPr>
          <w:rFonts w:ascii="Times New Roman" w:hAnsi="Times New Roman"/>
          <w:color w:val="000000" w:themeColor="text1"/>
          <w:sz w:val="28"/>
          <w:szCs w:val="28"/>
          <w:lang w:val="en-US" w:eastAsia="en-US"/>
        </w:rPr>
        <w:t>Drug Metabolism and Pharmacokinetics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47</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100479.</w:t>
      </w:r>
    </w:p>
    <w:p w14:paraId="3E6CC83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181.</w:t>
      </w:r>
      <w:r w:rsidRPr="0003764E">
        <w:rPr>
          <w:rFonts w:ascii="Times New Roman" w:hAnsi="Times New Roman"/>
          <w:color w:val="000000" w:themeColor="text1"/>
          <w:sz w:val="28"/>
          <w:szCs w:val="28"/>
          <w:lang w:val="en-US" w:eastAsia="en-US"/>
        </w:rPr>
        <w:tab/>
        <w:t>Shen H.</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Yao 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Sinz</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Renal Excretion of Dabigatran: The Potential Role of Multidrug and Toxin Extrusion (MATE) Proteins // </w:t>
      </w:r>
      <w:r w:rsidRPr="00583936">
        <w:rPr>
          <w:rFonts w:ascii="Times New Roman" w:hAnsi="Times New Roman"/>
          <w:color w:val="000000" w:themeColor="text1"/>
          <w:sz w:val="28"/>
          <w:szCs w:val="28"/>
          <w:lang w:val="en-US" w:eastAsia="en-US"/>
        </w:rPr>
        <w:t>Molecular Pharmaceutics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16, № 9</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4065–4076.</w:t>
      </w:r>
    </w:p>
    <w:p w14:paraId="6E48E4E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182.</w:t>
      </w:r>
      <w:r w:rsidRPr="0003764E">
        <w:rPr>
          <w:rFonts w:ascii="Times New Roman" w:hAnsi="Times New Roman"/>
          <w:color w:val="000000" w:themeColor="text1"/>
          <w:sz w:val="28"/>
          <w:szCs w:val="28"/>
          <w:lang w:val="en-US" w:eastAsia="en-US"/>
        </w:rPr>
        <w:tab/>
        <w:t>Pereira Portela C.</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Gautier L.A.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Zermatten M.G.</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Direct oral anticoagulants in cirrhosis: Rationale and current evidence // JHEP Rep</w:t>
      </w:r>
      <w:r>
        <w:rPr>
          <w:rFonts w:ascii="Times New Roman" w:hAnsi="Times New Roman"/>
          <w:color w:val="000000" w:themeColor="text1"/>
          <w:sz w:val="28"/>
          <w:szCs w:val="28"/>
          <w:lang w:val="en-US" w:eastAsia="en-US"/>
        </w:rPr>
        <w:t xml:space="preserve">orts, </w:t>
      </w:r>
      <w:r w:rsidRPr="0003764E">
        <w:rPr>
          <w:rFonts w:ascii="Times New Roman" w:hAnsi="Times New Roman"/>
          <w:color w:val="000000" w:themeColor="text1"/>
          <w:sz w:val="28"/>
          <w:szCs w:val="28"/>
          <w:lang w:val="en-US" w:eastAsia="en-US"/>
        </w:rPr>
        <w:t xml:space="preserve">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6, № 8</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101116.</w:t>
      </w:r>
    </w:p>
    <w:p w14:paraId="7D8166D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183.</w:t>
      </w:r>
      <w:r w:rsidRPr="0003764E">
        <w:rPr>
          <w:rFonts w:ascii="Times New Roman" w:hAnsi="Times New Roman"/>
          <w:color w:val="000000" w:themeColor="text1"/>
          <w:sz w:val="28"/>
          <w:szCs w:val="28"/>
          <w:lang w:val="en-US" w:eastAsia="en-US"/>
        </w:rPr>
        <w:tab/>
        <w:t>Stangier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Rathgen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Stähle H.</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Influence of renal impairment on the pharmacokinetics and pharmacodynamics of oral dabigatran etexilate: an open-label, parallel-group, single-centre study // </w:t>
      </w:r>
      <w:r w:rsidRPr="00583936">
        <w:rPr>
          <w:rFonts w:ascii="Times New Roman" w:hAnsi="Times New Roman"/>
          <w:color w:val="000000" w:themeColor="text1"/>
          <w:sz w:val="28"/>
          <w:szCs w:val="28"/>
          <w:lang w:val="en-US" w:eastAsia="en-US"/>
        </w:rPr>
        <w:t>Clinical Pharmacokinetics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49,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259–268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8538E3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184.</w:t>
      </w:r>
      <w:r w:rsidRPr="0003764E">
        <w:rPr>
          <w:rFonts w:ascii="Times New Roman" w:hAnsi="Times New Roman"/>
          <w:color w:val="000000" w:themeColor="text1"/>
          <w:sz w:val="28"/>
          <w:szCs w:val="28"/>
          <w:lang w:val="en-US" w:eastAsia="en-US"/>
        </w:rPr>
        <w:tab/>
        <w:t>Eikelboom J.W.</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Wallentin 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Connolly</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S.J.</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Risk of bleeding with 2 doses of dabigatran compared with warfarin in older and younger patients with atrial fibrillation: an analysis of the randomized evaluation of long-term anticoagulant therapy (RE-LY) trial // Circulation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123, № 21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2363–2372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8849A4A"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185.</w:t>
      </w:r>
      <w:r w:rsidRPr="0003764E">
        <w:rPr>
          <w:rFonts w:ascii="Times New Roman" w:hAnsi="Times New Roman"/>
          <w:color w:val="000000" w:themeColor="text1"/>
          <w:sz w:val="28"/>
          <w:szCs w:val="28"/>
          <w:lang w:val="en-US" w:eastAsia="en-US"/>
        </w:rPr>
        <w:tab/>
        <w:t>Stöllberger C., Finsterer J. Concerns Regarding the Use of Dabigatran for Stroke Prevention in Atrial Fibrillation // Pharmaceuticals (Basel)</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 № 2</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155–168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2200AC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186.</w:t>
      </w:r>
      <w:r w:rsidRPr="0003764E">
        <w:rPr>
          <w:rFonts w:ascii="Times New Roman" w:hAnsi="Times New Roman"/>
          <w:color w:val="000000" w:themeColor="text1"/>
          <w:sz w:val="28"/>
          <w:szCs w:val="28"/>
          <w:lang w:val="en-US" w:eastAsia="en-US"/>
        </w:rPr>
        <w:tab/>
        <w:t>Giner-Soriano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Prat-Vallverdú</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O.</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Ouchi D.</w:t>
      </w:r>
      <w:r>
        <w:rPr>
          <w:rFonts w:ascii="Times New Roman" w:hAnsi="Times New Roman"/>
          <w:color w:val="000000" w:themeColor="text1"/>
          <w:sz w:val="28"/>
          <w:szCs w:val="28"/>
          <w:lang w:val="en-US" w:eastAsia="en-US"/>
        </w:rPr>
        <w:t xml:space="preserve"> et al. </w:t>
      </w:r>
      <w:r w:rsidRPr="0003764E">
        <w:rPr>
          <w:rFonts w:ascii="Times New Roman" w:hAnsi="Times New Roman"/>
          <w:color w:val="000000" w:themeColor="text1"/>
          <w:sz w:val="28"/>
          <w:szCs w:val="28"/>
          <w:lang w:val="en-US" w:eastAsia="en-US"/>
        </w:rPr>
        <w:t>Sex and gender differences in the use of oral anticoagulants for non-valvular atrial fibrillation: A population-based cohort study in primary health care in catalonia // Front</w:t>
      </w:r>
      <w:r>
        <w:rPr>
          <w:rFonts w:ascii="Times New Roman" w:hAnsi="Times New Roman"/>
          <w:color w:val="000000" w:themeColor="text1"/>
          <w:sz w:val="28"/>
          <w:szCs w:val="28"/>
          <w:lang w:val="en-US" w:eastAsia="en-US"/>
        </w:rPr>
        <w:t>iers in</w:t>
      </w:r>
      <w:r w:rsidRPr="0003764E">
        <w:rPr>
          <w:rFonts w:ascii="Times New Roman" w:hAnsi="Times New Roman"/>
          <w:color w:val="000000" w:themeColor="text1"/>
          <w:sz w:val="28"/>
          <w:szCs w:val="28"/>
          <w:lang w:val="en-US" w:eastAsia="en-US"/>
        </w:rPr>
        <w:t xml:space="preserve"> Pharmacol</w:t>
      </w:r>
      <w:r>
        <w:rPr>
          <w:rFonts w:ascii="Times New Roman" w:hAnsi="Times New Roman"/>
          <w:color w:val="000000" w:themeColor="text1"/>
          <w:sz w:val="28"/>
          <w:szCs w:val="28"/>
          <w:lang w:val="en-US" w:eastAsia="en-US"/>
        </w:rPr>
        <w:t>ogy,</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1110036.</w:t>
      </w:r>
    </w:p>
    <w:p w14:paraId="624B7FB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187.</w:t>
      </w:r>
      <w:r w:rsidRPr="0003764E">
        <w:rPr>
          <w:rFonts w:ascii="Times New Roman" w:hAnsi="Times New Roman"/>
          <w:color w:val="000000" w:themeColor="text1"/>
          <w:sz w:val="28"/>
          <w:szCs w:val="28"/>
          <w:lang w:val="en-US" w:eastAsia="en-US"/>
        </w:rPr>
        <w:tab/>
        <w:t>Lin S.-Y.</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Tang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Kuo C.-H.</w:t>
      </w:r>
      <w:r>
        <w:rPr>
          <w:rFonts w:ascii="Times New Roman" w:hAnsi="Times New Roman"/>
          <w:color w:val="000000" w:themeColor="text1"/>
          <w:sz w:val="28"/>
          <w:szCs w:val="28"/>
          <w:lang w:val="en-US" w:eastAsia="en-US"/>
        </w:rPr>
        <w:t xml:space="preserve"> et al. </w:t>
      </w:r>
      <w:r w:rsidRPr="0003764E">
        <w:rPr>
          <w:rFonts w:ascii="Times New Roman" w:hAnsi="Times New Roman"/>
          <w:color w:val="000000" w:themeColor="text1"/>
          <w:sz w:val="28"/>
          <w:szCs w:val="28"/>
          <w:lang w:val="en-US" w:eastAsia="en-US"/>
        </w:rPr>
        <w:t>Factors affecting serum concentration of dabigatran in Asian patients with non-valvular atrial fibrillation // Journal of the Formosan Medical Association</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118, № 7</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1154–1160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56E70A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188.</w:t>
      </w:r>
      <w:r w:rsidRPr="0003764E">
        <w:rPr>
          <w:rFonts w:ascii="Times New Roman" w:hAnsi="Times New Roman"/>
          <w:color w:val="000000" w:themeColor="text1"/>
          <w:sz w:val="28"/>
          <w:szCs w:val="28"/>
          <w:lang w:val="en-US" w:eastAsia="en-US"/>
        </w:rPr>
        <w:tab/>
        <w:t>Zhao Y.</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Guo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Li D.</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Pharmacokinetics and Dosing Regimens of Direct Oral Anticoagulants in Morbidly Obese Patients: An Updated Literature Review //</w:t>
      </w:r>
      <w:r w:rsidRPr="00D43B2B">
        <w:rPr>
          <w:rFonts w:ascii="Times New Roman" w:hAnsi="Times New Roman"/>
          <w:color w:val="000000" w:themeColor="text1"/>
          <w:sz w:val="28"/>
          <w:szCs w:val="28"/>
          <w:lang w:val="en-US" w:eastAsia="en-US"/>
        </w:rPr>
        <w:t>Clinical and Applied Thrombosis/Hemostasis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29</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10760296231153638.</w:t>
      </w:r>
    </w:p>
    <w:p w14:paraId="78E3CDB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189.</w:t>
      </w:r>
      <w:r w:rsidRPr="0003764E">
        <w:rPr>
          <w:rFonts w:ascii="Times New Roman" w:hAnsi="Times New Roman"/>
          <w:color w:val="000000" w:themeColor="text1"/>
          <w:sz w:val="28"/>
          <w:szCs w:val="28"/>
          <w:lang w:val="en-US" w:eastAsia="en-US"/>
        </w:rPr>
        <w:tab/>
        <w:t>Talerico R.</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Pola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R.</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Klok F. A.</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Direct-Acting Oral Anticoagulants in patients at extremes of body weight: a review of pharmacological considerations and clinical implications // TH Open</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e31–e41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656ED2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190.</w:t>
      </w:r>
      <w:r w:rsidRPr="0003764E">
        <w:rPr>
          <w:rFonts w:ascii="Times New Roman" w:hAnsi="Times New Roman"/>
          <w:color w:val="000000" w:themeColor="text1"/>
          <w:sz w:val="28"/>
          <w:szCs w:val="28"/>
          <w:lang w:val="en-US" w:eastAsia="en-US"/>
        </w:rPr>
        <w:tab/>
        <w:t>Härtter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Sennewald</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R.</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Nehmiz G.</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Oral bioavailability of dabigatran etexilate (Pradaxa®) after co-medication with verapamil in healthy subjects // </w:t>
      </w:r>
      <w:r w:rsidRPr="00D43B2B">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75, № 4</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1053–1062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FD4893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191.</w:t>
      </w:r>
      <w:r w:rsidRPr="0003764E">
        <w:rPr>
          <w:rFonts w:ascii="Times New Roman" w:hAnsi="Times New Roman"/>
          <w:color w:val="000000" w:themeColor="text1"/>
          <w:sz w:val="28"/>
          <w:szCs w:val="28"/>
          <w:lang w:val="en-US" w:eastAsia="en-US"/>
        </w:rPr>
        <w:tab/>
        <w:t>Udomnilobol U.</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Dunkoksung, W</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Sakares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W.</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Assessing the relative contribution of CYP3A-and P-gp-mediated pathways to the overall disposition and drug-drug interaction of dabigatran etexilate using a comprehensive mechanistic physiological-based pharmacokinetic model // Front</w:t>
      </w:r>
      <w:r>
        <w:rPr>
          <w:rFonts w:ascii="Times New Roman" w:hAnsi="Times New Roman"/>
          <w:color w:val="000000" w:themeColor="text1"/>
          <w:sz w:val="28"/>
          <w:szCs w:val="28"/>
          <w:lang w:val="en-US" w:eastAsia="en-US"/>
        </w:rPr>
        <w:t>iers in</w:t>
      </w:r>
      <w:r w:rsidRPr="0003764E">
        <w:rPr>
          <w:rFonts w:ascii="Times New Roman" w:hAnsi="Times New Roman"/>
          <w:color w:val="000000" w:themeColor="text1"/>
          <w:sz w:val="28"/>
          <w:szCs w:val="28"/>
          <w:lang w:val="en-US" w:eastAsia="en-US"/>
        </w:rPr>
        <w:t xml:space="preserve"> Pharmacol</w:t>
      </w:r>
      <w:r>
        <w:rPr>
          <w:rFonts w:ascii="Times New Roman" w:hAnsi="Times New Roman"/>
          <w:color w:val="000000" w:themeColor="text1"/>
          <w:sz w:val="28"/>
          <w:szCs w:val="28"/>
          <w:lang w:val="en-US" w:eastAsia="en-US"/>
        </w:rPr>
        <w:t xml:space="preserve">ogy, </w:t>
      </w:r>
      <w:r w:rsidRPr="0003764E">
        <w:rPr>
          <w:rFonts w:ascii="Times New Roman" w:hAnsi="Times New Roman"/>
          <w:color w:val="000000" w:themeColor="text1"/>
          <w:sz w:val="28"/>
          <w:szCs w:val="28"/>
          <w:lang w:val="en-US" w:eastAsia="en-US"/>
        </w:rPr>
        <w:t xml:space="preserve">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1356273.</w:t>
      </w:r>
    </w:p>
    <w:p w14:paraId="77A10EF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192.</w:t>
      </w:r>
      <w:r w:rsidRPr="0003764E">
        <w:rPr>
          <w:rFonts w:ascii="Times New Roman" w:hAnsi="Times New Roman"/>
          <w:color w:val="000000" w:themeColor="text1"/>
          <w:sz w:val="28"/>
          <w:szCs w:val="28"/>
          <w:lang w:val="en-US" w:eastAsia="en-US"/>
        </w:rPr>
        <w:tab/>
        <w:t>Silva R.</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Vilas-Boas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V.</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Carmo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H.</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Modulation of P-glycoprotein efflux pump: induction and activation as a therapeutic strategy // </w:t>
      </w:r>
      <w:r w:rsidRPr="00D43B2B">
        <w:rPr>
          <w:rFonts w:ascii="Times New Roman" w:hAnsi="Times New Roman"/>
          <w:color w:val="000000" w:themeColor="text1"/>
          <w:sz w:val="28"/>
          <w:szCs w:val="28"/>
          <w:lang w:val="en-US" w:eastAsia="en-US"/>
        </w:rPr>
        <w:t>Pharmacology &amp; Therapeutics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149</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1–123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8C73F7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193.</w:t>
      </w:r>
      <w:r w:rsidRPr="0003764E">
        <w:rPr>
          <w:rFonts w:ascii="Times New Roman" w:hAnsi="Times New Roman"/>
          <w:color w:val="000000" w:themeColor="text1"/>
          <w:sz w:val="28"/>
          <w:szCs w:val="28"/>
          <w:lang w:val="en-US" w:eastAsia="en-US"/>
        </w:rPr>
        <w:tab/>
        <w:t xml:space="preserve">Loo T. W., Clarke D. M. Recent progress in understanding the mechanism of P-glycoprotein-mediated drug efflux // </w:t>
      </w:r>
      <w:r w:rsidRPr="00D43B2B">
        <w:rPr>
          <w:rFonts w:ascii="Times New Roman" w:hAnsi="Times New Roman"/>
          <w:color w:val="000000" w:themeColor="text1"/>
          <w:sz w:val="28"/>
          <w:szCs w:val="28"/>
          <w:lang w:val="en-US" w:eastAsia="en-US"/>
        </w:rPr>
        <w:t>The Journal of Membrane Biology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2005.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206,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173–185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ED9B0B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194.</w:t>
      </w:r>
      <w:r w:rsidRPr="0003764E">
        <w:rPr>
          <w:rFonts w:ascii="Times New Roman" w:hAnsi="Times New Roman"/>
          <w:color w:val="000000" w:themeColor="text1"/>
          <w:sz w:val="28"/>
          <w:szCs w:val="28"/>
          <w:lang w:val="en-US" w:eastAsia="en-US"/>
        </w:rPr>
        <w:tab/>
        <w:t>Coumau C., Csajka C. A Systematic Review and Classification of the Effects of P-glycoprotein Inhibitors and Inducers in Humans, Using Digoxin, Fexofenadine, and Dabigatran as Probe Drugs // Clin</w:t>
      </w:r>
      <w:r>
        <w:rPr>
          <w:rFonts w:ascii="Times New Roman" w:hAnsi="Times New Roman"/>
          <w:color w:val="000000" w:themeColor="text1"/>
          <w:sz w:val="28"/>
          <w:szCs w:val="28"/>
          <w:lang w:val="en-US" w:eastAsia="en-US"/>
        </w:rPr>
        <w:t>ical</w:t>
      </w:r>
      <w:r w:rsidRPr="0003764E">
        <w:rPr>
          <w:rFonts w:ascii="Times New Roman" w:hAnsi="Times New Roman"/>
          <w:color w:val="000000" w:themeColor="text1"/>
          <w:sz w:val="28"/>
          <w:szCs w:val="28"/>
          <w:lang w:val="en-US" w:eastAsia="en-US"/>
        </w:rPr>
        <w:t xml:space="preserve"> Pharmacokinet</w:t>
      </w:r>
      <w:r>
        <w:rPr>
          <w:rFonts w:ascii="Times New Roman" w:hAnsi="Times New Roman"/>
          <w:color w:val="000000" w:themeColor="text1"/>
          <w:sz w:val="28"/>
          <w:szCs w:val="28"/>
          <w:lang w:val="en-US" w:eastAsia="en-US"/>
        </w:rPr>
        <w:t>ics,</w:t>
      </w:r>
      <w:r w:rsidRPr="0003764E">
        <w:rPr>
          <w:rFonts w:ascii="Times New Roman" w:hAnsi="Times New Roman"/>
          <w:color w:val="000000" w:themeColor="text1"/>
          <w:sz w:val="28"/>
          <w:szCs w:val="28"/>
          <w:lang w:val="en-US" w:eastAsia="en-US"/>
        </w:rPr>
        <w:t xml:space="preserve"> 2025</w:t>
      </w:r>
      <w:r>
        <w:rPr>
          <w:rFonts w:ascii="Times New Roman" w:hAnsi="Times New Roman"/>
          <w:color w:val="000000" w:themeColor="text1"/>
          <w:sz w:val="28"/>
          <w:szCs w:val="28"/>
          <w:lang w:val="en-US" w:eastAsia="en-US"/>
        </w:rPr>
        <w:t>. Vol.64, 849-863p.</w:t>
      </w:r>
    </w:p>
    <w:p w14:paraId="505C134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195.</w:t>
      </w:r>
      <w:r w:rsidRPr="0003764E">
        <w:rPr>
          <w:rFonts w:ascii="Times New Roman" w:hAnsi="Times New Roman"/>
          <w:color w:val="000000" w:themeColor="text1"/>
          <w:sz w:val="28"/>
          <w:szCs w:val="28"/>
          <w:lang w:val="en-US" w:eastAsia="en-US"/>
        </w:rPr>
        <w:tab/>
        <w:t>Stangier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Stähle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H.</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Rathgen K.</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Pharmacokinetics and Pharmacodynamics of Dabigatran Etexilate, an Oral Direct Thrombin Inhibitor, Are Not Affected by Moderate Hepatic Impairment // The Journal of Clinical Pharma</w:t>
      </w:r>
      <w:r>
        <w:rPr>
          <w:rFonts w:ascii="Times New Roman" w:hAnsi="Times New Roman"/>
          <w:color w:val="000000" w:themeColor="text1"/>
          <w:sz w:val="28"/>
          <w:szCs w:val="28"/>
          <w:lang w:val="en-US" w:eastAsia="en-US"/>
        </w:rPr>
        <w:t>cology,</w:t>
      </w:r>
      <w:r w:rsidRPr="0003764E">
        <w:rPr>
          <w:rFonts w:ascii="Times New Roman" w:hAnsi="Times New Roman"/>
          <w:color w:val="000000" w:themeColor="text1"/>
          <w:sz w:val="28"/>
          <w:szCs w:val="28"/>
          <w:lang w:val="en-US" w:eastAsia="en-US"/>
        </w:rPr>
        <w:t xml:space="preserve"> 2008.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48, № 12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1411–1419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75D2FC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196.</w:t>
      </w:r>
      <w:r w:rsidRPr="0003764E">
        <w:rPr>
          <w:rFonts w:ascii="Times New Roman" w:hAnsi="Times New Roman"/>
          <w:color w:val="000000" w:themeColor="text1"/>
          <w:sz w:val="28"/>
          <w:szCs w:val="28"/>
          <w:lang w:val="en-US" w:eastAsia="en-US"/>
        </w:rPr>
        <w:tab/>
        <w:t>Bernier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Lancrerot</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Rocher F.</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Major bleeding events in octagenarians associated with drug interactions between dabigatran and P-gp inhibitors // </w:t>
      </w:r>
      <w:r w:rsidRPr="00D43B2B">
        <w:rPr>
          <w:rFonts w:ascii="Times New Roman" w:hAnsi="Times New Roman"/>
          <w:color w:val="000000" w:themeColor="text1"/>
          <w:sz w:val="28"/>
          <w:szCs w:val="28"/>
          <w:lang w:val="en-US" w:eastAsia="en-US"/>
        </w:rPr>
        <w:t>Journal of Geriatric Cardiology : JGC</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16, № 11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806–811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CFE2DE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197.</w:t>
      </w:r>
      <w:r w:rsidRPr="0003764E">
        <w:rPr>
          <w:rFonts w:ascii="Times New Roman" w:hAnsi="Times New Roman"/>
          <w:color w:val="000000" w:themeColor="text1"/>
          <w:sz w:val="28"/>
          <w:szCs w:val="28"/>
          <w:lang w:val="en-US" w:eastAsia="en-US"/>
        </w:rPr>
        <w:tab/>
        <w:t>Elmeliegy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Vourvahis</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Guo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Effect of P-glycoprotein (P-gp) Inducers on Exposure of P-gp Substrates: Review of Clinical Drug–Drug Interaction Studies // Clin</w:t>
      </w:r>
      <w:r>
        <w:rPr>
          <w:rFonts w:ascii="Times New Roman" w:hAnsi="Times New Roman"/>
          <w:color w:val="000000" w:themeColor="text1"/>
          <w:sz w:val="28"/>
          <w:szCs w:val="28"/>
          <w:lang w:val="en-US" w:eastAsia="en-US"/>
        </w:rPr>
        <w:t>ical</w:t>
      </w:r>
      <w:r w:rsidRPr="0003764E">
        <w:rPr>
          <w:rFonts w:ascii="Times New Roman" w:hAnsi="Times New Roman"/>
          <w:color w:val="000000" w:themeColor="text1"/>
          <w:sz w:val="28"/>
          <w:szCs w:val="28"/>
          <w:lang w:val="en-US" w:eastAsia="en-US"/>
        </w:rPr>
        <w:t xml:space="preserve"> Pharmacokinet</w:t>
      </w:r>
      <w:r>
        <w:rPr>
          <w:rFonts w:ascii="Times New Roman" w:hAnsi="Times New Roman"/>
          <w:color w:val="000000" w:themeColor="text1"/>
          <w:sz w:val="28"/>
          <w:szCs w:val="28"/>
          <w:lang w:val="en-US" w:eastAsia="en-US"/>
        </w:rPr>
        <w:t>ics,</w:t>
      </w:r>
      <w:r w:rsidRPr="0003764E">
        <w:rPr>
          <w:rFonts w:ascii="Times New Roman" w:hAnsi="Times New Roman"/>
          <w:color w:val="000000" w:themeColor="text1"/>
          <w:sz w:val="28"/>
          <w:szCs w:val="28"/>
          <w:lang w:val="en-US" w:eastAsia="en-US"/>
        </w:rPr>
        <w:t xml:space="preserve"> 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59,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699–714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E3487B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198.</w:t>
      </w:r>
      <w:r w:rsidRPr="0003764E">
        <w:rPr>
          <w:rFonts w:ascii="Times New Roman" w:hAnsi="Times New Roman"/>
          <w:color w:val="000000" w:themeColor="text1"/>
          <w:sz w:val="28"/>
          <w:szCs w:val="28"/>
          <w:lang w:val="en-US" w:eastAsia="en-US"/>
        </w:rPr>
        <w:tab/>
        <w:t>Abdrakhmanov 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Akilzhanova, 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Shaimerdinova A.</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The Distribution of the Genotypes of ABCB1 and CES1 Polymorphisms in Kazakhstani Patients with Atrial Fibrillation Treated with DOAC // Genes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1192</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5047F85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199.</w:t>
      </w:r>
      <w:r w:rsidRPr="0003764E">
        <w:rPr>
          <w:rFonts w:ascii="Times New Roman" w:hAnsi="Times New Roman"/>
          <w:color w:val="000000" w:themeColor="text1"/>
          <w:sz w:val="28"/>
          <w:szCs w:val="28"/>
          <w:lang w:val="en-US" w:eastAsia="en-US"/>
        </w:rPr>
        <w:tab/>
        <w:t xml:space="preserve">Abdrakhmanov A., </w:t>
      </w:r>
      <w:r w:rsidRPr="00A21A7F">
        <w:rPr>
          <w:rFonts w:ascii="Times New Roman" w:hAnsi="Times New Roman"/>
          <w:sz w:val="28"/>
          <w:szCs w:val="28"/>
          <w:lang w:val="en-US" w:eastAsia="en-US"/>
        </w:rPr>
        <w:t>Zholdybayeva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E.</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Shaimerdinova A. et al</w:t>
      </w:r>
      <w:r w:rsidRPr="0003764E">
        <w:rPr>
          <w:rFonts w:ascii="Times New Roman" w:hAnsi="Times New Roman"/>
          <w:color w:val="000000" w:themeColor="text1"/>
          <w:sz w:val="28"/>
          <w:szCs w:val="28"/>
          <w:lang w:val="en-US" w:eastAsia="en-US"/>
        </w:rPr>
        <w:t>. Genetic variants of ABCB1 and CES1 genes on dabigatran metabolism in the Kazakh population // Caspian J</w:t>
      </w:r>
      <w:r>
        <w:rPr>
          <w:rFonts w:ascii="Times New Roman" w:hAnsi="Times New Roman"/>
          <w:color w:val="000000" w:themeColor="text1"/>
          <w:sz w:val="28"/>
          <w:szCs w:val="28"/>
          <w:lang w:val="en-US" w:eastAsia="en-US"/>
        </w:rPr>
        <w:t>ournal of</w:t>
      </w:r>
      <w:r w:rsidRPr="0003764E">
        <w:rPr>
          <w:rFonts w:ascii="Times New Roman" w:hAnsi="Times New Roman"/>
          <w:color w:val="000000" w:themeColor="text1"/>
          <w:sz w:val="28"/>
          <w:szCs w:val="28"/>
          <w:lang w:val="en-US" w:eastAsia="en-US"/>
        </w:rPr>
        <w:t xml:space="preserve"> Intern</w:t>
      </w:r>
      <w:r>
        <w:rPr>
          <w:rFonts w:ascii="Times New Roman" w:hAnsi="Times New Roman"/>
          <w:color w:val="000000" w:themeColor="text1"/>
          <w:sz w:val="28"/>
          <w:szCs w:val="28"/>
          <w:lang w:val="en-US" w:eastAsia="en-US"/>
        </w:rPr>
        <w:t>al</w:t>
      </w:r>
      <w:r w:rsidRPr="0003764E">
        <w:rPr>
          <w:rFonts w:ascii="Times New Roman" w:hAnsi="Times New Roman"/>
          <w:color w:val="000000" w:themeColor="text1"/>
          <w:sz w:val="28"/>
          <w:szCs w:val="28"/>
          <w:lang w:val="en-US" w:eastAsia="en-US"/>
        </w:rPr>
        <w:t xml:space="preserve"> Med</w:t>
      </w:r>
      <w:r>
        <w:rPr>
          <w:rFonts w:ascii="Times New Roman" w:hAnsi="Times New Roman"/>
          <w:color w:val="000000" w:themeColor="text1"/>
          <w:sz w:val="28"/>
          <w:szCs w:val="28"/>
          <w:lang w:val="en-US" w:eastAsia="en-US"/>
        </w:rPr>
        <w:t>icine,</w:t>
      </w:r>
      <w:r w:rsidRPr="0003764E">
        <w:rPr>
          <w:rFonts w:ascii="Times New Roman" w:hAnsi="Times New Roman"/>
          <w:color w:val="000000" w:themeColor="text1"/>
          <w:sz w:val="28"/>
          <w:szCs w:val="28"/>
          <w:lang w:val="en-US" w:eastAsia="en-US"/>
        </w:rPr>
        <w:t xml:space="preserve"> 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15,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499–508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40EC83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200.</w:t>
      </w:r>
      <w:r w:rsidRPr="0003764E">
        <w:rPr>
          <w:rFonts w:ascii="Times New Roman" w:hAnsi="Times New Roman"/>
          <w:color w:val="000000" w:themeColor="text1"/>
          <w:sz w:val="28"/>
          <w:szCs w:val="28"/>
          <w:lang w:val="en-US" w:eastAsia="en-US"/>
        </w:rPr>
        <w:tab/>
        <w:t>Sychev D.A.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Levanov</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A.N.</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Shelekhova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T.V.</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The impact of ABCB1 (rs1045642 and rs4148738) and CES1 (rs2244613) gene polymorphisms on dabigatran equilibrium peak concentration in patients after total knee arthroplasty //</w:t>
      </w:r>
      <w:r w:rsidRPr="00E02E09">
        <w:rPr>
          <w:rFonts w:ascii="Times New Roman" w:hAnsi="Times New Roman"/>
          <w:color w:val="000000" w:themeColor="text1"/>
          <w:sz w:val="28"/>
          <w:szCs w:val="28"/>
          <w:lang w:val="en-US" w:eastAsia="en-US"/>
        </w:rPr>
        <w:t>Pharmacogenomics and Personalized Medicine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127–137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622EE8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201.</w:t>
      </w:r>
      <w:r w:rsidRPr="0003764E">
        <w:rPr>
          <w:rFonts w:ascii="Times New Roman" w:hAnsi="Times New Roman"/>
          <w:color w:val="000000" w:themeColor="text1"/>
          <w:sz w:val="28"/>
          <w:szCs w:val="28"/>
          <w:lang w:val="en-US" w:eastAsia="en-US"/>
        </w:rPr>
        <w:tab/>
        <w:t>Ji Q.</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Zhang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Xu</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Q.</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The impact of </w:t>
      </w:r>
      <w:r w:rsidRPr="0003764E">
        <w:rPr>
          <w:rFonts w:ascii="Times New Roman" w:hAnsi="Times New Roman"/>
          <w:i/>
          <w:iCs/>
          <w:color w:val="000000" w:themeColor="text1"/>
          <w:sz w:val="28"/>
          <w:szCs w:val="28"/>
          <w:lang w:val="en-US" w:eastAsia="en-US"/>
        </w:rPr>
        <w:t>ABCB1</w:t>
      </w:r>
      <w:r w:rsidRPr="0003764E">
        <w:rPr>
          <w:rFonts w:ascii="Times New Roman" w:hAnsi="Times New Roman"/>
          <w:color w:val="000000" w:themeColor="text1"/>
          <w:sz w:val="28"/>
          <w:szCs w:val="28"/>
          <w:lang w:val="en-US" w:eastAsia="en-US"/>
        </w:rPr>
        <w:t xml:space="preserve"> and </w:t>
      </w:r>
      <w:r w:rsidRPr="0003764E">
        <w:rPr>
          <w:rFonts w:ascii="Times New Roman" w:hAnsi="Times New Roman"/>
          <w:i/>
          <w:iCs/>
          <w:color w:val="000000" w:themeColor="text1"/>
          <w:sz w:val="28"/>
          <w:szCs w:val="28"/>
          <w:lang w:val="en-US" w:eastAsia="en-US"/>
        </w:rPr>
        <w:t>CES1</w:t>
      </w:r>
      <w:r w:rsidRPr="0003764E">
        <w:rPr>
          <w:rFonts w:ascii="Times New Roman" w:hAnsi="Times New Roman"/>
          <w:color w:val="000000" w:themeColor="text1"/>
          <w:sz w:val="28"/>
          <w:szCs w:val="28"/>
          <w:lang w:val="en-US" w:eastAsia="en-US"/>
        </w:rPr>
        <w:t xml:space="preserve"> polymorphisms on dabigatran pharmacokinetics and pharmacodynamics in patients with atrial fibrillation // </w:t>
      </w:r>
      <w:r w:rsidRPr="00D43B2B">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87, № 5</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2247–2255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526362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202.</w:t>
      </w:r>
      <w:r w:rsidRPr="0003764E">
        <w:rPr>
          <w:rFonts w:ascii="Times New Roman" w:hAnsi="Times New Roman"/>
          <w:color w:val="000000" w:themeColor="text1"/>
          <w:sz w:val="28"/>
          <w:szCs w:val="28"/>
          <w:lang w:val="en-US" w:eastAsia="en-US"/>
        </w:rPr>
        <w:tab/>
      </w:r>
      <w:r w:rsidRPr="00A21A7F">
        <w:rPr>
          <w:rFonts w:ascii="Times New Roman" w:hAnsi="Times New Roman"/>
          <w:sz w:val="28"/>
          <w:szCs w:val="28"/>
          <w:lang w:val="en-US" w:eastAsia="en-US"/>
        </w:rPr>
        <w:t>Cosmi B.</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Salomone 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Cini M.</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Observational Study of the Inter-Individual Variability of the Plasma Concentrations of Direct Oral Anticoagulants (Dabigatran, Rivaroxaban, Apixaban) and the Effect of rs4148738 Polymorphism of ABCB1 // </w:t>
      </w:r>
      <w:r w:rsidRPr="00E02E09">
        <w:rPr>
          <w:rFonts w:ascii="Times New Roman" w:hAnsi="Times New Roman"/>
          <w:color w:val="000000" w:themeColor="text1"/>
          <w:sz w:val="28"/>
          <w:szCs w:val="28"/>
          <w:lang w:val="en-US" w:eastAsia="en-US"/>
        </w:rPr>
        <w:t>Journal of Cardiology and Therapeutics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8–14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5F8EA3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203.</w:t>
      </w:r>
      <w:r w:rsidRPr="0003764E">
        <w:rPr>
          <w:rFonts w:ascii="Times New Roman" w:hAnsi="Times New Roman"/>
          <w:color w:val="000000" w:themeColor="text1"/>
          <w:sz w:val="28"/>
          <w:szCs w:val="28"/>
          <w:lang w:val="en-US" w:eastAsia="en-US"/>
        </w:rPr>
        <w:tab/>
        <w:t>Roşian A.-N.</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Iancu 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Trifa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A.P.</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An Exploratory Association Analysis of ABCB1 rs1045642 and ABCB1 rs4148738 with Non-Major Bleeding Risk in Atrial Fibrillation Patients Treated with Dabigatran or Apixaban // </w:t>
      </w:r>
      <w:r w:rsidRPr="00E02E09">
        <w:rPr>
          <w:rFonts w:ascii="Times New Roman" w:hAnsi="Times New Roman"/>
          <w:color w:val="000000" w:themeColor="text1"/>
          <w:sz w:val="28"/>
          <w:szCs w:val="28"/>
          <w:lang w:val="en-US" w:eastAsia="en-US"/>
        </w:rPr>
        <w:t>Journal of Personalized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10,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133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93DE44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204.</w:t>
      </w:r>
      <w:r w:rsidRPr="0003764E">
        <w:rPr>
          <w:rFonts w:ascii="Times New Roman" w:hAnsi="Times New Roman"/>
          <w:color w:val="000000" w:themeColor="text1"/>
          <w:sz w:val="28"/>
          <w:szCs w:val="28"/>
          <w:lang w:val="en-US" w:eastAsia="en-US"/>
        </w:rPr>
        <w:tab/>
        <w:t>Sychev D.A.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Levanov</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A.N.</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Shelekhova, T.V.</w:t>
      </w:r>
      <w:r>
        <w:rPr>
          <w:rFonts w:ascii="Times New Roman" w:hAnsi="Times New Roman"/>
          <w:sz w:val="28"/>
          <w:szCs w:val="28"/>
          <w:lang w:val="en-US" w:eastAsia="en-US"/>
        </w:rPr>
        <w:t xml:space="preserve"> Impact of ABCB1 and CES1 genetic polymorphisms on trough steady-state dabigatran concentrations in patients after endoprosthesis of knife join</w:t>
      </w:r>
      <w:r w:rsidRPr="0003764E">
        <w:rPr>
          <w:rFonts w:ascii="Times New Roman" w:hAnsi="Times New Roman"/>
          <w:color w:val="000000" w:themeColor="text1"/>
          <w:sz w:val="28"/>
          <w:szCs w:val="28"/>
          <w:lang w:val="en-US" w:eastAsia="en-US"/>
        </w:rPr>
        <w:t xml:space="preserve"> // Aterotromboz</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2018. № 1</w:t>
      </w:r>
      <w:r>
        <w:rPr>
          <w:rFonts w:ascii="Times New Roman" w:hAnsi="Times New Roman"/>
          <w:color w:val="000000" w:themeColor="text1"/>
          <w:sz w:val="28"/>
          <w:szCs w:val="28"/>
          <w:lang w:val="en-US" w:eastAsia="en-US"/>
        </w:rPr>
        <w:t>, 1</w:t>
      </w:r>
      <w:r w:rsidRPr="0003764E">
        <w:rPr>
          <w:rFonts w:ascii="Times New Roman" w:hAnsi="Times New Roman"/>
          <w:color w:val="000000" w:themeColor="text1"/>
          <w:sz w:val="28"/>
          <w:szCs w:val="28"/>
          <w:lang w:val="en-US" w:eastAsia="en-US"/>
        </w:rPr>
        <w:t>22–130</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66A1B6E"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205.</w:t>
      </w:r>
      <w:r w:rsidRPr="0003764E">
        <w:rPr>
          <w:rFonts w:ascii="Times New Roman" w:hAnsi="Times New Roman"/>
          <w:color w:val="000000" w:themeColor="text1"/>
          <w:sz w:val="28"/>
          <w:szCs w:val="28"/>
          <w:lang w:val="en-US" w:eastAsia="en-US"/>
        </w:rPr>
        <w:tab/>
        <w:t>Lähteenmäki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Vuorinen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Pajula J.</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Pharmacogenetics of Bleeding and Thromboembolic Events in Direct Oral Anticoagulant Users // </w:t>
      </w:r>
      <w:r w:rsidRPr="00E02E09">
        <w:rPr>
          <w:rFonts w:ascii="Times New Roman" w:hAnsi="Times New Roman"/>
          <w:color w:val="000000" w:themeColor="text1"/>
          <w:sz w:val="28"/>
          <w:szCs w:val="28"/>
          <w:lang w:val="en-US" w:eastAsia="en-US"/>
        </w:rPr>
        <w:t>Clinical Pharmacology &amp; Therapeutics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110, № 3</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768–776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FAB1CE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206.</w:t>
      </w:r>
      <w:r w:rsidRPr="0003764E">
        <w:rPr>
          <w:rFonts w:ascii="Times New Roman" w:hAnsi="Times New Roman"/>
          <w:color w:val="000000" w:themeColor="text1"/>
          <w:sz w:val="28"/>
          <w:szCs w:val="28"/>
          <w:lang w:val="en-US" w:eastAsia="en-US"/>
        </w:rPr>
        <w:tab/>
        <w:t>Liu Y.</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Yang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Qi W.</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The Impact of ABCB1 and CES1 Polymorphisms on Dabigatran Pharmacokinetics in Healthy Chinese Subjects // </w:t>
      </w:r>
      <w:r w:rsidRPr="00E02E09">
        <w:rPr>
          <w:rFonts w:ascii="Times New Roman" w:hAnsi="Times New Roman"/>
          <w:color w:val="000000" w:themeColor="text1"/>
          <w:sz w:val="28"/>
          <w:szCs w:val="28"/>
          <w:lang w:val="en-US" w:eastAsia="en-US"/>
        </w:rPr>
        <w:t>Pharmacogenomics and Personalized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2021. Vo</w:t>
      </w:r>
      <w:r>
        <w:rPr>
          <w:rFonts w:ascii="Times New Roman" w:hAnsi="Times New Roman"/>
          <w:color w:val="000000" w:themeColor="text1"/>
          <w:sz w:val="28"/>
          <w:szCs w:val="28"/>
          <w:lang w:val="en-US" w:eastAsia="en-US"/>
        </w:rPr>
        <w:t>l.</w:t>
      </w:r>
      <w:r w:rsidRPr="0003764E">
        <w:rPr>
          <w:rFonts w:ascii="Times New Roman" w:hAnsi="Times New Roman"/>
          <w:color w:val="000000" w:themeColor="text1"/>
          <w:sz w:val="28"/>
          <w:szCs w:val="28"/>
          <w:lang w:val="en-US" w:eastAsia="en-US"/>
        </w:rPr>
        <w:t xml:space="preserve"> 14</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477–485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281CBB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207.</w:t>
      </w:r>
      <w:r w:rsidRPr="0003764E">
        <w:rPr>
          <w:rFonts w:ascii="Times New Roman" w:hAnsi="Times New Roman"/>
          <w:color w:val="000000" w:themeColor="text1"/>
          <w:sz w:val="28"/>
          <w:szCs w:val="28"/>
          <w:lang w:val="en-US" w:eastAsia="en-US"/>
        </w:rPr>
        <w:tab/>
        <w:t>Li H.</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Zhang Z.</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Weng H.</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Association between CES1 rs2244613 and the pharmacokinetics and safety of dabigatran: Meta-analysis and quantitative trait loci analysis // </w:t>
      </w:r>
      <w:r w:rsidRPr="00E02E09">
        <w:rPr>
          <w:rFonts w:ascii="Times New Roman" w:hAnsi="Times New Roman"/>
          <w:color w:val="000000" w:themeColor="text1"/>
          <w:sz w:val="28"/>
          <w:szCs w:val="28"/>
          <w:lang w:val="en-US" w:eastAsia="en-US"/>
        </w:rPr>
        <w:t>Frontiers in Cardiovascular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9</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959916.</w:t>
      </w:r>
    </w:p>
    <w:p w14:paraId="78715C4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208.</w:t>
      </w:r>
      <w:r w:rsidRPr="0003764E">
        <w:rPr>
          <w:rFonts w:ascii="Times New Roman" w:hAnsi="Times New Roman"/>
          <w:color w:val="000000" w:themeColor="text1"/>
          <w:sz w:val="28"/>
          <w:szCs w:val="28"/>
          <w:lang w:val="en-US" w:eastAsia="en-US"/>
        </w:rPr>
        <w:tab/>
        <w:t>Abdullaev S.P.</w:t>
      </w:r>
      <w:r>
        <w:rPr>
          <w:rFonts w:ascii="Times New Roman" w:hAnsi="Times New Roman"/>
          <w:color w:val="000000" w:themeColor="text1"/>
          <w:sz w:val="28"/>
          <w:szCs w:val="28"/>
          <w:lang w:val="en-US" w:eastAsia="en-US"/>
        </w:rPr>
        <w:t>, M</w:t>
      </w:r>
      <w:r w:rsidRPr="00A21A7F">
        <w:rPr>
          <w:rFonts w:ascii="Times New Roman" w:hAnsi="Times New Roman"/>
          <w:sz w:val="28"/>
          <w:szCs w:val="28"/>
          <w:lang w:val="en-US" w:eastAsia="en-US"/>
        </w:rPr>
        <w:t>irzaev K.B.</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Bochkov</w:t>
      </w:r>
      <w:r>
        <w:rPr>
          <w:rFonts w:ascii="Times New Roman" w:hAnsi="Times New Roman"/>
          <w:sz w:val="28"/>
          <w:szCs w:val="28"/>
          <w:lang w:val="en-US" w:eastAsia="en-US"/>
        </w:rPr>
        <w:t xml:space="preserve"> P.</w:t>
      </w:r>
      <w:r w:rsidRPr="00A21A7F">
        <w:rPr>
          <w:rFonts w:ascii="Times New Roman" w:hAnsi="Times New Roman"/>
          <w:sz w:val="28"/>
          <w:szCs w:val="28"/>
          <w:lang w:val="en-US" w:eastAsia="en-US"/>
        </w:rPr>
        <w:t>O.</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The CES1 Gene rs2244613 Minor Allele Impact on the Safety Profile of Dabigatran Etexilate: Meta-Analysis // </w:t>
      </w:r>
      <w:r w:rsidRPr="00637A3E">
        <w:rPr>
          <w:rFonts w:ascii="Times New Roman" w:hAnsi="Times New Roman"/>
          <w:color w:val="000000" w:themeColor="text1"/>
          <w:sz w:val="28"/>
          <w:szCs w:val="28"/>
          <w:lang w:val="en-US" w:eastAsia="en-US"/>
        </w:rPr>
        <w:t>Rational Pharmacotherapy in Cardiology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16, № 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699–705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FEF3651" w14:textId="77777777" w:rsidR="00AC4691" w:rsidRPr="00496E24"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209.</w:t>
      </w:r>
      <w:r w:rsidRPr="0003764E">
        <w:rPr>
          <w:rFonts w:ascii="Times New Roman" w:hAnsi="Times New Roman"/>
          <w:color w:val="000000" w:themeColor="text1"/>
          <w:sz w:val="28"/>
          <w:szCs w:val="28"/>
          <w:lang w:val="en-US" w:eastAsia="en-US"/>
        </w:rPr>
        <w:tab/>
        <w:t>Shi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X.</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Nguyen J.</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Dabigatran Etexilate Activation is Affected by the CES1 Genetic Polymorphism G143E (rs71647871) and Gender // Biochem</w:t>
      </w:r>
      <w:r>
        <w:rPr>
          <w:rFonts w:ascii="Times New Roman" w:hAnsi="Times New Roman"/>
          <w:color w:val="000000" w:themeColor="text1"/>
          <w:sz w:val="28"/>
          <w:szCs w:val="28"/>
          <w:lang w:val="en-US" w:eastAsia="en-US"/>
        </w:rPr>
        <w:t>ical</w:t>
      </w:r>
      <w:r w:rsidRPr="0003764E">
        <w:rPr>
          <w:rFonts w:ascii="Times New Roman" w:hAnsi="Times New Roman"/>
          <w:color w:val="000000" w:themeColor="text1"/>
          <w:sz w:val="28"/>
          <w:szCs w:val="28"/>
          <w:lang w:val="en-US" w:eastAsia="en-US"/>
        </w:rPr>
        <w:t xml:space="preserve"> Pharmacol</w:t>
      </w:r>
      <w:r>
        <w:rPr>
          <w:rFonts w:ascii="Times New Roman" w:hAnsi="Times New Roman"/>
          <w:color w:val="000000" w:themeColor="text1"/>
          <w:sz w:val="28"/>
          <w:szCs w:val="28"/>
          <w:lang w:val="en-US" w:eastAsia="en-US"/>
        </w:rPr>
        <w:t>ogy,</w:t>
      </w:r>
      <w:r w:rsidRPr="0003764E">
        <w:rPr>
          <w:rFonts w:ascii="Times New Roman" w:hAnsi="Times New Roman"/>
          <w:color w:val="000000" w:themeColor="text1"/>
          <w:sz w:val="28"/>
          <w:szCs w:val="28"/>
          <w:lang w:val="en-US" w:eastAsia="en-US"/>
        </w:rPr>
        <w:t xml:space="preserve"> </w:t>
      </w:r>
      <w:r w:rsidRPr="00637A3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496E24">
        <w:rPr>
          <w:rFonts w:ascii="Times New Roman" w:hAnsi="Times New Roman"/>
          <w:color w:val="000000" w:themeColor="text1"/>
          <w:sz w:val="28"/>
          <w:szCs w:val="28"/>
          <w:lang w:eastAsia="en-US"/>
        </w:rPr>
        <w:t>. 119, 76–84</w:t>
      </w:r>
      <w:r>
        <w:rPr>
          <w:rFonts w:ascii="Times New Roman" w:hAnsi="Times New Roman"/>
          <w:color w:val="000000" w:themeColor="text1"/>
          <w:sz w:val="28"/>
          <w:szCs w:val="28"/>
          <w:lang w:val="en-US" w:eastAsia="en-US"/>
        </w:rPr>
        <w:t>p</w:t>
      </w:r>
      <w:r w:rsidRPr="00496E24">
        <w:rPr>
          <w:rFonts w:ascii="Times New Roman" w:hAnsi="Times New Roman"/>
          <w:color w:val="000000" w:themeColor="text1"/>
          <w:sz w:val="28"/>
          <w:szCs w:val="28"/>
          <w:lang w:eastAsia="en-US"/>
        </w:rPr>
        <w:t>.</w:t>
      </w:r>
    </w:p>
    <w:p w14:paraId="07037F65" w14:textId="77777777" w:rsidR="00AC4691" w:rsidRPr="00637A3E" w:rsidRDefault="00AC4691" w:rsidP="00AC4691">
      <w:pPr>
        <w:pStyle w:val="af4"/>
        <w:jc w:val="both"/>
        <w:rPr>
          <w:rFonts w:ascii="Times New Roman" w:hAnsi="Times New Roman"/>
          <w:sz w:val="28"/>
          <w:szCs w:val="28"/>
          <w:lang w:eastAsia="en-US"/>
        </w:rPr>
      </w:pPr>
      <w:r w:rsidRPr="00637A3E">
        <w:rPr>
          <w:rFonts w:ascii="Times New Roman" w:hAnsi="Times New Roman"/>
          <w:color w:val="000000" w:themeColor="text1"/>
          <w:sz w:val="28"/>
          <w:szCs w:val="28"/>
          <w:lang w:eastAsia="en-US"/>
        </w:rPr>
        <w:t>210.</w:t>
      </w:r>
      <w:r w:rsidRPr="00637A3E">
        <w:rPr>
          <w:rFonts w:ascii="Times New Roman" w:hAnsi="Times New Roman"/>
          <w:color w:val="000000" w:themeColor="text1"/>
          <w:sz w:val="28"/>
          <w:szCs w:val="28"/>
          <w:lang w:eastAsia="en-US"/>
        </w:rPr>
        <w:tab/>
      </w:r>
      <w:r w:rsidRPr="00637A3E">
        <w:rPr>
          <w:rFonts w:ascii="Times New Roman" w:hAnsi="Times New Roman"/>
          <w:sz w:val="28"/>
          <w:szCs w:val="28"/>
        </w:rPr>
        <w:t xml:space="preserve">Мещеряков Ю.В., Чертовских Я.В., Сычёв Д.А. Фармакогенетика нового орального антикоагулянта дабигатрана -роль полиморфизма rs2244613 ces1 в развитии нежелательных побочных реакций // Фармакогенетика и фармакогеномика, 2017, </w:t>
      </w:r>
      <w:r>
        <w:rPr>
          <w:rFonts w:ascii="Times New Roman" w:hAnsi="Times New Roman"/>
          <w:sz w:val="28"/>
          <w:szCs w:val="28"/>
        </w:rPr>
        <w:t>№2</w:t>
      </w:r>
      <w:r w:rsidRPr="00637A3E">
        <w:rPr>
          <w:rFonts w:ascii="Times New Roman" w:hAnsi="Times New Roman"/>
          <w:sz w:val="28"/>
          <w:szCs w:val="28"/>
        </w:rPr>
        <w:t>, 18-19</w:t>
      </w:r>
      <w:r>
        <w:rPr>
          <w:rFonts w:ascii="Times New Roman" w:hAnsi="Times New Roman"/>
          <w:sz w:val="28"/>
          <w:szCs w:val="28"/>
          <w:lang w:val="en-US"/>
        </w:rPr>
        <w:t>c</w:t>
      </w:r>
      <w:r w:rsidRPr="00637A3E">
        <w:rPr>
          <w:rFonts w:ascii="Times New Roman" w:hAnsi="Times New Roman"/>
          <w:sz w:val="28"/>
          <w:szCs w:val="28"/>
        </w:rPr>
        <w:t>.</w:t>
      </w:r>
    </w:p>
    <w:p w14:paraId="2C3B017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211.</w:t>
      </w:r>
      <w:r w:rsidRPr="0003764E">
        <w:rPr>
          <w:rFonts w:ascii="Times New Roman" w:hAnsi="Times New Roman"/>
          <w:color w:val="000000" w:themeColor="text1"/>
          <w:sz w:val="28"/>
          <w:szCs w:val="28"/>
          <w:lang w:val="en-US" w:eastAsia="en-US"/>
        </w:rPr>
        <w:tab/>
        <w:t>Hayat A., Själander A., Wallvik J. Direct oral anticoagulants: patient reported adherence and minor bleedings //</w:t>
      </w:r>
      <w:r>
        <w:rPr>
          <w:rFonts w:ascii="Times New Roman" w:hAnsi="Times New Roman"/>
          <w:color w:val="000000" w:themeColor="text1"/>
          <w:sz w:val="28"/>
          <w:szCs w:val="28"/>
          <w:lang w:val="en-US" w:eastAsia="en-US"/>
        </w:rPr>
        <w:t xml:space="preserve"> </w:t>
      </w:r>
      <w:r w:rsidRPr="00637A3E">
        <w:rPr>
          <w:rFonts w:ascii="Times New Roman" w:hAnsi="Times New Roman"/>
          <w:color w:val="000000" w:themeColor="text1"/>
          <w:sz w:val="28"/>
          <w:szCs w:val="28"/>
          <w:lang w:val="en-US" w:eastAsia="en-US"/>
        </w:rPr>
        <w:t>Journal of Thrombosis and Thrombolysis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56,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55–64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EB4C9E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212.</w:t>
      </w:r>
      <w:r w:rsidRPr="0003764E">
        <w:rPr>
          <w:rFonts w:ascii="Times New Roman" w:hAnsi="Times New Roman"/>
          <w:color w:val="000000" w:themeColor="text1"/>
          <w:sz w:val="28"/>
          <w:szCs w:val="28"/>
          <w:lang w:val="en-US" w:eastAsia="en-US"/>
        </w:rPr>
        <w:tab/>
        <w:t>Hwang H.-J.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Sohn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I.S.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Jin E.-S.</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Adherence and clinical outcomes for twice-daily versus once-daily dosing of non-vitamin K antagonist oral anticoagulants in patients with atrial fibrillation: Is dosing frequency important? // PLoS One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18,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e0283478.</w:t>
      </w:r>
    </w:p>
    <w:p w14:paraId="28B3D88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213.</w:t>
      </w:r>
      <w:r w:rsidRPr="0003764E">
        <w:rPr>
          <w:rFonts w:ascii="Times New Roman" w:hAnsi="Times New Roman"/>
          <w:color w:val="000000" w:themeColor="text1"/>
          <w:sz w:val="28"/>
          <w:szCs w:val="28"/>
          <w:lang w:val="en-US" w:eastAsia="en-US"/>
        </w:rPr>
        <w:tab/>
        <w:t>Harper P., Pollock D., Stephens M. Dabigatran persistence and adherence in New Zealand: a nationwide retrospective observational study // BMJ Open</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8,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e020212.</w:t>
      </w:r>
    </w:p>
    <w:p w14:paraId="168577F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214.</w:t>
      </w:r>
      <w:r w:rsidRPr="0003764E">
        <w:rPr>
          <w:rFonts w:ascii="Times New Roman" w:hAnsi="Times New Roman"/>
          <w:color w:val="000000" w:themeColor="text1"/>
          <w:sz w:val="28"/>
          <w:szCs w:val="28"/>
          <w:lang w:val="en-US" w:eastAsia="en-US"/>
        </w:rPr>
        <w:tab/>
        <w:t>Emren S.V.</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Şenöz</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O.</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Bilgin M.</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Drug Adherence in Patients With Nonvalvular Atrial Fibrillation Taking Non-Vitamin K Antagonist Oral Anticoagulants in Turkey: NOAC-TR // </w:t>
      </w:r>
      <w:r w:rsidRPr="00637A3E">
        <w:rPr>
          <w:rFonts w:ascii="Times New Roman" w:hAnsi="Times New Roman"/>
          <w:color w:val="000000" w:themeColor="text1"/>
          <w:sz w:val="28"/>
          <w:szCs w:val="28"/>
          <w:lang w:val="en-US" w:eastAsia="en-US"/>
        </w:rPr>
        <w:t>Clinical and Applied Thrombosis/Hemostasis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24,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525–531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95769C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215.</w:t>
      </w:r>
      <w:r w:rsidRPr="0003764E">
        <w:rPr>
          <w:rFonts w:ascii="Times New Roman" w:hAnsi="Times New Roman"/>
          <w:color w:val="000000" w:themeColor="text1"/>
          <w:sz w:val="28"/>
          <w:szCs w:val="28"/>
          <w:lang w:val="en-US" w:eastAsia="en-US"/>
        </w:rPr>
        <w:tab/>
        <w:t>Yang 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Guo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Liang Q.</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Primary care provider payment models and adherence to anticoagulation in patients with atrial fibrillation // </w:t>
      </w:r>
      <w:r w:rsidRPr="00637A3E">
        <w:rPr>
          <w:rFonts w:ascii="Times New Roman" w:hAnsi="Times New Roman"/>
          <w:color w:val="000000" w:themeColor="text1"/>
          <w:sz w:val="28"/>
          <w:szCs w:val="28"/>
          <w:lang w:val="en-US" w:eastAsia="en-US"/>
        </w:rPr>
        <w:t>Journal of Managed Care &amp; Specialty Pharmacy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27, № 12.</w:t>
      </w:r>
    </w:p>
    <w:p w14:paraId="4981386E"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216.</w:t>
      </w:r>
      <w:r w:rsidRPr="0003764E">
        <w:rPr>
          <w:rFonts w:ascii="Times New Roman" w:hAnsi="Times New Roman"/>
          <w:color w:val="000000" w:themeColor="text1"/>
          <w:sz w:val="28"/>
          <w:szCs w:val="28"/>
          <w:lang w:val="en-US" w:eastAsia="en-US"/>
        </w:rPr>
        <w:tab/>
        <w:t>Akagi Y.</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Iketaki 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Nakamura</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R.</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Association between Cerebral Infarction Risk and Medication Adherence in Atrial Fibrillation Patients Taking Direct Oral Anticoagulants // Healthcare (Basel)</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9, № 10</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1313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D5E9E9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217.</w:t>
      </w:r>
      <w:r w:rsidRPr="0003764E">
        <w:rPr>
          <w:rFonts w:ascii="Times New Roman" w:hAnsi="Times New Roman"/>
          <w:color w:val="000000" w:themeColor="text1"/>
          <w:sz w:val="28"/>
          <w:szCs w:val="28"/>
          <w:lang w:val="en-US" w:eastAsia="en-US"/>
        </w:rPr>
        <w:tab/>
        <w:t>Akao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Tsuji 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Kusano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Clinical characteristics and outcomes of Japanese atrial fibrillation patients with poor medication adherence: A sub-analysis of the GENERAL study // Journal of Cardiology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81, № 2. 209–214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1F6DD6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218.</w:t>
      </w:r>
      <w:r w:rsidRPr="0003764E">
        <w:rPr>
          <w:rFonts w:ascii="Times New Roman" w:hAnsi="Times New Roman"/>
          <w:color w:val="000000" w:themeColor="text1"/>
          <w:sz w:val="28"/>
          <w:szCs w:val="28"/>
          <w:lang w:val="en-US" w:eastAsia="en-US"/>
        </w:rPr>
        <w:tab/>
        <w:t>Yagi N.</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Suzuki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Nagai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Current status of oral anticoagulant adherence in Japanese patients with atrial fibrillation: A claims database analysis // Journal of Cardiology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78,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150–156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6986419"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219.</w:t>
      </w:r>
      <w:r w:rsidRPr="0003764E">
        <w:rPr>
          <w:rFonts w:ascii="Times New Roman" w:hAnsi="Times New Roman"/>
          <w:color w:val="000000" w:themeColor="text1"/>
          <w:sz w:val="28"/>
          <w:szCs w:val="28"/>
          <w:lang w:val="en-US" w:eastAsia="en-US"/>
        </w:rPr>
        <w:tab/>
        <w:t>Forslund T., Wettermark B., Hjemdahl P. Comparison of treatment persistence with different oral anticoagulants in patients with atrial fibrillation // Eur</w:t>
      </w:r>
      <w:r>
        <w:rPr>
          <w:rFonts w:ascii="Times New Roman" w:hAnsi="Times New Roman"/>
          <w:color w:val="000000" w:themeColor="text1"/>
          <w:sz w:val="28"/>
          <w:szCs w:val="28"/>
          <w:lang w:val="en-US" w:eastAsia="en-US"/>
        </w:rPr>
        <w:t>opean</w:t>
      </w:r>
      <w:r w:rsidRPr="0003764E">
        <w:rPr>
          <w:rFonts w:ascii="Times New Roman" w:hAnsi="Times New Roman"/>
          <w:color w:val="000000" w:themeColor="text1"/>
          <w:sz w:val="28"/>
          <w:szCs w:val="28"/>
          <w:lang w:val="en-US" w:eastAsia="en-US"/>
        </w:rPr>
        <w:t xml:space="preserve"> J</w:t>
      </w:r>
      <w:r>
        <w:rPr>
          <w:rFonts w:ascii="Times New Roman" w:hAnsi="Times New Roman"/>
          <w:color w:val="000000" w:themeColor="text1"/>
          <w:sz w:val="28"/>
          <w:szCs w:val="28"/>
          <w:lang w:val="en-US" w:eastAsia="en-US"/>
        </w:rPr>
        <w:t>ournal of</w:t>
      </w:r>
      <w:r w:rsidRPr="0003764E">
        <w:rPr>
          <w:rFonts w:ascii="Times New Roman" w:hAnsi="Times New Roman"/>
          <w:color w:val="000000" w:themeColor="text1"/>
          <w:sz w:val="28"/>
          <w:szCs w:val="28"/>
          <w:lang w:val="en-US" w:eastAsia="en-US"/>
        </w:rPr>
        <w:t xml:space="preserve"> Clin</w:t>
      </w:r>
      <w:r>
        <w:rPr>
          <w:rFonts w:ascii="Times New Roman" w:hAnsi="Times New Roman"/>
          <w:color w:val="000000" w:themeColor="text1"/>
          <w:sz w:val="28"/>
          <w:szCs w:val="28"/>
          <w:lang w:val="en-US" w:eastAsia="en-US"/>
        </w:rPr>
        <w:t>ical</w:t>
      </w:r>
      <w:r w:rsidRPr="0003764E">
        <w:rPr>
          <w:rFonts w:ascii="Times New Roman" w:hAnsi="Times New Roman"/>
          <w:color w:val="000000" w:themeColor="text1"/>
          <w:sz w:val="28"/>
          <w:szCs w:val="28"/>
          <w:lang w:val="en-US" w:eastAsia="en-US"/>
        </w:rPr>
        <w:t xml:space="preserve"> Pharmacol</w:t>
      </w:r>
      <w:r>
        <w:rPr>
          <w:rFonts w:ascii="Times New Roman" w:hAnsi="Times New Roman"/>
          <w:color w:val="000000" w:themeColor="text1"/>
          <w:sz w:val="28"/>
          <w:szCs w:val="28"/>
          <w:lang w:val="en-US" w:eastAsia="en-US"/>
        </w:rPr>
        <w:t>ogy,</w:t>
      </w:r>
      <w:r w:rsidRPr="0003764E">
        <w:rPr>
          <w:rFonts w:ascii="Times New Roman" w:hAnsi="Times New Roman"/>
          <w:color w:val="000000" w:themeColor="text1"/>
          <w:sz w:val="28"/>
          <w:szCs w:val="28"/>
          <w:lang w:val="en-US" w:eastAsia="en-US"/>
        </w:rPr>
        <w:t xml:space="preserv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72,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329–338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F450F4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220.</w:t>
      </w:r>
      <w:r w:rsidRPr="0003764E">
        <w:rPr>
          <w:rFonts w:ascii="Times New Roman" w:hAnsi="Times New Roman"/>
          <w:color w:val="000000" w:themeColor="text1"/>
          <w:sz w:val="28"/>
          <w:szCs w:val="28"/>
          <w:lang w:val="en-US" w:eastAsia="en-US"/>
        </w:rPr>
        <w:tab/>
        <w:t>Collings S.-L.</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Lefèvre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Johnson M.E.</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Oral anticoagulant persistence in patients with non-valvular atrial fibrillation: A cohort study using primary care data in Germany // PLoS One</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 № 10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e0185642.</w:t>
      </w:r>
    </w:p>
    <w:p w14:paraId="1769500C" w14:textId="77777777" w:rsidR="00AC4691" w:rsidRPr="00473F3D"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221.</w:t>
      </w:r>
      <w:r w:rsidRPr="0003764E">
        <w:rPr>
          <w:rFonts w:ascii="Times New Roman" w:hAnsi="Times New Roman"/>
          <w:color w:val="000000" w:themeColor="text1"/>
          <w:sz w:val="28"/>
          <w:szCs w:val="28"/>
          <w:lang w:val="en-US" w:eastAsia="en-US"/>
        </w:rPr>
        <w:tab/>
        <w:t xml:space="preserve">Brown J. D., Shewale A. R., Talbert J. C. Adherence to Rivaroxaban, Dabigatran, and Apixaban for Stroke Prevention in Incident, Treatment-Naïve Nonvalvular Atrial Fibrillation // </w:t>
      </w:r>
      <w:r w:rsidRPr="00473F3D">
        <w:rPr>
          <w:rFonts w:ascii="Times New Roman" w:hAnsi="Times New Roman"/>
          <w:color w:val="000000" w:themeColor="text1"/>
          <w:sz w:val="28"/>
          <w:szCs w:val="28"/>
          <w:lang w:val="en-US" w:eastAsia="en-US"/>
        </w:rPr>
        <w:t>Journal of Managed Care &amp; Specialty Pharmacy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22, № 11</w:t>
      </w:r>
      <w:r>
        <w:rPr>
          <w:rFonts w:ascii="Times New Roman" w:hAnsi="Times New Roman"/>
          <w:color w:val="000000" w:themeColor="text1"/>
          <w:sz w:val="28"/>
          <w:szCs w:val="28"/>
          <w:lang w:val="en-US" w:eastAsia="en-US"/>
        </w:rPr>
        <w:t>.</w:t>
      </w:r>
    </w:p>
    <w:p w14:paraId="3E30AA0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222.</w:t>
      </w:r>
      <w:r w:rsidRPr="0003764E">
        <w:rPr>
          <w:rFonts w:ascii="Times New Roman" w:hAnsi="Times New Roman"/>
          <w:color w:val="000000" w:themeColor="text1"/>
          <w:sz w:val="28"/>
          <w:szCs w:val="28"/>
          <w:lang w:val="en-US" w:eastAsia="en-US"/>
        </w:rPr>
        <w:tab/>
        <w:t>Ingason A.B.</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Hreinsson J.P.</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Lund</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S.H.</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Comparison of medication adherence to different oral anticoagulants: population-based cohort study // BMJ Open</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13,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e065700.</w:t>
      </w:r>
    </w:p>
    <w:p w14:paraId="6BF8E92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223.</w:t>
      </w:r>
      <w:r w:rsidRPr="0003764E">
        <w:rPr>
          <w:rFonts w:ascii="Times New Roman" w:hAnsi="Times New Roman"/>
          <w:color w:val="000000" w:themeColor="text1"/>
          <w:sz w:val="28"/>
          <w:szCs w:val="28"/>
          <w:lang w:val="en-US" w:eastAsia="en-US"/>
        </w:rPr>
        <w:tab/>
        <w:t>Hernandez I</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He 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Brooks M.</w:t>
      </w:r>
      <w:r>
        <w:rPr>
          <w:rFonts w:ascii="Times New Roman" w:hAnsi="Times New Roman"/>
          <w:sz w:val="28"/>
          <w:szCs w:val="28"/>
          <w:lang w:val="en-US" w:eastAsia="en-US"/>
        </w:rPr>
        <w:t xml:space="preserve">M. et al. </w:t>
      </w:r>
      <w:r w:rsidRPr="0003764E">
        <w:rPr>
          <w:rFonts w:ascii="Times New Roman" w:hAnsi="Times New Roman"/>
          <w:color w:val="000000" w:themeColor="text1"/>
          <w:sz w:val="28"/>
          <w:szCs w:val="28"/>
          <w:lang w:val="en-US" w:eastAsia="en-US"/>
        </w:rPr>
        <w:t xml:space="preserve">Adherence to Anticoagulation and Risk of Stroke among Medicare Beneficiaries Newly Diagnosed with Atrial Fibrillation // </w:t>
      </w:r>
      <w:r w:rsidRPr="00473F3D">
        <w:rPr>
          <w:rFonts w:ascii="Times New Roman" w:hAnsi="Times New Roman"/>
          <w:color w:val="000000" w:themeColor="text1"/>
          <w:sz w:val="28"/>
          <w:szCs w:val="28"/>
          <w:lang w:val="en-US" w:eastAsia="en-US"/>
        </w:rPr>
        <w:t>American journal of cardiovascular drugs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20, № 2</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199–207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7153FA1"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224.</w:t>
      </w:r>
      <w:r w:rsidRPr="0003764E">
        <w:rPr>
          <w:rFonts w:ascii="Times New Roman" w:hAnsi="Times New Roman"/>
          <w:color w:val="000000" w:themeColor="text1"/>
          <w:sz w:val="28"/>
          <w:szCs w:val="28"/>
          <w:lang w:val="en-US" w:eastAsia="en-US"/>
        </w:rPr>
        <w:tab/>
        <w:t xml:space="preserve">Toorop M.M.A., Lijfering W.M., Scheres L.J.J. The relationship between DOAC levels and clinical outcomes: The measures tell the tale // </w:t>
      </w:r>
      <w:r w:rsidRPr="00473F3D">
        <w:rPr>
          <w:rFonts w:ascii="Times New Roman" w:hAnsi="Times New Roman"/>
          <w:color w:val="000000" w:themeColor="text1"/>
          <w:sz w:val="28"/>
          <w:szCs w:val="28"/>
          <w:lang w:val="en-US" w:eastAsia="en-US"/>
        </w:rPr>
        <w:t>Journal of Thrombosis and Haemostasis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18, № 12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3163–3168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536E1D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225.</w:t>
      </w:r>
      <w:r w:rsidRPr="0003764E">
        <w:rPr>
          <w:rFonts w:ascii="Times New Roman" w:hAnsi="Times New Roman"/>
          <w:color w:val="000000" w:themeColor="text1"/>
          <w:sz w:val="28"/>
          <w:szCs w:val="28"/>
          <w:lang w:val="en-US" w:eastAsia="en-US"/>
        </w:rPr>
        <w:tab/>
        <w:t>Aakerøy R</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Gynnild M.N.</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Løfblad L.</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Direct oral anticoagulant concentrations and adherence in stroke patients // Basic &amp; Clinical Pharmacology &amp; Toxicology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134,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175–185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582296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226.</w:t>
      </w:r>
      <w:r w:rsidRPr="0003764E">
        <w:rPr>
          <w:rFonts w:ascii="Times New Roman" w:hAnsi="Times New Roman"/>
          <w:color w:val="000000" w:themeColor="text1"/>
          <w:sz w:val="28"/>
          <w:szCs w:val="28"/>
          <w:lang w:val="en-US" w:eastAsia="en-US"/>
        </w:rPr>
        <w:tab/>
        <w:t>Yang S.-Y.</w:t>
      </w:r>
      <w:r>
        <w:rPr>
          <w:rFonts w:ascii="Times New Roman" w:hAnsi="Times New Roman"/>
          <w:color w:val="000000" w:themeColor="text1"/>
          <w:sz w:val="28"/>
          <w:szCs w:val="28"/>
          <w:lang w:val="en-US" w:eastAsia="en-US"/>
        </w:rPr>
        <w:t>, K</w:t>
      </w:r>
      <w:r w:rsidRPr="00A21A7F">
        <w:rPr>
          <w:rFonts w:ascii="Times New Roman" w:hAnsi="Times New Roman"/>
          <w:sz w:val="28"/>
          <w:szCs w:val="28"/>
          <w:lang w:val="en-US" w:eastAsia="en-US"/>
        </w:rPr>
        <w:t>ang D.-W.</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Nam</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J.H.</w:t>
      </w:r>
      <w:r>
        <w:rPr>
          <w:rFonts w:ascii="Times New Roman" w:hAnsi="Times New Roman"/>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Adherence is an optimal factor for maximizing the effective and safe use of oral anticoagulants in patients with atrial fibrillation // Sci</w:t>
      </w:r>
      <w:r>
        <w:rPr>
          <w:rFonts w:ascii="Times New Roman" w:hAnsi="Times New Roman"/>
          <w:color w:val="000000" w:themeColor="text1"/>
          <w:sz w:val="28"/>
          <w:szCs w:val="28"/>
          <w:lang w:val="en-US" w:eastAsia="en-US"/>
        </w:rPr>
        <w:t>entific</w:t>
      </w:r>
      <w:r w:rsidRPr="0003764E">
        <w:rPr>
          <w:rFonts w:ascii="Times New Roman" w:hAnsi="Times New Roman"/>
          <w:color w:val="000000" w:themeColor="text1"/>
          <w:sz w:val="28"/>
          <w:szCs w:val="28"/>
          <w:lang w:val="en-US" w:eastAsia="en-US"/>
        </w:rPr>
        <w:t xml:space="preserve"> Rep</w:t>
      </w:r>
      <w:r>
        <w:rPr>
          <w:rFonts w:ascii="Times New Roman" w:hAnsi="Times New Roman"/>
          <w:color w:val="000000" w:themeColor="text1"/>
          <w:sz w:val="28"/>
          <w:szCs w:val="28"/>
          <w:lang w:val="en-US" w:eastAsia="en-US"/>
        </w:rPr>
        <w:t>orts,</w:t>
      </w:r>
      <w:r w:rsidRPr="0003764E">
        <w:rPr>
          <w:rFonts w:ascii="Times New Roman" w:hAnsi="Times New Roman"/>
          <w:color w:val="000000" w:themeColor="text1"/>
          <w:sz w:val="28"/>
          <w:szCs w:val="28"/>
          <w:lang w:val="en-US" w:eastAsia="en-US"/>
        </w:rPr>
        <w:t xml:space="preserve"> 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3413</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D7C294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227.</w:t>
      </w:r>
      <w:r w:rsidRPr="0003764E">
        <w:rPr>
          <w:rFonts w:ascii="Times New Roman" w:hAnsi="Times New Roman"/>
          <w:color w:val="000000" w:themeColor="text1"/>
          <w:sz w:val="28"/>
          <w:szCs w:val="28"/>
          <w:lang w:val="en-US" w:eastAsia="en-US"/>
        </w:rPr>
        <w:tab/>
        <w:t>Lin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Kuo 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Yeh S.</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Real‐World Rivaroxaban and Apixaban Levels in Asian Patients With Atrial Fibrillation // </w:t>
      </w:r>
      <w:r w:rsidRPr="00473F3D">
        <w:rPr>
          <w:rFonts w:ascii="Times New Roman" w:hAnsi="Times New Roman"/>
          <w:color w:val="000000" w:themeColor="text1"/>
          <w:sz w:val="28"/>
          <w:szCs w:val="28"/>
          <w:lang w:val="en-US" w:eastAsia="en-US"/>
        </w:rPr>
        <w:t>Clinical Pharmacology and Therapeutics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107,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278–286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F47FA7B"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228.</w:t>
      </w:r>
      <w:r w:rsidRPr="0003764E">
        <w:rPr>
          <w:rFonts w:ascii="Times New Roman" w:hAnsi="Times New Roman"/>
          <w:color w:val="000000" w:themeColor="text1"/>
          <w:sz w:val="28"/>
          <w:szCs w:val="28"/>
          <w:lang w:val="en-US" w:eastAsia="en-US"/>
        </w:rPr>
        <w:tab/>
        <w:t>Candelaresi P.</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Iannuzzi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Servillo G.</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Left atrial appendage thrombus on full-dose dabigatran treatment: a case report // </w:t>
      </w:r>
      <w:r w:rsidRPr="00473F3D">
        <w:rPr>
          <w:rFonts w:ascii="Times New Roman" w:hAnsi="Times New Roman"/>
          <w:color w:val="000000" w:themeColor="text1"/>
          <w:sz w:val="28"/>
          <w:szCs w:val="28"/>
          <w:lang w:val="en-US" w:eastAsia="en-US"/>
        </w:rPr>
        <w:t>European Heart Journal: Case Reports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454F41">
        <w:rPr>
          <w:rFonts w:ascii="Times New Roman" w:hAnsi="Times New Roman"/>
          <w:color w:val="000000" w:themeColor="text1"/>
          <w:sz w:val="28"/>
          <w:szCs w:val="28"/>
          <w:lang w:eastAsia="en-US"/>
        </w:rPr>
        <w:t>. 4, № 3</w:t>
      </w:r>
      <w:r w:rsidRPr="00FC1848">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1–4</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eastAsia="en-US"/>
        </w:rPr>
        <w:t>.</w:t>
      </w:r>
    </w:p>
    <w:p w14:paraId="47612649"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eastAsia="en-US"/>
        </w:rPr>
        <w:t>229</w:t>
      </w:r>
      <w:r w:rsidRPr="00FC1848">
        <w:rPr>
          <w:rFonts w:ascii="Times New Roman" w:hAnsi="Times New Roman"/>
          <w:color w:val="000000" w:themeColor="text1"/>
          <w:sz w:val="28"/>
          <w:szCs w:val="28"/>
          <w:lang w:eastAsia="en-US"/>
        </w:rPr>
        <w:t>.</w:t>
      </w:r>
      <w:r w:rsidRPr="00FC1848">
        <w:rPr>
          <w:rFonts w:ascii="Times New Roman" w:hAnsi="Times New Roman"/>
          <w:color w:val="000000" w:themeColor="text1"/>
          <w:sz w:val="28"/>
          <w:szCs w:val="28"/>
          <w:lang w:eastAsia="en-US"/>
        </w:rPr>
        <w:tab/>
      </w:r>
      <w:r w:rsidRPr="00FC1848">
        <w:rPr>
          <w:rFonts w:ascii="Times New Roman" w:eastAsia="Times New Roman" w:hAnsi="Times New Roman"/>
          <w:bCs/>
          <w:color w:val="000000"/>
          <w:sz w:val="28"/>
          <w:szCs w:val="28"/>
        </w:rPr>
        <w:t>Клинический протокол Министерства здравоохранения Республики Казахстан «Фибрилляция и трепетание предсердий» от 9 июля 2020г. Протокол №105</w:t>
      </w:r>
      <w:r w:rsidRPr="00FC1848">
        <w:rPr>
          <w:rFonts w:ascii="Times New Roman" w:hAnsi="Times New Roman"/>
          <w:color w:val="000000" w:themeColor="text1"/>
          <w:sz w:val="28"/>
          <w:szCs w:val="28"/>
          <w:lang w:eastAsia="en-US"/>
        </w:rPr>
        <w:t xml:space="preserve">. </w:t>
      </w:r>
    </w:p>
    <w:p w14:paraId="7506A40B"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230.</w:t>
      </w:r>
      <w:r w:rsidRPr="0003764E">
        <w:rPr>
          <w:rFonts w:ascii="Times New Roman" w:hAnsi="Times New Roman"/>
          <w:color w:val="000000" w:themeColor="text1"/>
          <w:sz w:val="28"/>
          <w:szCs w:val="28"/>
          <w:lang w:val="en-US" w:eastAsia="en-US"/>
        </w:rPr>
        <w:tab/>
        <w:t>Singleton M. 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German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Carnethon M.</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Race, Body Mass Index, and the Risk of Atrial Fibrillation: The Multi‐Ethnic Study of Atherosclerosis // </w:t>
      </w:r>
      <w:r w:rsidRPr="00473F3D">
        <w:rPr>
          <w:rFonts w:ascii="Times New Roman" w:hAnsi="Times New Roman"/>
          <w:color w:val="000000" w:themeColor="text1"/>
          <w:sz w:val="28"/>
          <w:szCs w:val="28"/>
          <w:lang w:val="en-US" w:eastAsia="en-US"/>
        </w:rPr>
        <w:t>Journal of the American Heart Association: Cardiovascular and Cerebrovascular Disease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10,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e018592.</w:t>
      </w:r>
    </w:p>
    <w:p w14:paraId="1AD03EEC"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231.</w:t>
      </w:r>
      <w:r w:rsidRPr="0003764E">
        <w:rPr>
          <w:rFonts w:ascii="Times New Roman" w:hAnsi="Times New Roman"/>
          <w:color w:val="000000" w:themeColor="text1"/>
          <w:sz w:val="28"/>
          <w:szCs w:val="28"/>
          <w:lang w:val="en-US" w:eastAsia="en-US"/>
        </w:rPr>
        <w:tab/>
        <w:t>Mazurek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Huisman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M.V.</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Rothman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K.J.</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Gender Differences in Antithrombotic Treatment for Newly Diagnosed Atrial Fibrillation: The GLORIA-AF Registry Program // </w:t>
      </w:r>
      <w:r w:rsidRPr="00473F3D">
        <w:rPr>
          <w:rFonts w:ascii="Times New Roman" w:hAnsi="Times New Roman"/>
          <w:color w:val="000000" w:themeColor="text1"/>
          <w:sz w:val="28"/>
          <w:szCs w:val="28"/>
          <w:lang w:val="en-US" w:eastAsia="en-US"/>
        </w:rPr>
        <w:t>The American Journal of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131, № 8</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945-955.e3.</w:t>
      </w:r>
    </w:p>
    <w:p w14:paraId="420AA00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232.</w:t>
      </w:r>
      <w:r w:rsidRPr="0003764E">
        <w:rPr>
          <w:rFonts w:ascii="Times New Roman" w:hAnsi="Times New Roman"/>
          <w:color w:val="000000" w:themeColor="text1"/>
          <w:sz w:val="28"/>
          <w:szCs w:val="28"/>
          <w:lang w:val="en-US" w:eastAsia="en-US"/>
        </w:rPr>
        <w:tab/>
        <w:t xml:space="preserve">Colleluori G., Villareal D.T. Aging, Obesity, Sarcopenia and the Effect of Diet and Exercise Intervention // </w:t>
      </w:r>
      <w:r w:rsidRPr="00FF08CC">
        <w:rPr>
          <w:rFonts w:ascii="Times New Roman" w:hAnsi="Times New Roman"/>
          <w:color w:val="000000" w:themeColor="text1"/>
          <w:sz w:val="28"/>
          <w:szCs w:val="28"/>
          <w:lang w:val="en-US" w:eastAsia="en-US"/>
        </w:rPr>
        <w:t>Experimental gerontology</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2021.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155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111561.</w:t>
      </w:r>
    </w:p>
    <w:p w14:paraId="2CAAF50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233.</w:t>
      </w:r>
      <w:r w:rsidRPr="0003764E">
        <w:rPr>
          <w:rFonts w:ascii="Times New Roman" w:hAnsi="Times New Roman"/>
          <w:color w:val="000000" w:themeColor="text1"/>
          <w:sz w:val="28"/>
          <w:szCs w:val="28"/>
          <w:lang w:val="en-US" w:eastAsia="en-US"/>
        </w:rPr>
        <w:tab/>
        <w:t>Odening K.E.</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Deiß</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Dilling-Boer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Pr>
          <w:rFonts w:ascii="Times New Roman" w:hAnsi="Times New Roman"/>
          <w:color w:val="000000" w:themeColor="text1"/>
          <w:sz w:val="28"/>
          <w:szCs w:val="28"/>
          <w:lang w:val="en-US" w:eastAsia="en-US"/>
        </w:rPr>
        <w:t xml:space="preserve"> et al.</w:t>
      </w:r>
      <w:r w:rsidRPr="0003764E">
        <w:rPr>
          <w:rFonts w:ascii="Times New Roman" w:hAnsi="Times New Roman"/>
          <w:color w:val="000000" w:themeColor="text1"/>
          <w:sz w:val="28"/>
          <w:szCs w:val="28"/>
          <w:lang w:val="en-US" w:eastAsia="en-US"/>
        </w:rPr>
        <w:t xml:space="preserve"> Mechanisms of sex differences in atrial fibrillation: role of hormones and differences in electrophysiology, structure, function, and remodelling // Europac</w:t>
      </w:r>
      <w:r>
        <w:rPr>
          <w:rFonts w:ascii="Times New Roman" w:hAnsi="Times New Roman"/>
          <w:color w:val="000000" w:themeColor="text1"/>
          <w:sz w:val="28"/>
          <w:szCs w:val="28"/>
          <w:lang w:val="en-US" w:eastAsia="en-US"/>
        </w:rPr>
        <w:t>e,</w:t>
      </w:r>
      <w:r w:rsidRPr="0003764E">
        <w:rPr>
          <w:rFonts w:ascii="Times New Roman" w:hAnsi="Times New Roman"/>
          <w:color w:val="000000" w:themeColor="text1"/>
          <w:sz w:val="28"/>
          <w:szCs w:val="28"/>
          <w:lang w:val="en-US" w:eastAsia="en-US"/>
        </w:rPr>
        <w:t xml:space="preserve"> 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21,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366–376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586F35F"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234.</w:t>
      </w:r>
      <w:r w:rsidRPr="0003764E">
        <w:rPr>
          <w:rFonts w:ascii="Times New Roman" w:hAnsi="Times New Roman"/>
          <w:color w:val="000000" w:themeColor="text1"/>
          <w:sz w:val="28"/>
          <w:szCs w:val="28"/>
          <w:lang w:val="en-US" w:eastAsia="en-US"/>
        </w:rPr>
        <w:tab/>
        <w:t>Padfield G.J.</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Steinberg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Swampillai J.</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Progression of paroxysmal to persistent atrial fibrillation: 10-year follow-up in the Canadian Registry of Atrial Fibrillation // Heart Rhythm</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 № 6</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801–807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15335796" w14:textId="77777777" w:rsidR="00AC4691" w:rsidRPr="00FF08CC"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235.</w:t>
      </w:r>
      <w:r w:rsidRPr="0003764E">
        <w:rPr>
          <w:rFonts w:ascii="Times New Roman" w:hAnsi="Times New Roman"/>
          <w:color w:val="000000" w:themeColor="text1"/>
          <w:sz w:val="28"/>
          <w:szCs w:val="28"/>
          <w:lang w:val="en-US" w:eastAsia="en-US"/>
        </w:rPr>
        <w:tab/>
        <w:t>Jarrah M.I.</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Alrabadi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N.</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Alzoubi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K.H.</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Is there a Concordance between CHA2DS2 VASc and HAS-BLED Scores in Middle Eastern Patients with Nonvalvular AF? Analysis of the Jordan Atrial Fibrillation (JoFib) Study</w:t>
      </w:r>
      <w:r>
        <w:rPr>
          <w:rFonts w:ascii="Times New Roman" w:hAnsi="Times New Roman"/>
          <w:color w:val="000000" w:themeColor="text1"/>
          <w:sz w:val="28"/>
          <w:szCs w:val="28"/>
          <w:lang w:val="en-US" w:eastAsia="en-US"/>
        </w:rPr>
        <w:t xml:space="preserve"> // The open cardiovascular medicine journal, 2022. Vol. 16.</w:t>
      </w:r>
    </w:p>
    <w:p w14:paraId="6DB3C153" w14:textId="77777777" w:rsidR="00AC4691" w:rsidRPr="00967295"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236.</w:t>
      </w:r>
      <w:r w:rsidRPr="0003764E">
        <w:rPr>
          <w:rFonts w:ascii="Times New Roman" w:hAnsi="Times New Roman"/>
          <w:color w:val="000000" w:themeColor="text1"/>
          <w:sz w:val="28"/>
          <w:szCs w:val="28"/>
          <w:lang w:val="en-US" w:eastAsia="en-US"/>
        </w:rPr>
        <w:tab/>
        <w:t>Rago 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Pirozzi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D’Andrea A.</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Gender Differences in Atrial Fibrillation: From the Thromboembolic Risk to the Anticoagulant Treatment Response: 2 // Medicina. </w:t>
      </w:r>
      <w:r w:rsidRPr="00967295">
        <w:rPr>
          <w:rFonts w:ascii="Times New Roman" w:hAnsi="Times New Roman"/>
          <w:color w:val="000000" w:themeColor="text1"/>
          <w:sz w:val="28"/>
          <w:szCs w:val="28"/>
          <w:lang w:val="en-US" w:eastAsia="en-US"/>
        </w:rPr>
        <w:t xml:space="preserve">Multidisciplinary Digital Publishing Institute, 2023. </w:t>
      </w:r>
      <w:r>
        <w:rPr>
          <w:rFonts w:ascii="Times New Roman" w:hAnsi="Times New Roman"/>
          <w:color w:val="000000" w:themeColor="text1"/>
          <w:sz w:val="28"/>
          <w:szCs w:val="28"/>
          <w:lang w:val="en-US" w:eastAsia="en-US"/>
        </w:rPr>
        <w:t>Vol</w:t>
      </w:r>
      <w:r w:rsidRPr="00967295">
        <w:rPr>
          <w:rFonts w:ascii="Times New Roman" w:hAnsi="Times New Roman"/>
          <w:color w:val="000000" w:themeColor="text1"/>
          <w:sz w:val="28"/>
          <w:szCs w:val="28"/>
          <w:lang w:val="en-US" w:eastAsia="en-US"/>
        </w:rPr>
        <w:t>. 59, №2</w:t>
      </w:r>
      <w:r>
        <w:rPr>
          <w:rFonts w:ascii="Times New Roman" w:hAnsi="Times New Roman"/>
          <w:color w:val="000000" w:themeColor="text1"/>
          <w:sz w:val="28"/>
          <w:szCs w:val="28"/>
          <w:lang w:val="en-US" w:eastAsia="en-US"/>
        </w:rPr>
        <w:t xml:space="preserve">, </w:t>
      </w:r>
      <w:r w:rsidRPr="00967295">
        <w:rPr>
          <w:rFonts w:ascii="Times New Roman" w:hAnsi="Times New Roman"/>
          <w:color w:val="000000" w:themeColor="text1"/>
          <w:sz w:val="28"/>
          <w:szCs w:val="28"/>
          <w:lang w:val="en-US" w:eastAsia="en-US"/>
        </w:rPr>
        <w:t>254</w:t>
      </w:r>
      <w:r>
        <w:rPr>
          <w:rFonts w:ascii="Times New Roman" w:hAnsi="Times New Roman"/>
          <w:color w:val="000000" w:themeColor="text1"/>
          <w:sz w:val="28"/>
          <w:szCs w:val="28"/>
          <w:lang w:val="en-US" w:eastAsia="en-US"/>
        </w:rPr>
        <w:t>p</w:t>
      </w:r>
      <w:r w:rsidRPr="00967295">
        <w:rPr>
          <w:rFonts w:ascii="Times New Roman" w:hAnsi="Times New Roman"/>
          <w:color w:val="000000" w:themeColor="text1"/>
          <w:sz w:val="28"/>
          <w:szCs w:val="28"/>
          <w:lang w:val="en-US" w:eastAsia="en-US"/>
        </w:rPr>
        <w:t>.</w:t>
      </w:r>
    </w:p>
    <w:p w14:paraId="240C70F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237.</w:t>
      </w:r>
      <w:r w:rsidRPr="0003764E">
        <w:rPr>
          <w:rFonts w:ascii="Times New Roman" w:hAnsi="Times New Roman"/>
          <w:color w:val="000000" w:themeColor="text1"/>
          <w:sz w:val="28"/>
          <w:szCs w:val="28"/>
          <w:lang w:val="en-US" w:eastAsia="en-US"/>
        </w:rPr>
        <w:tab/>
        <w:t>Tomasdottir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Friberg 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Hijazi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Z.</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Risk of ischemic stroke and utility of CHA2 DS2 -VASc score in women and men with atrial fibrillation // </w:t>
      </w:r>
      <w:r w:rsidRPr="00FF08CC">
        <w:rPr>
          <w:rFonts w:ascii="Times New Roman" w:hAnsi="Times New Roman"/>
          <w:color w:val="000000" w:themeColor="text1"/>
          <w:sz w:val="28"/>
          <w:szCs w:val="28"/>
          <w:lang w:val="en-US" w:eastAsia="en-US"/>
        </w:rPr>
        <w:t>Clinical Cardiology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2019.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42, № 10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1003–1009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C563EC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238.</w:t>
      </w:r>
      <w:r w:rsidRPr="0003764E">
        <w:rPr>
          <w:rFonts w:ascii="Times New Roman" w:hAnsi="Times New Roman"/>
          <w:color w:val="000000" w:themeColor="text1"/>
          <w:sz w:val="28"/>
          <w:szCs w:val="28"/>
          <w:lang w:val="en-US" w:eastAsia="en-US"/>
        </w:rPr>
        <w:tab/>
        <w:t>Gallego P.</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Roldán V.</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Torregrosa J.</w:t>
      </w:r>
      <w:r>
        <w:rPr>
          <w:rFonts w:ascii="Times New Roman" w:hAnsi="Times New Roman"/>
          <w:sz w:val="28"/>
          <w:szCs w:val="28"/>
          <w:lang w:val="en-US" w:eastAsia="en-US"/>
        </w:rPr>
        <w:t xml:space="preserve"> et al.</w:t>
      </w:r>
      <w:r w:rsidRPr="00A21A7F">
        <w:rPr>
          <w:rFonts w:ascii="Times New Roman" w:hAnsi="Times New Roman"/>
          <w:sz w:val="28"/>
          <w:szCs w:val="28"/>
          <w:lang w:val="en-US" w:eastAsia="en-US"/>
        </w:rPr>
        <w:t xml:space="preserve"> </w:t>
      </w:r>
      <w:r w:rsidRPr="0003764E">
        <w:rPr>
          <w:rFonts w:ascii="Times New Roman" w:hAnsi="Times New Roman"/>
          <w:color w:val="000000" w:themeColor="text1"/>
          <w:sz w:val="28"/>
          <w:szCs w:val="28"/>
          <w:lang w:val="en-US" w:eastAsia="en-US"/>
        </w:rPr>
        <w:t xml:space="preserve">Relation of the HAS-BLED bleeding risk score to major bleeding, cardiovascular events, and mortality in anticoagulated patients with atrial fibrillation // </w:t>
      </w:r>
      <w:r w:rsidRPr="00FF08CC">
        <w:rPr>
          <w:rFonts w:ascii="Times New Roman" w:hAnsi="Times New Roman"/>
          <w:color w:val="000000" w:themeColor="text1"/>
          <w:sz w:val="28"/>
          <w:szCs w:val="28"/>
          <w:lang w:val="en-US" w:eastAsia="en-US"/>
        </w:rPr>
        <w:t>Circulation. Arrhythmia and Electrophysiology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312–318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3B1F3C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239.</w:t>
      </w:r>
      <w:r w:rsidRPr="0003764E">
        <w:rPr>
          <w:rFonts w:ascii="Times New Roman" w:hAnsi="Times New Roman"/>
          <w:color w:val="000000" w:themeColor="text1"/>
          <w:sz w:val="28"/>
          <w:szCs w:val="28"/>
          <w:lang w:val="en-US" w:eastAsia="en-US"/>
        </w:rPr>
        <w:tab/>
        <w:t>Mascarenhas-Melo F.</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Marado</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D.</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Palavra F.</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Diabetes abrogates sex differences and aggravates cardiometabolic risk in postmenopausal women // </w:t>
      </w:r>
      <w:r w:rsidRPr="00FF08CC">
        <w:rPr>
          <w:rFonts w:ascii="Times New Roman" w:hAnsi="Times New Roman"/>
          <w:color w:val="000000" w:themeColor="text1"/>
          <w:sz w:val="28"/>
          <w:szCs w:val="28"/>
          <w:lang w:val="en-US" w:eastAsia="en-US"/>
        </w:rPr>
        <w:t>Cardiovascular Diabetology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2013.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12, № 1</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61</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3CE1598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240.</w:t>
      </w:r>
      <w:r w:rsidRPr="0003764E">
        <w:rPr>
          <w:rFonts w:ascii="Times New Roman" w:hAnsi="Times New Roman"/>
          <w:color w:val="000000" w:themeColor="text1"/>
          <w:sz w:val="28"/>
          <w:szCs w:val="28"/>
          <w:lang w:val="en-US" w:eastAsia="en-US"/>
        </w:rPr>
        <w:tab/>
        <w:t>Grau M.</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Cremer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J.M.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Schmeichel</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Comparisons of Blood Parameters, Red Blood Cell Deformability and Circulating Nitric Oxide Between Males and Females Considering Hormonal Contraception: A Longitudinal Gender Study // </w:t>
      </w:r>
      <w:r w:rsidRPr="00164FB4">
        <w:rPr>
          <w:rFonts w:ascii="Times New Roman" w:hAnsi="Times New Roman"/>
          <w:color w:val="000000" w:themeColor="text1"/>
          <w:sz w:val="28"/>
          <w:szCs w:val="28"/>
          <w:lang w:val="en-US" w:eastAsia="en-US"/>
        </w:rPr>
        <w:t>Frontiers in Physiology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2018.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9</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1835</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C347A2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241.</w:t>
      </w:r>
      <w:r w:rsidRPr="0003764E">
        <w:rPr>
          <w:rFonts w:ascii="Times New Roman" w:hAnsi="Times New Roman"/>
          <w:color w:val="000000" w:themeColor="text1"/>
          <w:sz w:val="28"/>
          <w:szCs w:val="28"/>
          <w:lang w:val="en-US" w:eastAsia="en-US"/>
        </w:rPr>
        <w:tab/>
        <w:t xml:space="preserve">Murphy W.G. The sex difference in haemoglobin levels in adults - mechanisms, causes, and consequences // </w:t>
      </w:r>
      <w:r w:rsidRPr="00164FB4">
        <w:rPr>
          <w:rFonts w:ascii="Times New Roman" w:hAnsi="Times New Roman"/>
          <w:color w:val="000000" w:themeColor="text1"/>
          <w:sz w:val="28"/>
          <w:szCs w:val="28"/>
          <w:lang w:val="en-US" w:eastAsia="en-US"/>
        </w:rPr>
        <w:t>Blood Reviews</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28,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41–47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43E98B5"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454F41">
        <w:rPr>
          <w:rFonts w:ascii="Times New Roman" w:hAnsi="Times New Roman"/>
          <w:color w:val="000000" w:themeColor="text1"/>
          <w:sz w:val="28"/>
          <w:szCs w:val="28"/>
          <w:lang w:val="en-US" w:eastAsia="en-US"/>
        </w:rPr>
        <w:t>242.</w:t>
      </w:r>
      <w:r w:rsidRPr="00454F41">
        <w:rPr>
          <w:rFonts w:ascii="Times New Roman" w:hAnsi="Times New Roman"/>
          <w:color w:val="000000" w:themeColor="text1"/>
          <w:sz w:val="28"/>
          <w:szCs w:val="28"/>
          <w:lang w:val="en-US" w:eastAsia="en-US"/>
        </w:rPr>
        <w:tab/>
      </w:r>
      <w:r w:rsidRPr="0003764E">
        <w:rPr>
          <w:rFonts w:ascii="Times New Roman" w:hAnsi="Times New Roman"/>
          <w:color w:val="000000" w:themeColor="text1"/>
          <w:sz w:val="28"/>
          <w:szCs w:val="28"/>
          <w:lang w:val="en-US" w:eastAsia="en-US"/>
        </w:rPr>
        <w:t>O</w:t>
      </w:r>
      <w:r w:rsidRPr="00454F41">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Leary</w:t>
      </w:r>
      <w:r w:rsidRPr="00454F41">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J</w:t>
      </w:r>
      <w:r w:rsidRPr="00454F41">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G</w:t>
      </w:r>
      <w:r w:rsidRPr="00454F41">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Won</w:t>
      </w:r>
      <w:r>
        <w:rPr>
          <w:rFonts w:ascii="Times New Roman" w:hAnsi="Times New Roman"/>
          <w:sz w:val="28"/>
          <w:szCs w:val="28"/>
          <w:lang w:val="en-US" w:eastAsia="en-US"/>
        </w:rPr>
        <w:t xml:space="preserve">g </w:t>
      </w:r>
      <w:r w:rsidRPr="00A21A7F">
        <w:rPr>
          <w:rFonts w:ascii="Times New Roman" w:hAnsi="Times New Roman"/>
          <w:sz w:val="28"/>
          <w:szCs w:val="28"/>
          <w:lang w:val="en-US" w:eastAsia="en-US"/>
        </w:rPr>
        <w:t>F.</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Reddy</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K.R.</w:t>
      </w:r>
      <w:r w:rsidRPr="00454F41">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Gender-Specific Differences in Baseline, Peak, and Delta Serum Creatinine: The NACSELD Experience // </w:t>
      </w:r>
      <w:r w:rsidRPr="00164FB4">
        <w:rPr>
          <w:rFonts w:ascii="Times New Roman" w:hAnsi="Times New Roman"/>
          <w:color w:val="000000" w:themeColor="text1"/>
          <w:sz w:val="28"/>
          <w:szCs w:val="28"/>
          <w:lang w:val="en-US" w:eastAsia="en-US"/>
        </w:rPr>
        <w:t>Digestive Diseases and Sciences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62, № 3</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768–776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20754B98"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243.</w:t>
      </w:r>
      <w:r w:rsidRPr="0003764E">
        <w:rPr>
          <w:rFonts w:ascii="Times New Roman" w:hAnsi="Times New Roman"/>
          <w:color w:val="000000" w:themeColor="text1"/>
          <w:sz w:val="28"/>
          <w:szCs w:val="28"/>
          <w:lang w:val="en-US" w:eastAsia="en-US"/>
        </w:rPr>
        <w:tab/>
        <w:t>Pottel H.</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Hoste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L.</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Delanaye</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P.</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Demystifying ethnic/sex differences in kidney function: Is the difference in (estimating) glomerular filtration rate or in serum creatinine concentration? // Clinica Chimica Acta</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xml:space="preserve"> 413, № 19. 1612–1617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EE1D904"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244.</w:t>
      </w:r>
      <w:r w:rsidRPr="0003764E">
        <w:rPr>
          <w:rFonts w:ascii="Times New Roman" w:hAnsi="Times New Roman"/>
          <w:color w:val="000000" w:themeColor="text1"/>
          <w:sz w:val="28"/>
          <w:szCs w:val="28"/>
          <w:lang w:val="en-US" w:eastAsia="en-US"/>
        </w:rPr>
        <w:tab/>
      </w:r>
      <w:r w:rsidRPr="00164FB4">
        <w:rPr>
          <w:rFonts w:ascii="Times New Roman" w:hAnsi="Times New Roman"/>
          <w:color w:val="000000" w:themeColor="text1"/>
          <w:sz w:val="28"/>
          <w:szCs w:val="28"/>
          <w:lang w:val="en-US" w:eastAsia="en-US"/>
        </w:rPr>
        <w:t>Jia-Wei</w:t>
      </w:r>
      <w:r>
        <w:rPr>
          <w:rFonts w:ascii="Times New Roman" w:hAnsi="Times New Roman"/>
          <w:color w:val="000000" w:themeColor="text1"/>
          <w:sz w:val="28"/>
          <w:szCs w:val="28"/>
          <w:lang w:val="en-US" w:eastAsia="en-US"/>
        </w:rPr>
        <w:t xml:space="preserve"> Ng., </w:t>
      </w:r>
      <w:r w:rsidRPr="00A21A7F">
        <w:rPr>
          <w:rFonts w:ascii="Times New Roman" w:hAnsi="Times New Roman"/>
          <w:sz w:val="28"/>
          <w:szCs w:val="28"/>
          <w:lang w:val="en-US" w:eastAsia="en-US"/>
        </w:rPr>
        <w:t>Mohd Tahir N.A.</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Chin P.K.L.</w:t>
      </w:r>
      <w:r w:rsidRPr="0003764E">
        <w:rPr>
          <w:rFonts w:ascii="Times New Roman" w:hAnsi="Times New Roman"/>
          <w:color w:val="000000" w:themeColor="text1"/>
          <w:sz w:val="28"/>
          <w:szCs w:val="28"/>
          <w:lang w:val="en-US" w:eastAsia="en-US"/>
        </w:rPr>
        <w:t xml:space="preserve"> </w:t>
      </w:r>
      <w:r>
        <w:rPr>
          <w:rFonts w:ascii="Times New Roman" w:hAnsi="Times New Roman"/>
          <w:color w:val="000000" w:themeColor="text1"/>
          <w:sz w:val="28"/>
          <w:szCs w:val="28"/>
          <w:lang w:val="en-US" w:eastAsia="en-US"/>
        </w:rPr>
        <w:t>et al.</w:t>
      </w:r>
      <w:r w:rsidRPr="0003764E">
        <w:rPr>
          <w:rFonts w:ascii="Times New Roman" w:hAnsi="Times New Roman"/>
          <w:color w:val="000000" w:themeColor="text1"/>
          <w:sz w:val="28"/>
          <w:szCs w:val="28"/>
          <w:lang w:val="en-US" w:eastAsia="en-US"/>
        </w:rPr>
        <w:t xml:space="preserve"> A systematic review and meta-analysis of dabigatran peak and trough concentration in adults // </w:t>
      </w:r>
      <w:r w:rsidRPr="00164FB4">
        <w:rPr>
          <w:rFonts w:ascii="Times New Roman" w:hAnsi="Times New Roman"/>
          <w:color w:val="000000" w:themeColor="text1"/>
          <w:sz w:val="28"/>
          <w:szCs w:val="28"/>
          <w:lang w:val="en-US" w:eastAsia="en-US"/>
        </w:rPr>
        <w:t>British Journal of Clinical Pharmacology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88, № 10</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4443–4459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94F3D47"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245.</w:t>
      </w:r>
      <w:r w:rsidRPr="0003764E">
        <w:rPr>
          <w:rFonts w:ascii="Times New Roman" w:hAnsi="Times New Roman"/>
          <w:color w:val="000000" w:themeColor="text1"/>
          <w:sz w:val="28"/>
          <w:szCs w:val="28"/>
          <w:lang w:val="en-US" w:eastAsia="en-US"/>
        </w:rPr>
        <w:tab/>
        <w:t>Owada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Tomita H.</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Kinjo T.</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CHA2DS2-VASc and HAS-BLED scores and activated partial thromboplastin time for prediction of high plasma concentration of dabigatran at trough // </w:t>
      </w:r>
      <w:r w:rsidRPr="00164FB4">
        <w:rPr>
          <w:rFonts w:ascii="Times New Roman" w:hAnsi="Times New Roman"/>
          <w:color w:val="000000" w:themeColor="text1"/>
          <w:sz w:val="28"/>
          <w:szCs w:val="28"/>
          <w:lang w:val="en-US" w:eastAsia="en-US"/>
        </w:rPr>
        <w:t>Thrombosis Research</w:t>
      </w:r>
      <w:r>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 xml:space="preserve"> 2015.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135, № 1</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62–67</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7FEEA9ED"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246.</w:t>
      </w:r>
      <w:r w:rsidRPr="0003764E">
        <w:rPr>
          <w:rFonts w:ascii="Times New Roman" w:hAnsi="Times New Roman"/>
          <w:color w:val="000000" w:themeColor="text1"/>
          <w:sz w:val="28"/>
          <w:szCs w:val="28"/>
          <w:lang w:val="en-US" w:eastAsia="en-US"/>
        </w:rPr>
        <w:tab/>
        <w:t>Tomita H.</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Araki 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Kadokami</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Factors influencing trough and 90-minute plasma dabigatran etexilate concentrations among patients with non-valvular atrial fibrillation // Thromb</w:t>
      </w:r>
      <w:r>
        <w:rPr>
          <w:rFonts w:ascii="Times New Roman" w:hAnsi="Times New Roman"/>
          <w:color w:val="000000" w:themeColor="text1"/>
          <w:sz w:val="28"/>
          <w:szCs w:val="28"/>
          <w:lang w:val="en-US" w:eastAsia="en-US"/>
        </w:rPr>
        <w:t>osis</w:t>
      </w:r>
      <w:r w:rsidRPr="0003764E">
        <w:rPr>
          <w:rFonts w:ascii="Times New Roman" w:hAnsi="Times New Roman"/>
          <w:color w:val="000000" w:themeColor="text1"/>
          <w:sz w:val="28"/>
          <w:szCs w:val="28"/>
          <w:lang w:val="en-US" w:eastAsia="en-US"/>
        </w:rPr>
        <w:t xml:space="preserve"> Res</w:t>
      </w:r>
      <w:r>
        <w:rPr>
          <w:rFonts w:ascii="Times New Roman" w:hAnsi="Times New Roman"/>
          <w:color w:val="000000" w:themeColor="text1"/>
          <w:sz w:val="28"/>
          <w:szCs w:val="28"/>
          <w:lang w:val="en-US" w:eastAsia="en-US"/>
        </w:rPr>
        <w:t>earch,</w:t>
      </w:r>
      <w:r w:rsidRPr="0003764E">
        <w:rPr>
          <w:rFonts w:ascii="Times New Roman" w:hAnsi="Times New Roman"/>
          <w:color w:val="000000" w:themeColor="text1"/>
          <w:sz w:val="28"/>
          <w:szCs w:val="28"/>
          <w:lang w:val="en-US" w:eastAsia="en-US"/>
        </w:rPr>
        <w:t xml:space="preserve"> 2016.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145</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100–106</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01F9E0D6"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247.</w:t>
      </w:r>
      <w:r w:rsidRPr="0003764E">
        <w:rPr>
          <w:rFonts w:ascii="Times New Roman" w:hAnsi="Times New Roman"/>
          <w:color w:val="000000" w:themeColor="text1"/>
          <w:sz w:val="28"/>
          <w:szCs w:val="28"/>
          <w:lang w:val="en-US" w:eastAsia="en-US"/>
        </w:rPr>
        <w:tab/>
        <w:t>Wada S.</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Inoue M.</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Matsuki T.</w:t>
      </w:r>
      <w:r>
        <w:rPr>
          <w:rFonts w:ascii="Times New Roman" w:hAnsi="Times New Roman"/>
          <w:sz w:val="28"/>
          <w:szCs w:val="28"/>
          <w:lang w:val="en-US" w:eastAsia="en-US"/>
        </w:rPr>
        <w:t xml:space="preserve"> </w:t>
      </w:r>
      <w:r>
        <w:rPr>
          <w:rFonts w:ascii="Times New Roman" w:hAnsi="Times New Roman"/>
          <w:color w:val="000000" w:themeColor="text1"/>
          <w:sz w:val="28"/>
          <w:szCs w:val="28"/>
          <w:lang w:val="en-US" w:eastAsia="en-US"/>
        </w:rPr>
        <w:t xml:space="preserve">et al. </w:t>
      </w:r>
      <w:r w:rsidRPr="0003764E">
        <w:rPr>
          <w:rFonts w:ascii="Times New Roman" w:hAnsi="Times New Roman"/>
          <w:color w:val="000000" w:themeColor="text1"/>
          <w:sz w:val="28"/>
          <w:szCs w:val="28"/>
          <w:lang w:val="en-US" w:eastAsia="en-US"/>
        </w:rPr>
        <w:t xml:space="preserve">Concentrations of dabigatran administered after acute ischemic stroke // </w:t>
      </w:r>
      <w:r w:rsidRPr="00164FB4">
        <w:rPr>
          <w:rFonts w:ascii="Times New Roman" w:hAnsi="Times New Roman"/>
          <w:color w:val="000000" w:themeColor="text1"/>
          <w:sz w:val="28"/>
          <w:szCs w:val="28"/>
          <w:lang w:val="en-US" w:eastAsia="en-US"/>
        </w:rPr>
        <w:t>Journal of the Neurological Sciences</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2020.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41</w:t>
      </w:r>
      <w:r>
        <w:rPr>
          <w:rFonts w:ascii="Times New Roman" w:hAnsi="Times New Roman"/>
          <w:color w:val="000000" w:themeColor="text1"/>
          <w:sz w:val="28"/>
          <w:szCs w:val="28"/>
          <w:lang w:val="en-US" w:eastAsia="en-US"/>
        </w:rPr>
        <w:t>1,</w:t>
      </w:r>
      <w:r w:rsidRPr="0003764E">
        <w:rPr>
          <w:rFonts w:ascii="Times New Roman" w:hAnsi="Times New Roman"/>
          <w:color w:val="000000" w:themeColor="text1"/>
          <w:sz w:val="28"/>
          <w:szCs w:val="28"/>
          <w:lang w:val="en-US" w:eastAsia="en-US"/>
        </w:rPr>
        <w:t xml:space="preserve"> 116704.</w:t>
      </w:r>
    </w:p>
    <w:p w14:paraId="6A332F42"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248.</w:t>
      </w:r>
      <w:r w:rsidRPr="0003764E">
        <w:rPr>
          <w:rFonts w:ascii="Times New Roman" w:hAnsi="Times New Roman"/>
          <w:color w:val="000000" w:themeColor="text1"/>
          <w:sz w:val="28"/>
          <w:szCs w:val="28"/>
          <w:lang w:val="en-US" w:eastAsia="en-US"/>
        </w:rPr>
        <w:tab/>
        <w:t>Boonen K.</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Schmitz E.</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Rozestraten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F.</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Real life dabigatran and metabolite concentrations, focused on inter-patient variability and assay differences in patients with atrial fibrillation // </w:t>
      </w:r>
      <w:r w:rsidRPr="00FC1848">
        <w:rPr>
          <w:rFonts w:ascii="Times New Roman" w:hAnsi="Times New Roman"/>
          <w:color w:val="000000" w:themeColor="text1"/>
          <w:sz w:val="28"/>
          <w:szCs w:val="28"/>
          <w:lang w:val="en-US" w:eastAsia="en-US"/>
        </w:rPr>
        <w:t>Clinical Chemistry and Laboratory Medicine</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55, № 12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2002–2009</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48A8D5B0"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03764E">
        <w:rPr>
          <w:rFonts w:ascii="Times New Roman" w:hAnsi="Times New Roman"/>
          <w:color w:val="000000" w:themeColor="text1"/>
          <w:sz w:val="28"/>
          <w:szCs w:val="28"/>
          <w:lang w:val="en-US" w:eastAsia="en-US"/>
        </w:rPr>
        <w:t>249.</w:t>
      </w:r>
      <w:r w:rsidRPr="0003764E">
        <w:rPr>
          <w:rFonts w:ascii="Times New Roman" w:hAnsi="Times New Roman"/>
          <w:color w:val="000000" w:themeColor="text1"/>
          <w:sz w:val="28"/>
          <w:szCs w:val="28"/>
          <w:lang w:val="en-US" w:eastAsia="en-US"/>
        </w:rPr>
        <w:tab/>
        <w:t>Thomas A.</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Fang</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M.C.</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Kogan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sz w:val="28"/>
          <w:szCs w:val="28"/>
          <w:lang w:val="en-US" w:eastAsia="en-US"/>
        </w:rPr>
        <w:t xml:space="preserve">, et al. </w:t>
      </w:r>
      <w:r w:rsidRPr="0003764E">
        <w:rPr>
          <w:rFonts w:ascii="Times New Roman" w:hAnsi="Times New Roman"/>
          <w:color w:val="000000" w:themeColor="text1"/>
          <w:sz w:val="28"/>
          <w:szCs w:val="28"/>
          <w:lang w:val="en-US" w:eastAsia="en-US"/>
        </w:rPr>
        <w:t xml:space="preserve">Apixaban Concentrations in Routine Clinical Care of Older Adults With Nonvalvular Atrial Fibrillation // JACC: Advances. American College of Cardiology Foundation, 2022.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1, № 2</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100039.</w:t>
      </w:r>
    </w:p>
    <w:p w14:paraId="101AA233" w14:textId="77777777" w:rsidR="00AC4691" w:rsidRPr="0003764E" w:rsidRDefault="00AC4691" w:rsidP="00AC4691">
      <w:pPr>
        <w:pStyle w:val="af4"/>
        <w:jc w:val="both"/>
        <w:rPr>
          <w:rFonts w:ascii="Times New Roman" w:hAnsi="Times New Roman"/>
          <w:color w:val="000000" w:themeColor="text1"/>
          <w:sz w:val="28"/>
          <w:szCs w:val="28"/>
          <w:lang w:val="en-US" w:eastAsia="en-US"/>
        </w:rPr>
      </w:pPr>
      <w:r w:rsidRPr="00454F41">
        <w:rPr>
          <w:rFonts w:ascii="Times New Roman" w:hAnsi="Times New Roman"/>
          <w:color w:val="000000" w:themeColor="text1"/>
          <w:sz w:val="28"/>
          <w:szCs w:val="28"/>
          <w:lang w:val="en-US" w:eastAsia="en-US"/>
        </w:rPr>
        <w:t>250.</w:t>
      </w:r>
      <w:r w:rsidRPr="00454F41">
        <w:rPr>
          <w:rFonts w:ascii="Times New Roman" w:hAnsi="Times New Roman"/>
          <w:color w:val="000000" w:themeColor="text1"/>
          <w:sz w:val="28"/>
          <w:szCs w:val="28"/>
          <w:lang w:val="en-US" w:eastAsia="en-US"/>
        </w:rPr>
        <w:tab/>
      </w:r>
      <w:r w:rsidRPr="0003764E">
        <w:rPr>
          <w:rFonts w:ascii="Times New Roman" w:hAnsi="Times New Roman"/>
          <w:color w:val="000000" w:themeColor="text1"/>
          <w:sz w:val="28"/>
          <w:szCs w:val="28"/>
          <w:lang w:val="en-US" w:eastAsia="en-US"/>
        </w:rPr>
        <w:t>Reilly</w:t>
      </w:r>
      <w:r w:rsidRPr="00454F41">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P</w:t>
      </w:r>
      <w:r w:rsidRPr="00454F41">
        <w:rPr>
          <w:rFonts w:ascii="Times New Roman" w:hAnsi="Times New Roman"/>
          <w:color w:val="000000" w:themeColor="text1"/>
          <w:sz w:val="28"/>
          <w:szCs w:val="28"/>
          <w:lang w:val="en-US" w:eastAsia="en-US"/>
        </w:rPr>
        <w:t>.</w:t>
      </w:r>
      <w:r w:rsidRPr="0003764E">
        <w:rPr>
          <w:rFonts w:ascii="Times New Roman" w:hAnsi="Times New Roman"/>
          <w:color w:val="000000" w:themeColor="text1"/>
          <w:sz w:val="28"/>
          <w:szCs w:val="28"/>
          <w:lang w:val="en-US" w:eastAsia="en-US"/>
        </w:rPr>
        <w:t>A</w:t>
      </w:r>
      <w:r w:rsidRPr="00454F41">
        <w:rPr>
          <w:rFonts w:ascii="Times New Roman" w:hAnsi="Times New Roman"/>
          <w:color w:val="000000" w:themeColor="text1"/>
          <w:sz w:val="28"/>
          <w:szCs w:val="28"/>
          <w:lang w:val="en-US" w:eastAsia="en-US"/>
        </w:rPr>
        <w:t>.</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Lehr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T.</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Haertter</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S</w:t>
      </w:r>
      <w:r>
        <w:rPr>
          <w:rFonts w:ascii="Times New Roman" w:hAnsi="Times New Roman"/>
          <w:color w:val="000000" w:themeColor="text1"/>
          <w:sz w:val="28"/>
          <w:szCs w:val="28"/>
          <w:lang w:val="en-US" w:eastAsia="en-US"/>
        </w:rPr>
        <w:t xml:space="preserve"> et al.</w:t>
      </w:r>
      <w:r w:rsidRPr="00454F41">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The effect of dabigatran plasma concentrations and patient characteristics on the frequency of ischemic stroke and major bleeding in atrial fibrillation patients: the RE-LY Trial (Randomized Evaluation of Long-Term Anticoagulation Therapy) // </w:t>
      </w:r>
      <w:r w:rsidRPr="00FC1848">
        <w:rPr>
          <w:rFonts w:ascii="Times New Roman" w:hAnsi="Times New Roman"/>
          <w:color w:val="000000" w:themeColor="text1"/>
          <w:sz w:val="28"/>
          <w:szCs w:val="28"/>
          <w:lang w:val="en-US" w:eastAsia="en-US"/>
        </w:rPr>
        <w:t>Journal of the American College of Cardiology</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2014. </w:t>
      </w:r>
      <w:r>
        <w:rPr>
          <w:rFonts w:ascii="Times New Roman" w:hAnsi="Times New Roman"/>
          <w:color w:val="000000" w:themeColor="text1"/>
          <w:sz w:val="28"/>
          <w:szCs w:val="28"/>
          <w:lang w:val="en-US" w:eastAsia="en-US"/>
        </w:rPr>
        <w:t>Vol</w:t>
      </w:r>
      <w:r w:rsidRPr="0003764E">
        <w:rPr>
          <w:rFonts w:ascii="Times New Roman" w:hAnsi="Times New Roman"/>
          <w:color w:val="000000" w:themeColor="text1"/>
          <w:sz w:val="28"/>
          <w:szCs w:val="28"/>
          <w:lang w:val="en-US" w:eastAsia="en-US"/>
        </w:rPr>
        <w:t>. 63, № 4</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321–328</w:t>
      </w:r>
      <w:r>
        <w:rPr>
          <w:rFonts w:ascii="Times New Roman" w:hAnsi="Times New Roman"/>
          <w:color w:val="000000" w:themeColor="text1"/>
          <w:sz w:val="28"/>
          <w:szCs w:val="28"/>
          <w:lang w:val="en-US" w:eastAsia="en-US"/>
        </w:rPr>
        <w:t>p</w:t>
      </w:r>
      <w:r w:rsidRPr="0003764E">
        <w:rPr>
          <w:rFonts w:ascii="Times New Roman" w:hAnsi="Times New Roman"/>
          <w:color w:val="000000" w:themeColor="text1"/>
          <w:sz w:val="28"/>
          <w:szCs w:val="28"/>
          <w:lang w:val="en-US" w:eastAsia="en-US"/>
        </w:rPr>
        <w:t>.</w:t>
      </w:r>
    </w:p>
    <w:p w14:paraId="68CD2929" w14:textId="77777777" w:rsidR="00AC4691" w:rsidRPr="00FC1848" w:rsidRDefault="00AC4691" w:rsidP="00AC4691">
      <w:pPr>
        <w:pStyle w:val="af4"/>
        <w:jc w:val="both"/>
        <w:rPr>
          <w:rFonts w:ascii="Times New Roman" w:hAnsi="Times New Roman"/>
          <w:color w:val="000000" w:themeColor="text1"/>
          <w:sz w:val="28"/>
          <w:szCs w:val="28"/>
          <w:lang w:eastAsia="en-US"/>
        </w:rPr>
      </w:pPr>
      <w:r w:rsidRPr="0003764E">
        <w:rPr>
          <w:rFonts w:ascii="Times New Roman" w:hAnsi="Times New Roman"/>
          <w:color w:val="000000" w:themeColor="text1"/>
          <w:sz w:val="28"/>
          <w:szCs w:val="28"/>
          <w:lang w:val="en-US" w:eastAsia="en-US"/>
        </w:rPr>
        <w:t>251.</w:t>
      </w:r>
      <w:r w:rsidRPr="0003764E">
        <w:rPr>
          <w:rFonts w:ascii="Times New Roman" w:hAnsi="Times New Roman"/>
          <w:color w:val="000000" w:themeColor="text1"/>
          <w:sz w:val="28"/>
          <w:szCs w:val="28"/>
          <w:lang w:val="en-US" w:eastAsia="en-US"/>
        </w:rPr>
        <w:tab/>
        <w:t>Boonyawat K</w:t>
      </w:r>
      <w:r>
        <w:rPr>
          <w:rFonts w:ascii="Times New Roman" w:hAnsi="Times New Roman"/>
          <w:color w:val="000000" w:themeColor="text1"/>
          <w:sz w:val="28"/>
          <w:szCs w:val="28"/>
          <w:lang w:val="en-US" w:eastAsia="en-US"/>
        </w:rPr>
        <w:t xml:space="preserve">., </w:t>
      </w:r>
      <w:r w:rsidRPr="00A21A7F">
        <w:rPr>
          <w:rFonts w:ascii="Times New Roman" w:hAnsi="Times New Roman"/>
          <w:sz w:val="28"/>
          <w:szCs w:val="28"/>
          <w:lang w:val="en-US" w:eastAsia="en-US"/>
        </w:rPr>
        <w:t>Caron</w:t>
      </w:r>
      <w:r>
        <w:rPr>
          <w:rFonts w:ascii="Times New Roman" w:hAnsi="Times New Roman"/>
          <w:sz w:val="28"/>
          <w:szCs w:val="28"/>
          <w:lang w:val="en-US" w:eastAsia="en-US"/>
        </w:rPr>
        <w:t xml:space="preserve"> </w:t>
      </w:r>
      <w:r w:rsidRPr="00A21A7F">
        <w:rPr>
          <w:rFonts w:ascii="Times New Roman" w:hAnsi="Times New Roman"/>
          <w:sz w:val="28"/>
          <w:szCs w:val="28"/>
          <w:lang w:val="en-US" w:eastAsia="en-US"/>
        </w:rPr>
        <w:t>F.</w:t>
      </w:r>
      <w:r>
        <w:rPr>
          <w:rFonts w:ascii="Times New Roman" w:hAnsi="Times New Roman"/>
          <w:sz w:val="28"/>
          <w:szCs w:val="28"/>
          <w:lang w:val="en-US" w:eastAsia="en-US"/>
        </w:rPr>
        <w:t>,</w:t>
      </w:r>
      <w:r w:rsidRPr="00A21A7F">
        <w:rPr>
          <w:rFonts w:ascii="Times New Roman" w:hAnsi="Times New Roman"/>
          <w:sz w:val="28"/>
          <w:szCs w:val="28"/>
          <w:lang w:val="en-US" w:eastAsia="en-US"/>
        </w:rPr>
        <w:t xml:space="preserve"> Li A</w:t>
      </w:r>
      <w:r>
        <w:rPr>
          <w:rFonts w:ascii="Times New Roman" w:hAnsi="Times New Roman"/>
          <w:sz w:val="28"/>
          <w:szCs w:val="28"/>
          <w:lang w:val="en-US" w:eastAsia="en-US"/>
        </w:rPr>
        <w:t>. et al.</w:t>
      </w:r>
      <w:r w:rsidRPr="0003764E">
        <w:rPr>
          <w:rFonts w:ascii="Times New Roman" w:hAnsi="Times New Roman"/>
          <w:color w:val="000000" w:themeColor="text1"/>
          <w:sz w:val="28"/>
          <w:szCs w:val="28"/>
          <w:lang w:val="en-US" w:eastAsia="en-US"/>
        </w:rPr>
        <w:t xml:space="preserve"> Association of body weight with efficacy and safety outcomes in phase III randomized controlled trials of direct oral anticoagulants: a systematic review and meta-analysis // </w:t>
      </w:r>
      <w:r w:rsidRPr="00FC1848">
        <w:rPr>
          <w:rFonts w:ascii="Times New Roman" w:hAnsi="Times New Roman"/>
          <w:color w:val="000000" w:themeColor="text1"/>
          <w:sz w:val="28"/>
          <w:szCs w:val="28"/>
          <w:lang w:val="en-US" w:eastAsia="en-US"/>
        </w:rPr>
        <w:t>Journal of thrombosis and haemostasis: JTH</w:t>
      </w:r>
      <w:r>
        <w:rPr>
          <w:rFonts w:ascii="Times New Roman" w:hAnsi="Times New Roman"/>
          <w:color w:val="000000" w:themeColor="text1"/>
          <w:sz w:val="28"/>
          <w:szCs w:val="28"/>
          <w:lang w:val="en-US" w:eastAsia="en-US"/>
        </w:rPr>
        <w:t xml:space="preserve">, </w:t>
      </w:r>
      <w:r w:rsidRPr="0003764E">
        <w:rPr>
          <w:rFonts w:ascii="Times New Roman" w:hAnsi="Times New Roman"/>
          <w:color w:val="000000" w:themeColor="text1"/>
          <w:sz w:val="28"/>
          <w:szCs w:val="28"/>
          <w:lang w:val="en-US" w:eastAsia="en-US"/>
        </w:rPr>
        <w:t xml:space="preserve">2017. </w:t>
      </w:r>
      <w:r>
        <w:rPr>
          <w:rFonts w:ascii="Times New Roman" w:hAnsi="Times New Roman"/>
          <w:color w:val="000000" w:themeColor="text1"/>
          <w:sz w:val="28"/>
          <w:szCs w:val="28"/>
          <w:lang w:val="en-US" w:eastAsia="en-US"/>
        </w:rPr>
        <w:t>Vol</w:t>
      </w:r>
      <w:r w:rsidRPr="00FC1848">
        <w:rPr>
          <w:rFonts w:ascii="Times New Roman" w:hAnsi="Times New Roman"/>
          <w:color w:val="000000" w:themeColor="text1"/>
          <w:sz w:val="28"/>
          <w:szCs w:val="28"/>
          <w:lang w:eastAsia="en-US"/>
        </w:rPr>
        <w:t>. 15, № 7, 1322–1333</w:t>
      </w:r>
      <w:r>
        <w:rPr>
          <w:rFonts w:ascii="Times New Roman" w:hAnsi="Times New Roman"/>
          <w:color w:val="000000" w:themeColor="text1"/>
          <w:sz w:val="28"/>
          <w:szCs w:val="28"/>
          <w:lang w:val="en-US" w:eastAsia="en-US"/>
        </w:rPr>
        <w:t>p</w:t>
      </w:r>
      <w:r w:rsidRPr="00FC1848">
        <w:rPr>
          <w:rFonts w:ascii="Times New Roman" w:hAnsi="Times New Roman"/>
          <w:color w:val="000000" w:themeColor="text1"/>
          <w:sz w:val="28"/>
          <w:szCs w:val="28"/>
          <w:lang w:eastAsia="en-US"/>
        </w:rPr>
        <w:t>.</w:t>
      </w:r>
    </w:p>
    <w:p w14:paraId="21B0F14C" w14:textId="77777777" w:rsidR="00AC4691" w:rsidRPr="0003764E" w:rsidRDefault="00AC4691" w:rsidP="00AC4691">
      <w:pPr>
        <w:pStyle w:val="af4"/>
        <w:jc w:val="both"/>
        <w:rPr>
          <w:rFonts w:ascii="Times New Roman" w:hAnsi="Times New Roman"/>
          <w:color w:val="000000" w:themeColor="text1"/>
          <w:sz w:val="28"/>
          <w:szCs w:val="28"/>
          <w:lang w:eastAsia="en-US"/>
        </w:rPr>
      </w:pPr>
      <w:r w:rsidRPr="00FC1848">
        <w:rPr>
          <w:rFonts w:ascii="Times New Roman" w:hAnsi="Times New Roman"/>
          <w:color w:val="000000" w:themeColor="text1"/>
          <w:sz w:val="28"/>
          <w:szCs w:val="28"/>
          <w:lang w:eastAsia="en-US"/>
        </w:rPr>
        <w:t>252.</w:t>
      </w:r>
      <w:r w:rsidRPr="00FC1848">
        <w:rPr>
          <w:rFonts w:ascii="Times New Roman" w:hAnsi="Times New Roman"/>
          <w:color w:val="000000" w:themeColor="text1"/>
          <w:sz w:val="28"/>
          <w:szCs w:val="28"/>
          <w:lang w:eastAsia="en-US"/>
        </w:rPr>
        <w:tab/>
      </w:r>
      <w:r w:rsidRPr="0003764E">
        <w:rPr>
          <w:rFonts w:ascii="Times New Roman" w:hAnsi="Times New Roman"/>
          <w:color w:val="000000" w:themeColor="text1"/>
          <w:sz w:val="28"/>
          <w:szCs w:val="28"/>
          <w:lang w:eastAsia="en-US"/>
        </w:rPr>
        <w:t>А</w:t>
      </w:r>
      <w:r>
        <w:rPr>
          <w:rFonts w:ascii="Times New Roman" w:hAnsi="Times New Roman"/>
          <w:color w:val="000000" w:themeColor="text1"/>
          <w:sz w:val="28"/>
          <w:szCs w:val="28"/>
          <w:lang w:eastAsia="en-US"/>
        </w:rPr>
        <w:t>бдрахманов</w:t>
      </w:r>
      <w:r w:rsidRPr="00FC1848">
        <w:rPr>
          <w:rFonts w:ascii="Times New Roman" w:hAnsi="Times New Roman"/>
          <w:color w:val="000000" w:themeColor="text1"/>
          <w:sz w:val="28"/>
          <w:szCs w:val="28"/>
          <w:lang w:eastAsia="en-US"/>
        </w:rPr>
        <w:t xml:space="preserve"> </w:t>
      </w:r>
      <w:r>
        <w:rPr>
          <w:rFonts w:ascii="Times New Roman" w:hAnsi="Times New Roman"/>
          <w:color w:val="000000" w:themeColor="text1"/>
          <w:sz w:val="28"/>
          <w:szCs w:val="28"/>
          <w:lang w:eastAsia="en-US"/>
        </w:rPr>
        <w:t>А</w:t>
      </w:r>
      <w:r w:rsidRPr="00FC1848">
        <w:rPr>
          <w:rFonts w:ascii="Times New Roman" w:hAnsi="Times New Roman"/>
          <w:color w:val="000000" w:themeColor="text1"/>
          <w:sz w:val="28"/>
          <w:szCs w:val="28"/>
          <w:lang w:eastAsia="en-US"/>
        </w:rPr>
        <w:t xml:space="preserve">., </w:t>
      </w:r>
      <w:r>
        <w:rPr>
          <w:rFonts w:ascii="Times New Roman" w:hAnsi="Times New Roman"/>
          <w:color w:val="000000" w:themeColor="text1"/>
          <w:sz w:val="28"/>
          <w:szCs w:val="28"/>
          <w:lang w:eastAsia="en-US"/>
        </w:rPr>
        <w:t>Шаймердинова</w:t>
      </w:r>
      <w:r w:rsidRPr="00FC1848">
        <w:rPr>
          <w:rFonts w:ascii="Times New Roman" w:hAnsi="Times New Roman"/>
          <w:color w:val="000000" w:themeColor="text1"/>
          <w:sz w:val="28"/>
          <w:szCs w:val="28"/>
          <w:lang w:eastAsia="en-US"/>
        </w:rPr>
        <w:t xml:space="preserve"> </w:t>
      </w:r>
      <w:r>
        <w:rPr>
          <w:rFonts w:ascii="Times New Roman" w:hAnsi="Times New Roman"/>
          <w:color w:val="000000" w:themeColor="text1"/>
          <w:sz w:val="28"/>
          <w:szCs w:val="28"/>
          <w:lang w:val="en-US" w:eastAsia="en-US"/>
        </w:rPr>
        <w:t>A</w:t>
      </w:r>
      <w:r w:rsidRPr="00FC1848">
        <w:rPr>
          <w:rFonts w:ascii="Times New Roman" w:hAnsi="Times New Roman"/>
          <w:color w:val="000000" w:themeColor="text1"/>
          <w:sz w:val="28"/>
          <w:szCs w:val="28"/>
          <w:lang w:eastAsia="en-US"/>
        </w:rPr>
        <w:t xml:space="preserve">., </w:t>
      </w:r>
      <w:r>
        <w:rPr>
          <w:rFonts w:ascii="Times New Roman" w:hAnsi="Times New Roman"/>
          <w:color w:val="000000" w:themeColor="text1"/>
          <w:sz w:val="28"/>
          <w:szCs w:val="28"/>
          <w:lang w:eastAsia="en-US"/>
        </w:rPr>
        <w:t>Жолдыбаева Е.</w:t>
      </w:r>
      <w:r w:rsidRPr="00FC1848">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и</w:t>
      </w:r>
      <w:r w:rsidRPr="00FC1848">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др</w:t>
      </w:r>
      <w:r w:rsidRPr="00FC1848">
        <w:rPr>
          <w:rFonts w:ascii="Times New Roman" w:hAnsi="Times New Roman"/>
          <w:color w:val="000000" w:themeColor="text1"/>
          <w:sz w:val="28"/>
          <w:szCs w:val="28"/>
          <w:lang w:eastAsia="en-US"/>
        </w:rPr>
        <w:t xml:space="preserve">. </w:t>
      </w:r>
      <w:r>
        <w:rPr>
          <w:rFonts w:ascii="Times New Roman" w:hAnsi="Times New Roman"/>
          <w:color w:val="000000" w:themeColor="text1"/>
          <w:sz w:val="28"/>
          <w:szCs w:val="28"/>
          <w:lang w:eastAsia="en-US"/>
        </w:rPr>
        <w:t xml:space="preserve">Оценка влияния полиморфизма гена АВСВ1 на фармакокинетические параметры апиксабана в казахской популяции </w:t>
      </w:r>
      <w:r w:rsidRPr="00FC1848">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Наука</w:t>
      </w:r>
      <w:r w:rsidRPr="00FC1848">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и</w:t>
      </w:r>
      <w:r w:rsidRPr="00FC1848">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здравоохранение</w:t>
      </w:r>
      <w:r>
        <w:rPr>
          <w:rFonts w:ascii="Times New Roman" w:hAnsi="Times New Roman"/>
          <w:color w:val="000000" w:themeColor="text1"/>
          <w:sz w:val="28"/>
          <w:szCs w:val="28"/>
          <w:lang w:eastAsia="en-US"/>
        </w:rPr>
        <w:t>,</w:t>
      </w:r>
      <w:r w:rsidRPr="00FC1848">
        <w:rPr>
          <w:rFonts w:ascii="Times New Roman" w:hAnsi="Times New Roman"/>
          <w:color w:val="000000" w:themeColor="text1"/>
          <w:sz w:val="28"/>
          <w:szCs w:val="28"/>
          <w:lang w:eastAsia="en-US"/>
        </w:rPr>
        <w:t xml:space="preserve"> 2023. </w:t>
      </w:r>
      <w:r w:rsidRPr="0003764E">
        <w:rPr>
          <w:rFonts w:ascii="Times New Roman" w:hAnsi="Times New Roman"/>
          <w:color w:val="000000" w:themeColor="text1"/>
          <w:sz w:val="28"/>
          <w:szCs w:val="28"/>
          <w:lang w:eastAsia="en-US"/>
        </w:rPr>
        <w:t>№ 3(25)</w:t>
      </w:r>
      <w:r>
        <w:rPr>
          <w:rFonts w:ascii="Times New Roman" w:hAnsi="Times New Roman"/>
          <w:color w:val="000000" w:themeColor="text1"/>
          <w:sz w:val="28"/>
          <w:szCs w:val="28"/>
          <w:lang w:eastAsia="en-US"/>
        </w:rPr>
        <w:t xml:space="preserve">, </w:t>
      </w:r>
      <w:r w:rsidRPr="0003764E">
        <w:rPr>
          <w:rFonts w:ascii="Times New Roman" w:hAnsi="Times New Roman"/>
          <w:color w:val="000000" w:themeColor="text1"/>
          <w:sz w:val="28"/>
          <w:szCs w:val="28"/>
          <w:lang w:eastAsia="en-US"/>
        </w:rPr>
        <w:t>32–39</w:t>
      </w:r>
      <w:r>
        <w:rPr>
          <w:rFonts w:ascii="Times New Roman" w:hAnsi="Times New Roman"/>
          <w:color w:val="000000" w:themeColor="text1"/>
          <w:sz w:val="28"/>
          <w:szCs w:val="28"/>
          <w:lang w:eastAsia="en-US"/>
        </w:rPr>
        <w:t>с</w:t>
      </w:r>
      <w:r w:rsidRPr="0003764E">
        <w:rPr>
          <w:rFonts w:ascii="Times New Roman" w:hAnsi="Times New Roman"/>
          <w:color w:val="000000" w:themeColor="text1"/>
          <w:sz w:val="28"/>
          <w:szCs w:val="28"/>
          <w:lang w:eastAsia="en-US"/>
        </w:rPr>
        <w:t>.</w:t>
      </w:r>
    </w:p>
    <w:p w14:paraId="0C5BB9D4" w14:textId="2885ACF0" w:rsidR="00AC4691" w:rsidRPr="00D558C4" w:rsidRDefault="00AC4691" w:rsidP="00AC4691">
      <w:pPr>
        <w:pStyle w:val="LO-normal"/>
        <w:spacing w:after="0" w:line="240" w:lineRule="auto"/>
        <w:ind w:firstLine="567"/>
        <w:jc w:val="center"/>
        <w:rPr>
          <w:rFonts w:ascii="Times New Roman" w:hAnsi="Times New Roman"/>
          <w:sz w:val="28"/>
          <w:szCs w:val="28"/>
        </w:rPr>
      </w:pPr>
      <w:r w:rsidRPr="0003764E">
        <w:rPr>
          <w:rFonts w:ascii="Times New Roman" w:hAnsi="Times New Roman"/>
          <w:color w:val="000000" w:themeColor="text1"/>
          <w:sz w:val="28"/>
          <w:szCs w:val="28"/>
        </w:rPr>
        <w:fldChar w:fldCharType="end"/>
      </w:r>
    </w:p>
    <w:p w14:paraId="254C1BCF" w14:textId="3511B902" w:rsidR="00EE4DC9" w:rsidRPr="00D558C4" w:rsidRDefault="00EE4DC9" w:rsidP="00AC4691">
      <w:pPr>
        <w:pStyle w:val="af4"/>
        <w:rPr>
          <w:rFonts w:ascii="Times New Roman" w:hAnsi="Times New Roman"/>
          <w:sz w:val="28"/>
          <w:szCs w:val="28"/>
        </w:rPr>
      </w:pPr>
    </w:p>
    <w:p w14:paraId="3774192A" w14:textId="77777777" w:rsidR="009C40E7" w:rsidRPr="00D558C4" w:rsidRDefault="009C40E7" w:rsidP="00D558C4">
      <w:pPr>
        <w:pStyle w:val="LO-normal"/>
        <w:spacing w:after="0" w:line="240" w:lineRule="auto"/>
        <w:ind w:left="426" w:firstLine="567"/>
        <w:jc w:val="both"/>
        <w:rPr>
          <w:rFonts w:ascii="Times New Roman" w:hAnsi="Times New Roman" w:cs="Times New Roman"/>
          <w:sz w:val="28"/>
          <w:szCs w:val="28"/>
          <w:lang w:bidi="ar-SA"/>
        </w:rPr>
      </w:pPr>
    </w:p>
    <w:p w14:paraId="28D57D7F" w14:textId="1BA2B1B4" w:rsidR="00EE4DC9" w:rsidRPr="00D558C4" w:rsidRDefault="00EE4DC9" w:rsidP="00D558C4">
      <w:pPr>
        <w:spacing w:after="160" w:line="278" w:lineRule="auto"/>
        <w:jc w:val="both"/>
        <w:textAlignment w:val="auto"/>
        <w:outlineLvl w:val="9"/>
        <w:rPr>
          <w:rFonts w:ascii="Times New Roman" w:eastAsia="Calibri" w:hAnsi="Times New Roman"/>
          <w:sz w:val="28"/>
          <w:szCs w:val="28"/>
        </w:rPr>
      </w:pPr>
      <w:r w:rsidRPr="00D558C4">
        <w:rPr>
          <w:rFonts w:ascii="Times New Roman" w:hAnsi="Times New Roman"/>
          <w:sz w:val="28"/>
          <w:szCs w:val="28"/>
        </w:rPr>
        <w:br w:type="page"/>
      </w:r>
    </w:p>
    <w:p w14:paraId="3C1079BC" w14:textId="77777777" w:rsidR="00EE4DC9" w:rsidRDefault="00EE4DC9" w:rsidP="00EE4DC9">
      <w:pPr>
        <w:pStyle w:val="LO-normal"/>
        <w:tabs>
          <w:tab w:val="left" w:pos="993"/>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A</w:t>
      </w:r>
    </w:p>
    <w:p w14:paraId="5F1AE34F" w14:textId="65331AC3" w:rsidR="00EE4DC9" w:rsidRDefault="00EE4DC9" w:rsidP="00EE4DC9">
      <w:pPr>
        <w:pStyle w:val="LO-normal"/>
        <w:spacing w:after="0" w:line="240" w:lineRule="auto"/>
        <w:jc w:val="center"/>
        <w:rPr>
          <w:rFonts w:ascii="Times New Roman" w:eastAsia="Times New Roman" w:hAnsi="Times New Roman" w:cs="Times New Roman"/>
          <w:sz w:val="28"/>
          <w:szCs w:val="28"/>
        </w:rPr>
      </w:pPr>
      <w:bookmarkStart w:id="2" w:name="_Hlk223550605"/>
      <w:r>
        <w:rPr>
          <w:rFonts w:ascii="Times New Roman" w:eastAsia="Times New Roman" w:hAnsi="Times New Roman" w:cs="Times New Roman"/>
          <w:sz w:val="28"/>
          <w:szCs w:val="28"/>
        </w:rPr>
        <w:t>Авторское свидетельство</w:t>
      </w:r>
    </w:p>
    <w:bookmarkEnd w:id="2"/>
    <w:p w14:paraId="4B88040E" w14:textId="53F7B04D" w:rsidR="009C40E7" w:rsidRDefault="00171CCC" w:rsidP="00171CCC">
      <w:pPr>
        <w:pStyle w:val="LO-normal"/>
        <w:spacing w:after="0" w:line="240" w:lineRule="auto"/>
        <w:ind w:right="-568"/>
        <w:jc w:val="both"/>
        <w:rPr>
          <w:rFonts w:ascii="Times New Roman" w:hAnsi="Times New Roman" w:cs="Times New Roman"/>
          <w:sz w:val="28"/>
          <w:szCs w:val="28"/>
          <w:lang w:bidi="ar-SA"/>
        </w:rPr>
      </w:pPr>
      <w:r>
        <w:rPr>
          <w:rFonts w:ascii="Times New Roman" w:eastAsia="Times New Roman" w:hAnsi="Times New Roman" w:cs="Times New Roman"/>
          <w:b/>
          <w:noProof/>
          <w:sz w:val="28"/>
          <w:szCs w:val="28"/>
          <w:lang w:eastAsia="ru-RU" w:bidi="ar-SA"/>
        </w:rPr>
        <w:drawing>
          <wp:anchor distT="0" distB="0" distL="0" distR="0" simplePos="0" relativeHeight="251717632" behindDoc="0" locked="0" layoutInCell="0" allowOverlap="1" wp14:anchorId="54263FAD" wp14:editId="5A65A604">
            <wp:simplePos x="0" y="0"/>
            <wp:positionH relativeFrom="column">
              <wp:posOffset>0</wp:posOffset>
            </wp:positionH>
            <wp:positionV relativeFrom="paragraph">
              <wp:posOffset>203835</wp:posOffset>
            </wp:positionV>
            <wp:extent cx="5852795" cy="8273415"/>
            <wp:effectExtent l="0" t="0" r="0" b="0"/>
            <wp:wrapSquare wrapText="largest"/>
            <wp:docPr id="2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
                    <pic:cNvPicPr>
                      <a:picLocks noChangeAspect="1" noChangeArrowheads="1"/>
                    </pic:cNvPicPr>
                  </pic:nvPicPr>
                  <pic:blipFill>
                    <a:blip r:embed="rId41"/>
                    <a:stretch>
                      <a:fillRect/>
                    </a:stretch>
                  </pic:blipFill>
                  <pic:spPr bwMode="auto">
                    <a:xfrm>
                      <a:off x="0" y="0"/>
                      <a:ext cx="5852795" cy="8273415"/>
                    </a:xfrm>
                    <a:prstGeom prst="rect">
                      <a:avLst/>
                    </a:prstGeom>
                  </pic:spPr>
                </pic:pic>
              </a:graphicData>
            </a:graphic>
          </wp:anchor>
        </w:drawing>
      </w:r>
    </w:p>
    <w:p w14:paraId="5F39C752" w14:textId="77777777" w:rsidR="00171CCC" w:rsidRPr="00171CCC" w:rsidRDefault="00171CCC" w:rsidP="00171CCC"/>
    <w:p w14:paraId="13CF4784" w14:textId="77777777" w:rsidR="00171CCC" w:rsidRPr="00171CCC" w:rsidRDefault="00171CCC" w:rsidP="00171CCC"/>
    <w:p w14:paraId="58EDBDC2" w14:textId="77777777" w:rsidR="00171CCC" w:rsidRPr="00171CCC" w:rsidRDefault="00171CCC" w:rsidP="00171CCC"/>
    <w:p w14:paraId="0D8DEA97" w14:textId="77777777" w:rsidR="00171CCC" w:rsidRPr="00171CCC" w:rsidRDefault="00171CCC" w:rsidP="00171CCC"/>
    <w:p w14:paraId="380B503B" w14:textId="77777777" w:rsidR="00171CCC" w:rsidRPr="00171CCC" w:rsidRDefault="00171CCC" w:rsidP="00171CCC"/>
    <w:p w14:paraId="3219EFAB" w14:textId="77777777" w:rsidR="00171CCC" w:rsidRPr="00171CCC" w:rsidRDefault="00171CCC" w:rsidP="00171CCC"/>
    <w:p w14:paraId="783C8A34" w14:textId="77777777" w:rsidR="00171CCC" w:rsidRPr="00171CCC" w:rsidRDefault="00171CCC" w:rsidP="00171CCC"/>
    <w:p w14:paraId="16756B8A" w14:textId="77777777" w:rsidR="00171CCC" w:rsidRPr="00171CCC" w:rsidRDefault="00171CCC" w:rsidP="00171CCC"/>
    <w:p w14:paraId="1632E04C" w14:textId="77777777" w:rsidR="00171CCC" w:rsidRPr="00171CCC" w:rsidRDefault="00171CCC" w:rsidP="00171CCC"/>
    <w:p w14:paraId="25F09D1F" w14:textId="77777777" w:rsidR="00171CCC" w:rsidRPr="00171CCC" w:rsidRDefault="00171CCC" w:rsidP="00171CCC"/>
    <w:p w14:paraId="14F87A39" w14:textId="77777777" w:rsidR="00171CCC" w:rsidRPr="00171CCC" w:rsidRDefault="00171CCC" w:rsidP="00171CCC"/>
    <w:p w14:paraId="089F0773" w14:textId="77777777" w:rsidR="00171CCC" w:rsidRPr="00171CCC" w:rsidRDefault="00171CCC" w:rsidP="00171CCC"/>
    <w:p w14:paraId="4A139CD5" w14:textId="77777777" w:rsidR="00171CCC" w:rsidRPr="00171CCC" w:rsidRDefault="00171CCC" w:rsidP="00171CCC"/>
    <w:p w14:paraId="2667ABAF" w14:textId="77777777" w:rsidR="00171CCC" w:rsidRPr="00171CCC" w:rsidRDefault="00171CCC" w:rsidP="00171CCC"/>
    <w:p w14:paraId="061913FC" w14:textId="77777777" w:rsidR="00171CCC" w:rsidRPr="00171CCC" w:rsidRDefault="00171CCC" w:rsidP="00171CCC"/>
    <w:p w14:paraId="71E6B351" w14:textId="77777777" w:rsidR="00171CCC" w:rsidRPr="00171CCC" w:rsidRDefault="00171CCC" w:rsidP="00171CCC"/>
    <w:p w14:paraId="7AB9C021" w14:textId="77777777" w:rsidR="00171CCC" w:rsidRPr="00171CCC" w:rsidRDefault="00171CCC" w:rsidP="00171CCC"/>
    <w:p w14:paraId="596A6FFB" w14:textId="77777777" w:rsidR="00171CCC" w:rsidRPr="00171CCC" w:rsidRDefault="00171CCC" w:rsidP="00171CCC"/>
    <w:p w14:paraId="14127409" w14:textId="77777777" w:rsidR="00171CCC" w:rsidRPr="00171CCC" w:rsidRDefault="00171CCC" w:rsidP="00171CCC"/>
    <w:p w14:paraId="740FF6D7" w14:textId="77777777" w:rsidR="00171CCC" w:rsidRPr="00171CCC" w:rsidRDefault="00171CCC" w:rsidP="00171CCC"/>
    <w:p w14:paraId="211F275A" w14:textId="77777777" w:rsidR="00171CCC" w:rsidRPr="00171CCC" w:rsidRDefault="00171CCC" w:rsidP="00171CCC"/>
    <w:p w14:paraId="7327FF6F" w14:textId="77777777" w:rsidR="00171CCC" w:rsidRPr="00171CCC" w:rsidRDefault="00171CCC" w:rsidP="00171CCC"/>
    <w:p w14:paraId="0DD77B01" w14:textId="77777777" w:rsidR="00171CCC" w:rsidRPr="00171CCC" w:rsidRDefault="00171CCC" w:rsidP="00171CCC"/>
    <w:p w14:paraId="0E82A380" w14:textId="77777777" w:rsidR="00171CCC" w:rsidRPr="00171CCC" w:rsidRDefault="00171CCC" w:rsidP="00171CCC"/>
    <w:p w14:paraId="2363F406" w14:textId="77777777" w:rsidR="00171CCC" w:rsidRPr="00171CCC" w:rsidRDefault="00171CCC" w:rsidP="00171CCC"/>
    <w:p w14:paraId="159EB9DE" w14:textId="77777777" w:rsidR="00171CCC" w:rsidRPr="00171CCC" w:rsidRDefault="00171CCC" w:rsidP="00171CCC"/>
    <w:p w14:paraId="34537B09" w14:textId="77777777" w:rsidR="00171CCC" w:rsidRDefault="00171CCC" w:rsidP="00171CCC">
      <w:pPr>
        <w:pStyle w:val="LO-normal"/>
        <w:rPr>
          <w:lang w:bidi="ar-SA"/>
        </w:rPr>
      </w:pPr>
    </w:p>
    <w:p w14:paraId="7921835F" w14:textId="77777777" w:rsidR="00171CCC" w:rsidRDefault="00171CCC" w:rsidP="00171CCC">
      <w:pPr>
        <w:pStyle w:val="LO-normal"/>
        <w:rPr>
          <w:lang w:bidi="ar-SA"/>
        </w:rPr>
      </w:pPr>
    </w:p>
    <w:p w14:paraId="4BC25AF5" w14:textId="2AD2EED7" w:rsidR="00171CCC" w:rsidRPr="00171CCC" w:rsidRDefault="00171CCC" w:rsidP="00171CCC">
      <w:pPr>
        <w:pStyle w:val="LO-normal"/>
        <w:rPr>
          <w:lang w:bidi="ar-SA"/>
        </w:rPr>
      </w:pPr>
      <w:r>
        <w:rPr>
          <w:rFonts w:ascii="Times New Roman" w:eastAsia="Times New Roman" w:hAnsi="Times New Roman" w:cs="Times New Roman"/>
          <w:b/>
          <w:noProof/>
          <w:sz w:val="28"/>
          <w:szCs w:val="28"/>
          <w:lang w:eastAsia="ru-RU" w:bidi="ar-SA"/>
        </w:rPr>
        <w:drawing>
          <wp:anchor distT="0" distB="0" distL="0" distR="0" simplePos="0" relativeHeight="251719680" behindDoc="0" locked="0" layoutInCell="0" allowOverlap="1" wp14:anchorId="3D58F3DD" wp14:editId="52869F23">
            <wp:simplePos x="0" y="0"/>
            <wp:positionH relativeFrom="column">
              <wp:posOffset>0</wp:posOffset>
            </wp:positionH>
            <wp:positionV relativeFrom="paragraph">
              <wp:posOffset>554</wp:posOffset>
            </wp:positionV>
            <wp:extent cx="6120130" cy="8616950"/>
            <wp:effectExtent l="0" t="0" r="0" b="0"/>
            <wp:wrapSquare wrapText="largest"/>
            <wp:docPr id="2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
                    <pic:cNvPicPr>
                      <a:picLocks noChangeAspect="1" noChangeArrowheads="1"/>
                    </pic:cNvPicPr>
                  </pic:nvPicPr>
                  <pic:blipFill>
                    <a:blip r:embed="rId42"/>
                    <a:stretch>
                      <a:fillRect/>
                    </a:stretch>
                  </pic:blipFill>
                  <pic:spPr bwMode="auto">
                    <a:xfrm>
                      <a:off x="0" y="0"/>
                      <a:ext cx="6120130" cy="8616950"/>
                    </a:xfrm>
                    <a:prstGeom prst="rect">
                      <a:avLst/>
                    </a:prstGeom>
                  </pic:spPr>
                </pic:pic>
              </a:graphicData>
            </a:graphic>
          </wp:anchor>
        </w:drawing>
      </w:r>
    </w:p>
    <w:p w14:paraId="015B89C9" w14:textId="3BCE7FE1" w:rsidR="00171CCC" w:rsidRDefault="00171CCC" w:rsidP="00171CCC">
      <w:pPr>
        <w:pStyle w:val="LO-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Авторское свидетельство</w:t>
      </w:r>
    </w:p>
    <w:p w14:paraId="517E2DBA" w14:textId="77777777" w:rsidR="00FF489D" w:rsidRDefault="00FF489D" w:rsidP="00171CCC">
      <w:pPr>
        <w:pStyle w:val="LO-normal"/>
        <w:spacing w:after="0" w:line="240" w:lineRule="auto"/>
        <w:jc w:val="center"/>
        <w:rPr>
          <w:rFonts w:ascii="Times New Roman" w:eastAsia="Times New Roman" w:hAnsi="Times New Roman" w:cs="Times New Roman"/>
          <w:sz w:val="28"/>
          <w:szCs w:val="28"/>
        </w:rPr>
      </w:pPr>
    </w:p>
    <w:p w14:paraId="2FBB6087" w14:textId="048A4403" w:rsidR="00FF489D" w:rsidRDefault="00FF489D" w:rsidP="00171CCC">
      <w:r>
        <w:rPr>
          <w:noProof/>
          <w:lang w:eastAsia="ru-RU"/>
          <w14:ligatures w14:val="standardContextual"/>
        </w:rPr>
        <w:drawing>
          <wp:inline distT="0" distB="0" distL="0" distR="0" wp14:anchorId="472C2DF0" wp14:editId="3526B241">
            <wp:extent cx="6120130" cy="8629650"/>
            <wp:effectExtent l="0" t="0" r="0" b="6350"/>
            <wp:docPr id="18619260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6013" name="Рисунок 1861926013"/>
                    <pic:cNvPicPr/>
                  </pic:nvPicPr>
                  <pic:blipFill rotWithShape="1">
                    <a:blip r:embed="rId43">
                      <a:extLst>
                        <a:ext uri="{28A0092B-C50C-407E-A947-70E740481C1C}">
                          <a14:useLocalDpi xmlns:a14="http://schemas.microsoft.com/office/drawing/2010/main" val="0"/>
                        </a:ext>
                      </a:extLst>
                    </a:blip>
                    <a:srcRect l="1589" r="-1589"/>
                    <a:stretch>
                      <a:fillRect/>
                    </a:stretch>
                  </pic:blipFill>
                  <pic:spPr>
                    <a:xfrm>
                      <a:off x="0" y="0"/>
                      <a:ext cx="6120130" cy="8629650"/>
                    </a:xfrm>
                    <a:prstGeom prst="rect">
                      <a:avLst/>
                    </a:prstGeom>
                  </pic:spPr>
                </pic:pic>
              </a:graphicData>
            </a:graphic>
          </wp:inline>
        </w:drawing>
      </w:r>
    </w:p>
    <w:p w14:paraId="475FE0A2" w14:textId="5CF56CF3" w:rsidR="00FF489D" w:rsidRDefault="00FF489D" w:rsidP="00FF489D">
      <w:pPr>
        <w:pStyle w:val="LO-normal"/>
      </w:pPr>
      <w:r>
        <w:br w:type="page"/>
      </w:r>
      <w:r>
        <w:rPr>
          <w:noProof/>
          <w:lang w:eastAsia="ru-RU" w:bidi="ar-SA"/>
          <w14:ligatures w14:val="standardContextual"/>
        </w:rPr>
        <w:drawing>
          <wp:inline distT="0" distB="0" distL="0" distR="0" wp14:anchorId="4E619878" wp14:editId="23EC8960">
            <wp:extent cx="6120130" cy="8673465"/>
            <wp:effectExtent l="0" t="0" r="1270" b="635"/>
            <wp:docPr id="1267107964" name="Рисунок 3" descr="Изображение выглядит как текст, снимок экрана,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07964" name="Рисунок 3" descr="Изображение выглядит как текст, снимок экрана, вода&#10;&#10;Содержимое, созданное искусственным интеллектом, может быть неверным."/>
                    <pic:cNvPicPr/>
                  </pic:nvPicPr>
                  <pic:blipFill>
                    <a:blip r:embed="rId44">
                      <a:extLst>
                        <a:ext uri="{28A0092B-C50C-407E-A947-70E740481C1C}">
                          <a14:useLocalDpi xmlns:a14="http://schemas.microsoft.com/office/drawing/2010/main" val="0"/>
                        </a:ext>
                      </a:extLst>
                    </a:blip>
                    <a:stretch>
                      <a:fillRect/>
                    </a:stretch>
                  </pic:blipFill>
                  <pic:spPr>
                    <a:xfrm>
                      <a:off x="0" y="0"/>
                      <a:ext cx="6120130" cy="8673465"/>
                    </a:xfrm>
                    <a:prstGeom prst="rect">
                      <a:avLst/>
                    </a:prstGeom>
                  </pic:spPr>
                </pic:pic>
              </a:graphicData>
            </a:graphic>
          </wp:inline>
        </w:drawing>
      </w:r>
    </w:p>
    <w:p w14:paraId="13998B86" w14:textId="77777777" w:rsidR="00171CCC" w:rsidRDefault="00171CCC" w:rsidP="00171CCC"/>
    <w:p w14:paraId="4B8FEBE9"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Б</w:t>
      </w:r>
    </w:p>
    <w:p w14:paraId="6B5A2C66" w14:textId="77777777" w:rsidR="00FF489D" w:rsidRDefault="00FF489D" w:rsidP="00FF489D">
      <w:pPr>
        <w:pStyle w:val="LO-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Акт внедрения</w:t>
      </w:r>
    </w:p>
    <w:p w14:paraId="7D662E53" w14:textId="77777777" w:rsidR="00FF489D" w:rsidRDefault="00FF489D" w:rsidP="00FF489D">
      <w:pPr>
        <w:pStyle w:val="LO-normal"/>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bidi="ar-SA"/>
        </w:rPr>
        <w:drawing>
          <wp:anchor distT="0" distB="0" distL="0" distR="0" simplePos="0" relativeHeight="251724800" behindDoc="0" locked="0" layoutInCell="0" allowOverlap="1" wp14:anchorId="4D28822A" wp14:editId="4A75B6A1">
            <wp:simplePos x="0" y="0"/>
            <wp:positionH relativeFrom="column">
              <wp:posOffset>396875</wp:posOffset>
            </wp:positionH>
            <wp:positionV relativeFrom="paragraph">
              <wp:posOffset>180975</wp:posOffset>
            </wp:positionV>
            <wp:extent cx="5163820" cy="6981190"/>
            <wp:effectExtent l="0" t="0" r="0" b="0"/>
            <wp:wrapSquare wrapText="largest"/>
            <wp:docPr id="26" name="Image12" descr="Изображение выглядит как текст, бумага, книга, Бумажное издел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 descr="Изображение выглядит как текст, бумага, книга, Бумажное изделие&#10;&#10;Содержимое, созданное искусственным интеллектом, может быть неверным."/>
                    <pic:cNvPicPr>
                      <a:picLocks noChangeAspect="1" noChangeArrowheads="1"/>
                    </pic:cNvPicPr>
                  </pic:nvPicPr>
                  <pic:blipFill>
                    <a:blip r:embed="rId45"/>
                    <a:srcRect l="969" t="2454" r="7113" b="2927"/>
                    <a:stretch>
                      <a:fillRect/>
                    </a:stretch>
                  </pic:blipFill>
                  <pic:spPr bwMode="auto">
                    <a:xfrm>
                      <a:off x="0" y="0"/>
                      <a:ext cx="5163820" cy="6981190"/>
                    </a:xfrm>
                    <a:prstGeom prst="rect">
                      <a:avLst/>
                    </a:prstGeom>
                  </pic:spPr>
                </pic:pic>
              </a:graphicData>
            </a:graphic>
          </wp:anchor>
        </w:drawing>
      </w:r>
    </w:p>
    <w:p w14:paraId="540C2E4C" w14:textId="77777777" w:rsidR="00FF489D" w:rsidRDefault="00FF489D" w:rsidP="00FF489D">
      <w:pPr>
        <w:pStyle w:val="LO-normal"/>
        <w:spacing w:after="0" w:line="240" w:lineRule="auto"/>
        <w:jc w:val="center"/>
        <w:rPr>
          <w:rFonts w:ascii="Times New Roman" w:eastAsia="Times New Roman" w:hAnsi="Times New Roman" w:cs="Times New Roman"/>
          <w:sz w:val="28"/>
          <w:szCs w:val="28"/>
        </w:rPr>
      </w:pPr>
      <w:r>
        <w:br w:type="page"/>
      </w:r>
    </w:p>
    <w:p w14:paraId="7258F518" w14:textId="77777777" w:rsidR="00FF489D" w:rsidRDefault="00FF489D" w:rsidP="00FF489D">
      <w:pPr>
        <w:pStyle w:val="LO-normal"/>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В</w:t>
      </w:r>
    </w:p>
    <w:p w14:paraId="59BF919A" w14:textId="77777777" w:rsidR="00FF489D" w:rsidRDefault="00FF489D" w:rsidP="00FF489D">
      <w:pPr>
        <w:pStyle w:val="LO-normal"/>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Выписка из протокола заседания этического комитета </w:t>
      </w:r>
    </w:p>
    <w:p w14:paraId="2541B2C3" w14:textId="77777777" w:rsidR="00FF489D" w:rsidRDefault="00FF489D" w:rsidP="00FF489D">
      <w:pPr>
        <w:pStyle w:val="LO-normal"/>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НАО «Национальный научный кардиохирургический центр»</w:t>
      </w:r>
    </w:p>
    <w:p w14:paraId="6473B94E"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bidi="ar-SA"/>
        </w:rPr>
        <w:drawing>
          <wp:anchor distT="0" distB="0" distL="0" distR="0" simplePos="0" relativeHeight="251723776" behindDoc="0" locked="0" layoutInCell="0" allowOverlap="1" wp14:anchorId="4142CB29" wp14:editId="20EC1E40">
            <wp:simplePos x="0" y="0"/>
            <wp:positionH relativeFrom="column">
              <wp:align>center</wp:align>
            </wp:positionH>
            <wp:positionV relativeFrom="paragraph">
              <wp:posOffset>635</wp:posOffset>
            </wp:positionV>
            <wp:extent cx="5688965" cy="8041005"/>
            <wp:effectExtent l="0" t="0" r="0" b="0"/>
            <wp:wrapSquare wrapText="largest"/>
            <wp:docPr id="27" name="Image14" descr="Изображение выглядит как текст, чек, письмо,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 descr="Изображение выглядит как текст, чек, письмо, документ&#10;&#10;Содержимое, созданное искусственным интеллектом, может быть неверным."/>
                    <pic:cNvPicPr>
                      <a:picLocks noChangeAspect="1" noChangeArrowheads="1"/>
                    </pic:cNvPicPr>
                  </pic:nvPicPr>
                  <pic:blipFill>
                    <a:blip r:embed="rId46"/>
                    <a:stretch>
                      <a:fillRect/>
                    </a:stretch>
                  </pic:blipFill>
                  <pic:spPr bwMode="auto">
                    <a:xfrm>
                      <a:off x="0" y="0"/>
                      <a:ext cx="5688965" cy="8041005"/>
                    </a:xfrm>
                    <a:prstGeom prst="rect">
                      <a:avLst/>
                    </a:prstGeom>
                  </pic:spPr>
                </pic:pic>
              </a:graphicData>
            </a:graphic>
          </wp:anchor>
        </w:drawing>
      </w:r>
      <w:r>
        <w:br w:type="page"/>
      </w:r>
    </w:p>
    <w:p w14:paraId="4698D6B4"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bidi="ar-SA"/>
        </w:rPr>
        <w:drawing>
          <wp:anchor distT="0" distB="0" distL="0" distR="0" simplePos="0" relativeHeight="251721728" behindDoc="0" locked="0" layoutInCell="0" allowOverlap="1" wp14:anchorId="478EEA63" wp14:editId="1D5135F9">
            <wp:simplePos x="0" y="0"/>
            <wp:positionH relativeFrom="column">
              <wp:posOffset>-72390</wp:posOffset>
            </wp:positionH>
            <wp:positionV relativeFrom="paragraph">
              <wp:posOffset>53340</wp:posOffset>
            </wp:positionV>
            <wp:extent cx="6120130" cy="8344535"/>
            <wp:effectExtent l="0" t="0" r="0" b="0"/>
            <wp:wrapSquare wrapText="largest"/>
            <wp:docPr id="28" name="Image20" descr="Изображение выглядит как текст, Шрифт, снимок экрана, ч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 descr="Изображение выглядит как текст, Шрифт, снимок экрана, чек&#10;&#10;Содержимое, созданное искусственным интеллектом, может быть неверным."/>
                    <pic:cNvPicPr>
                      <a:picLocks noChangeAspect="1" noChangeArrowheads="1"/>
                    </pic:cNvPicPr>
                  </pic:nvPicPr>
                  <pic:blipFill>
                    <a:blip r:embed="rId47"/>
                    <a:stretch>
                      <a:fillRect/>
                    </a:stretch>
                  </pic:blipFill>
                  <pic:spPr bwMode="auto">
                    <a:xfrm>
                      <a:off x="0" y="0"/>
                      <a:ext cx="6120130" cy="8344535"/>
                    </a:xfrm>
                    <a:prstGeom prst="rect">
                      <a:avLst/>
                    </a:prstGeom>
                  </pic:spPr>
                </pic:pic>
              </a:graphicData>
            </a:graphic>
          </wp:anchor>
        </w:drawing>
      </w:r>
    </w:p>
    <w:p w14:paraId="70718A69"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p>
    <w:p w14:paraId="4ED7C1E0"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p>
    <w:p w14:paraId="46357F39"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br w:type="page"/>
      </w:r>
    </w:p>
    <w:p w14:paraId="0D5E872D" w14:textId="3485CC63" w:rsidR="00FF489D" w:rsidRDefault="00FF489D" w:rsidP="00FF489D">
      <w:pPr>
        <w:pStyle w:val="LO-normal"/>
        <w:spacing w:after="0" w:line="240" w:lineRule="auto"/>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ПРИЛОЖЕНИЕ  В</w:t>
      </w:r>
      <w:proofErr w:type="gramEnd"/>
    </w:p>
    <w:p w14:paraId="1723BD53" w14:textId="5AE75C8D"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Заключение Этической комиссии </w:t>
      </w:r>
    </w:p>
    <w:p w14:paraId="7E74782D" w14:textId="78D67C1D"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bidi="ar-SA"/>
        </w:rPr>
        <w:drawing>
          <wp:anchor distT="0" distB="0" distL="0" distR="0" simplePos="0" relativeHeight="251722752" behindDoc="0" locked="0" layoutInCell="0" allowOverlap="1" wp14:anchorId="59990D15" wp14:editId="30B6E8AE">
            <wp:simplePos x="0" y="0"/>
            <wp:positionH relativeFrom="column">
              <wp:posOffset>-477520</wp:posOffset>
            </wp:positionH>
            <wp:positionV relativeFrom="paragraph">
              <wp:posOffset>300355</wp:posOffset>
            </wp:positionV>
            <wp:extent cx="6614160" cy="7957185"/>
            <wp:effectExtent l="0" t="0" r="2540" b="5715"/>
            <wp:wrapSquare wrapText="largest"/>
            <wp:docPr id="29"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1"/>
                    <pic:cNvPicPr>
                      <a:picLocks noChangeAspect="1" noChangeArrowheads="1"/>
                    </pic:cNvPicPr>
                  </pic:nvPicPr>
                  <pic:blipFill>
                    <a:blip r:embed="rId48"/>
                    <a:stretch>
                      <a:fillRect/>
                    </a:stretch>
                  </pic:blipFill>
                  <pic:spPr bwMode="auto">
                    <a:xfrm>
                      <a:off x="0" y="0"/>
                      <a:ext cx="6614160" cy="7957185"/>
                    </a:xfrm>
                    <a:prstGeom prst="rect">
                      <a:avLst/>
                    </a:prstGeom>
                  </pic:spPr>
                </pic:pic>
              </a:graphicData>
            </a:graphic>
            <wp14:sizeRelV relativeFrom="margin">
              <wp14:pctHeight>0</wp14:pctHeight>
            </wp14:sizeRelV>
          </wp:anchor>
        </w:drawing>
      </w:r>
      <w:r>
        <w:rPr>
          <w:rFonts w:ascii="Times New Roman" w:eastAsia="Times New Roman" w:hAnsi="Times New Roman" w:cs="Times New Roman"/>
          <w:b/>
          <w:sz w:val="28"/>
          <w:szCs w:val="28"/>
        </w:rPr>
        <w:t xml:space="preserve">НАО «Медицинский университет Астана» </w:t>
      </w:r>
    </w:p>
    <w:p w14:paraId="55334457"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p>
    <w:p w14:paraId="1E455C6B"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p>
    <w:p w14:paraId="547B19A1"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ПРИЛОЖЕНИЕ  В</w:t>
      </w:r>
      <w:proofErr w:type="gramEnd"/>
    </w:p>
    <w:p w14:paraId="1DED95A9"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Заключение Этической комиссии </w:t>
      </w:r>
    </w:p>
    <w:p w14:paraId="3E932B05" w14:textId="5545EA41"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НАО «Медицинский университет Астана» </w:t>
      </w:r>
    </w:p>
    <w:p w14:paraId="3CBF6314"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bidi="ar-SA"/>
          <w14:ligatures w14:val="standardContextual"/>
        </w:rPr>
        <w:drawing>
          <wp:inline distT="0" distB="0" distL="0" distR="0" wp14:anchorId="7E6D464D" wp14:editId="34346412">
            <wp:extent cx="6120130" cy="8112206"/>
            <wp:effectExtent l="0" t="0" r="1270" b="3175"/>
            <wp:docPr id="109831088" name="Рисунок 4" descr="Изображение выглядит как текст, Шрифт, снимок экрана,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1088" name="Рисунок 4" descr="Изображение выглядит как текст, Шрифт, снимок экрана, письмо&#10;&#10;Содержимое, созданное искусственным интеллектом, может быть неверным."/>
                    <pic:cNvPicPr/>
                  </pic:nvPicPr>
                  <pic:blipFill rotWithShape="1">
                    <a:blip r:embed="rId49" cstate="print">
                      <a:extLst>
                        <a:ext uri="{28A0092B-C50C-407E-A947-70E740481C1C}">
                          <a14:useLocalDpi xmlns:a14="http://schemas.microsoft.com/office/drawing/2010/main" val="0"/>
                        </a:ext>
                      </a:extLst>
                    </a:blip>
                    <a:srcRect t="6293"/>
                    <a:stretch>
                      <a:fillRect/>
                    </a:stretch>
                  </pic:blipFill>
                  <pic:spPr bwMode="auto">
                    <a:xfrm>
                      <a:off x="0" y="0"/>
                      <a:ext cx="6120130" cy="8112206"/>
                    </a:xfrm>
                    <a:prstGeom prst="rect">
                      <a:avLst/>
                    </a:prstGeom>
                    <a:ln>
                      <a:noFill/>
                    </a:ln>
                    <a:extLst>
                      <a:ext uri="{53640926-AAD7-44D8-BBD7-CCE9431645EC}">
                        <a14:shadowObscured xmlns:a14="http://schemas.microsoft.com/office/drawing/2010/main"/>
                      </a:ext>
                    </a:extLst>
                  </pic:spPr>
                </pic:pic>
              </a:graphicData>
            </a:graphic>
          </wp:inline>
        </w:drawing>
      </w:r>
    </w:p>
    <w:p w14:paraId="21D2569C"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p>
    <w:p w14:paraId="74D9A382" w14:textId="77777777" w:rsidR="00FF489D" w:rsidRDefault="00FF489D">
      <w:pPr>
        <w:spacing w:after="160" w:line="278" w:lineRule="auto"/>
        <w:textAlignment w:val="auto"/>
        <w:outlineLvl w:val="9"/>
        <w:rPr>
          <w:rFonts w:ascii="Times New Roman" w:eastAsia="Times New Roman" w:hAnsi="Times New Roman"/>
          <w:b/>
          <w:sz w:val="28"/>
          <w:szCs w:val="28"/>
          <w:lang w:bidi="hi-IN"/>
        </w:rPr>
      </w:pPr>
      <w:r>
        <w:rPr>
          <w:rFonts w:ascii="Times New Roman" w:eastAsia="Times New Roman" w:hAnsi="Times New Roman"/>
          <w:b/>
          <w:sz w:val="28"/>
          <w:szCs w:val="28"/>
        </w:rPr>
        <w:br w:type="page"/>
      </w:r>
    </w:p>
    <w:p w14:paraId="2AD1B053" w14:textId="76389C85"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Г</w:t>
      </w:r>
    </w:p>
    <w:p w14:paraId="49661726"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Информированное согласие</w:t>
      </w:r>
    </w:p>
    <w:p w14:paraId="6C92F314" w14:textId="77777777" w:rsidR="00FF489D" w:rsidRDefault="00FF489D" w:rsidP="00FF489D">
      <w:pPr>
        <w:pStyle w:val="LO-normal"/>
        <w:spacing w:after="0" w:line="240" w:lineRule="auto"/>
        <w:jc w:val="center"/>
      </w:pPr>
      <w:r>
        <w:rPr>
          <w:noProof/>
          <w:lang w:eastAsia="ru-RU" w:bidi="ar-SA"/>
        </w:rPr>
        <w:drawing>
          <wp:anchor distT="0" distB="0" distL="0" distR="0" simplePos="0" relativeHeight="251725824" behindDoc="0" locked="0" layoutInCell="0" allowOverlap="1" wp14:anchorId="5C896E60" wp14:editId="1F5C31BE">
            <wp:simplePos x="0" y="0"/>
            <wp:positionH relativeFrom="column">
              <wp:posOffset>162560</wp:posOffset>
            </wp:positionH>
            <wp:positionV relativeFrom="paragraph">
              <wp:posOffset>176530</wp:posOffset>
            </wp:positionV>
            <wp:extent cx="5537200" cy="8272145"/>
            <wp:effectExtent l="0" t="0" r="0" b="0"/>
            <wp:wrapTopAndBottom/>
            <wp:docPr id="30"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
                    <pic:cNvPicPr>
                      <a:picLocks noChangeAspect="1" noChangeArrowheads="1"/>
                    </pic:cNvPicPr>
                  </pic:nvPicPr>
                  <pic:blipFill>
                    <a:blip r:embed="rId50"/>
                    <a:stretch>
                      <a:fillRect/>
                    </a:stretch>
                  </pic:blipFill>
                  <pic:spPr bwMode="auto">
                    <a:xfrm>
                      <a:off x="0" y="0"/>
                      <a:ext cx="5537200" cy="8272145"/>
                    </a:xfrm>
                    <a:prstGeom prst="rect">
                      <a:avLst/>
                    </a:prstGeom>
                  </pic:spPr>
                </pic:pic>
              </a:graphicData>
            </a:graphic>
          </wp:anchor>
        </w:drawing>
      </w:r>
      <w:r>
        <w:br w:type="page"/>
      </w:r>
    </w:p>
    <w:p w14:paraId="5C844425"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Д</w:t>
      </w:r>
    </w:p>
    <w:p w14:paraId="59371F46"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Информированное согласие</w:t>
      </w:r>
    </w:p>
    <w:p w14:paraId="32B7A67C"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bidi="ar-SA"/>
        </w:rPr>
        <w:drawing>
          <wp:anchor distT="0" distB="0" distL="0" distR="0" simplePos="0" relativeHeight="251727872" behindDoc="0" locked="0" layoutInCell="0" allowOverlap="1" wp14:anchorId="2EED09D6" wp14:editId="4F905830">
            <wp:simplePos x="0" y="0"/>
            <wp:positionH relativeFrom="column">
              <wp:align>center</wp:align>
            </wp:positionH>
            <wp:positionV relativeFrom="paragraph">
              <wp:posOffset>635</wp:posOffset>
            </wp:positionV>
            <wp:extent cx="5554345" cy="8061960"/>
            <wp:effectExtent l="0" t="0" r="0" b="0"/>
            <wp:wrapSquare wrapText="largest"/>
            <wp:docPr id="31" name="Image26" descr="Изображение выглядит как текст, бумага, письмо,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6" descr="Изображение выглядит как текст, бумага, письмо, документ&#10;&#10;Содержимое, созданное искусственным интеллектом, может быть неверным."/>
                    <pic:cNvPicPr>
                      <a:picLocks noChangeAspect="1" noChangeArrowheads="1"/>
                    </pic:cNvPicPr>
                  </pic:nvPicPr>
                  <pic:blipFill>
                    <a:blip r:embed="rId51"/>
                    <a:stretch>
                      <a:fillRect/>
                    </a:stretch>
                  </pic:blipFill>
                  <pic:spPr bwMode="auto">
                    <a:xfrm>
                      <a:off x="0" y="0"/>
                      <a:ext cx="5554345" cy="8061960"/>
                    </a:xfrm>
                    <a:prstGeom prst="rect">
                      <a:avLst/>
                    </a:prstGeom>
                  </pic:spPr>
                </pic:pic>
              </a:graphicData>
            </a:graphic>
          </wp:anchor>
        </w:drawing>
      </w:r>
      <w:r>
        <w:br w:type="page"/>
      </w:r>
    </w:p>
    <w:p w14:paraId="4A7AA5A8"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Д</w:t>
      </w:r>
    </w:p>
    <w:p w14:paraId="5E320A3A" w14:textId="77777777" w:rsidR="00FF489D" w:rsidRDefault="00FF489D" w:rsidP="00FF489D">
      <w:pPr>
        <w:pStyle w:val="LO-normal"/>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Информированное согласие (продолжение)</w:t>
      </w:r>
    </w:p>
    <w:p w14:paraId="40BF3800" w14:textId="77777777" w:rsidR="00FF489D" w:rsidRDefault="00FF489D" w:rsidP="0003764E">
      <w:pPr>
        <w:pStyle w:val="LO-normal"/>
        <w:spacing w:after="0" w:line="240" w:lineRule="auto"/>
        <w:rPr>
          <w:rFonts w:ascii="Times New Roman" w:eastAsia="Times New Roman" w:hAnsi="Times New Roman" w:cs="Times New Roman"/>
          <w:b/>
          <w:sz w:val="28"/>
          <w:szCs w:val="28"/>
        </w:rPr>
        <w:sectPr w:rsidR="00FF489D" w:rsidSect="00AC4691">
          <w:footerReference w:type="default" r:id="rId52"/>
          <w:pgSz w:w="11906" w:h="16838"/>
          <w:pgMar w:top="1134" w:right="567" w:bottom="1134" w:left="1701" w:header="0" w:footer="113" w:gutter="0"/>
          <w:pgNumType w:start="0"/>
          <w:cols w:space="720"/>
          <w:formProt w:val="0"/>
          <w:titlePg/>
          <w:docGrid w:linePitch="299"/>
        </w:sectPr>
      </w:pPr>
      <w:r>
        <w:rPr>
          <w:rFonts w:ascii="Times New Roman" w:eastAsia="Times New Roman" w:hAnsi="Times New Roman" w:cs="Times New Roman"/>
          <w:b/>
          <w:noProof/>
          <w:sz w:val="28"/>
          <w:szCs w:val="28"/>
          <w:lang w:eastAsia="ru-RU" w:bidi="ar-SA"/>
        </w:rPr>
        <w:drawing>
          <wp:anchor distT="0" distB="0" distL="0" distR="0" simplePos="0" relativeHeight="251726848" behindDoc="0" locked="0" layoutInCell="0" allowOverlap="1" wp14:anchorId="308E1E8A" wp14:editId="5736674D">
            <wp:simplePos x="0" y="0"/>
            <wp:positionH relativeFrom="column">
              <wp:posOffset>166370</wp:posOffset>
            </wp:positionH>
            <wp:positionV relativeFrom="paragraph">
              <wp:posOffset>165100</wp:posOffset>
            </wp:positionV>
            <wp:extent cx="5594985" cy="8096250"/>
            <wp:effectExtent l="0" t="0" r="0" b="0"/>
            <wp:wrapTopAndBottom/>
            <wp:docPr id="32"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
                    <pic:cNvPicPr>
                      <a:picLocks noChangeAspect="1" noChangeArrowheads="1"/>
                    </pic:cNvPicPr>
                  </pic:nvPicPr>
                  <pic:blipFill>
                    <a:blip r:embed="rId53"/>
                    <a:stretch>
                      <a:fillRect/>
                    </a:stretch>
                  </pic:blipFill>
                  <pic:spPr bwMode="auto">
                    <a:xfrm>
                      <a:off x="0" y="0"/>
                      <a:ext cx="5594985" cy="8096250"/>
                    </a:xfrm>
                    <a:prstGeom prst="rect">
                      <a:avLst/>
                    </a:prstGeom>
                  </pic:spPr>
                </pic:pic>
              </a:graphicData>
            </a:graphic>
          </wp:anchor>
        </w:drawing>
      </w:r>
    </w:p>
    <w:p w14:paraId="065F79E1" w14:textId="77777777" w:rsidR="00FF489D" w:rsidRPr="00FF489D" w:rsidRDefault="00FF489D" w:rsidP="00FF489D">
      <w:pPr>
        <w:pStyle w:val="LO-normal"/>
        <w:rPr>
          <w:lang w:bidi="ar-SA"/>
        </w:rPr>
      </w:pPr>
    </w:p>
    <w:sectPr w:rsidR="00FF489D" w:rsidRPr="00FF489D" w:rsidSect="00AC4691">
      <w:footerReference w:type="even" r:id="rId54"/>
      <w:footerReference w:type="default" r:id="rId55"/>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19AEC" w14:textId="77777777" w:rsidR="000B6A57" w:rsidRDefault="000B6A57" w:rsidP="00AE6701">
      <w:pPr>
        <w:spacing w:after="0" w:line="240" w:lineRule="auto"/>
      </w:pPr>
      <w:r>
        <w:separator/>
      </w:r>
    </w:p>
  </w:endnote>
  <w:endnote w:type="continuationSeparator" w:id="0">
    <w:p w14:paraId="273F208A" w14:textId="77777777" w:rsidR="000B6A57" w:rsidRDefault="000B6A57" w:rsidP="00AE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swiss"/>
    <w:pitch w:val="variable"/>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Cambria Math">
    <w:panose1 w:val="02040503050406030204"/>
    <w:charset w:val="CC"/>
    <w:family w:val="roman"/>
    <w:pitch w:val="variable"/>
    <w:sig w:usb0="E00006FF" w:usb1="420024FF" w:usb2="02000000" w:usb3="00000000" w:csb0="0000019F" w:csb1="00000000"/>
  </w:font>
  <w:font w:name="AppleSystemUIFont">
    <w:altName w:val="Calibri"/>
    <w:charset w:val="00"/>
    <w:family w:val="auto"/>
    <w:pitch w:val="default"/>
  </w:font>
  <w:font w:name="Helvetica Neue">
    <w:altName w:val="Corbel"/>
    <w:charset w:val="00"/>
    <w:family w:val="auto"/>
    <w:pitch w:val="variable"/>
    <w:sig w:usb0="00000003" w:usb1="500079DB" w:usb2="0000001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5E6A3" w14:textId="77777777" w:rsidR="00FF489D" w:rsidRDefault="00FF489D">
    <w:pPr>
      <w:pStyle w:val="ad"/>
      <w:jc w:val="right"/>
    </w:pPr>
    <w:r>
      <w:fldChar w:fldCharType="begin"/>
    </w:r>
    <w:r>
      <w:instrText>PAGE</w:instrText>
    </w:r>
    <w:r>
      <w:fldChar w:fldCharType="separate"/>
    </w:r>
    <w:r w:rsidR="001F0B4E">
      <w:rPr>
        <w:noProof/>
      </w:rPr>
      <w:t>20</w:t>
    </w:r>
    <w:r>
      <w:fldChar w:fldCharType="end"/>
    </w:r>
  </w:p>
  <w:p w14:paraId="120DEA1D" w14:textId="77777777" w:rsidR="00FF489D" w:rsidRDefault="00FF489D">
    <w:pPr>
      <w:pStyle w:val="LO-normal"/>
      <w:tabs>
        <w:tab w:val="center" w:pos="4677"/>
        <w:tab w:val="right" w:pos="9355"/>
      </w:tabs>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8"/>
      </w:rPr>
      <w:id w:val="-1211648021"/>
      <w:docPartObj>
        <w:docPartGallery w:val="Page Numbers (Bottom of Page)"/>
        <w:docPartUnique/>
      </w:docPartObj>
    </w:sdtPr>
    <w:sdtEndPr>
      <w:rPr>
        <w:rStyle w:val="af8"/>
      </w:rPr>
    </w:sdtEndPr>
    <w:sdtContent>
      <w:p w14:paraId="608709F2" w14:textId="7C4771C3" w:rsidR="00C9342A" w:rsidRDefault="00C9342A" w:rsidP="00BD0849">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end"/>
        </w:r>
      </w:p>
    </w:sdtContent>
  </w:sdt>
  <w:sdt>
    <w:sdtPr>
      <w:rPr>
        <w:rStyle w:val="af8"/>
      </w:rPr>
      <w:id w:val="-132556862"/>
      <w:docPartObj>
        <w:docPartGallery w:val="Page Numbers (Bottom of Page)"/>
        <w:docPartUnique/>
      </w:docPartObj>
    </w:sdtPr>
    <w:sdtEndPr>
      <w:rPr>
        <w:rStyle w:val="af8"/>
      </w:rPr>
    </w:sdtEndPr>
    <w:sdtContent>
      <w:p w14:paraId="39536C21" w14:textId="42F85691" w:rsidR="00C9342A" w:rsidRDefault="00C9342A" w:rsidP="00C9342A">
        <w:pPr>
          <w:pStyle w:val="af6"/>
          <w:framePr w:wrap="none" w:vAnchor="text" w:hAnchor="margin" w:xAlign="right" w:y="1"/>
          <w:ind w:right="360"/>
          <w:rPr>
            <w:rStyle w:val="af8"/>
          </w:rPr>
        </w:pPr>
        <w:r>
          <w:rPr>
            <w:rStyle w:val="af8"/>
          </w:rPr>
          <w:fldChar w:fldCharType="begin"/>
        </w:r>
        <w:r>
          <w:rPr>
            <w:rStyle w:val="af8"/>
          </w:rPr>
          <w:instrText xml:space="preserve"> PAGE </w:instrText>
        </w:r>
        <w:r>
          <w:rPr>
            <w:rStyle w:val="af8"/>
          </w:rPr>
          <w:fldChar w:fldCharType="end"/>
        </w:r>
      </w:p>
    </w:sdtContent>
  </w:sdt>
  <w:p w14:paraId="3FD068DB" w14:textId="77777777" w:rsidR="00C9342A" w:rsidRDefault="00C9342A" w:rsidP="00C9342A">
    <w:pPr>
      <w:pStyle w:val="af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8"/>
      </w:rPr>
      <w:id w:val="-326984936"/>
      <w:docPartObj>
        <w:docPartGallery w:val="Page Numbers (Bottom of Page)"/>
        <w:docPartUnique/>
      </w:docPartObj>
    </w:sdtPr>
    <w:sdtEndPr>
      <w:rPr>
        <w:rStyle w:val="af8"/>
      </w:rPr>
    </w:sdtEndPr>
    <w:sdtContent>
      <w:p w14:paraId="710C7AB4" w14:textId="1A8A759A" w:rsidR="00C9342A" w:rsidRDefault="00C9342A" w:rsidP="00BD0849">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noProof/>
          </w:rPr>
          <w:t>2</w:t>
        </w:r>
        <w:r>
          <w:rPr>
            <w:rStyle w:val="af8"/>
          </w:rPr>
          <w:fldChar w:fldCharType="end"/>
        </w:r>
      </w:p>
    </w:sdtContent>
  </w:sdt>
  <w:p w14:paraId="2F27375D" w14:textId="77777777" w:rsidR="00C9342A" w:rsidRDefault="00C9342A" w:rsidP="00C9342A">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B11DA" w14:textId="77777777" w:rsidR="000B6A57" w:rsidRDefault="000B6A57" w:rsidP="00AE6701">
      <w:pPr>
        <w:spacing w:after="0" w:line="240" w:lineRule="auto"/>
      </w:pPr>
      <w:r>
        <w:separator/>
      </w:r>
    </w:p>
  </w:footnote>
  <w:footnote w:type="continuationSeparator" w:id="0">
    <w:p w14:paraId="1EB780F9" w14:textId="77777777" w:rsidR="000B6A57" w:rsidRDefault="000B6A57" w:rsidP="00AE67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A59"/>
    <w:multiLevelType w:val="hybridMultilevel"/>
    <w:tmpl w:val="BDD63C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24A9E"/>
    <w:multiLevelType w:val="multilevel"/>
    <w:tmpl w:val="A71430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D2774"/>
    <w:multiLevelType w:val="hybridMultilevel"/>
    <w:tmpl w:val="CA1ACDD8"/>
    <w:lvl w:ilvl="0" w:tplc="06D6B0F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3" w15:restartNumberingAfterBreak="0">
    <w:nsid w:val="1A4C1AA9"/>
    <w:multiLevelType w:val="hybridMultilevel"/>
    <w:tmpl w:val="FFDE7776"/>
    <w:lvl w:ilvl="0" w:tplc="F038144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C6F7DD4"/>
    <w:multiLevelType w:val="hybridMultilevel"/>
    <w:tmpl w:val="EAF8B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C1414F"/>
    <w:multiLevelType w:val="multilevel"/>
    <w:tmpl w:val="6B02BB36"/>
    <w:lvl w:ilvl="0">
      <w:start w:val="3"/>
      <w:numFmt w:val="decimal"/>
      <w:lvlText w:val="%1"/>
      <w:lvlJc w:val="left"/>
      <w:pPr>
        <w:ind w:left="560" w:hanging="560"/>
      </w:pPr>
      <w:rPr>
        <w:rFonts w:hint="default"/>
      </w:rPr>
    </w:lvl>
    <w:lvl w:ilvl="1">
      <w:start w:val="3"/>
      <w:numFmt w:val="decimal"/>
      <w:lvlText w:val="%1.%2"/>
      <w:lvlJc w:val="left"/>
      <w:pPr>
        <w:ind w:left="843" w:hanging="5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1CDB33DB"/>
    <w:multiLevelType w:val="hybridMultilevel"/>
    <w:tmpl w:val="37DC7450"/>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7" w15:restartNumberingAfterBreak="0">
    <w:nsid w:val="29B655CA"/>
    <w:multiLevelType w:val="multilevel"/>
    <w:tmpl w:val="B8564AA6"/>
    <w:lvl w:ilvl="0">
      <w:start w:val="1"/>
      <w:numFmt w:val="decimal"/>
      <w:lvlText w:val="%1."/>
      <w:lvlJc w:val="left"/>
      <w:pPr>
        <w:ind w:left="400"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814" w:hanging="720"/>
      </w:pPr>
      <w:rPr>
        <w:rFonts w:hint="default"/>
      </w:rPr>
    </w:lvl>
    <w:lvl w:ilvl="3">
      <w:start w:val="1"/>
      <w:numFmt w:val="decimal"/>
      <w:isLgl/>
      <w:lvlText w:val="%1.%2.%3.%4"/>
      <w:lvlJc w:val="left"/>
      <w:pPr>
        <w:ind w:left="2701"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4115" w:hanging="1440"/>
      </w:pPr>
      <w:rPr>
        <w:rFonts w:hint="default"/>
      </w:rPr>
    </w:lvl>
    <w:lvl w:ilvl="6">
      <w:start w:val="1"/>
      <w:numFmt w:val="decimal"/>
      <w:isLgl/>
      <w:lvlText w:val="%1.%2.%3.%4.%5.%6.%7"/>
      <w:lvlJc w:val="left"/>
      <w:pPr>
        <w:ind w:left="4642" w:hanging="1440"/>
      </w:pPr>
      <w:rPr>
        <w:rFonts w:hint="default"/>
      </w:rPr>
    </w:lvl>
    <w:lvl w:ilvl="7">
      <w:start w:val="1"/>
      <w:numFmt w:val="decimal"/>
      <w:isLgl/>
      <w:lvlText w:val="%1.%2.%3.%4.%5.%6.%7.%8"/>
      <w:lvlJc w:val="left"/>
      <w:pPr>
        <w:ind w:left="5529" w:hanging="1800"/>
      </w:pPr>
      <w:rPr>
        <w:rFonts w:hint="default"/>
      </w:rPr>
    </w:lvl>
    <w:lvl w:ilvl="8">
      <w:start w:val="1"/>
      <w:numFmt w:val="decimal"/>
      <w:isLgl/>
      <w:lvlText w:val="%1.%2.%3.%4.%5.%6.%7.%8.%9"/>
      <w:lvlJc w:val="left"/>
      <w:pPr>
        <w:ind w:left="6416" w:hanging="2160"/>
      </w:pPr>
      <w:rPr>
        <w:rFonts w:hint="default"/>
      </w:rPr>
    </w:lvl>
  </w:abstractNum>
  <w:abstractNum w:abstractNumId="8" w15:restartNumberingAfterBreak="0">
    <w:nsid w:val="2B46616F"/>
    <w:multiLevelType w:val="hybridMultilevel"/>
    <w:tmpl w:val="6F0ED172"/>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DB63170"/>
    <w:multiLevelType w:val="hybridMultilevel"/>
    <w:tmpl w:val="E5465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0917D6"/>
    <w:multiLevelType w:val="hybridMultilevel"/>
    <w:tmpl w:val="1DE64D4E"/>
    <w:lvl w:ilvl="0" w:tplc="F03814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D516F3"/>
    <w:multiLevelType w:val="hybridMultilevel"/>
    <w:tmpl w:val="51D4A628"/>
    <w:lvl w:ilvl="0" w:tplc="2C62F476">
      <w:start w:val="1"/>
      <w:numFmt w:val="decimal"/>
      <w:lvlText w:val="%1."/>
      <w:lvlJc w:val="left"/>
      <w:pPr>
        <w:ind w:left="1287"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5C0C10"/>
    <w:multiLevelType w:val="hybridMultilevel"/>
    <w:tmpl w:val="D71612C6"/>
    <w:lvl w:ilvl="0" w:tplc="0419000F">
      <w:start w:val="1"/>
      <w:numFmt w:val="decimal"/>
      <w:lvlText w:val="%1."/>
      <w:lvlJc w:val="left"/>
      <w:pPr>
        <w:ind w:left="1433" w:hanging="360"/>
      </w:pPr>
    </w:lvl>
    <w:lvl w:ilvl="1" w:tplc="04190019" w:tentative="1">
      <w:start w:val="1"/>
      <w:numFmt w:val="lowerLetter"/>
      <w:lvlText w:val="%2."/>
      <w:lvlJc w:val="left"/>
      <w:pPr>
        <w:ind w:left="2153" w:hanging="360"/>
      </w:pPr>
    </w:lvl>
    <w:lvl w:ilvl="2" w:tplc="0419001B" w:tentative="1">
      <w:start w:val="1"/>
      <w:numFmt w:val="lowerRoman"/>
      <w:lvlText w:val="%3."/>
      <w:lvlJc w:val="right"/>
      <w:pPr>
        <w:ind w:left="2873" w:hanging="180"/>
      </w:pPr>
    </w:lvl>
    <w:lvl w:ilvl="3" w:tplc="0419000F" w:tentative="1">
      <w:start w:val="1"/>
      <w:numFmt w:val="decimal"/>
      <w:lvlText w:val="%4."/>
      <w:lvlJc w:val="left"/>
      <w:pPr>
        <w:ind w:left="3593" w:hanging="360"/>
      </w:pPr>
    </w:lvl>
    <w:lvl w:ilvl="4" w:tplc="04190019" w:tentative="1">
      <w:start w:val="1"/>
      <w:numFmt w:val="lowerLetter"/>
      <w:lvlText w:val="%5."/>
      <w:lvlJc w:val="left"/>
      <w:pPr>
        <w:ind w:left="4313" w:hanging="360"/>
      </w:pPr>
    </w:lvl>
    <w:lvl w:ilvl="5" w:tplc="0419001B" w:tentative="1">
      <w:start w:val="1"/>
      <w:numFmt w:val="lowerRoman"/>
      <w:lvlText w:val="%6."/>
      <w:lvlJc w:val="right"/>
      <w:pPr>
        <w:ind w:left="5033" w:hanging="180"/>
      </w:pPr>
    </w:lvl>
    <w:lvl w:ilvl="6" w:tplc="0419000F" w:tentative="1">
      <w:start w:val="1"/>
      <w:numFmt w:val="decimal"/>
      <w:lvlText w:val="%7."/>
      <w:lvlJc w:val="left"/>
      <w:pPr>
        <w:ind w:left="5753" w:hanging="360"/>
      </w:pPr>
    </w:lvl>
    <w:lvl w:ilvl="7" w:tplc="04190019" w:tentative="1">
      <w:start w:val="1"/>
      <w:numFmt w:val="lowerLetter"/>
      <w:lvlText w:val="%8."/>
      <w:lvlJc w:val="left"/>
      <w:pPr>
        <w:ind w:left="6473" w:hanging="360"/>
      </w:pPr>
    </w:lvl>
    <w:lvl w:ilvl="8" w:tplc="0419001B" w:tentative="1">
      <w:start w:val="1"/>
      <w:numFmt w:val="lowerRoman"/>
      <w:lvlText w:val="%9."/>
      <w:lvlJc w:val="right"/>
      <w:pPr>
        <w:ind w:left="7193" w:hanging="180"/>
      </w:pPr>
    </w:lvl>
  </w:abstractNum>
  <w:abstractNum w:abstractNumId="13" w15:restartNumberingAfterBreak="0">
    <w:nsid w:val="5B064970"/>
    <w:multiLevelType w:val="multilevel"/>
    <w:tmpl w:val="A8D0B698"/>
    <w:lvl w:ilvl="0">
      <w:start w:val="1"/>
      <w:numFmt w:val="decimal"/>
      <w:lvlText w:val="%1."/>
      <w:lvlJc w:val="left"/>
      <w:pPr>
        <w:ind w:left="927" w:hanging="360"/>
      </w:pPr>
      <w:rPr>
        <w:rFonts w:hint="default"/>
      </w:rPr>
    </w:lvl>
    <w:lvl w:ilvl="1">
      <w:start w:val="1"/>
      <w:numFmt w:val="decimal"/>
      <w:isLgl/>
      <w:lvlText w:val="%1.%2"/>
      <w:lvlJc w:val="left"/>
      <w:pPr>
        <w:ind w:left="1387" w:hanging="820"/>
      </w:pPr>
      <w:rPr>
        <w:rFonts w:hint="default"/>
      </w:rPr>
    </w:lvl>
    <w:lvl w:ilvl="2">
      <w:start w:val="1"/>
      <w:numFmt w:val="decimal"/>
      <w:isLgl/>
      <w:lvlText w:val="%1.%2.%3"/>
      <w:lvlJc w:val="left"/>
      <w:pPr>
        <w:ind w:left="1387" w:hanging="8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6AC675B9"/>
    <w:multiLevelType w:val="hybridMultilevel"/>
    <w:tmpl w:val="0C3A7B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B8801F5"/>
    <w:multiLevelType w:val="hybridMultilevel"/>
    <w:tmpl w:val="72324E4C"/>
    <w:lvl w:ilvl="0" w:tplc="2C62F476">
      <w:start w:val="1"/>
      <w:numFmt w:val="decimal"/>
      <w:lvlText w:val="%1."/>
      <w:lvlJc w:val="left"/>
      <w:pPr>
        <w:ind w:left="1854" w:hanging="360"/>
      </w:pPr>
      <w:rPr>
        <w:b w:val="0"/>
        <w:bCs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6B96362A"/>
    <w:multiLevelType w:val="hybridMultilevel"/>
    <w:tmpl w:val="F100385A"/>
    <w:lvl w:ilvl="0" w:tplc="2C62F476">
      <w:start w:val="1"/>
      <w:numFmt w:val="decimal"/>
      <w:lvlText w:val="%1."/>
      <w:lvlJc w:val="left"/>
      <w:pPr>
        <w:ind w:left="1287" w:hanging="360"/>
      </w:pPr>
      <w:rPr>
        <w:b w:val="0"/>
        <w:bCs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E080968"/>
    <w:multiLevelType w:val="hybridMultilevel"/>
    <w:tmpl w:val="319EC8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70BA6446"/>
    <w:multiLevelType w:val="hybridMultilevel"/>
    <w:tmpl w:val="246485CE"/>
    <w:lvl w:ilvl="0" w:tplc="2C62F476">
      <w:start w:val="1"/>
      <w:numFmt w:val="decimal"/>
      <w:lvlText w:val="%1."/>
      <w:lvlJc w:val="left"/>
      <w:pPr>
        <w:ind w:left="1287"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605702"/>
    <w:multiLevelType w:val="hybridMultilevel"/>
    <w:tmpl w:val="6060C7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75D840E7"/>
    <w:multiLevelType w:val="hybridMultilevel"/>
    <w:tmpl w:val="624C75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6C379F4"/>
    <w:multiLevelType w:val="hybridMultilevel"/>
    <w:tmpl w:val="9542B31C"/>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2" w15:restartNumberingAfterBreak="0">
    <w:nsid w:val="7FD619EB"/>
    <w:multiLevelType w:val="hybridMultilevel"/>
    <w:tmpl w:val="F3F21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5"/>
  </w:num>
  <w:num w:numId="4">
    <w:abstractNumId w:val="18"/>
  </w:num>
  <w:num w:numId="5">
    <w:abstractNumId w:val="12"/>
  </w:num>
  <w:num w:numId="6">
    <w:abstractNumId w:val="19"/>
  </w:num>
  <w:num w:numId="7">
    <w:abstractNumId w:val="2"/>
  </w:num>
  <w:num w:numId="8">
    <w:abstractNumId w:val="7"/>
  </w:num>
  <w:num w:numId="9">
    <w:abstractNumId w:val="20"/>
  </w:num>
  <w:num w:numId="10">
    <w:abstractNumId w:val="6"/>
  </w:num>
  <w:num w:numId="11">
    <w:abstractNumId w:val="4"/>
  </w:num>
  <w:num w:numId="12">
    <w:abstractNumId w:val="21"/>
  </w:num>
  <w:num w:numId="13">
    <w:abstractNumId w:val="22"/>
  </w:num>
  <w:num w:numId="14">
    <w:abstractNumId w:val="1"/>
  </w:num>
  <w:num w:numId="15">
    <w:abstractNumId w:val="10"/>
  </w:num>
  <w:num w:numId="16">
    <w:abstractNumId w:val="3"/>
  </w:num>
  <w:num w:numId="17">
    <w:abstractNumId w:val="17"/>
  </w:num>
  <w:num w:numId="18">
    <w:abstractNumId w:val="13"/>
  </w:num>
  <w:num w:numId="19">
    <w:abstractNumId w:val="5"/>
  </w:num>
  <w:num w:numId="20">
    <w:abstractNumId w:val="0"/>
  </w:num>
  <w:num w:numId="21">
    <w:abstractNumId w:val="14"/>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29"/>
    <w:rsid w:val="000003BD"/>
    <w:rsid w:val="0003764E"/>
    <w:rsid w:val="00041490"/>
    <w:rsid w:val="000437E3"/>
    <w:rsid w:val="00043DBA"/>
    <w:rsid w:val="00057E70"/>
    <w:rsid w:val="00065623"/>
    <w:rsid w:val="0006621D"/>
    <w:rsid w:val="00076A95"/>
    <w:rsid w:val="00086339"/>
    <w:rsid w:val="000A5146"/>
    <w:rsid w:val="000A55E4"/>
    <w:rsid w:val="000B2379"/>
    <w:rsid w:val="000B3A46"/>
    <w:rsid w:val="000B6A57"/>
    <w:rsid w:val="000F03FB"/>
    <w:rsid w:val="000F3F21"/>
    <w:rsid w:val="000F6F0A"/>
    <w:rsid w:val="0011161C"/>
    <w:rsid w:val="0011258B"/>
    <w:rsid w:val="0011617E"/>
    <w:rsid w:val="00124829"/>
    <w:rsid w:val="00136DFD"/>
    <w:rsid w:val="001703A6"/>
    <w:rsid w:val="00171CCC"/>
    <w:rsid w:val="001931BC"/>
    <w:rsid w:val="001A48AB"/>
    <w:rsid w:val="001B7D40"/>
    <w:rsid w:val="001C1B2B"/>
    <w:rsid w:val="001C6563"/>
    <w:rsid w:val="001C6886"/>
    <w:rsid w:val="001F0B4E"/>
    <w:rsid w:val="001F14C3"/>
    <w:rsid w:val="00211D32"/>
    <w:rsid w:val="002213F6"/>
    <w:rsid w:val="002573A9"/>
    <w:rsid w:val="0027325F"/>
    <w:rsid w:val="0027497C"/>
    <w:rsid w:val="00274A67"/>
    <w:rsid w:val="00293955"/>
    <w:rsid w:val="002A2780"/>
    <w:rsid w:val="002A52EB"/>
    <w:rsid w:val="002A6CDB"/>
    <w:rsid w:val="002A79FA"/>
    <w:rsid w:val="002B5147"/>
    <w:rsid w:val="002C77AB"/>
    <w:rsid w:val="002D0629"/>
    <w:rsid w:val="002D5764"/>
    <w:rsid w:val="002F1BA4"/>
    <w:rsid w:val="00301947"/>
    <w:rsid w:val="00315C79"/>
    <w:rsid w:val="00323E64"/>
    <w:rsid w:val="00333D46"/>
    <w:rsid w:val="00346796"/>
    <w:rsid w:val="003538B6"/>
    <w:rsid w:val="00355C14"/>
    <w:rsid w:val="003622A6"/>
    <w:rsid w:val="00362FCB"/>
    <w:rsid w:val="003734A2"/>
    <w:rsid w:val="00377C0C"/>
    <w:rsid w:val="003A3564"/>
    <w:rsid w:val="003B5761"/>
    <w:rsid w:val="003C7C22"/>
    <w:rsid w:val="003D4504"/>
    <w:rsid w:val="003E21A4"/>
    <w:rsid w:val="003E55BE"/>
    <w:rsid w:val="003E7D6C"/>
    <w:rsid w:val="00402B40"/>
    <w:rsid w:val="00422C59"/>
    <w:rsid w:val="00427FF7"/>
    <w:rsid w:val="004334D0"/>
    <w:rsid w:val="00433842"/>
    <w:rsid w:val="00434DD7"/>
    <w:rsid w:val="004467D0"/>
    <w:rsid w:val="00455CE5"/>
    <w:rsid w:val="00457339"/>
    <w:rsid w:val="00467E00"/>
    <w:rsid w:val="00485D49"/>
    <w:rsid w:val="00491F52"/>
    <w:rsid w:val="004925AD"/>
    <w:rsid w:val="00496E24"/>
    <w:rsid w:val="004A12A2"/>
    <w:rsid w:val="004D5539"/>
    <w:rsid w:val="004E5901"/>
    <w:rsid w:val="004E59AF"/>
    <w:rsid w:val="004E7D03"/>
    <w:rsid w:val="004F1944"/>
    <w:rsid w:val="005202B2"/>
    <w:rsid w:val="005632E3"/>
    <w:rsid w:val="00566203"/>
    <w:rsid w:val="00583D5E"/>
    <w:rsid w:val="005863C3"/>
    <w:rsid w:val="005B54E1"/>
    <w:rsid w:val="005C50A2"/>
    <w:rsid w:val="005D5289"/>
    <w:rsid w:val="005F6B24"/>
    <w:rsid w:val="00632A96"/>
    <w:rsid w:val="00660695"/>
    <w:rsid w:val="00670283"/>
    <w:rsid w:val="00690475"/>
    <w:rsid w:val="006914B1"/>
    <w:rsid w:val="006A5855"/>
    <w:rsid w:val="006C3D3E"/>
    <w:rsid w:val="006D324A"/>
    <w:rsid w:val="006D6E45"/>
    <w:rsid w:val="0070134E"/>
    <w:rsid w:val="00703F92"/>
    <w:rsid w:val="00724969"/>
    <w:rsid w:val="00726D21"/>
    <w:rsid w:val="0077750B"/>
    <w:rsid w:val="007804B9"/>
    <w:rsid w:val="007847CD"/>
    <w:rsid w:val="00790171"/>
    <w:rsid w:val="0079144C"/>
    <w:rsid w:val="007922CB"/>
    <w:rsid w:val="007B153E"/>
    <w:rsid w:val="007E0A7E"/>
    <w:rsid w:val="007E174C"/>
    <w:rsid w:val="007E18A5"/>
    <w:rsid w:val="007F345D"/>
    <w:rsid w:val="0083435A"/>
    <w:rsid w:val="008478DD"/>
    <w:rsid w:val="0085172B"/>
    <w:rsid w:val="00864066"/>
    <w:rsid w:val="008736EA"/>
    <w:rsid w:val="008933D3"/>
    <w:rsid w:val="008A6989"/>
    <w:rsid w:val="008C6821"/>
    <w:rsid w:val="008D1396"/>
    <w:rsid w:val="008D7B27"/>
    <w:rsid w:val="008D7CBD"/>
    <w:rsid w:val="008E0328"/>
    <w:rsid w:val="008E0493"/>
    <w:rsid w:val="0091015A"/>
    <w:rsid w:val="00920CFE"/>
    <w:rsid w:val="00921672"/>
    <w:rsid w:val="00926EC0"/>
    <w:rsid w:val="00967295"/>
    <w:rsid w:val="009737D1"/>
    <w:rsid w:val="00975484"/>
    <w:rsid w:val="009B0CEF"/>
    <w:rsid w:val="009C40E7"/>
    <w:rsid w:val="009D687E"/>
    <w:rsid w:val="009F0877"/>
    <w:rsid w:val="00A0644F"/>
    <w:rsid w:val="00A10444"/>
    <w:rsid w:val="00A1683C"/>
    <w:rsid w:val="00A21A7F"/>
    <w:rsid w:val="00A36AC0"/>
    <w:rsid w:val="00A37CE5"/>
    <w:rsid w:val="00A41B41"/>
    <w:rsid w:val="00A41CDA"/>
    <w:rsid w:val="00A518DB"/>
    <w:rsid w:val="00A51964"/>
    <w:rsid w:val="00A619A4"/>
    <w:rsid w:val="00A61AAE"/>
    <w:rsid w:val="00A6651D"/>
    <w:rsid w:val="00A6679F"/>
    <w:rsid w:val="00A677AB"/>
    <w:rsid w:val="00A91819"/>
    <w:rsid w:val="00AA1971"/>
    <w:rsid w:val="00AB3CBA"/>
    <w:rsid w:val="00AB796B"/>
    <w:rsid w:val="00AC4691"/>
    <w:rsid w:val="00AC5A6E"/>
    <w:rsid w:val="00AC6F44"/>
    <w:rsid w:val="00AD39E9"/>
    <w:rsid w:val="00AD3C40"/>
    <w:rsid w:val="00AD673F"/>
    <w:rsid w:val="00AE2940"/>
    <w:rsid w:val="00AE548C"/>
    <w:rsid w:val="00AE6701"/>
    <w:rsid w:val="00B00B67"/>
    <w:rsid w:val="00B16F1F"/>
    <w:rsid w:val="00B43379"/>
    <w:rsid w:val="00B50691"/>
    <w:rsid w:val="00B7704B"/>
    <w:rsid w:val="00B80754"/>
    <w:rsid w:val="00B87FBA"/>
    <w:rsid w:val="00BA2D7A"/>
    <w:rsid w:val="00BC48CC"/>
    <w:rsid w:val="00BC6799"/>
    <w:rsid w:val="00BD2D20"/>
    <w:rsid w:val="00BD7CDA"/>
    <w:rsid w:val="00BF07F7"/>
    <w:rsid w:val="00BF5274"/>
    <w:rsid w:val="00C00064"/>
    <w:rsid w:val="00C24D7B"/>
    <w:rsid w:val="00C41786"/>
    <w:rsid w:val="00C5499E"/>
    <w:rsid w:val="00C648E1"/>
    <w:rsid w:val="00C752DF"/>
    <w:rsid w:val="00C90A9B"/>
    <w:rsid w:val="00C9342A"/>
    <w:rsid w:val="00C936AA"/>
    <w:rsid w:val="00CB3161"/>
    <w:rsid w:val="00CB3A02"/>
    <w:rsid w:val="00CB50AF"/>
    <w:rsid w:val="00CB54B9"/>
    <w:rsid w:val="00CB7AE0"/>
    <w:rsid w:val="00CC3ACF"/>
    <w:rsid w:val="00CC56FC"/>
    <w:rsid w:val="00CE1D8E"/>
    <w:rsid w:val="00CE2660"/>
    <w:rsid w:val="00CE62C5"/>
    <w:rsid w:val="00D01BB1"/>
    <w:rsid w:val="00D137D9"/>
    <w:rsid w:val="00D25030"/>
    <w:rsid w:val="00D25285"/>
    <w:rsid w:val="00D30CCB"/>
    <w:rsid w:val="00D403DA"/>
    <w:rsid w:val="00D419D3"/>
    <w:rsid w:val="00D45AA4"/>
    <w:rsid w:val="00D5134A"/>
    <w:rsid w:val="00D54DAC"/>
    <w:rsid w:val="00D558C4"/>
    <w:rsid w:val="00D62B17"/>
    <w:rsid w:val="00D67F83"/>
    <w:rsid w:val="00D904DE"/>
    <w:rsid w:val="00D960EB"/>
    <w:rsid w:val="00D97953"/>
    <w:rsid w:val="00DB1124"/>
    <w:rsid w:val="00DC7FF1"/>
    <w:rsid w:val="00DF01E8"/>
    <w:rsid w:val="00DF6E2F"/>
    <w:rsid w:val="00DF72C9"/>
    <w:rsid w:val="00DF7DB6"/>
    <w:rsid w:val="00E22ABE"/>
    <w:rsid w:val="00E22AF8"/>
    <w:rsid w:val="00E2467A"/>
    <w:rsid w:val="00E536A3"/>
    <w:rsid w:val="00E66744"/>
    <w:rsid w:val="00EA5F45"/>
    <w:rsid w:val="00EB62B8"/>
    <w:rsid w:val="00EC26F8"/>
    <w:rsid w:val="00ED6F26"/>
    <w:rsid w:val="00EE0F1B"/>
    <w:rsid w:val="00EE4DC9"/>
    <w:rsid w:val="00F404AD"/>
    <w:rsid w:val="00F63478"/>
    <w:rsid w:val="00F87B08"/>
    <w:rsid w:val="00F93A37"/>
    <w:rsid w:val="00FA337E"/>
    <w:rsid w:val="00FA7B43"/>
    <w:rsid w:val="00FB7547"/>
    <w:rsid w:val="00FC5CB2"/>
    <w:rsid w:val="00FD56D5"/>
    <w:rsid w:val="00FF3AD7"/>
    <w:rsid w:val="00FF489D"/>
    <w:rsid w:val="00FF535C"/>
    <w:rsid w:val="00FF5E8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0960"/>
  <w15:chartTrackingRefBased/>
  <w15:docId w15:val="{E7009BC4-B103-ED44-9B57-66FA3BE9E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LO-normal"/>
    <w:qFormat/>
    <w:rsid w:val="00124829"/>
    <w:pPr>
      <w:spacing w:after="200" w:line="276" w:lineRule="auto"/>
      <w:textAlignment w:val="top"/>
      <w:outlineLvl w:val="0"/>
    </w:pPr>
    <w:rPr>
      <w:rFonts w:ascii="Calibri" w:eastAsia="MS Mincho" w:hAnsi="Calibri" w:cs="Times New Roman"/>
      <w:kern w:val="0"/>
      <w:sz w:val="22"/>
      <w:szCs w:val="22"/>
      <w:lang w:val="ru-RU" w:eastAsia="zh-CN"/>
      <w14:ligatures w14:val="none"/>
    </w:rPr>
  </w:style>
  <w:style w:type="paragraph" w:styleId="1">
    <w:name w:val="heading 1"/>
    <w:basedOn w:val="a"/>
    <w:next w:val="a"/>
    <w:link w:val="10"/>
    <w:uiPriority w:val="9"/>
    <w:qFormat/>
    <w:rsid w:val="00124829"/>
    <w:pPr>
      <w:keepNext/>
      <w:keepLines/>
      <w:spacing w:before="360" w:after="80" w:line="278" w:lineRule="auto"/>
      <w:textAlignment w:val="auto"/>
    </w:pPr>
    <w:rPr>
      <w:rFonts w:asciiTheme="majorHAnsi" w:eastAsiaTheme="majorEastAsia" w:hAnsiTheme="majorHAnsi" w:cstheme="majorBidi"/>
      <w:color w:val="0F4761" w:themeColor="accent1" w:themeShade="BF"/>
      <w:kern w:val="2"/>
      <w:sz w:val="40"/>
      <w:szCs w:val="40"/>
      <w:lang w:val="ru-KZ" w:eastAsia="en-US"/>
      <w14:ligatures w14:val="standardContextual"/>
    </w:rPr>
  </w:style>
  <w:style w:type="paragraph" w:styleId="2">
    <w:name w:val="heading 2"/>
    <w:basedOn w:val="a"/>
    <w:next w:val="a"/>
    <w:link w:val="20"/>
    <w:uiPriority w:val="9"/>
    <w:unhideWhenUsed/>
    <w:qFormat/>
    <w:rsid w:val="00124829"/>
    <w:pPr>
      <w:keepNext/>
      <w:keepLines/>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val="ru-KZ" w:eastAsia="en-US"/>
      <w14:ligatures w14:val="standardContextual"/>
    </w:rPr>
  </w:style>
  <w:style w:type="paragraph" w:styleId="3">
    <w:name w:val="heading 3"/>
    <w:basedOn w:val="a"/>
    <w:next w:val="a"/>
    <w:link w:val="30"/>
    <w:uiPriority w:val="9"/>
    <w:unhideWhenUsed/>
    <w:qFormat/>
    <w:rsid w:val="00124829"/>
    <w:pPr>
      <w:keepNext/>
      <w:keepLines/>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val="ru-KZ" w:eastAsia="en-US"/>
      <w14:ligatures w14:val="standardContextual"/>
    </w:rPr>
  </w:style>
  <w:style w:type="paragraph" w:styleId="4">
    <w:name w:val="heading 4"/>
    <w:basedOn w:val="a"/>
    <w:next w:val="a"/>
    <w:link w:val="40"/>
    <w:uiPriority w:val="9"/>
    <w:semiHidden/>
    <w:unhideWhenUsed/>
    <w:qFormat/>
    <w:rsid w:val="00124829"/>
    <w:pPr>
      <w:keepNext/>
      <w:keepLines/>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lang w:val="ru-KZ" w:eastAsia="en-US"/>
      <w14:ligatures w14:val="standardContextual"/>
    </w:rPr>
  </w:style>
  <w:style w:type="paragraph" w:styleId="5">
    <w:name w:val="heading 5"/>
    <w:basedOn w:val="a"/>
    <w:next w:val="a"/>
    <w:link w:val="50"/>
    <w:uiPriority w:val="9"/>
    <w:semiHidden/>
    <w:unhideWhenUsed/>
    <w:qFormat/>
    <w:rsid w:val="00124829"/>
    <w:pPr>
      <w:keepNext/>
      <w:keepLines/>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lang w:val="ru-KZ" w:eastAsia="en-US"/>
      <w14:ligatures w14:val="standardContextual"/>
    </w:rPr>
  </w:style>
  <w:style w:type="paragraph" w:styleId="6">
    <w:name w:val="heading 6"/>
    <w:basedOn w:val="a"/>
    <w:next w:val="a"/>
    <w:link w:val="60"/>
    <w:uiPriority w:val="9"/>
    <w:semiHidden/>
    <w:unhideWhenUsed/>
    <w:qFormat/>
    <w:rsid w:val="00124829"/>
    <w:pPr>
      <w:keepNext/>
      <w:keepLines/>
      <w:spacing w:before="40" w:after="0" w:line="278" w:lineRule="auto"/>
      <w:textAlignment w:val="auto"/>
      <w:outlineLvl w:val="5"/>
    </w:pPr>
    <w:rPr>
      <w:rFonts w:asciiTheme="minorHAnsi" w:eastAsiaTheme="majorEastAsia" w:hAnsiTheme="minorHAnsi" w:cstheme="majorBidi"/>
      <w:i/>
      <w:iCs/>
      <w:color w:val="595959" w:themeColor="text1" w:themeTint="A6"/>
      <w:kern w:val="2"/>
      <w:sz w:val="24"/>
      <w:szCs w:val="24"/>
      <w:lang w:val="ru-KZ" w:eastAsia="en-US"/>
      <w14:ligatures w14:val="standardContextual"/>
    </w:rPr>
  </w:style>
  <w:style w:type="paragraph" w:styleId="7">
    <w:name w:val="heading 7"/>
    <w:basedOn w:val="a"/>
    <w:next w:val="a"/>
    <w:link w:val="70"/>
    <w:uiPriority w:val="9"/>
    <w:semiHidden/>
    <w:unhideWhenUsed/>
    <w:qFormat/>
    <w:rsid w:val="00124829"/>
    <w:pPr>
      <w:keepNext/>
      <w:keepLines/>
      <w:spacing w:before="40" w:after="0" w:line="278" w:lineRule="auto"/>
      <w:textAlignment w:val="auto"/>
      <w:outlineLvl w:val="6"/>
    </w:pPr>
    <w:rPr>
      <w:rFonts w:asciiTheme="minorHAnsi" w:eastAsiaTheme="majorEastAsia" w:hAnsiTheme="minorHAnsi" w:cstheme="majorBidi"/>
      <w:color w:val="595959" w:themeColor="text1" w:themeTint="A6"/>
      <w:kern w:val="2"/>
      <w:sz w:val="24"/>
      <w:szCs w:val="24"/>
      <w:lang w:val="ru-KZ" w:eastAsia="en-US"/>
      <w14:ligatures w14:val="standardContextual"/>
    </w:rPr>
  </w:style>
  <w:style w:type="paragraph" w:styleId="8">
    <w:name w:val="heading 8"/>
    <w:basedOn w:val="a"/>
    <w:next w:val="a"/>
    <w:link w:val="80"/>
    <w:uiPriority w:val="9"/>
    <w:semiHidden/>
    <w:unhideWhenUsed/>
    <w:qFormat/>
    <w:rsid w:val="00124829"/>
    <w:pPr>
      <w:keepNext/>
      <w:keepLines/>
      <w:spacing w:after="0" w:line="278" w:lineRule="auto"/>
      <w:textAlignment w:val="auto"/>
      <w:outlineLvl w:val="7"/>
    </w:pPr>
    <w:rPr>
      <w:rFonts w:asciiTheme="minorHAnsi" w:eastAsiaTheme="majorEastAsia" w:hAnsiTheme="minorHAnsi" w:cstheme="majorBidi"/>
      <w:i/>
      <w:iCs/>
      <w:color w:val="272727" w:themeColor="text1" w:themeTint="D8"/>
      <w:kern w:val="2"/>
      <w:sz w:val="24"/>
      <w:szCs w:val="24"/>
      <w:lang w:val="ru-KZ" w:eastAsia="en-US"/>
      <w14:ligatures w14:val="standardContextual"/>
    </w:rPr>
  </w:style>
  <w:style w:type="paragraph" w:styleId="9">
    <w:name w:val="heading 9"/>
    <w:basedOn w:val="a"/>
    <w:next w:val="a"/>
    <w:link w:val="90"/>
    <w:uiPriority w:val="9"/>
    <w:semiHidden/>
    <w:unhideWhenUsed/>
    <w:qFormat/>
    <w:rsid w:val="00124829"/>
    <w:pPr>
      <w:keepNext/>
      <w:keepLines/>
      <w:spacing w:after="0" w:line="278" w:lineRule="auto"/>
      <w:textAlignment w:val="auto"/>
      <w:outlineLvl w:val="8"/>
    </w:pPr>
    <w:rPr>
      <w:rFonts w:asciiTheme="minorHAnsi" w:eastAsiaTheme="majorEastAsia" w:hAnsiTheme="minorHAnsi" w:cstheme="majorBidi"/>
      <w:color w:val="272727" w:themeColor="text1" w:themeTint="D8"/>
      <w:kern w:val="2"/>
      <w:sz w:val="24"/>
      <w:szCs w:val="24"/>
      <w:lang w:val="ru-KZ"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48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248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248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2482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2482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248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4829"/>
    <w:rPr>
      <w:rFonts w:eastAsiaTheme="majorEastAsia" w:cstheme="majorBidi"/>
      <w:color w:val="595959" w:themeColor="text1" w:themeTint="A6"/>
    </w:rPr>
  </w:style>
  <w:style w:type="character" w:customStyle="1" w:styleId="80">
    <w:name w:val="Заголовок 8 Знак"/>
    <w:basedOn w:val="a0"/>
    <w:link w:val="8"/>
    <w:uiPriority w:val="9"/>
    <w:semiHidden/>
    <w:rsid w:val="001248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4829"/>
    <w:rPr>
      <w:rFonts w:eastAsiaTheme="majorEastAsia" w:cstheme="majorBidi"/>
      <w:color w:val="272727" w:themeColor="text1" w:themeTint="D8"/>
    </w:rPr>
  </w:style>
  <w:style w:type="paragraph" w:styleId="a3">
    <w:name w:val="Title"/>
    <w:basedOn w:val="a"/>
    <w:next w:val="a"/>
    <w:link w:val="a4"/>
    <w:uiPriority w:val="10"/>
    <w:qFormat/>
    <w:rsid w:val="00124829"/>
    <w:pPr>
      <w:spacing w:after="80" w:line="240" w:lineRule="auto"/>
      <w:contextualSpacing/>
      <w:textAlignment w:val="auto"/>
      <w:outlineLvl w:val="9"/>
    </w:pPr>
    <w:rPr>
      <w:rFonts w:asciiTheme="majorHAnsi" w:eastAsiaTheme="majorEastAsia" w:hAnsiTheme="majorHAnsi" w:cstheme="majorBidi"/>
      <w:spacing w:val="-10"/>
      <w:kern w:val="28"/>
      <w:sz w:val="56"/>
      <w:szCs w:val="56"/>
      <w:lang w:val="ru-KZ" w:eastAsia="en-US"/>
      <w14:ligatures w14:val="standardContextual"/>
    </w:rPr>
  </w:style>
  <w:style w:type="character" w:customStyle="1" w:styleId="a4">
    <w:name w:val="Название Знак"/>
    <w:basedOn w:val="a0"/>
    <w:link w:val="a3"/>
    <w:uiPriority w:val="10"/>
    <w:rsid w:val="001248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4829"/>
    <w:pPr>
      <w:numPr>
        <w:ilvl w:val="1"/>
      </w:numPr>
      <w:spacing w:after="160" w:line="278" w:lineRule="auto"/>
      <w:textAlignment w:val="auto"/>
      <w:outlineLvl w:val="9"/>
    </w:pPr>
    <w:rPr>
      <w:rFonts w:asciiTheme="minorHAnsi" w:eastAsiaTheme="majorEastAsia" w:hAnsiTheme="minorHAnsi" w:cstheme="majorBidi"/>
      <w:color w:val="595959" w:themeColor="text1" w:themeTint="A6"/>
      <w:spacing w:val="15"/>
      <w:kern w:val="2"/>
      <w:sz w:val="28"/>
      <w:szCs w:val="28"/>
      <w:lang w:val="ru-KZ" w:eastAsia="en-US"/>
      <w14:ligatures w14:val="standardContextual"/>
    </w:rPr>
  </w:style>
  <w:style w:type="character" w:customStyle="1" w:styleId="a6">
    <w:name w:val="Подзаголовок Знак"/>
    <w:basedOn w:val="a0"/>
    <w:link w:val="a5"/>
    <w:uiPriority w:val="11"/>
    <w:rsid w:val="001248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4829"/>
    <w:pPr>
      <w:spacing w:before="160" w:after="160" w:line="278" w:lineRule="auto"/>
      <w:jc w:val="center"/>
      <w:textAlignment w:val="auto"/>
      <w:outlineLvl w:val="9"/>
    </w:pPr>
    <w:rPr>
      <w:rFonts w:asciiTheme="minorHAnsi" w:eastAsiaTheme="minorHAnsi" w:hAnsiTheme="minorHAnsi" w:cstheme="minorBidi"/>
      <w:i/>
      <w:iCs/>
      <w:color w:val="404040" w:themeColor="text1" w:themeTint="BF"/>
      <w:kern w:val="2"/>
      <w:sz w:val="24"/>
      <w:szCs w:val="24"/>
      <w:lang w:val="ru-KZ" w:eastAsia="en-US"/>
      <w14:ligatures w14:val="standardContextual"/>
    </w:rPr>
  </w:style>
  <w:style w:type="character" w:customStyle="1" w:styleId="22">
    <w:name w:val="Цитата 2 Знак"/>
    <w:basedOn w:val="a0"/>
    <w:link w:val="21"/>
    <w:uiPriority w:val="29"/>
    <w:rsid w:val="00124829"/>
    <w:rPr>
      <w:i/>
      <w:iCs/>
      <w:color w:val="404040" w:themeColor="text1" w:themeTint="BF"/>
    </w:rPr>
  </w:style>
  <w:style w:type="paragraph" w:styleId="a7">
    <w:name w:val="List Paragraph"/>
    <w:basedOn w:val="a"/>
    <w:uiPriority w:val="34"/>
    <w:qFormat/>
    <w:rsid w:val="00124829"/>
    <w:pPr>
      <w:spacing w:after="160" w:line="278" w:lineRule="auto"/>
      <w:ind w:left="720"/>
      <w:contextualSpacing/>
      <w:textAlignment w:val="auto"/>
      <w:outlineLvl w:val="9"/>
    </w:pPr>
    <w:rPr>
      <w:rFonts w:asciiTheme="minorHAnsi" w:eastAsiaTheme="minorHAnsi" w:hAnsiTheme="minorHAnsi" w:cstheme="minorBidi"/>
      <w:kern w:val="2"/>
      <w:sz w:val="24"/>
      <w:szCs w:val="24"/>
      <w:lang w:val="ru-KZ" w:eastAsia="en-US"/>
      <w14:ligatures w14:val="standardContextual"/>
    </w:rPr>
  </w:style>
  <w:style w:type="character" w:styleId="a8">
    <w:name w:val="Intense Emphasis"/>
    <w:basedOn w:val="a0"/>
    <w:uiPriority w:val="21"/>
    <w:qFormat/>
    <w:rsid w:val="00124829"/>
    <w:rPr>
      <w:i/>
      <w:iCs/>
      <w:color w:val="0F4761" w:themeColor="accent1" w:themeShade="BF"/>
    </w:rPr>
  </w:style>
  <w:style w:type="paragraph" w:styleId="a9">
    <w:name w:val="Intense Quote"/>
    <w:basedOn w:val="a"/>
    <w:next w:val="a"/>
    <w:link w:val="aa"/>
    <w:uiPriority w:val="30"/>
    <w:qFormat/>
    <w:rsid w:val="00124829"/>
    <w:pPr>
      <w:pBdr>
        <w:top w:val="single" w:sz="4" w:space="10" w:color="0F4761" w:themeColor="accent1" w:themeShade="BF"/>
        <w:bottom w:val="single" w:sz="4" w:space="10" w:color="0F4761" w:themeColor="accent1" w:themeShade="BF"/>
      </w:pBdr>
      <w:spacing w:before="360" w:after="360" w:line="278" w:lineRule="auto"/>
      <w:ind w:left="864" w:right="864"/>
      <w:jc w:val="center"/>
      <w:textAlignment w:val="auto"/>
      <w:outlineLvl w:val="9"/>
    </w:pPr>
    <w:rPr>
      <w:rFonts w:asciiTheme="minorHAnsi" w:eastAsiaTheme="minorHAnsi" w:hAnsiTheme="minorHAnsi" w:cstheme="minorBidi"/>
      <w:i/>
      <w:iCs/>
      <w:color w:val="0F4761" w:themeColor="accent1" w:themeShade="BF"/>
      <w:kern w:val="2"/>
      <w:sz w:val="24"/>
      <w:szCs w:val="24"/>
      <w:lang w:val="ru-KZ" w:eastAsia="en-US"/>
      <w14:ligatures w14:val="standardContextual"/>
    </w:rPr>
  </w:style>
  <w:style w:type="character" w:customStyle="1" w:styleId="aa">
    <w:name w:val="Выделенная цитата Знак"/>
    <w:basedOn w:val="a0"/>
    <w:link w:val="a9"/>
    <w:uiPriority w:val="30"/>
    <w:rsid w:val="00124829"/>
    <w:rPr>
      <w:i/>
      <w:iCs/>
      <w:color w:val="0F4761" w:themeColor="accent1" w:themeShade="BF"/>
    </w:rPr>
  </w:style>
  <w:style w:type="character" w:styleId="ab">
    <w:name w:val="Intense Reference"/>
    <w:basedOn w:val="a0"/>
    <w:uiPriority w:val="32"/>
    <w:qFormat/>
    <w:rsid w:val="00124829"/>
    <w:rPr>
      <w:b/>
      <w:bCs/>
      <w:smallCaps/>
      <w:color w:val="0F4761" w:themeColor="accent1" w:themeShade="BF"/>
      <w:spacing w:val="5"/>
    </w:rPr>
  </w:style>
  <w:style w:type="paragraph" w:customStyle="1" w:styleId="LO-normal">
    <w:name w:val="LO-normal"/>
    <w:qFormat/>
    <w:rsid w:val="00124829"/>
    <w:pPr>
      <w:suppressAutoHyphens/>
      <w:spacing w:after="200" w:line="276" w:lineRule="auto"/>
    </w:pPr>
    <w:rPr>
      <w:rFonts w:ascii="Calibri" w:eastAsia="Calibri" w:hAnsi="Calibri" w:cs="Calibri"/>
      <w:kern w:val="0"/>
      <w:sz w:val="22"/>
      <w:szCs w:val="22"/>
      <w:lang w:val="ru-RU" w:eastAsia="zh-CN" w:bidi="hi-IN"/>
      <w14:ligatures w14:val="none"/>
    </w:rPr>
  </w:style>
  <w:style w:type="character" w:styleId="ac">
    <w:name w:val="Emphasis"/>
    <w:qFormat/>
    <w:rsid w:val="00124829"/>
    <w:rPr>
      <w:i/>
      <w:iCs/>
      <w:w w:val="100"/>
      <w:position w:val="0"/>
      <w:sz w:val="22"/>
      <w:effect w:val="none"/>
      <w:vertAlign w:val="baseline"/>
      <w:em w:val="none"/>
    </w:rPr>
  </w:style>
  <w:style w:type="character" w:customStyle="1" w:styleId="StrongEmphasis">
    <w:name w:val="Strong Emphasis"/>
    <w:qFormat/>
    <w:rsid w:val="00124829"/>
    <w:rPr>
      <w:b/>
      <w:bCs/>
    </w:rPr>
  </w:style>
  <w:style w:type="paragraph" w:styleId="ad">
    <w:name w:val="Body Text"/>
    <w:basedOn w:val="LO-normal"/>
    <w:link w:val="ae"/>
    <w:rsid w:val="00124829"/>
    <w:pPr>
      <w:suppressAutoHyphens w:val="0"/>
      <w:spacing w:after="120" w:line="240" w:lineRule="auto"/>
      <w:textAlignment w:val="top"/>
      <w:outlineLvl w:val="0"/>
    </w:pPr>
    <w:rPr>
      <w:rFonts w:ascii="Times New Roman" w:eastAsia="SimSun" w:hAnsi="Times New Roman" w:cs="Times New Roman"/>
      <w:sz w:val="24"/>
      <w:szCs w:val="24"/>
      <w:lang w:bidi="ar-SA"/>
    </w:rPr>
  </w:style>
  <w:style w:type="character" w:customStyle="1" w:styleId="ae">
    <w:name w:val="Основной текст Знак"/>
    <w:basedOn w:val="a0"/>
    <w:link w:val="ad"/>
    <w:rsid w:val="00124829"/>
    <w:rPr>
      <w:rFonts w:ascii="Times New Roman" w:eastAsia="SimSun" w:hAnsi="Times New Roman" w:cs="Times New Roman"/>
      <w:kern w:val="0"/>
      <w:lang w:eastAsia="zh-CN"/>
      <w14:ligatures w14:val="none"/>
    </w:rPr>
  </w:style>
  <w:style w:type="table" w:styleId="af">
    <w:name w:val="Table Grid"/>
    <w:basedOn w:val="a1"/>
    <w:uiPriority w:val="39"/>
    <w:rsid w:val="00FA7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3D4504"/>
    <w:rPr>
      <w:color w:val="467886" w:themeColor="hyperlink"/>
      <w:u w:val="single"/>
    </w:rPr>
  </w:style>
  <w:style w:type="character" w:customStyle="1" w:styleId="UnresolvedMention">
    <w:name w:val="Unresolved Mention"/>
    <w:basedOn w:val="a0"/>
    <w:uiPriority w:val="99"/>
    <w:semiHidden/>
    <w:unhideWhenUsed/>
    <w:rsid w:val="003D4504"/>
    <w:rPr>
      <w:color w:val="605E5C"/>
      <w:shd w:val="clear" w:color="auto" w:fill="E1DFDD"/>
    </w:rPr>
  </w:style>
  <w:style w:type="paragraph" w:styleId="af1">
    <w:name w:val="footnote text"/>
    <w:basedOn w:val="a"/>
    <w:link w:val="af2"/>
    <w:uiPriority w:val="99"/>
    <w:semiHidden/>
    <w:unhideWhenUsed/>
    <w:rsid w:val="00AE6701"/>
    <w:pPr>
      <w:spacing w:after="0" w:line="240" w:lineRule="auto"/>
    </w:pPr>
    <w:rPr>
      <w:sz w:val="20"/>
      <w:szCs w:val="20"/>
    </w:rPr>
  </w:style>
  <w:style w:type="character" w:customStyle="1" w:styleId="af2">
    <w:name w:val="Текст сноски Знак"/>
    <w:basedOn w:val="a0"/>
    <w:link w:val="af1"/>
    <w:uiPriority w:val="99"/>
    <w:semiHidden/>
    <w:rsid w:val="00AE6701"/>
    <w:rPr>
      <w:rFonts w:ascii="Calibri" w:eastAsia="MS Mincho" w:hAnsi="Calibri" w:cs="Times New Roman"/>
      <w:kern w:val="0"/>
      <w:sz w:val="20"/>
      <w:szCs w:val="20"/>
      <w:lang w:val="ru-RU" w:eastAsia="zh-CN"/>
      <w14:ligatures w14:val="none"/>
    </w:rPr>
  </w:style>
  <w:style w:type="character" w:styleId="af3">
    <w:name w:val="footnote reference"/>
    <w:basedOn w:val="a0"/>
    <w:uiPriority w:val="99"/>
    <w:semiHidden/>
    <w:unhideWhenUsed/>
    <w:rsid w:val="00AE6701"/>
    <w:rPr>
      <w:vertAlign w:val="superscript"/>
    </w:rPr>
  </w:style>
  <w:style w:type="paragraph" w:styleId="af4">
    <w:name w:val="Bibliography"/>
    <w:basedOn w:val="a"/>
    <w:next w:val="a"/>
    <w:uiPriority w:val="37"/>
    <w:unhideWhenUsed/>
    <w:rsid w:val="00AE6701"/>
    <w:pPr>
      <w:tabs>
        <w:tab w:val="left" w:pos="500"/>
        <w:tab w:val="left" w:pos="620"/>
      </w:tabs>
      <w:spacing w:after="0" w:line="240" w:lineRule="auto"/>
      <w:ind w:left="624" w:hanging="624"/>
    </w:pPr>
  </w:style>
  <w:style w:type="paragraph" w:customStyle="1" w:styleId="p1">
    <w:name w:val="p1"/>
    <w:basedOn w:val="a"/>
    <w:rsid w:val="0027325F"/>
    <w:pPr>
      <w:spacing w:before="100" w:beforeAutospacing="1" w:after="100" w:afterAutospacing="1" w:line="240" w:lineRule="auto"/>
      <w:textAlignment w:val="auto"/>
      <w:outlineLvl w:val="9"/>
    </w:pPr>
    <w:rPr>
      <w:rFonts w:ascii="Times New Roman" w:eastAsia="Times New Roman" w:hAnsi="Times New Roman"/>
      <w:sz w:val="24"/>
      <w:szCs w:val="24"/>
      <w:lang w:val="ru-KZ" w:eastAsia="ru-RU"/>
    </w:rPr>
  </w:style>
  <w:style w:type="character" w:customStyle="1" w:styleId="apple-converted-space">
    <w:name w:val="apple-converted-space"/>
    <w:basedOn w:val="a0"/>
    <w:rsid w:val="0027325F"/>
  </w:style>
  <w:style w:type="table" w:styleId="af5">
    <w:name w:val="Grid Table Light"/>
    <w:basedOn w:val="a1"/>
    <w:uiPriority w:val="40"/>
    <w:rsid w:val="001161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6">
    <w:name w:val="footer"/>
    <w:basedOn w:val="a"/>
    <w:link w:val="af7"/>
    <w:uiPriority w:val="99"/>
    <w:unhideWhenUsed/>
    <w:rsid w:val="00C9342A"/>
    <w:pPr>
      <w:tabs>
        <w:tab w:val="center" w:pos="4513"/>
        <w:tab w:val="right" w:pos="9026"/>
      </w:tabs>
      <w:spacing w:after="0" w:line="240" w:lineRule="auto"/>
    </w:pPr>
  </w:style>
  <w:style w:type="character" w:customStyle="1" w:styleId="af7">
    <w:name w:val="Нижний колонтитул Знак"/>
    <w:basedOn w:val="a0"/>
    <w:link w:val="af6"/>
    <w:uiPriority w:val="99"/>
    <w:rsid w:val="00C9342A"/>
    <w:rPr>
      <w:rFonts w:ascii="Calibri" w:eastAsia="MS Mincho" w:hAnsi="Calibri" w:cs="Times New Roman"/>
      <w:kern w:val="0"/>
      <w:sz w:val="22"/>
      <w:szCs w:val="22"/>
      <w:lang w:val="ru-RU" w:eastAsia="zh-CN"/>
      <w14:ligatures w14:val="none"/>
    </w:rPr>
  </w:style>
  <w:style w:type="character" w:styleId="af8">
    <w:name w:val="page number"/>
    <w:basedOn w:val="a0"/>
    <w:uiPriority w:val="99"/>
    <w:semiHidden/>
    <w:unhideWhenUsed/>
    <w:rsid w:val="00C9342A"/>
  </w:style>
  <w:style w:type="paragraph" w:styleId="af9">
    <w:name w:val="header"/>
    <w:basedOn w:val="a"/>
    <w:link w:val="afa"/>
    <w:uiPriority w:val="99"/>
    <w:unhideWhenUsed/>
    <w:rsid w:val="00C9342A"/>
    <w:pPr>
      <w:tabs>
        <w:tab w:val="center" w:pos="4513"/>
        <w:tab w:val="right" w:pos="9026"/>
      </w:tabs>
      <w:spacing w:after="0" w:line="240" w:lineRule="auto"/>
    </w:pPr>
  </w:style>
  <w:style w:type="character" w:customStyle="1" w:styleId="afa">
    <w:name w:val="Верхний колонтитул Знак"/>
    <w:basedOn w:val="a0"/>
    <w:link w:val="af9"/>
    <w:uiPriority w:val="99"/>
    <w:rsid w:val="00C9342A"/>
    <w:rPr>
      <w:rFonts w:ascii="Calibri" w:eastAsia="MS Mincho" w:hAnsi="Calibri" w:cs="Times New Roman"/>
      <w:kern w:val="0"/>
      <w:sz w:val="22"/>
      <w:szCs w:val="22"/>
      <w:lang w:val="ru-RU" w:eastAsia="zh-CN"/>
      <w14:ligatures w14:val="none"/>
    </w:rPr>
  </w:style>
  <w:style w:type="paragraph" w:customStyle="1" w:styleId="TableContents">
    <w:name w:val="Table Contents"/>
    <w:basedOn w:val="LO-normal"/>
    <w:qFormat/>
    <w:rsid w:val="00AB796B"/>
    <w:pPr>
      <w:widowControl w:val="0"/>
      <w:suppressLineNumbers/>
      <w:suppressAutoHyphens w:val="0"/>
      <w:textAlignment w:val="top"/>
      <w:outlineLvl w:val="0"/>
    </w:pPr>
    <w:rPr>
      <w:rFonts w:eastAsia="MS Mincho" w:cs="Times New Roman"/>
      <w:lang w:bidi="ar-SA"/>
    </w:rPr>
  </w:style>
  <w:style w:type="paragraph" w:customStyle="1" w:styleId="TableHeading">
    <w:name w:val="Table Heading"/>
    <w:basedOn w:val="TableContents"/>
    <w:qFormat/>
    <w:rsid w:val="00AB796B"/>
    <w:pPr>
      <w:jc w:val="center"/>
    </w:pPr>
    <w:rPr>
      <w:b/>
      <w:bCs/>
    </w:rPr>
  </w:style>
  <w:style w:type="character" w:styleId="afb">
    <w:name w:val="annotation reference"/>
    <w:qFormat/>
    <w:rsid w:val="00790171"/>
    <w:rPr>
      <w:w w:val="100"/>
      <w:position w:val="0"/>
      <w:sz w:val="16"/>
      <w:szCs w:val="16"/>
      <w:effect w:val="none"/>
      <w:vertAlign w:val="baseline"/>
      <w:em w:val="none"/>
    </w:rPr>
  </w:style>
  <w:style w:type="paragraph" w:styleId="afc">
    <w:name w:val="annotation text"/>
    <w:basedOn w:val="LO-normal"/>
    <w:link w:val="afd"/>
    <w:qFormat/>
    <w:rsid w:val="00790171"/>
    <w:pPr>
      <w:suppressAutoHyphens w:val="0"/>
      <w:textAlignment w:val="top"/>
      <w:outlineLvl w:val="0"/>
    </w:pPr>
    <w:rPr>
      <w:rFonts w:eastAsia="MS Mincho" w:cs="Times New Roman"/>
      <w:sz w:val="20"/>
      <w:szCs w:val="20"/>
      <w:lang w:bidi="ar-SA"/>
    </w:rPr>
  </w:style>
  <w:style w:type="character" w:customStyle="1" w:styleId="afd">
    <w:name w:val="Текст примечания Знак"/>
    <w:basedOn w:val="a0"/>
    <w:link w:val="afc"/>
    <w:rsid w:val="00790171"/>
    <w:rPr>
      <w:rFonts w:ascii="Calibri" w:eastAsia="MS Mincho" w:hAnsi="Calibri" w:cs="Times New Roman"/>
      <w:kern w:val="0"/>
      <w:sz w:val="20"/>
      <w:szCs w:val="20"/>
      <w:lang w:val="ru-RU" w:eastAsia="zh-CN"/>
      <w14:ligatures w14:val="none"/>
    </w:rPr>
  </w:style>
  <w:style w:type="paragraph" w:customStyle="1" w:styleId="Textbody">
    <w:name w:val="Text body"/>
    <w:basedOn w:val="a"/>
    <w:qFormat/>
    <w:rsid w:val="00A6651D"/>
    <w:pPr>
      <w:suppressAutoHyphens/>
      <w:spacing w:after="140"/>
      <w:textAlignment w:val="baseline"/>
      <w:outlineLvl w:val="9"/>
    </w:pPr>
    <w:rPr>
      <w:rFonts w:ascii="Liberation Serif" w:eastAsia="SimSun" w:hAnsi="Liberation Serif" w:cs="Lucida Sans"/>
      <w:kern w:val="2"/>
      <w:sz w:val="24"/>
      <w:szCs w:val="24"/>
      <w:lang w:bidi="hi-IN"/>
    </w:rPr>
  </w:style>
  <w:style w:type="paragraph" w:customStyle="1" w:styleId="Standard">
    <w:name w:val="Standard"/>
    <w:qFormat/>
    <w:rsid w:val="000B2379"/>
    <w:pPr>
      <w:suppressAutoHyphens/>
      <w:spacing w:after="0" w:line="240" w:lineRule="auto"/>
      <w:textAlignment w:val="baseline"/>
    </w:pPr>
    <w:rPr>
      <w:rFonts w:ascii="Liberation Serif" w:eastAsia="SimSun" w:hAnsi="Liberation Serif" w:cs="Lucida Sans"/>
      <w:lang w:val="ru-RU" w:eastAsia="zh-CN" w:bidi="hi-IN"/>
      <w14:ligatures w14:val="none"/>
    </w:rPr>
  </w:style>
  <w:style w:type="paragraph" w:customStyle="1" w:styleId="DefaultDrawingStyle">
    <w:name w:val="Default Drawing Style"/>
    <w:qFormat/>
    <w:rsid w:val="00FF535C"/>
    <w:pPr>
      <w:widowControl w:val="0"/>
      <w:suppressAutoHyphens/>
      <w:spacing w:after="0" w:line="200" w:lineRule="atLeast"/>
    </w:pPr>
    <w:rPr>
      <w:rFonts w:ascii="Lucida Sans" w:eastAsia="Tahoma" w:hAnsi="Lucida Sans" w:cs="Liberation Sans"/>
      <w:sz w:val="36"/>
      <w:lang w:val="ru-RU" w:eastAsia="zh-CN" w:bidi="hi-IN"/>
      <w14:ligatures w14:val="none"/>
    </w:rPr>
  </w:style>
  <w:style w:type="character" w:customStyle="1" w:styleId="highwire-citation-author">
    <w:name w:val="highwire-citation-author"/>
    <w:basedOn w:val="a0"/>
    <w:rsid w:val="00AC4691"/>
  </w:style>
  <w:style w:type="character" w:customStyle="1" w:styleId="nlm-surname">
    <w:name w:val="nlm-surname"/>
    <w:basedOn w:val="a0"/>
    <w:rsid w:val="00AC4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chrane.org/" TargetMode="External"/><Relationship Id="rId29" Type="http://schemas.openxmlformats.org/officeDocument/2006/relationships/image" Target="media/image13.png"/><Relationship Id="rId11" Type="http://schemas.openxmlformats.org/officeDocument/2006/relationships/hyperlink" Target="https://clincalc.com" TargetMode="External"/><Relationship Id="rId24" Type="http://schemas.openxmlformats.org/officeDocument/2006/relationships/image" Target="media/image8.png"/><Relationship Id="rId32" Type="http://schemas.openxmlformats.org/officeDocument/2006/relationships/hyperlink" Target="https://www.ncbi.nlm.nih.gov/"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5.png"/><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holar.google.com/"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fontTable" Target="fontTable.xml"/><Relationship Id="rId8" Type="http://schemas.openxmlformats.org/officeDocument/2006/relationships/hyperlink" Target="http://www.pharmgkb.org" TargetMode="External"/><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https://snpstats.net" TargetMode="External"/><Relationship Id="rId17" Type="http://schemas.openxmlformats.org/officeDocument/2006/relationships/hyperlink" Target="https://cyberleninka.ru" TargetMode="Externa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4.png"/><Relationship Id="rId41" Type="http://schemas.openxmlformats.org/officeDocument/2006/relationships/image" Target="media/image2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lm.nih.gov/medline_overview.html"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32.jpeg"/><Relationship Id="rId57" Type="http://schemas.openxmlformats.org/officeDocument/2006/relationships/theme" Target="theme/theme1.xml"/><Relationship Id="rId10" Type="http://schemas.openxmlformats.org/officeDocument/2006/relationships/hyperlink" Target="https://www.thermofisher.com/order/genome-database/details/genotyping" TargetMode="Externa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27805-3549-439C-BA33-9D70B77A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199635</Words>
  <Characters>1137920</Characters>
  <Application>Microsoft Office Word</Application>
  <DocSecurity>0</DocSecurity>
  <Lines>9482</Lines>
  <Paragraphs>2669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Tsydyp Borisov</dc:creator>
  <cp:keywords/>
  <dc:description/>
  <cp:lastModifiedBy>user</cp:lastModifiedBy>
  <cp:revision>2</cp:revision>
  <dcterms:created xsi:type="dcterms:W3CDTF">2026-03-18T09:21:00Z</dcterms:created>
  <dcterms:modified xsi:type="dcterms:W3CDTF">2026-03-18T09:21:00Z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id="rfh7tLzw"/&gt;&lt;style id="http://www.zotero.org/styles/gost-r-7-0-5-2008-numeric"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